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1, 2022</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10" w:lineRule="exact"/>
        <w:rPr>
          <w:sz w:val="24"/>
          <w:szCs w:val="24"/>
          <w:color w:val="auto"/>
        </w:rPr>
      </w:pPr>
    </w:p>
    <w:p>
      <w:pPr>
        <w:ind w:firstLine="42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96"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Yes o</w:t>
        <w:tab/>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June 1, 2022,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June 1, 2022, was 29,995,500.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May 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gridSpan w:val="13"/>
          </w:tcPr>
          <w:p>
            <w:pPr>
              <w:jc w:val="center"/>
              <w:ind w:right="304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4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May 1, 2022 and January 30, 2022 (Unaudited)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May 1, 2022 and May 2, 2021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0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May 1, 2022 and May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2, 2021 (Unaudited)</w:t>
            </w:r>
          </w:p>
        </w:tc>
        <w:tc>
          <w:tcPr>
            <w:tcW w:w="6720" w:type="dxa"/>
            <w:vAlign w:val="bottom"/>
            <w:gridSpan w:val="15"/>
          </w:tcPr>
          <w:p>
            <w:pPr>
              <w:spacing w:after="0"/>
              <w:rPr>
                <w:sz w:val="14"/>
                <w:szCs w:val="14"/>
                <w:color w:val="auto"/>
              </w:rPr>
            </w:pPr>
          </w:p>
        </w:tc>
        <w:tc>
          <w:tcPr>
            <w:tcW w:w="154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Equity for the three months ended May 1, 2022 (Unaudited)</w:t>
            </w: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months ended May 2, 2021 (Unaudited)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May 1, 2022 and May 2, 2021</w:t>
            </w:r>
          </w:p>
        </w:tc>
        <w:tc>
          <w:tcPr>
            <w:tcW w:w="6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6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60" w:type="dxa"/>
            <w:vAlign w:val="bottom"/>
            <w:gridSpan w:val="3"/>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6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2"/>
          </w:tcPr>
          <w:p>
            <w:pPr>
              <w:jc w:val="center"/>
              <w:ind w:right="314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4"/>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40" w:type="dxa"/>
            <w:vAlign w:val="bottom"/>
            <w:gridSpan w:val="8"/>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8"/>
          </w:tcPr>
          <w:p>
            <w:pPr>
              <w:spacing w:after="0"/>
              <w:rPr>
                <w:sz w:val="24"/>
                <w:szCs w:val="24"/>
                <w:color w:val="auto"/>
              </w:rPr>
            </w:pPr>
          </w:p>
        </w:tc>
        <w:tc>
          <w:tcPr>
            <w:tcW w:w="3880" w:type="dxa"/>
            <w:vAlign w:val="bottom"/>
            <w:gridSpan w:val="11"/>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776"/>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9"/>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7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less reserves of $2,012 and $2,372, respectively</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152,244</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122,672</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catalog costs</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214,133</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222,521</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110,078</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120,911</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50,133</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502,793</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Duluth long-term debt</w:t>
            </w:r>
          </w:p>
        </w:tc>
        <w:tc>
          <w:tcPr>
            <w:tcW w:w="5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115,996</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long-term debt, less current maturities</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292,832</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May 1, 2022 and January 30, 2022</w:t>
            </w:r>
          </w:p>
        </w:tc>
        <w:tc>
          <w:tcPr>
            <w:tcW w:w="5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3,364 shares issued and outstanding as of May 1, 2022 and January 30, 2022</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30,077 shares issued and 29,965 shares outstanding as of May 1, 2022 and</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29,786 shares issued and 29,707 shares outstanding as of January 30, 2022</w:t>
            </w:r>
          </w:p>
        </w:tc>
        <w:tc>
          <w:tcPr>
            <w:tcW w:w="5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112 and 79 shares as of May 1, 2022 and</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30, 2022, respectively</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(1,457)</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95,515</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130,868</w:t>
            </w:r>
          </w:p>
        </w:tc>
      </w:tr>
      <w:tr>
        <w:trPr>
          <w:trHeight w:val="230"/>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0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225,870</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221,389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502,793</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7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5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122,904</w:t>
            </w: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64,648</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300" w:type="dxa"/>
            <w:vAlign w:val="bottom"/>
            <w:tcBorders>
              <w:top w:val="single" w:sz="8" w:color="auto"/>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(loss) earnings per share (Class A and Class B):</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(loss) earnings per share (Class A and Class B):</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32,720</w:t>
            </w:r>
          </w:p>
        </w:tc>
        <w:tc>
          <w:tcPr>
            <w:tcW w:w="0" w:type="dxa"/>
            <w:vAlign w:val="bottom"/>
          </w:tcPr>
          <w:p>
            <w:pPr>
              <w:spacing w:after="0"/>
              <w:rPr>
                <w:sz w:val="1"/>
                <w:szCs w:val="1"/>
                <w:color w:val="auto"/>
              </w:rPr>
            </w:pPr>
          </w:p>
        </w:tc>
      </w:tr>
      <w:tr>
        <w:trPr>
          <w:trHeight w:val="196"/>
        </w:trPr>
        <w:tc>
          <w:tcPr>
            <w:tcW w:w="7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440" w:type="dxa"/>
            <w:vAlign w:val="bottom"/>
            <w:tcBorders>
              <w:bottom w:val="single" w:sz="8" w:color="auto"/>
            </w:tcBorders>
          </w:tcPr>
          <w:p>
            <w:pPr>
              <w:spacing w:after="0"/>
              <w:rPr>
                <w:sz w:val="15"/>
                <w:szCs w:val="15"/>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(1,323)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(loss) income arising during the period</w:t>
            </w: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96"/>
        </w:trPr>
        <w:tc>
          <w:tcPr>
            <w:tcW w:w="59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56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 income</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(1,659)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5"/>
        </w:trPr>
        <w:tc>
          <w:tcPr>
            <w:tcW w:w="5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income attributable</w:t>
            </w:r>
          </w:p>
        </w:tc>
        <w:tc>
          <w:tcPr>
            <w:tcW w:w="1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r>
      <w:tr>
        <w:trPr>
          <w:trHeight w:val="22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2860" w:type="dxa"/>
            <w:vAlign w:val="bottom"/>
            <w:gridSpan w:val="2"/>
            <w:shd w:val="clear" w:color="auto" w:fill="CCEEFF"/>
          </w:tcPr>
          <w:p>
            <w:pPr>
              <w:jc w:val="right"/>
              <w:ind w:right="114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(1,630)</w:t>
            </w:r>
          </w:p>
        </w:tc>
        <w:tc>
          <w:tcPr>
            <w:tcW w:w="1420" w:type="dxa"/>
            <w:vAlign w:val="bottom"/>
            <w:gridSpan w:val="2"/>
            <w:shd w:val="clear" w:color="auto" w:fill="CCEEFF"/>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May 1, 2022</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4"/>
        </w:trPr>
        <w:tc>
          <w:tcPr>
            <w:tcW w:w="3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6"/>
                <w:szCs w:val="16"/>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6"/>
                <w:szCs w:val="16"/>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7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7"/>
                <w:szCs w:val="17"/>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129,575</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221,389</w:t>
            </w: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May 2, 2021</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2021</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32,841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92,875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101,166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190,461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183"/>
        </w:trPr>
        <w:tc>
          <w:tcPr>
            <w:tcW w:w="37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May 2,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32,917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93,378</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101,710</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(3,046)</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191,306</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580" w:type="dxa"/>
            <w:vAlign w:val="bottom"/>
          </w:tcPr>
          <w:p>
            <w:pPr>
              <w:spacing w:after="0"/>
              <w:rPr>
                <w:sz w:val="17"/>
                <w:szCs w:val="17"/>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8"/>
              </w:rPr>
              <w:t>May 2, 2021</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45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(29,572)</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(1,007)</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(2,032)</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(17,500)</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(31,717)</w:t>
            </w:r>
          </w:p>
        </w:tc>
        <w:tc>
          <w:tcPr>
            <w:tcW w:w="1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12,423</w:t>
            </w: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(3,885)</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disposals</w:t>
            </w:r>
          </w:p>
        </w:tc>
        <w:tc>
          <w:tcPr>
            <w:tcW w:w="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(3,843)</w:t>
            </w: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(1,974)</w:t>
            </w: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delayed draw term loan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w:t>
            </w:r>
          </w:p>
        </w:tc>
        <w:tc>
          <w:tcPr>
            <w:tcW w:w="1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(31,616)</w:t>
            </w: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cash equivalents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(36,681)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r>
      <w:tr>
        <w:trPr>
          <w:trHeight w:val="223"/>
        </w:trPr>
        <w:tc>
          <w:tcPr>
            <w:tcW w:w="66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40,370</w:t>
            </w: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26,054</w:t>
            </w:r>
          </w:p>
        </w:tc>
      </w:tr>
      <w:tr>
        <w:trPr>
          <w:trHeight w:val="183"/>
        </w:trPr>
        <w:tc>
          <w:tcPr>
            <w:tcW w:w="6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2022 is a 52-week period and ends on January 29,</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2023. Fiscal 2021 was a 52-week period and ended on January 30, 2022. The three months of fiscal 2022 and fiscal 2021 represent the Company’s 13-week periods ended May 1, 2022 and May 2, 2021, respectively.</w:t>
      </w:r>
    </w:p>
    <w:p>
      <w:pPr>
        <w:spacing w:after="0" w:line="128" w:lineRule="exact"/>
        <w:rPr>
          <w:sz w:val="20"/>
          <w:szCs w:val="20"/>
          <w:color w:val="auto"/>
        </w:rPr>
      </w:pPr>
    </w:p>
    <w:p>
      <w:pPr>
        <w:ind w:right="60" w:firstLine="428"/>
        <w:spacing w:after="0" w:line="23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months ended May 1, 2022 and May 2, 2021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May 1, 2022 and May 2, 2021. These interim condensed consolidated financial statements should be read in conjunction with the consolidated financial statements and notes included in the Company’s annual report on Form 10-K for the fiscal year ended January 30, 2022.</w:t>
      </w:r>
    </w:p>
    <w:p>
      <w:pPr>
        <w:spacing w:after="0" w:line="12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ind w:right="160" w:firstLine="428"/>
        <w:spacing w:after="0" w:line="242" w:lineRule="auto"/>
        <w:rPr>
          <w:sz w:val="20"/>
          <w:szCs w:val="20"/>
          <w:color w:val="auto"/>
        </w:rPr>
      </w:pPr>
      <w:r>
        <w:rPr>
          <w:rFonts w:ascii="Times New Roman" w:cs="Times New Roman" w:eastAsia="Times New Roman" w:hAnsi="Times New Roman"/>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3" w:lineRule="exact"/>
        <w:rPr>
          <w:sz w:val="20"/>
          <w:szCs w:val="20"/>
          <w:color w:val="auto"/>
        </w:rPr>
      </w:pPr>
    </w:p>
    <w:p>
      <w:pPr>
        <w:jc w:val="both"/>
        <w:ind w:right="160" w:firstLine="428"/>
        <w:spacing w:after="0" w:line="236" w:lineRule="auto"/>
        <w:rPr>
          <w:sz w:val="20"/>
          <w:szCs w:val="20"/>
          <w:color w:val="auto"/>
        </w:rPr>
      </w:pPr>
      <w:r>
        <w:rPr>
          <w:rFonts w:ascii="Times New Roman" w:cs="Times New Roman" w:eastAsia="Times New Roman" w:hAnsi="Times New Roman"/>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Impairment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1, 2022 and for the three months ended, no triggering events or indicators of asset impairment were noted.</w:t>
      </w:r>
    </w:p>
    <w:p>
      <w:pPr>
        <w:spacing w:after="0" w:line="15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ind w:right="220" w:firstLine="648"/>
        <w:spacing w:after="0" w:line="238"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inventories below cost. Inventory reserve for excess and obsolete items was $2.0 million and $2.4 million as of May 1, 2022 and January 30, 2022, respectively.</w:t>
      </w:r>
    </w:p>
    <w:p>
      <w:pPr>
        <w:spacing w:after="0" w:line="1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F.</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1,852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2,235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2,061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12,509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13,623</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16,422</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17,333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2,949</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1,756</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6,495</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5,353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1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30,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560" w:type="dxa"/>
            <w:vAlign w:val="bottom"/>
          </w:tcPr>
          <w:p>
            <w:pPr>
              <w:spacing w:after="0"/>
              <w:rPr>
                <w:sz w:val="17"/>
                <w:szCs w:val="17"/>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240" w:type="dxa"/>
            <w:vAlign w:val="bottom"/>
            <w:vMerge w:val="continue"/>
            <w:shd w:val="clear" w:color="auto" w:fill="CCEEFF"/>
          </w:tcPr>
          <w:p>
            <w:pPr>
              <w:spacing w:after="0"/>
              <w:rPr>
                <w:sz w:val="14"/>
                <w:szCs w:val="14"/>
                <w:color w:val="auto"/>
              </w:rPr>
            </w:pP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560" w:type="dxa"/>
            <w:vAlign w:val="bottom"/>
            <w:gridSpan w:val="2"/>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67"/>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40" w:type="dxa"/>
            <w:vAlign w:val="bottom"/>
          </w:tcPr>
          <w:p>
            <w:pPr>
              <w:spacing w:after="0"/>
              <w:rPr>
                <w:sz w:val="20"/>
                <w:szCs w:val="20"/>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240" w:type="dxa"/>
            <w:vAlign w:val="bottom"/>
            <w:vMerge w:val="continue"/>
            <w:shd w:val="clear" w:color="auto" w:fill="CCEEFF"/>
          </w:tcPr>
          <w:p>
            <w:pPr>
              <w:spacing w:after="0"/>
              <w:rPr>
                <w:sz w:val="14"/>
                <w:szCs w:val="14"/>
                <w:color w:val="auto"/>
              </w:rPr>
            </w:pP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68"/>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2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7,988</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2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6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6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6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2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May 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196"/>
        </w:trPr>
        <w:tc>
          <w:tcPr>
            <w:tcW w:w="6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fiscal year)</w:t>
            </w:r>
          </w:p>
        </w:tc>
        <w:tc>
          <w:tcPr>
            <w:tcW w:w="5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59,227</w:t>
            </w: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54,996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139,877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(12,692)</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(22,238)</w:t>
            </w:r>
          </w:p>
        </w:tc>
      </w:tr>
      <w:tr>
        <w:trPr>
          <w:trHeight w:val="183"/>
        </w:trPr>
        <w:tc>
          <w:tcPr>
            <w:tcW w:w="68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42,304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117,639</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 w:right="8020" w:hanging="432"/>
        <w:spacing w:after="0" w:line="500"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16"/>
                <w:szCs w:val="16"/>
                <w:color w:val="auto"/>
              </w:rPr>
            </w:pPr>
          </w:p>
        </w:tc>
        <w:tc>
          <w:tcPr>
            <w:tcW w:w="15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26,440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26,608</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62" w:lineRule="exact"/>
        <w:rPr>
          <w:sz w:val="20"/>
          <w:szCs w:val="20"/>
          <w:color w:val="auto"/>
        </w:rPr>
      </w:pPr>
    </w:p>
    <w:p>
      <w:pPr>
        <w:jc w:val="both"/>
        <w:ind w:right="460" w:firstLine="428"/>
        <w:spacing w:after="0" w:line="23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60" w:firstLine="428"/>
        <w:spacing w:after="0" w:line="230"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provided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As of and for the fiscal year ended January 31, 2021, no amount of the Incremental DDTL was funded.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45" w:lineRule="exact"/>
        <w:rPr>
          <w:sz w:val="20"/>
          <w:szCs w:val="20"/>
          <w:color w:val="auto"/>
        </w:rPr>
      </w:pPr>
    </w:p>
    <w:p>
      <w:pPr>
        <w:ind w:right="2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terminated the Credit Agreement, and entered into a new credit agreement (the “New Credit Agreement”), which was treated as a modification for accounting purposes.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revolving senior credit facility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48" w:lineRule="exact"/>
        <w:rPr>
          <w:sz w:val="20"/>
          <w:szCs w:val="20"/>
          <w:color w:val="auto"/>
        </w:rPr>
      </w:pPr>
    </w:p>
    <w:p>
      <w:pPr>
        <w:ind w:right="300" w:firstLine="428"/>
        <w:spacing w:after="0" w:line="266" w:lineRule="auto"/>
        <w:rPr>
          <w:sz w:val="20"/>
          <w:szCs w:val="20"/>
          <w:color w:val="auto"/>
        </w:rPr>
      </w:pPr>
      <w:r>
        <w:rPr>
          <w:rFonts w:ascii="Times New Roman" w:cs="Times New Roman" w:eastAsia="Times New Roman" w:hAnsi="Times New Roman"/>
          <w:sz w:val="18"/>
          <w:szCs w:val="18"/>
          <w:color w:val="auto"/>
        </w:rPr>
        <w:t>As of May 1, 2022 and for the three months then ended, the Company was in compliance with all financial and non-financial covenants contained within the New Credit Agreement.</w:t>
      </w:r>
    </w:p>
    <w:p>
      <w:pPr>
        <w:spacing w:after="0" w:line="307"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Catalog costs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32,214</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47,504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60" w:lineRule="exact"/>
        <w:rPr>
          <w:sz w:val="20"/>
          <w:szCs w:val="20"/>
          <w:color w:val="auto"/>
        </w:rPr>
      </w:pPr>
    </w:p>
    <w:p>
      <w:pPr>
        <w:ind w:right="160" w:firstLine="440"/>
        <w:spacing w:after="0" w:line="232"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8"/>
          <w:szCs w:val="18"/>
          <w:color w:val="auto"/>
        </w:rPr>
        <w:t>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The fair value of the Company’s available-for-sale security was valued based on a discounted cash flow method (Level 3), which incorporates the U.S. Treasury yield curve, credit information and an estimate of future cash flows. During the three months ended May 1, 2022,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spacing w:after="0" w:line="148"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16510</wp:posOffset>
            </wp:positionV>
            <wp:extent cx="4217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8"/>
                <w:szCs w:val="18"/>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944"/>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6,066</w:t>
            </w:r>
          </w:p>
        </w:tc>
      </w:tr>
      <w:tr>
        <w:trPr>
          <w:trHeight w:val="648"/>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7"/>
                <w:szCs w:val="17"/>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8"/>
                <w:szCs w:val="18"/>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944"/>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6,554</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May 1, 2022 or May 2, 2021.</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May 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3960" w:type="dxa"/>
            <w:vAlign w:val="bottom"/>
            <w:gridSpan w:val="2"/>
            <w:shd w:val="clear" w:color="auto" w:fill="CCEEFF"/>
          </w:tcPr>
          <w:p>
            <w:pPr>
              <w:jc w:val="right"/>
              <w:ind w:right="16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168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5,861</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8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5"/>
        </w:trPr>
        <w:tc>
          <w:tcPr>
            <w:tcW w:w="39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2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27,151</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May 1, 2022 and January 30, 2022.</w:t>
      </w:r>
    </w:p>
    <w:p>
      <w:pPr>
        <w:spacing w:after="0" w:line="145"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May 1, 2022 and January 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24,049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3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24,049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(LOSS) EARNINGS PER SHARE</w:t>
      </w:r>
    </w:p>
    <w:p>
      <w:pPr>
        <w:spacing w:after="0" w:line="173"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(Loss) 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(loss) earnings per share is based on the weighted average number of common shares outstanding for the period. Diluted (loss)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(loss) earnings per share unless considered anti-dilutive. The reconciliation of the numerator and denominator of the basic and diluted (loss) earnings per share calculation is as follows: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income attributable to</w:t>
            </w:r>
          </w:p>
        </w:tc>
        <w:tc>
          <w:tcPr>
            <w:tcW w:w="15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3160" w:type="dxa"/>
            <w:vAlign w:val="bottom"/>
            <w:gridSpan w:val="2"/>
            <w:shd w:val="clear" w:color="auto" w:fill="CCEEFF"/>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(1,294)</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83"/>
        </w:trPr>
        <w:tc>
          <w:tcPr>
            <w:tcW w:w="502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32,720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 (Class A and Class B)</w:t>
            </w:r>
          </w:p>
        </w:tc>
        <w:tc>
          <w:tcPr>
            <w:tcW w:w="1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160" w:type="dxa"/>
            <w:vAlign w:val="bottom"/>
            <w:gridSpan w:val="2"/>
            <w:shd w:val="clear" w:color="auto" w:fill="CCEEFF"/>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160" w:type="dxa"/>
            <w:vAlign w:val="bottom"/>
            <w:gridSpan w:val="2"/>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computation of diluted (loss) earnings per share excluded 0.2 million shares of unvested restricted stock for the three months ended May 1, 2022 because their inclusion would be anti-dilutive due to a net loss.</w:t>
      </w: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$0.6 million and $0.4 million for the three months ended May 1, 2022 and May 2, 2021, respectively. The Company’s total stock compensation expense is included in selling, general and administrative expenses on the Condensed Consolidated Statements of Operations.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three months ended May 1,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(96,207)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May 1, 2022</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587,796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13.19</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40" w:firstLine="428"/>
        <w:spacing w:after="0" w:line="250" w:lineRule="auto"/>
        <w:rPr>
          <w:sz w:val="20"/>
          <w:szCs w:val="20"/>
          <w:color w:val="auto"/>
        </w:rPr>
      </w:pPr>
      <w:r>
        <w:rPr>
          <w:rFonts w:ascii="Times New Roman" w:cs="Times New Roman" w:eastAsia="Times New Roman" w:hAnsi="Times New Roman"/>
          <w:sz w:val="18"/>
          <w:szCs w:val="18"/>
          <w:color w:val="auto"/>
        </w:rPr>
        <w:t>At May 1, 2022, the Company had unrecognized compensation expense of $6.6 million related to the restricted stock awards, which is expected to be recognized over a weighted average period of 3.0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w:t>
            </w:r>
          </w:p>
        </w:tc>
      </w:tr>
      <w:tr>
        <w:trPr>
          <w:trHeight w:val="196"/>
        </w:trPr>
        <w:tc>
          <w:tcPr>
            <w:tcW w:w="7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202,976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201,973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(101,426)</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(97,473)</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101,550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104,500</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108,283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110,078</w:t>
            </w:r>
          </w:p>
        </w:tc>
      </w:tr>
      <w:tr>
        <w:trPr>
          <w:trHeight w:val="20"/>
        </w:trPr>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220" w:firstLine="570"/>
        <w:spacing w:after="0" w:line="232"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4020" w:type="dxa"/>
            <w:vAlign w:val="bottom"/>
            <w:gridSpan w:val="2"/>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77,680</w:t>
            </w:r>
          </w:p>
        </w:tc>
        <w:tc>
          <w:tcPr>
            <w:tcW w:w="82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88,366</w:t>
            </w:r>
          </w:p>
        </w:tc>
        <w:tc>
          <w:tcPr>
            <w:tcW w:w="240" w:type="dxa"/>
            <w:vAlign w:val="bottom"/>
            <w:shd w:val="clear" w:color="auto" w:fill="CCEEFF"/>
          </w:tcPr>
          <w:p>
            <w:pPr>
              <w:spacing w:after="0"/>
              <w:rPr>
                <w:sz w:val="19"/>
                <w:szCs w:val="19"/>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2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45,224</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45,053</w:t>
            </w:r>
          </w:p>
        </w:tc>
        <w:tc>
          <w:tcPr>
            <w:tcW w:w="240" w:type="dxa"/>
            <w:vAlign w:val="bottom"/>
            <w:tcBorders>
              <w:bottom w:val="single" w:sz="8" w:color="CCEEFF"/>
            </w:tcBorders>
          </w:tcPr>
          <w:p>
            <w:pPr>
              <w:spacing w:after="0"/>
              <w:rPr>
                <w:sz w:val="19"/>
                <w:szCs w:val="19"/>
                <w:color w:val="auto"/>
              </w:rPr>
            </w:pPr>
          </w:p>
        </w:tc>
      </w:tr>
      <w:tr>
        <w:trPr>
          <w:trHeight w:val="196"/>
        </w:trPr>
        <w:tc>
          <w:tcPr>
            <w:tcW w:w="404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122,904</w:t>
            </w: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133,419</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2"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387"/>
        </w:trPr>
        <w:tc>
          <w:tcPr>
            <w:tcW w:w="3440" w:type="dxa"/>
            <w:vAlign w:val="bottom"/>
          </w:tcPr>
          <w:p>
            <w:pPr>
              <w:spacing w:after="0"/>
              <w:rPr>
                <w:sz w:val="24"/>
                <w:szCs w:val="24"/>
                <w:color w:val="auto"/>
              </w:rPr>
            </w:pPr>
          </w:p>
        </w:tc>
        <w:tc>
          <w:tcPr>
            <w:tcW w:w="33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7"/>
        </w:trPr>
        <w:tc>
          <w:tcPr>
            <w:tcW w:w="34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three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60" w:type="dxa"/>
            <w:vAlign w:val="bottom"/>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4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460" w:type="dxa"/>
            <w:vAlign w:val="bottom"/>
            <w:tcBorders>
              <w:top w:val="single" w:sz="8" w:color="auto"/>
              <w:bottom w:val="single" w:sz="8" w:color="auto"/>
            </w:tcBorders>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8,432</w:t>
            </w: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right="20" w:firstLine="428"/>
        <w:spacing w:after="0"/>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25% for the three months ended May 1, 2022 and 16% for the three months ended May 2, 2021. The income from TRI was excluded from the calculation of the Company’s effective tax rate, as TRI is a limited liability company and not subject to income taxes.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 xml:space="preserve">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impact adopting ASU 2016-13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jc w:val="both"/>
        <w:ind w:right="380" w:firstLine="428"/>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30, 2022 (“2021 Form 10-K”).</w:t>
      </w:r>
    </w:p>
    <w:p>
      <w:pPr>
        <w:spacing w:after="0" w:line="119" w:lineRule="exact"/>
        <w:rPr>
          <w:sz w:val="20"/>
          <w:szCs w:val="20"/>
          <w:color w:val="auto"/>
        </w:rPr>
      </w:pPr>
    </w:p>
    <w:p>
      <w:pPr>
        <w:ind w:right="280" w:firstLine="428"/>
        <w:spacing w:after="0" w:line="285"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2022 is a 52-week period and ends on January 29, 2023. Fiscal 2021 was a 52-week period and ended on January 30, 2022. The three months of fiscal 2022 and fiscal 2021 represent our 13-week periods ended May 1, 2022 and May 2, 2021, respectively.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w:t>
      </w:r>
    </w:p>
    <w:p>
      <w:pPr>
        <w:spacing w:after="0" w:line="1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2021 Form 10-K, and other SEC filings, which factors are incorporated by reference herein. These risks and uncertainties include, but are not limited to, the following: the prolonged effects of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5" w:lineRule="exact"/>
        <w:rPr>
          <w:sz w:val="20"/>
          <w:szCs w:val="20"/>
          <w:color w:val="auto"/>
        </w:rPr>
      </w:pPr>
    </w:p>
    <w:p>
      <w:pPr>
        <w:ind w:right="1180" w:firstLine="428"/>
        <w:spacing w:after="0" w:line="438"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6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May 1, 2022, we operated 62 retail stores and three outlet stores.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3"/>
          <w:szCs w:val="23"/>
          <w:color w:val="auto"/>
          <w:vertAlign w:val="superscript"/>
        </w:rPr>
        <w:t>®</w:t>
      </w:r>
    </w:p>
    <w:p>
      <w:pPr>
        <w:ind w:right="22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decreased by 7.9% over the prior year first quarter to $122.9 million;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of ($1.3) million in fiscal 2022 first quarter compared to the prior year first quarter net income of $0.5 million; and</w:t>
      </w:r>
    </w:p>
    <w:p>
      <w:pPr>
        <w:spacing w:after="0" w:line="90" w:lineRule="exact"/>
        <w:rPr>
          <w:sz w:val="20"/>
          <w:szCs w:val="20"/>
          <w:color w:val="auto"/>
        </w:rPr>
      </w:pPr>
    </w:p>
    <w:p>
      <w:pPr>
        <w:ind w:left="880" w:right="380"/>
        <w:spacing w:after="0" w:line="266" w:lineRule="auto"/>
        <w:rPr>
          <w:sz w:val="20"/>
          <w:szCs w:val="20"/>
          <w:color w:val="auto"/>
        </w:rPr>
      </w:pPr>
      <w:r>
        <w:rPr>
          <w:rFonts w:ascii="Times New Roman" w:cs="Times New Roman" w:eastAsia="Times New Roman" w:hAnsi="Times New Roman"/>
          <w:sz w:val="18"/>
          <w:szCs w:val="18"/>
          <w:color w:val="auto"/>
        </w:rPr>
        <w:t>Adjusted EBITDA decreased to $7.9 million in fiscal 2022 first quarter compared to the prior year first quarter Adjusted EBITDA of $9.6 million.</w:t>
      </w:r>
    </w:p>
    <w:p>
      <w:pPr>
        <w:spacing w:after="0" w:line="122" w:lineRule="exact"/>
        <w:rPr>
          <w:sz w:val="20"/>
          <w:szCs w:val="20"/>
          <w:color w:val="auto"/>
        </w:rPr>
      </w:pPr>
    </w:p>
    <w:p>
      <w:pPr>
        <w:jc w:val="both"/>
        <w:ind w:right="20"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(Loss) Income to EBITDA and EBITDA to Adjusted EBITDA” section for a reconciliation of our net (loss)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0" w:lineRule="exact"/>
        <w:rPr>
          <w:sz w:val="20"/>
          <w:szCs w:val="20"/>
          <w:color w:val="auto"/>
        </w:rPr>
      </w:pPr>
    </w:p>
    <w:p>
      <w:pPr>
        <w:ind w:right="140" w:firstLine="402"/>
        <w:spacing w:after="0" w:line="242" w:lineRule="auto"/>
        <w:rPr>
          <w:sz w:val="20"/>
          <w:szCs w:val="20"/>
          <w:color w:val="auto"/>
        </w:rPr>
      </w:pPr>
      <w:r>
        <w:rPr>
          <w:rFonts w:ascii="Times New Roman" w:cs="Times New Roman" w:eastAsia="Times New Roman" w:hAnsi="Times New Roman"/>
          <w:sz w:val="18"/>
          <w:szCs w:val="18"/>
          <w:color w:val="auto"/>
        </w:rPr>
        <w:t>The Company continues to progress on further defining and executing the “Big Dam Blueprint,” which management believes will unlock the Company’s full potential for long-term, sustainable growth. As introduced in the second quarter of 2021, the Big Dam Blueprint focuses on the following key strategic areas:</w:t>
      </w:r>
    </w:p>
    <w:p>
      <w:pPr>
        <w:spacing w:after="0" w:line="45" w:lineRule="exact"/>
        <w:rPr>
          <w:sz w:val="20"/>
          <w:szCs w:val="20"/>
          <w:color w:val="auto"/>
        </w:rPr>
      </w:pPr>
    </w:p>
    <w:p>
      <w:pPr>
        <w:ind w:left="88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6" w:lineRule="exact"/>
        <w:rPr>
          <w:sz w:val="20"/>
          <w:szCs w:val="20"/>
          <w:color w:val="auto"/>
        </w:rPr>
      </w:pPr>
    </w:p>
    <w:p>
      <w:pPr>
        <w:ind w:left="880" w:right="2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and layout.</w:t>
      </w:r>
    </w:p>
    <w:p>
      <w:pPr>
        <w:spacing w:after="0" w:line="54" w:lineRule="exact"/>
        <w:rPr>
          <w:sz w:val="20"/>
          <w:szCs w:val="20"/>
          <w:color w:val="auto"/>
        </w:rPr>
      </w:pPr>
    </w:p>
    <w:p>
      <w:pPr>
        <w:ind w:left="880" w:right="2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multi-brand platform as a new pathway to grow the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40Grit,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46" w:lineRule="exact"/>
        <w:rPr>
          <w:sz w:val="20"/>
          <w:szCs w:val="20"/>
          <w:color w:val="auto"/>
        </w:rPr>
      </w:pPr>
    </w:p>
    <w:p>
      <w:pPr>
        <w:ind w:left="880" w:right="5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Carefully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8" w:lineRule="exact"/>
        <w:rPr>
          <w:sz w:val="20"/>
          <w:szCs w:val="20"/>
          <w:color w:val="auto"/>
        </w:rPr>
      </w:pPr>
    </w:p>
    <w:p>
      <w:pPr>
        <w:ind w:left="880" w:right="18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Increase and, in some areas, accelerate investments to future proof the business. </w:t>
      </w:r>
      <w:r>
        <w:rPr>
          <w:rFonts w:ascii="Times New Roman" w:cs="Times New Roman" w:eastAsia="Times New Roman" w:hAnsi="Times New Roman"/>
          <w:sz w:val="18"/>
          <w:szCs w:val="18"/>
          <w:color w:val="auto"/>
        </w:rPr>
        <w:t>Areas under analysis include greater automation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145"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62" w:lineRule="exact"/>
        <w:rPr>
          <w:sz w:val="20"/>
          <w:szCs w:val="20"/>
          <w:color w:val="auto"/>
        </w:rPr>
      </w:pPr>
    </w:p>
    <w:p>
      <w:pPr>
        <w:ind w:right="80" w:firstLine="492"/>
        <w:spacing w:after="0" w:line="242" w:lineRule="auto"/>
        <w:rPr>
          <w:sz w:val="20"/>
          <w:szCs w:val="20"/>
          <w:color w:val="auto"/>
        </w:rPr>
      </w:pPr>
      <w:r>
        <w:rPr>
          <w:rFonts w:ascii="Times New Roman" w:cs="Times New Roman" w:eastAsia="Times New Roman" w:hAnsi="Times New Roman"/>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ultimate impact of COVID-19 on our operational and financial performance still depends on future developments outside of our control,</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including the duration and spread of the pandemic and related actions taken by federal, state and local government officials, and international governments to prevent disease spread. Given the uncertainty, we cannot reasonably estimate store traffic patterns and the prolonged impact on overall consumer demand. We continue to actively evaluate all federal, state and local regulations to ensure compliance by our store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5540" w:right="980" w:hanging="5097"/>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38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300"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31" w:lineRule="exact"/>
        <w:rPr>
          <w:sz w:val="20"/>
          <w:szCs w:val="20"/>
          <w:color w:val="auto"/>
        </w:rPr>
      </w:pPr>
    </w:p>
    <w:p>
      <w:pPr>
        <w:ind w:right="220" w:firstLine="428"/>
        <w:spacing w:after="0" w:line="242" w:lineRule="auto"/>
        <w:rPr>
          <w:sz w:val="20"/>
          <w:szCs w:val="20"/>
          <w:color w:val="auto"/>
        </w:rPr>
      </w:pPr>
      <w:r>
        <w:rPr>
          <w:rFonts w:ascii="Times New Roman" w:cs="Times New Roman" w:eastAsia="Times New Roman" w:hAnsi="Times New Roman"/>
          <w:sz w:val="18"/>
          <w:szCs w:val="18"/>
          <w:color w:val="auto"/>
        </w:rPr>
        <w:t>Our historical sales growth has been accompanied by increased selling, general and administrative expenses. The most significant components of these increases are advertising, rent/occupancy and payroll costs. While we expect these expenses to increase as we continue to grow our organization to support our growing business and increase brand awareness, we believe these expenses will decrease as a percentage of net sales over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31" w:lineRule="exact"/>
        <w:rPr>
          <w:sz w:val="20"/>
          <w:szCs w:val="20"/>
          <w:color w:val="auto"/>
        </w:rPr>
      </w:pPr>
    </w:p>
    <w:p>
      <w:pPr>
        <w:ind w:right="10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122,904</w:t>
            </w:r>
          </w:p>
        </w:tc>
        <w:tc>
          <w:tcPr>
            <w:tcW w:w="8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540" w:type="dxa"/>
            <w:vAlign w:val="bottom"/>
            <w:tcBorders>
              <w:bottom w:val="single" w:sz="8" w:color="auto"/>
            </w:tcBorders>
          </w:tcPr>
          <w:p>
            <w:pPr>
              <w:jc w:val="right"/>
              <w:ind w:right="13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(1,294)</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5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9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Three Months Ended May 1, 2022 Compared to Three Months Ended May 2, 2021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60" w:firstLine="428"/>
        <w:spacing w:after="0" w:line="279" w:lineRule="auto"/>
        <w:rPr>
          <w:sz w:val="20"/>
          <w:szCs w:val="20"/>
          <w:color w:val="auto"/>
        </w:rPr>
      </w:pPr>
      <w:r>
        <w:rPr>
          <w:rFonts w:ascii="Times New Roman" w:cs="Times New Roman" w:eastAsia="Times New Roman" w:hAnsi="Times New Roman"/>
          <w:sz w:val="17"/>
          <w:szCs w:val="17"/>
          <w:color w:val="auto"/>
        </w:rPr>
        <w:t>Net sales decreased $10.5 million, or 7.9%, to $122.9 million in the three months ended May 1, 2022 compared to $133.4 million in the three months ended May 2, 2021. The decrease was primarily due to continued supply chain disruptions, coupled with heavier clearance sales during the prior year.</w:t>
      </w:r>
    </w:p>
    <w:p>
      <w:pPr>
        <w:spacing w:after="0" w:line="113" w:lineRule="exact"/>
        <w:rPr>
          <w:sz w:val="20"/>
          <w:szCs w:val="20"/>
          <w:color w:val="auto"/>
        </w:rPr>
      </w:pPr>
    </w:p>
    <w:p>
      <w:pPr>
        <w:ind w:right="8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$4.8 million, or 5.4%, to $85.1 million in the three months ended May 1, 2022 compared to $89.9 million in the three months ended May 2, 2021. Non-store market net sales decreased by $5.2 million, or 12.5%, to $36.8 million in the three months ended May 1, 2022 compared to $42.0 million in the three months ended May 2, 2021. The decrease was also driven by heavier clearance and promotional activity during the prior year.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Gross profit increased $0.5 million, or 0.8%, to $67.1 million in the three months ended May 1, 2022 compared to $66.5 million in the three months ended May 2, 2021. As a percentage of net sales, gross margin increased to 54.6% of net sales in the three months ended May 1, 2022, compared to 49.9% of net sales in the three months ended May 2, 2021. The increase in gross margin rate was driven by a higher mix of full price sales due to successfully dialing back promotional and clearance activity.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24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$3.3 million, or 5.2%, to $68.0 million in the three months ended May 1, 2022 compared to $64.6 million in the three months ended May 2, 2021. Selling, general and administrative expenses as a percentage of net sales increased to 55.3% in the three months ended May 1, 2022, compared to 48.5% in the three months ended May 2, 2021.</w:t>
      </w:r>
    </w:p>
    <w:p>
      <w:pPr>
        <w:spacing w:after="0" w:line="143" w:lineRule="exact"/>
        <w:rPr>
          <w:sz w:val="20"/>
          <w:szCs w:val="20"/>
          <w:color w:val="auto"/>
        </w:rPr>
      </w:pPr>
    </w:p>
    <w:p>
      <w:pPr>
        <w:ind w:right="72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due to investments in new headcount, increased depreciation from continued capital investments, as well as increased advertising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2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($0.4) million in the three months ended May 1, 2022, compared to an income tax expense of $0.1 million in the three months ended May 2, 2021. The effective tax rate related to controlling interest was 25% for the three months ended May 1, 2022 compared to 16% for the three months ended May 2,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Controlling Interest</w:t>
      </w:r>
    </w:p>
    <w:p>
      <w:pPr>
        <w:spacing w:after="0" w:line="175" w:lineRule="exact"/>
        <w:rPr>
          <w:sz w:val="20"/>
          <w:szCs w:val="20"/>
          <w:color w:val="auto"/>
        </w:rPr>
      </w:pPr>
    </w:p>
    <w:p>
      <w:pPr>
        <w:ind w:right="140" w:firstLine="42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($1.3) million, in the three months ended May 1, 2022 compared to net income of $0.5 million in the three months ended May 2, 2021, due to the factors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EBITDA and EBITDA to Adjusted EBITDA</w:t>
      </w:r>
    </w:p>
    <w:p>
      <w:pPr>
        <w:spacing w:after="0" w:line="162" w:lineRule="exact"/>
        <w:rPr>
          <w:sz w:val="20"/>
          <w:szCs w:val="20"/>
          <w:color w:val="auto"/>
        </w:rPr>
      </w:pPr>
    </w:p>
    <w:p>
      <w:pPr>
        <w:jc w:val="both"/>
        <w:ind w:right="100" w:firstLine="428"/>
        <w:spacing w:after="0" w:line="242"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196"/>
        </w:trPr>
        <w:tc>
          <w:tcPr>
            <w:tcW w:w="6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1540" w:type="dxa"/>
            <w:vAlign w:val="bottom"/>
            <w:tcBorders>
              <w:top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7,268</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9,185</w:t>
            </w:r>
          </w:p>
        </w:tc>
      </w:tr>
      <w:tr>
        <w:trPr>
          <w:trHeight w:val="216"/>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183"/>
        </w:trPr>
        <w:tc>
          <w:tcPr>
            <w:tcW w:w="66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1540" w:type="dxa"/>
            <w:vAlign w:val="bottom"/>
            <w:tcBorders>
              <w:bottom w:val="single" w:sz="8" w:color="auto"/>
            </w:tcBorders>
            <w:shd w:val="clear" w:color="auto" w:fill="CCEEFF"/>
          </w:tcPr>
          <w:p>
            <w:pPr>
              <w:jc w:val="right"/>
              <w:ind w:right="137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7,886</w:t>
            </w: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9,556</w:t>
            </w:r>
          </w:p>
        </w:tc>
      </w:tr>
      <w:tr>
        <w:trPr>
          <w:trHeight w:val="20"/>
        </w:trPr>
        <w:tc>
          <w:tcPr>
            <w:tcW w:w="6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8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$1.7 million to $7.9 million in the three months ended May 1, 2022 compared to $9.6 million in the three months ended May 2, 2021. As a percentage of net sales, Adjusted EBITDA decreased to 6.4% of net sales in the three months ended May 1, 2022 compared to 7.2% of net sales in the three months ended May 2, 2021.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240" w:firstLine="428"/>
        <w:spacing w:after="0" w:line="238"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infrastructure, information technology, and opening new stores. The most significant components of our working capital are cash, inventory, accounts payable and other current liabilities. At May 1, 2022, our net working capital was $106.0 million, including $40.4 million of cash and cash equivalents.</w:t>
      </w:r>
    </w:p>
    <w:p>
      <w:pPr>
        <w:spacing w:after="0" w:line="136"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$40.0 million in fiscal 2022 on capital expenditures, inclusive of software hosting implementation costs, primarily due to investments in logistics optimization, including the introduction of automated fulfillment centers.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(31,717)</w:t>
            </w: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(3,843)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(1,121)</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(31,616)</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cash equivalents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(36,681)</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75" w:lineRule="exact"/>
        <w:rPr>
          <w:sz w:val="20"/>
          <w:szCs w:val="20"/>
          <w:color w:val="auto"/>
        </w:rPr>
      </w:pPr>
    </w:p>
    <w:p>
      <w:pPr>
        <w:jc w:val="both"/>
        <w:ind w:firstLine="428"/>
        <w:spacing w:after="0" w:line="250"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36" w:lineRule="exact"/>
        <w:rPr>
          <w:sz w:val="20"/>
          <w:szCs w:val="20"/>
          <w:color w:val="auto"/>
        </w:rPr>
      </w:pPr>
    </w:p>
    <w:p>
      <w:pPr>
        <w:ind w:right="360" w:firstLine="428"/>
        <w:spacing w:after="0" w:line="236" w:lineRule="auto"/>
        <w:rPr>
          <w:sz w:val="20"/>
          <w:szCs w:val="20"/>
          <w:color w:val="auto"/>
        </w:rPr>
      </w:pPr>
      <w:r>
        <w:rPr>
          <w:rFonts w:ascii="Times New Roman" w:cs="Times New Roman" w:eastAsia="Times New Roman" w:hAnsi="Times New Roman"/>
          <w:sz w:val="18"/>
          <w:szCs w:val="18"/>
          <w:color w:val="auto"/>
        </w:rPr>
        <w:t>For the three months ended May 1, 2022, net cash used in operating activities was $31.7 million, which primarily consisted of a net loss of $1.3 million and cash used in operating assets and liabilities of $38.6 million. The cash used in operating assets and liabilities of $38.6 million primarily consisted of a $29.6 million increase in inventory and a $17.5 million decrease in accrued expenses offset by a $10.4 million increase in trade accounts payable.</w:t>
      </w:r>
    </w:p>
    <w:p>
      <w:pPr>
        <w:spacing w:after="0" w:line="144"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For the three months ended May 2, 2021, net cash provided by operating activities was $12.4 million, which consisted of net income of $0.5 million, cash provided by operating assets and liabilities of $4.2 million, non-cash depreciation and amortization of $7.3 million, and stock based compensation of $0.4 million. The cash provided by operating assets and liabilities of $4.2 million primarily consisted of a $4.9 million decrease in inventory and a $6.0 million increase in trade accounts payable, partially offset by a $6.3 million decrease in accrued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58" w:lineRule="exact"/>
        <w:rPr>
          <w:sz w:val="20"/>
          <w:szCs w:val="20"/>
          <w:color w:val="auto"/>
        </w:rPr>
      </w:pPr>
    </w:p>
    <w:p>
      <w:pPr>
        <w:ind w:right="240" w:firstLine="428"/>
        <w:spacing w:after="0" w:line="266" w:lineRule="auto"/>
        <w:rPr>
          <w:sz w:val="20"/>
          <w:szCs w:val="20"/>
          <w:color w:val="auto"/>
        </w:rPr>
      </w:pPr>
      <w:r>
        <w:rPr>
          <w:rFonts w:ascii="Times New Roman" w:cs="Times New Roman" w:eastAsia="Times New Roman" w:hAnsi="Times New Roman"/>
          <w:sz w:val="18"/>
          <w:szCs w:val="18"/>
          <w:color w:val="auto"/>
        </w:rPr>
        <w:t>For the three months ended May 1, 2022, net cash used in investing activities was $3.8 million and was primarily driven by capital expenditures of $3.9 million for new investments in information technology.</w:t>
      </w:r>
    </w:p>
    <w:p>
      <w:pPr>
        <w:spacing w:after="0" w:line="108" w:lineRule="exact"/>
        <w:rPr>
          <w:sz w:val="20"/>
          <w:szCs w:val="20"/>
          <w:color w:val="auto"/>
        </w:rPr>
      </w:pPr>
    </w:p>
    <w:p>
      <w:pPr>
        <w:ind w:right="240" w:firstLine="428"/>
        <w:spacing w:after="0" w:line="266" w:lineRule="auto"/>
        <w:rPr>
          <w:sz w:val="20"/>
          <w:szCs w:val="20"/>
          <w:color w:val="auto"/>
        </w:rPr>
      </w:pPr>
      <w:r>
        <w:rPr>
          <w:rFonts w:ascii="Times New Roman" w:cs="Times New Roman" w:eastAsia="Times New Roman" w:hAnsi="Times New Roman"/>
          <w:sz w:val="18"/>
          <w:szCs w:val="18"/>
          <w:color w:val="auto"/>
        </w:rPr>
        <w:t>For the three months ended May 2, 2021, net cash used in investing activities was $2.0 million and was primarily driven by capital expenditures of $2.0 million for new investments in information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62" w:lineRule="exact"/>
        <w:rPr>
          <w:sz w:val="20"/>
          <w:szCs w:val="20"/>
          <w:color w:val="auto"/>
        </w:rPr>
      </w:pPr>
    </w:p>
    <w:p>
      <w:pPr>
        <w:ind w:right="720"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08" w:lineRule="exact"/>
        <w:rPr>
          <w:sz w:val="20"/>
          <w:szCs w:val="20"/>
          <w:color w:val="auto"/>
        </w:rPr>
      </w:pPr>
    </w:p>
    <w:p>
      <w:pPr>
        <w:ind w:right="300" w:firstLine="428"/>
        <w:spacing w:after="0" w:line="238" w:lineRule="auto"/>
        <w:rPr>
          <w:sz w:val="20"/>
          <w:szCs w:val="20"/>
          <w:color w:val="auto"/>
        </w:rPr>
      </w:pPr>
      <w:r>
        <w:rPr>
          <w:rFonts w:ascii="Times New Roman" w:cs="Times New Roman" w:eastAsia="Times New Roman" w:hAnsi="Times New Roman"/>
          <w:sz w:val="18"/>
          <w:szCs w:val="18"/>
          <w:color w:val="auto"/>
        </w:rPr>
        <w:t>For the three months ended May 1, 2022, net cash used in financing activities was $1.1 million, primarily consisting of payments on finance lease obligations.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28"/>
        <w:spacing w:after="0" w:line="250" w:lineRule="auto"/>
        <w:rPr>
          <w:sz w:val="20"/>
          <w:szCs w:val="20"/>
          <w:color w:val="auto"/>
        </w:rPr>
      </w:pPr>
      <w:r>
        <w:rPr>
          <w:rFonts w:ascii="Times New Roman" w:cs="Times New Roman" w:eastAsia="Times New Roman" w:hAnsi="Times New Roman"/>
          <w:sz w:val="18"/>
          <w:szCs w:val="18"/>
          <w:color w:val="auto"/>
        </w:rPr>
        <w:t>For the three months ended May 2, 2021, net cash used in financing activities was $31.6 million, primarily consisting of payments of $30.6 million on 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3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2021 Form 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2021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firstLine="428"/>
        <w:spacing w:after="0" w:line="23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220" w:firstLine="42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160" w:firstLine="428"/>
        <w:spacing w:after="0"/>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440"/>
        <w:spacing w:after="0"/>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2021 Form 10-K, or other SEC filings. There have been no material changes to our risk factors as previously disclosed in our fiscal 2021 Annual Report on Form 10-K.</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May 1, 2022, which were not registered under the Securities Act.</w:t>
      </w:r>
    </w:p>
    <w:p>
      <w:pPr>
        <w:spacing w:after="0" w:line="171" w:lineRule="exact"/>
        <w:rPr>
          <w:sz w:val="20"/>
          <w:szCs w:val="20"/>
          <w:color w:val="auto"/>
        </w:rPr>
      </w:pPr>
    </w:p>
    <w:p>
      <w:pPr>
        <w:ind w:right="60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May 1, 2022.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2022 - February 27, 2022</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2022 - April 3,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4, 2022 - May 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94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5"/>
                <w:szCs w:val="15"/>
                <w:color w:val="auto"/>
              </w:rPr>
            </w:pPr>
          </w:p>
        </w:tc>
        <w:tc>
          <w:tcPr>
            <w:tcW w:w="9880" w:type="dxa"/>
            <w:vAlign w:val="bottom"/>
            <w:tcBorders>
              <w:bottom w:val="single" w:sz="8" w:color="0000FF"/>
            </w:tcBorders>
            <w:gridSpan w:val="9"/>
          </w:tcPr>
          <w:p>
            <w:pPr>
              <w:spacing w:after="0" w:line="161"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Duluth Holdings Inc. Executive Change in Control Severance Plan incorporated by reference to Exhibit 10.1 of the Company’s Current Report on Form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3"/>
                <w:szCs w:val="13"/>
                <w:color w:val="auto"/>
              </w:rPr>
            </w:pPr>
          </w:p>
        </w:tc>
        <w:tc>
          <w:tcPr>
            <w:tcW w:w="1680" w:type="dxa"/>
            <w:vAlign w:val="bottom"/>
            <w:tcBorders>
              <w:bottom w:val="single" w:sz="8" w:color="0000FF"/>
            </w:tcBorders>
            <w:gridSpan w:val="3"/>
          </w:tcPr>
          <w:p>
            <w:pPr>
              <w:spacing w:after="0" w:line="15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8-K dated April 14, 2022.</w:t>
              </w:r>
            </w:hyperlink>
          </w:p>
        </w:tc>
        <w:tc>
          <w:tcPr>
            <w:tcW w:w="20" w:type="dxa"/>
            <w:vAlign w:val="bottom"/>
            <w:tcBorders>
              <w:bottom w:val="single" w:sz="8" w:color="0000EE"/>
            </w:tcBorders>
          </w:tcPr>
          <w:p>
            <w:pPr>
              <w:spacing w:after="0"/>
              <w:rPr>
                <w:sz w:val="13"/>
                <w:szCs w:val="13"/>
                <w:color w:val="auto"/>
              </w:rPr>
            </w:pPr>
          </w:p>
        </w:tc>
        <w:tc>
          <w:tcPr>
            <w:tcW w:w="8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880" w:type="dxa"/>
            <w:vAlign w:val="bottom"/>
            <w:tcBorders>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Duluth Holdings Inc. Executive General Severance Plan Incorporated by reference to Exhibit 10.2 of the Company’s Current Report on Form 8-K dated</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80" w:type="dxa"/>
            <w:vAlign w:val="bottom"/>
            <w:gridSpan w:val="9"/>
          </w:tcPr>
          <w:p>
            <w:pPr>
              <w:spacing w:after="0" w:line="155"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April 14,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14"/>
                <w:szCs w:val="14"/>
                <w:color w:val="auto"/>
              </w:rPr>
            </w:pPr>
          </w:p>
        </w:tc>
        <w:tc>
          <w:tcPr>
            <w:tcW w:w="98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rPr>
              <w:t>Summary of</w:t>
            </w:r>
          </w:p>
        </w:tc>
        <w:tc>
          <w:tcPr>
            <w:tcW w:w="20" w:type="dxa"/>
            <w:vAlign w:val="bottom"/>
            <w:tcBorders>
              <w:top w:val="single" w:sz="8" w:color="0000EE"/>
            </w:tcBorders>
          </w:tcPr>
          <w:p>
            <w:pPr>
              <w:spacing w:after="0"/>
              <w:rPr>
                <w:sz w:val="14"/>
                <w:szCs w:val="14"/>
                <w:color w:val="auto"/>
              </w:rPr>
            </w:pPr>
          </w:p>
        </w:tc>
        <w:tc>
          <w:tcPr>
            <w:tcW w:w="888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Outside Director Compensation.</w:t>
            </w:r>
            <w:r>
              <w:rPr>
                <w:rFonts w:ascii="Times New Roman" w:cs="Times New Roman" w:eastAsia="Times New Roman" w:hAnsi="Times New Roman"/>
                <w:sz w:val="18"/>
                <w:szCs w:val="18"/>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88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880" w:type="dxa"/>
            <w:vAlign w:val="bottom"/>
            <w:tcBorders>
              <w:top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6"/>
                <w:szCs w:val="16"/>
                <w:color w:val="0000FF"/>
              </w:rPr>
              <w:t>amended.</w:t>
            </w:r>
            <w:r>
              <w:rPr>
                <w:rFonts w:ascii="Times New Roman" w:cs="Times New Roman" w:eastAsia="Times New Roman" w:hAnsi="Times New Roman"/>
                <w:sz w:val="16"/>
                <w:szCs w:val="16"/>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3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80" w:type="dxa"/>
            <w:vAlign w:val="bottom"/>
            <w:gridSpan w:val="9"/>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8"/>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80" w:type="dxa"/>
            <w:vAlign w:val="bottom"/>
            <w:gridSpan w:val="9"/>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8"/>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80" w:right="360" w:hanging="1272"/>
        <w:spacing w:after="0" w:line="243"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May 1, 2022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600"/>
          </w:cols>
          <w:pgMar w:left="320" w:top="283" w:right="3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2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600"/>
          </w:cols>
          <w:pgMar w:left="320" w:top="28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3, 2022</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David Loretta</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and Chief Accounting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283" w:right="879" w:bottom="1440" w:gutter="0" w:footer="0" w:header="0"/>
        </w:sectPr>
      </w:pPr>
    </w:p>
    <w:bookmarkStart w:id="30" w:name="page31"/>
    <w:bookmarkEnd w:id="30"/>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03"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Summary of Outside Director Compensaton Program</w:t>
      </w:r>
    </w:p>
    <w:p>
      <w:pPr>
        <w:spacing w:after="0" w:line="200" w:lineRule="exact"/>
        <w:rPr>
          <w:sz w:val="20"/>
          <w:szCs w:val="20"/>
          <w:color w:val="auto"/>
        </w:rPr>
      </w:pPr>
    </w:p>
    <w:p>
      <w:pPr>
        <w:spacing w:after="0" w:line="236" w:lineRule="exact"/>
        <w:rPr>
          <w:sz w:val="20"/>
          <w:szCs w:val="20"/>
          <w:color w:val="auto"/>
        </w:rPr>
      </w:pPr>
    </w:p>
    <w:tbl>
      <w:tblPr>
        <w:tblLayout w:type="fixed"/>
        <w:tblInd w:w="180" w:type="dxa"/>
        <w:tblCellMar>
          <w:top w:w="0" w:type="dxa"/>
          <w:left w:w="0" w:type="dxa"/>
          <w:bottom w:w="0" w:type="dxa"/>
          <w:right w:w="0" w:type="dxa"/>
        </w:tblCellMar>
      </w:tblPr>
      <w:tr>
        <w:trPr>
          <w:trHeight w:val="244"/>
        </w:trPr>
        <w:tc>
          <w:tcPr>
            <w:tcW w:w="144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w w:val="99"/>
              </w:rPr>
              <w:t>Annual Retainers</w:t>
            </w:r>
          </w:p>
        </w:tc>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361"/>
        </w:trPr>
        <w:tc>
          <w:tcPr>
            <w:tcW w:w="4040" w:type="dxa"/>
            <w:vAlign w:val="bottom"/>
            <w:gridSpan w:val="2"/>
          </w:tcPr>
          <w:p>
            <w:pPr>
              <w:ind w:left="120"/>
              <w:spacing w:after="0"/>
              <w:rPr>
                <w:sz w:val="20"/>
                <w:szCs w:val="20"/>
                <w:color w:val="auto"/>
              </w:rPr>
            </w:pPr>
            <w:r>
              <w:rPr>
                <w:rFonts w:ascii="Calibri" w:cs="Calibri" w:eastAsia="Calibri" w:hAnsi="Calibri"/>
                <w:sz w:val="20"/>
                <w:szCs w:val="20"/>
                <w:color w:val="auto"/>
              </w:rPr>
              <w:t>Director</w:t>
            </w:r>
          </w:p>
        </w:tc>
        <w:tc>
          <w:tcPr>
            <w:tcW w:w="1400" w:type="dxa"/>
            <w:vAlign w:val="bottom"/>
          </w:tcPr>
          <w:p>
            <w:pPr>
              <w:ind w:left="180"/>
              <w:spacing w:after="0"/>
              <w:rPr>
                <w:sz w:val="20"/>
                <w:szCs w:val="20"/>
                <w:color w:val="auto"/>
              </w:rPr>
            </w:pPr>
            <w:r>
              <w:rPr>
                <w:rFonts w:ascii="Calibri" w:cs="Calibri" w:eastAsia="Calibri" w:hAnsi="Calibri"/>
                <w:sz w:val="20"/>
                <w:szCs w:val="20"/>
                <w:color w:val="auto"/>
              </w:rPr>
              <w:t>$50,000</w:t>
            </w:r>
          </w:p>
        </w:tc>
        <w:tc>
          <w:tcPr>
            <w:tcW w:w="2880" w:type="dxa"/>
            <w:vAlign w:val="bottom"/>
          </w:tcPr>
          <w:p>
            <w:pPr>
              <w:ind w:left="440"/>
              <w:spacing w:after="0"/>
              <w:rPr>
                <w:sz w:val="20"/>
                <w:szCs w:val="20"/>
                <w:color w:val="auto"/>
              </w:rPr>
            </w:pPr>
            <w:r>
              <w:rPr>
                <w:rFonts w:ascii="Calibri" w:cs="Calibri" w:eastAsia="Calibri" w:hAnsi="Calibri"/>
                <w:sz w:val="20"/>
                <w:szCs w:val="20"/>
                <w:color w:val="auto"/>
              </w:rPr>
              <w:t>Paid quarterly at beginning of</w:t>
            </w:r>
          </w:p>
        </w:tc>
      </w:tr>
      <w:tr>
        <w:trPr>
          <w:trHeight w:val="203"/>
        </w:trPr>
        <w:tc>
          <w:tcPr>
            <w:tcW w:w="1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80" w:type="dxa"/>
            <w:vAlign w:val="bottom"/>
          </w:tcPr>
          <w:p>
            <w:pPr>
              <w:ind w:left="440"/>
              <w:spacing w:after="0" w:line="203" w:lineRule="exact"/>
              <w:rPr>
                <w:sz w:val="20"/>
                <w:szCs w:val="20"/>
                <w:color w:val="auto"/>
              </w:rPr>
            </w:pPr>
            <w:r>
              <w:rPr>
                <w:rFonts w:ascii="Calibri" w:cs="Calibri" w:eastAsia="Calibri" w:hAnsi="Calibri"/>
                <w:sz w:val="20"/>
                <w:szCs w:val="20"/>
                <w:color w:val="auto"/>
              </w:rPr>
              <w:t>quarter</w:t>
            </w:r>
          </w:p>
        </w:tc>
      </w:tr>
      <w:tr>
        <w:trPr>
          <w:trHeight w:val="234"/>
        </w:trPr>
        <w:tc>
          <w:tcPr>
            <w:tcW w:w="404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Chair of Audit Commitee</w:t>
            </w:r>
          </w:p>
        </w:tc>
        <w:tc>
          <w:tcPr>
            <w:tcW w:w="1400" w:type="dxa"/>
            <w:vAlign w:val="bottom"/>
          </w:tcPr>
          <w:p>
            <w:pPr>
              <w:ind w:left="180"/>
              <w:spacing w:after="0" w:line="234" w:lineRule="exact"/>
              <w:rPr>
                <w:sz w:val="20"/>
                <w:szCs w:val="20"/>
                <w:color w:val="auto"/>
              </w:rPr>
            </w:pPr>
            <w:r>
              <w:rPr>
                <w:rFonts w:ascii="Calibri" w:cs="Calibri" w:eastAsia="Calibri" w:hAnsi="Calibri"/>
                <w:sz w:val="20"/>
                <w:szCs w:val="20"/>
                <w:color w:val="auto"/>
              </w:rPr>
              <w:t>+$20,000</w:t>
            </w:r>
          </w:p>
        </w:tc>
        <w:tc>
          <w:tcPr>
            <w:tcW w:w="2880" w:type="dxa"/>
            <w:vAlign w:val="bottom"/>
          </w:tcPr>
          <w:p>
            <w:pPr>
              <w:ind w:left="440"/>
              <w:spacing w:after="0" w:line="234" w:lineRule="exact"/>
              <w:rPr>
                <w:sz w:val="20"/>
                <w:szCs w:val="20"/>
                <w:color w:val="auto"/>
              </w:rPr>
            </w:pPr>
            <w:r>
              <w:rPr>
                <w:rFonts w:ascii="Calibri" w:cs="Calibri" w:eastAsia="Calibri" w:hAnsi="Calibri"/>
                <w:sz w:val="20"/>
                <w:szCs w:val="20"/>
                <w:color w:val="auto"/>
              </w:rPr>
              <w:t>Paid quarterly</w:t>
            </w:r>
          </w:p>
        </w:tc>
      </w:tr>
      <w:tr>
        <w:trPr>
          <w:trHeight w:val="310"/>
        </w:trPr>
        <w:tc>
          <w:tcPr>
            <w:tcW w:w="4040" w:type="dxa"/>
            <w:vAlign w:val="bottom"/>
            <w:gridSpan w:val="2"/>
          </w:tcPr>
          <w:p>
            <w:pPr>
              <w:ind w:left="120"/>
              <w:spacing w:after="0"/>
              <w:rPr>
                <w:sz w:val="20"/>
                <w:szCs w:val="20"/>
                <w:color w:val="auto"/>
              </w:rPr>
            </w:pPr>
            <w:r>
              <w:rPr>
                <w:rFonts w:ascii="Calibri" w:cs="Calibri" w:eastAsia="Calibri" w:hAnsi="Calibri"/>
                <w:sz w:val="20"/>
                <w:szCs w:val="20"/>
                <w:color w:val="auto"/>
              </w:rPr>
              <w:t>Chair of Compensaton Commitee</w:t>
            </w:r>
          </w:p>
        </w:tc>
        <w:tc>
          <w:tcPr>
            <w:tcW w:w="1400" w:type="dxa"/>
            <w:vAlign w:val="bottom"/>
          </w:tcPr>
          <w:p>
            <w:pPr>
              <w:ind w:left="180"/>
              <w:spacing w:after="0"/>
              <w:rPr>
                <w:sz w:val="20"/>
                <w:szCs w:val="20"/>
                <w:color w:val="auto"/>
              </w:rPr>
            </w:pPr>
            <w:r>
              <w:rPr>
                <w:rFonts w:ascii="Calibri" w:cs="Calibri" w:eastAsia="Calibri" w:hAnsi="Calibri"/>
                <w:sz w:val="20"/>
                <w:szCs w:val="20"/>
                <w:color w:val="auto"/>
              </w:rPr>
              <w:t>+$15,000</w:t>
            </w:r>
          </w:p>
        </w:tc>
        <w:tc>
          <w:tcPr>
            <w:tcW w:w="2880" w:type="dxa"/>
            <w:vAlign w:val="bottom"/>
          </w:tcPr>
          <w:p>
            <w:pPr>
              <w:ind w:left="440"/>
              <w:spacing w:after="0"/>
              <w:rPr>
                <w:sz w:val="20"/>
                <w:szCs w:val="20"/>
                <w:color w:val="auto"/>
              </w:rPr>
            </w:pPr>
            <w:r>
              <w:rPr>
                <w:rFonts w:ascii="Calibri" w:cs="Calibri" w:eastAsia="Calibri" w:hAnsi="Calibri"/>
                <w:sz w:val="20"/>
                <w:szCs w:val="20"/>
                <w:color w:val="auto"/>
              </w:rPr>
              <w:t>Paid quarterly</w:t>
            </w:r>
          </w:p>
        </w:tc>
      </w:tr>
      <w:tr>
        <w:trPr>
          <w:trHeight w:val="306"/>
        </w:trPr>
        <w:tc>
          <w:tcPr>
            <w:tcW w:w="4040" w:type="dxa"/>
            <w:vAlign w:val="bottom"/>
            <w:gridSpan w:val="2"/>
          </w:tcPr>
          <w:p>
            <w:pPr>
              <w:ind w:left="120"/>
              <w:spacing w:after="0"/>
              <w:rPr>
                <w:sz w:val="20"/>
                <w:szCs w:val="20"/>
                <w:color w:val="auto"/>
              </w:rPr>
            </w:pPr>
            <w:r>
              <w:rPr>
                <w:rFonts w:ascii="Calibri" w:cs="Calibri" w:eastAsia="Calibri" w:hAnsi="Calibri"/>
                <w:sz w:val="20"/>
                <w:szCs w:val="20"/>
                <w:color w:val="auto"/>
              </w:rPr>
              <w:t>Chair of Nominatng and Governance</w:t>
            </w:r>
          </w:p>
        </w:tc>
        <w:tc>
          <w:tcPr>
            <w:tcW w:w="1400" w:type="dxa"/>
            <w:vAlign w:val="bottom"/>
          </w:tcPr>
          <w:p>
            <w:pPr>
              <w:ind w:left="180"/>
              <w:spacing w:after="0"/>
              <w:rPr>
                <w:sz w:val="20"/>
                <w:szCs w:val="20"/>
                <w:color w:val="auto"/>
              </w:rPr>
            </w:pPr>
            <w:r>
              <w:rPr>
                <w:rFonts w:ascii="Calibri" w:cs="Calibri" w:eastAsia="Calibri" w:hAnsi="Calibri"/>
                <w:sz w:val="20"/>
                <w:szCs w:val="20"/>
                <w:color w:val="auto"/>
              </w:rPr>
              <w:t>+$12,000</w:t>
            </w:r>
          </w:p>
        </w:tc>
        <w:tc>
          <w:tcPr>
            <w:tcW w:w="2880" w:type="dxa"/>
            <w:vAlign w:val="bottom"/>
          </w:tcPr>
          <w:p>
            <w:pPr>
              <w:ind w:left="440"/>
              <w:spacing w:after="0"/>
              <w:rPr>
                <w:sz w:val="20"/>
                <w:szCs w:val="20"/>
                <w:color w:val="auto"/>
              </w:rPr>
            </w:pPr>
            <w:r>
              <w:rPr>
                <w:rFonts w:ascii="Calibri" w:cs="Calibri" w:eastAsia="Calibri" w:hAnsi="Calibri"/>
                <w:sz w:val="20"/>
                <w:szCs w:val="20"/>
                <w:color w:val="auto"/>
              </w:rPr>
              <w:t>Paid quarterly</w:t>
            </w:r>
          </w:p>
        </w:tc>
      </w:tr>
      <w:tr>
        <w:trPr>
          <w:trHeight w:val="203"/>
        </w:trPr>
        <w:tc>
          <w:tcPr>
            <w:tcW w:w="4040" w:type="dxa"/>
            <w:vAlign w:val="bottom"/>
            <w:gridSpan w:val="2"/>
          </w:tcPr>
          <w:p>
            <w:pPr>
              <w:ind w:left="120"/>
              <w:spacing w:after="0" w:line="203" w:lineRule="exact"/>
              <w:rPr>
                <w:sz w:val="20"/>
                <w:szCs w:val="20"/>
                <w:color w:val="auto"/>
              </w:rPr>
            </w:pPr>
            <w:r>
              <w:rPr>
                <w:rFonts w:ascii="Calibri" w:cs="Calibri" w:eastAsia="Calibri" w:hAnsi="Calibri"/>
                <w:sz w:val="20"/>
                <w:szCs w:val="20"/>
                <w:color w:val="auto"/>
              </w:rPr>
              <w:t>Commitee</w:t>
            </w:r>
          </w:p>
        </w:tc>
        <w:tc>
          <w:tcPr>
            <w:tcW w:w="14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34"/>
        </w:trPr>
        <w:tc>
          <w:tcPr>
            <w:tcW w:w="404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Non-chair Audit Commitee member</w:t>
            </w:r>
          </w:p>
        </w:tc>
        <w:tc>
          <w:tcPr>
            <w:tcW w:w="1400" w:type="dxa"/>
            <w:vAlign w:val="bottom"/>
          </w:tcPr>
          <w:p>
            <w:pPr>
              <w:ind w:left="180"/>
              <w:spacing w:after="0" w:line="234" w:lineRule="exact"/>
              <w:rPr>
                <w:sz w:val="20"/>
                <w:szCs w:val="20"/>
                <w:color w:val="auto"/>
              </w:rPr>
            </w:pPr>
            <w:r>
              <w:rPr>
                <w:rFonts w:ascii="Calibri" w:cs="Calibri" w:eastAsia="Calibri" w:hAnsi="Calibri"/>
                <w:sz w:val="20"/>
                <w:szCs w:val="20"/>
                <w:color w:val="auto"/>
              </w:rPr>
              <w:t>+$10,000</w:t>
            </w:r>
          </w:p>
        </w:tc>
        <w:tc>
          <w:tcPr>
            <w:tcW w:w="2880" w:type="dxa"/>
            <w:vAlign w:val="bottom"/>
          </w:tcPr>
          <w:p>
            <w:pPr>
              <w:ind w:left="440"/>
              <w:spacing w:after="0" w:line="234" w:lineRule="exact"/>
              <w:rPr>
                <w:sz w:val="20"/>
                <w:szCs w:val="20"/>
                <w:color w:val="auto"/>
              </w:rPr>
            </w:pPr>
            <w:r>
              <w:rPr>
                <w:rFonts w:ascii="Calibri" w:cs="Calibri" w:eastAsia="Calibri" w:hAnsi="Calibri"/>
                <w:sz w:val="20"/>
                <w:szCs w:val="20"/>
                <w:color w:val="auto"/>
              </w:rPr>
              <w:t>Paid quarterly</w:t>
            </w:r>
          </w:p>
        </w:tc>
      </w:tr>
      <w:tr>
        <w:trPr>
          <w:trHeight w:val="324"/>
        </w:trPr>
        <w:tc>
          <w:tcPr>
            <w:tcW w:w="4040" w:type="dxa"/>
            <w:vAlign w:val="bottom"/>
            <w:gridSpan w:val="2"/>
          </w:tcPr>
          <w:p>
            <w:pPr>
              <w:ind w:left="120"/>
              <w:spacing w:after="0"/>
              <w:rPr>
                <w:sz w:val="20"/>
                <w:szCs w:val="20"/>
                <w:color w:val="auto"/>
              </w:rPr>
            </w:pPr>
            <w:r>
              <w:rPr>
                <w:rFonts w:ascii="Calibri" w:cs="Calibri" w:eastAsia="Calibri" w:hAnsi="Calibri"/>
                <w:sz w:val="20"/>
                <w:szCs w:val="20"/>
                <w:color w:val="auto"/>
              </w:rPr>
              <w:t>Non-chair Compensaton Commitee member</w:t>
            </w:r>
          </w:p>
        </w:tc>
        <w:tc>
          <w:tcPr>
            <w:tcW w:w="1400" w:type="dxa"/>
            <w:vAlign w:val="bottom"/>
          </w:tcPr>
          <w:p>
            <w:pPr>
              <w:ind w:left="180"/>
              <w:spacing w:after="0"/>
              <w:rPr>
                <w:sz w:val="20"/>
                <w:szCs w:val="20"/>
                <w:color w:val="auto"/>
              </w:rPr>
            </w:pPr>
            <w:r>
              <w:rPr>
                <w:rFonts w:ascii="Calibri" w:cs="Calibri" w:eastAsia="Calibri" w:hAnsi="Calibri"/>
                <w:sz w:val="20"/>
                <w:szCs w:val="20"/>
                <w:color w:val="auto"/>
              </w:rPr>
              <w:t>+$7,000</w:t>
            </w:r>
          </w:p>
        </w:tc>
        <w:tc>
          <w:tcPr>
            <w:tcW w:w="2880" w:type="dxa"/>
            <w:vAlign w:val="bottom"/>
          </w:tcPr>
          <w:p>
            <w:pPr>
              <w:ind w:left="440"/>
              <w:spacing w:after="0"/>
              <w:rPr>
                <w:sz w:val="20"/>
                <w:szCs w:val="20"/>
                <w:color w:val="auto"/>
              </w:rPr>
            </w:pPr>
            <w:r>
              <w:rPr>
                <w:rFonts w:ascii="Calibri" w:cs="Calibri" w:eastAsia="Calibri" w:hAnsi="Calibri"/>
                <w:sz w:val="20"/>
                <w:szCs w:val="20"/>
                <w:color w:val="auto"/>
              </w:rPr>
              <w:t>Paid quarterly</w:t>
            </w:r>
          </w:p>
        </w:tc>
      </w:tr>
      <w:tr>
        <w:trPr>
          <w:trHeight w:val="306"/>
        </w:trPr>
        <w:tc>
          <w:tcPr>
            <w:tcW w:w="4040" w:type="dxa"/>
            <w:vAlign w:val="bottom"/>
            <w:gridSpan w:val="2"/>
          </w:tcPr>
          <w:p>
            <w:pPr>
              <w:ind w:left="120"/>
              <w:spacing w:after="0"/>
              <w:rPr>
                <w:sz w:val="20"/>
                <w:szCs w:val="20"/>
                <w:color w:val="auto"/>
              </w:rPr>
            </w:pPr>
            <w:r>
              <w:rPr>
                <w:rFonts w:ascii="Calibri" w:cs="Calibri" w:eastAsia="Calibri" w:hAnsi="Calibri"/>
                <w:sz w:val="20"/>
                <w:szCs w:val="20"/>
                <w:color w:val="auto"/>
              </w:rPr>
              <w:t>Non-chair Nominatng and Governance</w:t>
            </w:r>
          </w:p>
        </w:tc>
        <w:tc>
          <w:tcPr>
            <w:tcW w:w="1400" w:type="dxa"/>
            <w:vAlign w:val="bottom"/>
          </w:tcPr>
          <w:p>
            <w:pPr>
              <w:ind w:left="180"/>
              <w:spacing w:after="0"/>
              <w:rPr>
                <w:sz w:val="20"/>
                <w:szCs w:val="20"/>
                <w:color w:val="auto"/>
              </w:rPr>
            </w:pPr>
            <w:r>
              <w:rPr>
                <w:rFonts w:ascii="Calibri" w:cs="Calibri" w:eastAsia="Calibri" w:hAnsi="Calibri"/>
                <w:sz w:val="20"/>
                <w:szCs w:val="20"/>
                <w:color w:val="auto"/>
              </w:rPr>
              <w:t>+$7,000</w:t>
            </w:r>
          </w:p>
        </w:tc>
        <w:tc>
          <w:tcPr>
            <w:tcW w:w="2880" w:type="dxa"/>
            <w:vAlign w:val="bottom"/>
          </w:tcPr>
          <w:p>
            <w:pPr>
              <w:ind w:left="440"/>
              <w:spacing w:after="0"/>
              <w:rPr>
                <w:sz w:val="20"/>
                <w:szCs w:val="20"/>
                <w:color w:val="auto"/>
              </w:rPr>
            </w:pPr>
            <w:r>
              <w:rPr>
                <w:rFonts w:ascii="Calibri" w:cs="Calibri" w:eastAsia="Calibri" w:hAnsi="Calibri"/>
                <w:sz w:val="20"/>
                <w:szCs w:val="20"/>
                <w:color w:val="auto"/>
              </w:rPr>
              <w:t>Paid quarterly</w:t>
            </w:r>
          </w:p>
        </w:tc>
      </w:tr>
      <w:tr>
        <w:trPr>
          <w:trHeight w:val="234"/>
        </w:trPr>
        <w:tc>
          <w:tcPr>
            <w:tcW w:w="404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Commitee member</w:t>
            </w:r>
          </w:p>
        </w:tc>
        <w:tc>
          <w:tcPr>
            <w:tcW w:w="1400" w:type="dxa"/>
            <w:vAlign w:val="bottom"/>
          </w:tcPr>
          <w:p>
            <w:pPr>
              <w:spacing w:after="0"/>
              <w:rPr>
                <w:sz w:val="20"/>
                <w:szCs w:val="20"/>
                <w:color w:val="auto"/>
              </w:rPr>
            </w:pPr>
          </w:p>
        </w:tc>
        <w:tc>
          <w:tcPr>
            <w:tcW w:w="2880" w:type="dxa"/>
            <w:vAlign w:val="bottom"/>
          </w:tcPr>
          <w:p>
            <w:pPr>
              <w:spacing w:after="0"/>
              <w:rPr>
                <w:sz w:val="20"/>
                <w:szCs w:val="20"/>
                <w:color w:val="auto"/>
              </w:rPr>
            </w:pPr>
          </w:p>
        </w:tc>
      </w:tr>
    </w:tbl>
    <w:p>
      <w:pPr>
        <w:spacing w:after="0" w:line="309" w:lineRule="exact"/>
        <w:rPr>
          <w:sz w:val="20"/>
          <w:szCs w:val="20"/>
          <w:color w:val="auto"/>
        </w:rPr>
      </w:pPr>
    </w:p>
    <w:p>
      <w:pPr>
        <w:ind w:left="180"/>
        <w:spacing w:after="0"/>
        <w:rPr>
          <w:sz w:val="20"/>
          <w:szCs w:val="20"/>
          <w:color w:val="auto"/>
        </w:rPr>
      </w:pPr>
      <w:r>
        <w:rPr>
          <w:rFonts w:ascii="Calibri" w:cs="Calibri" w:eastAsia="Calibri" w:hAnsi="Calibri"/>
          <w:sz w:val="20"/>
          <w:szCs w:val="20"/>
          <w:color w:val="auto"/>
        </w:rPr>
        <w:t>Note: All travel expenses paid based on voucher.</w:t>
      </w:r>
    </w:p>
    <w:p>
      <w:pPr>
        <w:spacing w:after="0" w:line="144" w:lineRule="exact"/>
        <w:rPr>
          <w:sz w:val="20"/>
          <w:szCs w:val="20"/>
          <w:color w:val="auto"/>
        </w:rPr>
      </w:pPr>
    </w:p>
    <w:p>
      <w:pPr>
        <w:ind w:left="3040" w:right="1139" w:hanging="2740"/>
        <w:spacing w:after="0" w:line="214" w:lineRule="auto"/>
        <w:tabs>
          <w:tab w:leader="none" w:pos="3020" w:val="left"/>
        </w:tabs>
        <w:rPr>
          <w:sz w:val="20"/>
          <w:szCs w:val="20"/>
          <w:color w:val="auto"/>
        </w:rPr>
      </w:pPr>
      <w:r>
        <w:rPr>
          <w:rFonts w:ascii="Calibri" w:cs="Calibri" w:eastAsia="Calibri" w:hAnsi="Calibri"/>
          <w:sz w:val="20"/>
          <w:szCs w:val="20"/>
          <w:b w:val="1"/>
          <w:bCs w:val="1"/>
          <w:u w:val="single" w:color="auto"/>
          <w:color w:val="auto"/>
        </w:rPr>
        <w:t>STOCK COMPENSATION:</w:t>
      </w:r>
      <w:r>
        <w:rPr>
          <w:sz w:val="20"/>
          <w:szCs w:val="20"/>
          <w:color w:val="auto"/>
        </w:rPr>
        <w:tab/>
      </w:r>
      <w:r>
        <w:rPr>
          <w:rFonts w:ascii="Calibri" w:cs="Calibri" w:eastAsia="Calibri" w:hAnsi="Calibri"/>
          <w:sz w:val="20"/>
          <w:szCs w:val="20"/>
          <w:color w:val="auto"/>
        </w:rPr>
        <w:t>$80,000/year; each grant subject to one year vestng; stock compensaton granted in May of year.</w:t>
      </w:r>
    </w:p>
    <w:p>
      <w:pPr>
        <w:spacing w:after="0" w:line="334" w:lineRule="exact"/>
        <w:rPr>
          <w:sz w:val="20"/>
          <w:szCs w:val="20"/>
          <w:color w:val="auto"/>
        </w:rPr>
      </w:pPr>
    </w:p>
    <w:p>
      <w:pPr>
        <w:ind w:left="180" w:right="539"/>
        <w:spacing w:after="0" w:line="221" w:lineRule="auto"/>
        <w:rPr>
          <w:sz w:val="20"/>
          <w:szCs w:val="20"/>
          <w:color w:val="auto"/>
        </w:rPr>
      </w:pPr>
      <w:r>
        <w:rPr>
          <w:rFonts w:ascii="Calibri" w:cs="Calibri" w:eastAsia="Calibri" w:hAnsi="Calibri"/>
          <w:sz w:val="20"/>
          <w:szCs w:val="20"/>
          <w:color w:val="auto"/>
        </w:rPr>
        <w:t>Note: For subsequent new Board members who join Board mid-year, cash and stock compensaton is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360045</wp:posOffset>
            </wp:positionV>
            <wp:extent cx="55289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7379970</wp:posOffset>
            </wp:positionV>
            <wp:extent cx="60261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7242810</wp:posOffset>
            </wp:positionV>
            <wp:extent cx="602615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May 1, 2022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June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May 1, 2022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7260" w:firstLine="76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 David Loretta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David Loretta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Financial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June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2"/>
    </w:lvl>
  </w:abstractNum>
  <w:abstractNum w:abstractNumId="4">
    <w:nsid w:val="66EF438D"/>
    <w:multiLevelType w:val="hybridMultilevel"/>
    <w:lvl w:ilvl="0">
      <w:lvlJc w:val="left"/>
      <w:lvlText w:val="%1."/>
      <w:numFmt w:val="upperLetter"/>
      <w:start w:val="3"/>
    </w:lvl>
  </w:abstractNum>
  <w:abstractNum w:abstractNumId="5">
    <w:nsid w:val="140E0F76"/>
    <w:multiLevelType w:val="hybridMultilevel"/>
    <w:lvl w:ilvl="0">
      <w:lvlJc w:val="left"/>
      <w:lvlText w:val="%1."/>
      <w:numFmt w:val="upperLetter"/>
      <w:start w:val="5"/>
    </w:lvl>
  </w:abstractNum>
  <w:abstractNum w:abstractNumId="6">
    <w:nsid w:val="3352255A"/>
    <w:multiLevelType w:val="hybridMultilevel"/>
    <w:lvl w:ilvl="0">
      <w:lvlJc w:val="left"/>
      <w:lvlText w:val="%1."/>
      <w:numFmt w:val="upperLetter"/>
      <w:start w:val="9"/>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4"/>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 "/>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4" Type="http://schemas.openxmlformats.org/officeDocument/2006/relationships/hyperlink" Target="https://www.sec.gov/Archives/edgar/data/1649744/000089271222000097/exhibit101.htm" TargetMode="External"/><Relationship Id="rId45" Type="http://schemas.openxmlformats.org/officeDocument/2006/relationships/hyperlink" Target="https://www.sec.gov/Archives/edgar/data/1649744/000089271222000097/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2022-06-03T10:39:13Z</dcterms:created>
  <dcterms:modified xsi:type="dcterms:W3CDTF">2022-06-03T10:39:13Z</dcterms:modified>
</cp:coreProperties>
</file>