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27, 2024</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December 4, 2024,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December 4, 2024, was 31,812,954.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October 27,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40" w:type="dxa"/>
            <w:vAlign w:val="bottom"/>
            <w:gridSpan w:val="13"/>
          </w:tcPr>
          <w:p>
            <w:pPr>
              <w:jc w:val="center"/>
              <w:ind w:right="300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7"/>
          </w:tcPr>
          <w:p>
            <w:pPr>
              <w:spacing w:after="0"/>
              <w:rPr>
                <w:sz w:val="24"/>
                <w:szCs w:val="24"/>
                <w:color w:val="auto"/>
              </w:rPr>
            </w:pPr>
          </w:p>
        </w:tc>
        <w:tc>
          <w:tcPr>
            <w:tcW w:w="30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27, 2024 and January 28, 2024 (Unaudited)</w:t>
            </w:r>
          </w:p>
        </w:tc>
        <w:tc>
          <w:tcPr>
            <w:tcW w:w="106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27, 2024 and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4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October 29, 2023 (Unaudited)</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nine months ended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October 27, 2024 and October 29, 2023 (Unaudited)</w:t>
            </w:r>
          </w:p>
        </w:tc>
        <w:tc>
          <w:tcPr>
            <w:tcW w:w="3980" w:type="dxa"/>
            <w:vAlign w:val="bottom"/>
            <w:tcBorders>
              <w:top w:val="single" w:sz="8" w:color="0000FF"/>
            </w:tcBorders>
            <w:gridSpan w:val="8"/>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nine months ended October 27,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2024 (Unaudited)</w:t>
            </w:r>
          </w:p>
        </w:tc>
        <w:tc>
          <w:tcPr>
            <w:tcW w:w="6620" w:type="dxa"/>
            <w:vAlign w:val="bottom"/>
            <w:tcBorders>
              <w:top w:val="single" w:sz="8" w:color="0000FF"/>
            </w:tcBorders>
            <w:gridSpan w:val="17"/>
          </w:tcPr>
          <w:p>
            <w:pPr>
              <w:spacing w:after="0"/>
              <w:rPr>
                <w:sz w:val="14"/>
                <w:szCs w:val="14"/>
                <w:color w:val="auto"/>
              </w:rPr>
            </w:pPr>
          </w:p>
        </w:tc>
        <w:tc>
          <w:tcPr>
            <w:tcW w:w="28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nine months ended October 29,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2023 (Unaudited)</w:t>
            </w:r>
          </w:p>
        </w:tc>
        <w:tc>
          <w:tcPr>
            <w:tcW w:w="6620" w:type="dxa"/>
            <w:vAlign w:val="bottom"/>
            <w:tcBorders>
              <w:top w:val="single" w:sz="8" w:color="0000FF"/>
            </w:tcBorders>
            <w:gridSpan w:val="17"/>
          </w:tcPr>
          <w:p>
            <w:pPr>
              <w:spacing w:after="0"/>
              <w:rPr>
                <w:sz w:val="14"/>
                <w:szCs w:val="14"/>
                <w:color w:val="auto"/>
              </w:rPr>
            </w:pPr>
          </w:p>
        </w:tc>
        <w:tc>
          <w:tcPr>
            <w:tcW w:w="28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October 27, 2024 and October 29,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2023 (Unaudited)</w:t>
            </w:r>
          </w:p>
        </w:tc>
        <w:tc>
          <w:tcPr>
            <w:tcW w:w="6900" w:type="dxa"/>
            <w:vAlign w:val="bottom"/>
            <w:gridSpan w:val="19"/>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20" w:type="dxa"/>
            <w:vAlign w:val="bottom"/>
            <w:gridSpan w:val="9"/>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2"/>
          </w:tcPr>
          <w:p>
            <w:pPr>
              <w:jc w:val="center"/>
              <w:ind w:right="310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8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5"/>
          </w:tcPr>
          <w:p>
            <w:pPr>
              <w:spacing w:after="0"/>
              <w:rPr>
                <w:sz w:val="24"/>
                <w:szCs w:val="24"/>
                <w:color w:val="auto"/>
              </w:rPr>
            </w:pPr>
          </w:p>
        </w:tc>
        <w:tc>
          <w:tcPr>
            <w:tcW w:w="310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6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8"/>
          </w:tcPr>
          <w:p>
            <w:pPr>
              <w:spacing w:after="0"/>
              <w:rPr>
                <w:sz w:val="24"/>
                <w:szCs w:val="24"/>
                <w:color w:val="auto"/>
              </w:rPr>
            </w:pPr>
          </w:p>
        </w:tc>
        <w:tc>
          <w:tcPr>
            <w:tcW w:w="3840" w:type="dxa"/>
            <w:vAlign w:val="bottom"/>
            <w:gridSpan w:val="10"/>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580" w:type="dxa"/>
            <w:vAlign w:val="bottom"/>
            <w:gridSpan w:val="21"/>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2"/>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9"/>
                <w:szCs w:val="19"/>
                <w:color w:val="auto"/>
              </w:rPr>
            </w:pPr>
          </w:p>
        </w:tc>
      </w:tr>
      <w:tr>
        <w:trPr>
          <w:trHeight w:val="27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$1,558 and $1,361, respectively</w:t>
            </w:r>
          </w:p>
        </w:tc>
        <w:tc>
          <w:tcPr>
            <w:tcW w:w="1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231,430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180" w:type="dxa"/>
            <w:vAlign w:val="bottom"/>
          </w:tcPr>
          <w:p>
            <w:pPr>
              <w:spacing w:after="0"/>
              <w:rPr>
                <w:sz w:val="23"/>
                <w:szCs w:val="23"/>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80" w:type="dxa"/>
            <w:vAlign w:val="bottom"/>
            <w:shd w:val="clear" w:color="auto" w:fill="CCEEFF"/>
          </w:tcPr>
          <w:p>
            <w:pPr>
              <w:spacing w:after="0"/>
              <w:rPr>
                <w:sz w:val="19"/>
                <w:szCs w:val="19"/>
                <w:color w:val="auto"/>
              </w:rPr>
            </w:pPr>
          </w:p>
        </w:tc>
      </w:tr>
      <w:tr>
        <w:trPr>
          <w:trHeight w:val="20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264,290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180,974</w:t>
            </w:r>
          </w:p>
        </w:tc>
        <w:tc>
          <w:tcPr>
            <w:tcW w:w="180" w:type="dxa"/>
            <w:vAlign w:val="bottom"/>
          </w:tcPr>
          <w:p>
            <w:pPr>
              <w:spacing w:after="0"/>
              <w:rPr>
                <w:sz w:val="18"/>
                <w:szCs w:val="18"/>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132,718</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121,430</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40,315</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9"/>
                <w:szCs w:val="19"/>
                <w:color w:val="auto"/>
              </w:rPr>
            </w:pPr>
          </w:p>
        </w:tc>
      </w:tr>
      <w:tr>
        <w:trPr>
          <w:trHeight w:val="196"/>
        </w:trPr>
        <w:tc>
          <w:tcPr>
            <w:tcW w:w="59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533,099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51,122</w:t>
            </w:r>
          </w:p>
        </w:tc>
        <w:tc>
          <w:tcPr>
            <w:tcW w:w="180" w:type="dxa"/>
            <w:vAlign w:val="bottom"/>
            <w:shd w:val="clear" w:color="auto" w:fill="CCEEFF"/>
          </w:tcPr>
          <w:p>
            <w:pPr>
              <w:spacing w:after="0"/>
              <w:rPr>
                <w:sz w:val="19"/>
                <w:szCs w:val="19"/>
                <w:color w:val="auto"/>
              </w:rPr>
            </w:pPr>
          </w:p>
        </w:tc>
      </w:tr>
      <w:tr>
        <w:trPr>
          <w:trHeight w:val="230"/>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80" w:type="dxa"/>
            <w:vAlign w:val="bottom"/>
            <w:shd w:val="clear" w:color="auto" w:fill="CCEEFF"/>
          </w:tcPr>
          <w:p>
            <w:pPr>
              <w:spacing w:after="0"/>
              <w:rPr>
                <w:sz w:val="19"/>
                <w:szCs w:val="19"/>
                <w:color w:val="auto"/>
              </w:rPr>
            </w:pPr>
          </w:p>
        </w:tc>
      </w:tr>
      <w:tr>
        <w:trPr>
          <w:trHeight w:val="22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80" w:type="dxa"/>
            <w:vAlign w:val="bottom"/>
          </w:tcPr>
          <w:p>
            <w:pPr>
              <w:spacing w:after="0"/>
              <w:rPr>
                <w:sz w:val="19"/>
                <w:szCs w:val="19"/>
                <w:color w:val="auto"/>
              </w:rPr>
            </w:pPr>
          </w:p>
        </w:tc>
      </w:tr>
      <w:tr>
        <w:trPr>
          <w:trHeight w:val="23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Duluth line of credit</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Borders>
              <w:bottom w:val="single" w:sz="8" w:color="CCEEFF"/>
            </w:tcBorders>
          </w:tcPr>
          <w:p>
            <w:pPr>
              <w:spacing w:after="0"/>
              <w:rPr>
                <w:sz w:val="19"/>
                <w:szCs w:val="19"/>
                <w:color w:val="auto"/>
              </w:rPr>
            </w:pPr>
          </w:p>
        </w:tc>
      </w:tr>
      <w:tr>
        <w:trPr>
          <w:trHeight w:val="20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102,449</w:t>
            </w:r>
          </w:p>
        </w:tc>
        <w:tc>
          <w:tcPr>
            <w:tcW w:w="180" w:type="dxa"/>
            <w:vAlign w:val="bottom"/>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106,413</w:t>
            </w:r>
          </w:p>
        </w:tc>
        <w:tc>
          <w:tcPr>
            <w:tcW w:w="180" w:type="dxa"/>
            <w:vAlign w:val="bottom"/>
          </w:tcPr>
          <w:p>
            <w:pPr>
              <w:spacing w:after="0"/>
              <w:rPr>
                <w:sz w:val="19"/>
                <w:szCs w:val="19"/>
                <w:color w:val="auto"/>
              </w:rPr>
            </w:pPr>
          </w:p>
        </w:tc>
      </w:tr>
      <w:tr>
        <w:trPr>
          <w:trHeight w:val="22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180" w:type="dxa"/>
            <w:vAlign w:val="bottom"/>
            <w:shd w:val="clear" w:color="auto" w:fill="CCEEFF"/>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180" w:type="dxa"/>
            <w:vAlign w:val="bottom"/>
          </w:tcPr>
          <w:p>
            <w:pPr>
              <w:spacing w:after="0"/>
              <w:rPr>
                <w:sz w:val="19"/>
                <w:szCs w:val="19"/>
                <w:color w:val="auto"/>
              </w:rPr>
            </w:pPr>
          </w:p>
        </w:tc>
      </w:tr>
      <w:tr>
        <w:trPr>
          <w:trHeight w:val="27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347,994</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268,279</w:t>
            </w:r>
          </w:p>
        </w:tc>
        <w:tc>
          <w:tcPr>
            <w:tcW w:w="180" w:type="dxa"/>
            <w:vAlign w:val="bottom"/>
          </w:tcPr>
          <w:p>
            <w:pPr>
              <w:spacing w:after="0"/>
              <w:rPr>
                <w:sz w:val="18"/>
                <w:szCs w:val="18"/>
                <w:color w:val="auto"/>
              </w:rPr>
            </w:pPr>
          </w:p>
        </w:tc>
      </w:tr>
      <w:tr>
        <w:trPr>
          <w:trHeight w:val="22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52"/>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October 27, 2024 and January 28, 2024</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1"/>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October 27, 2024 and January 28, 2024</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67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32,072 shares issued and 31,807 shares outstanding as of October 27, 2024 and</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1"/>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31,178 shares issued and 31,023 shares outstanding as of January 28, 2024</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265 and 155 shares as of October 27, 2024 and</w:t>
            </w: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1"/>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28, 2024, respectively</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(2,331)</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(1,738)</w:t>
            </w: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180" w:type="dxa"/>
            <w:vAlign w:val="bottom"/>
          </w:tcPr>
          <w:p>
            <w:pPr>
              <w:spacing w:after="0"/>
              <w:rPr>
                <w:sz w:val="19"/>
                <w:szCs w:val="19"/>
                <w:color w:val="auto"/>
              </w:rPr>
            </w:pPr>
          </w:p>
        </w:tc>
      </w:tr>
      <w:tr>
        <w:trPr>
          <w:trHeight w:val="23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123,816</w:t>
            </w:r>
          </w:p>
        </w:tc>
        <w:tc>
          <w:tcPr>
            <w:tcW w:w="180" w:type="dxa"/>
            <w:vAlign w:val="bottom"/>
            <w:shd w:val="clear" w:color="auto" w:fill="CCEEFF"/>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67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188,127</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225,230</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(3,022)</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(3,056)</w:t>
            </w:r>
          </w:p>
        </w:tc>
      </w:tr>
      <w:tr>
        <w:trPr>
          <w:trHeight w:val="210"/>
        </w:trPr>
        <w:tc>
          <w:tcPr>
            <w:tcW w:w="67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185,105</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222,174</w:t>
            </w:r>
          </w:p>
        </w:tc>
        <w:tc>
          <w:tcPr>
            <w:tcW w:w="180" w:type="dxa"/>
            <w:vAlign w:val="bottom"/>
            <w:tcBorders>
              <w:top w:val="single" w:sz="8" w:color="CCEEFF"/>
            </w:tcBorders>
            <w:shd w:val="clear" w:color="auto" w:fill="CCEEFF"/>
          </w:tcPr>
          <w:p>
            <w:pPr>
              <w:spacing w:after="0"/>
              <w:rPr>
                <w:sz w:val="18"/>
                <w:szCs w:val="18"/>
                <w:color w:val="auto"/>
              </w:rPr>
            </w:pPr>
          </w:p>
        </w:tc>
      </w:tr>
      <w:tr>
        <w:trPr>
          <w:trHeight w:val="196"/>
        </w:trPr>
        <w:tc>
          <w:tcPr>
            <w:tcW w:w="67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8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533,099</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490,453</w:t>
            </w:r>
          </w:p>
        </w:tc>
        <w:tc>
          <w:tcPr>
            <w:tcW w:w="18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127,056</w:t>
            </w: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385,359</w:t>
            </w: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183,328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56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(28,539)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(10,466)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(40,156)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(16,339)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controlling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(28,524)</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(10,474)</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(40,122)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(16,363)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gain (loss) arising during the period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w:t>
            </w: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(10,732)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(40,121)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(16,768)</w:t>
            </w: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5"/>
        </w:trPr>
        <w:tc>
          <w:tcPr>
            <w:tcW w:w="55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 attributable</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(28,529)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27, 2024</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62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215,303</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July 28, 2024</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35,079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106,169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(3,037)</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212,652</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w:t>
            </w:r>
          </w:p>
        </w:tc>
      </w:tr>
      <w:tr>
        <w:trPr>
          <w:trHeight w:val="183"/>
        </w:trPr>
        <w:tc>
          <w:tcPr>
            <w:tcW w:w="3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27, 2024</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35,171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107,224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(2,331)</w:t>
            </w: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83,660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(3,022)</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185,105</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October 29, 2023</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0"/>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62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29, 2023</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33,443</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98,842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133,172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227,197</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Balance at April 30, 2023</w:t>
            </w:r>
          </w:p>
        </w:tc>
        <w:tc>
          <w:tcPr>
            <w:tcW w:w="8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99,968</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129,303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224,114</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July 30, 2023</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34,581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101,415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127,299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(3,226)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223,460</w:t>
            </w:r>
          </w:p>
        </w:tc>
      </w:tr>
      <w:tr>
        <w:trPr>
          <w:trHeight w:val="24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r>
      <w:tr>
        <w:trPr>
          <w:trHeight w:val="183"/>
        </w:trPr>
        <w:tc>
          <w:tcPr>
            <w:tcW w:w="3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29, 2023</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34,474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102,565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(1,737)</w:t>
            </w: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116,833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213,874</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2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60" w:type="dxa"/>
            <w:vAlign w:val="bottom"/>
          </w:tcPr>
          <w:p>
            <w:pPr>
              <w:spacing w:after="0"/>
              <w:rPr>
                <w:sz w:val="17"/>
                <w:szCs w:val="17"/>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(105,673)</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1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(58,125)</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(31,006)</w:t>
            </w: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(5,813)</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(39,958)</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(5,666)</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(39,825)</w:t>
            </w: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(2,109)</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40,969</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(22,822)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(37,371)</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9,335</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8,177</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2024 is a 53-week period and ends on February 2,</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2025. Fiscal 2023 was a 52-week period and ended on January 28, 2024. The three months of fiscal 2024 and fiscal 2023 represent the Company’s 13-week periods ended October 27, 2024 and October 29, 2023, respectively.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nine months ended October 27, 2024 and October 29,</w:t>
      </w:r>
    </w:p>
    <w:p>
      <w:pPr>
        <w:spacing w:after="0" w:line="1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2023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27, 2024 and October 29, 2023. These interim condensed consolidated financial statements should be read in conjunction with the consolidated financial statements and notes included in the Company’s annual report on Form 10-K for the fiscal year ended January 28, 2024.</w:t>
      </w:r>
    </w:p>
    <w:p>
      <w:pPr>
        <w:spacing w:after="0" w:line="14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$1.6 million and $1.4 million as of October 27, 2024 and January 28,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2,146</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2,778</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4,636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3,353</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12,209</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10,357</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18,991</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16,488</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9,273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6,705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1,348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1,477</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11,442</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9,020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28, 2024.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60"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140" w:type="dxa"/>
            <w:vAlign w:val="bottom"/>
          </w:tcPr>
          <w:p>
            <w:pPr>
              <w:spacing w:after="0"/>
              <w:rPr>
                <w:sz w:val="17"/>
                <w:szCs w:val="17"/>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40" w:type="dxa"/>
            <w:vAlign w:val="bottom"/>
          </w:tcPr>
          <w:p>
            <w:pPr>
              <w:spacing w:after="0"/>
              <w:rPr>
                <w:sz w:val="17"/>
                <w:szCs w:val="17"/>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6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11,437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9,343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31,094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28,108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80" w:type="dxa"/>
            <w:vAlign w:val="bottom"/>
          </w:tcPr>
          <w:p>
            <w:pPr>
              <w:spacing w:after="0"/>
              <w:rPr>
                <w:sz w:val="16"/>
                <w:szCs w:val="16"/>
                <w:color w:val="auto"/>
              </w:rPr>
            </w:pP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15,562</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line="216" w:lineRule="exact"/>
              <w:rPr>
                <w:sz w:val="20"/>
                <w:szCs w:val="20"/>
                <w:color w:val="auto"/>
              </w:rPr>
            </w:pPr>
            <w:r>
              <w:rPr>
                <w:rFonts w:ascii="Calibri" w:cs="Calibri" w:eastAsia="Calibri" w:hAnsi="Calibri"/>
                <w:sz w:val="20"/>
                <w:szCs w:val="20"/>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October 27,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44,696</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42,177</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119,866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(8,403)</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33,774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103,880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25,419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25,988</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24,510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25,141</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requires the Company to maintain compliance with certain financial and non-financial covenants, including a maximum rent adjusted leverage ratio and a minimum fixed charge coverage ratio as defined in the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51"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of October 27, 2024 and for the nine months then ended, the Company was in compliance with all financial and non-financial covenants contained within the Credit Agreement and the First Amendment.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36,252</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30,930</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3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1 or Level 3 instruments. The fair value of the Company’s money market account is obtained from real-time quotes for transactions in active exchange markets involving identical assets (Level 1). The fair value of the Company’s available-for-sale security was valued based on a discounted cash flow method (Level 3), which incorporates the U.S. Treasury yield curve, credit information and an estimate of future cash flows. During the nine months ended October 27, 2024,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58"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money market account and available-for-sale security and the corresponding amount of gross unrealized gains and losses recognized in accumulated other comprehensive income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r>
      <w:tr>
        <w:trPr>
          <w:trHeight w:val="418"/>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6"/>
        </w:trPr>
        <w:tc>
          <w:tcPr>
            <w:tcW w:w="3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0"/>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3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October 27, 2024 or October 29, 2023.</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October 27,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5,409</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4,840</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VIE. The Company has determined that it was the primary beneficiary of one VIE as of October 27, 2024 and January 28, 2024.</w:t>
      </w:r>
    </w:p>
    <w:p>
      <w:pPr>
        <w:spacing w:after="0" w:line="158" w:lineRule="exact"/>
        <w:rPr>
          <w:sz w:val="20"/>
          <w:szCs w:val="20"/>
          <w:color w:val="auto"/>
        </w:rPr>
      </w:pPr>
    </w:p>
    <w:p>
      <w:pPr>
        <w:ind w:right="40" w:firstLine="428"/>
        <w:spacing w:after="0" w:line="233"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October 27, 2024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22,503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22,503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22,958</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173" w:lineRule="exact"/>
        <w:rPr>
          <w:sz w:val="20"/>
          <w:szCs w:val="20"/>
          <w:color w:val="auto"/>
        </w:rPr>
      </w:pPr>
    </w:p>
    <w:p>
      <w:pPr>
        <w:ind w:right="100" w:firstLine="428"/>
        <w:spacing w:after="0" w:line="233"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8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Pr>
          <w:p>
            <w:pPr>
              <w:spacing w:after="0"/>
              <w:rPr>
                <w:sz w:val="15"/>
                <w:szCs w:val="15"/>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loss attributable to</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0" w:type="dxa"/>
            <w:vAlign w:val="bottom"/>
          </w:tcPr>
          <w:p>
            <w:pPr>
              <w:spacing w:after="0"/>
              <w:rPr>
                <w:sz w:val="1"/>
                <w:szCs w:val="1"/>
                <w:color w:val="auto"/>
              </w:rPr>
            </w:pPr>
          </w:p>
        </w:tc>
      </w:tr>
      <w:tr>
        <w:trPr>
          <w:trHeight w:val="22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33,448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32,937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(0.3) million and 0.1 million of unvested restricted stock for the three months ended October 27, 2024 and October 29, 2023, because their inclusion would be anti-dilutive due to a net loss.</w:t>
      </w:r>
    </w:p>
    <w:p>
      <w:pPr>
        <w:spacing w:after="0" w:line="13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diluted loss per share excluded 0.0 million and 0.5 million of unvested restricted stock for the nine months ended October 27, 2024 and October 29, 2023, because their inclusion would be anti-dilutive due to a net loss.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60" w:lineRule="exact"/>
        <w:rPr>
          <w:sz w:val="20"/>
          <w:szCs w:val="20"/>
          <w:color w:val="auto"/>
        </w:rPr>
      </w:pPr>
    </w:p>
    <w:p>
      <w:pPr>
        <w:ind w:right="320" w:firstLine="428"/>
        <w:spacing w:after="0" w:line="268"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right="280"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$1.0 million and $3.4 million for the three and nine months ended October 27, 2024, respectively. The Company’s total stock compensation expense is included in selling, general and administrative expenses on the Condensed Consolidated Statements of Operations.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nine months ended October 27, 2024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28,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1,367,270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1,099,121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(538,093)</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(239,402)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October 27, 2024</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1,688,896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6.03</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28"/>
        <w:spacing w:after="0" w:line="266" w:lineRule="auto"/>
        <w:rPr>
          <w:sz w:val="20"/>
          <w:szCs w:val="20"/>
          <w:color w:val="auto"/>
        </w:rPr>
      </w:pPr>
      <w:r>
        <w:rPr>
          <w:rFonts w:ascii="Times New Roman" w:cs="Times New Roman" w:eastAsia="Times New Roman" w:hAnsi="Times New Roman"/>
          <w:sz w:val="18"/>
          <w:szCs w:val="18"/>
          <w:color w:val="auto"/>
        </w:rPr>
        <w:t>At October 27, 2024, the Company had unrecognized compensation expense of $6.8 million related to the restricted stock awards, which is expected to be recognized over a weighted average period of 2.6 years.</w:t>
      </w:r>
    </w:p>
    <w:p>
      <w:pPr>
        <w:spacing w:after="0" w:line="3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66,481</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39,923</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268,646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269,488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(153,765)</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(140,551)</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114,881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128,937</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116,941</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132,718</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340" w:firstLine="570"/>
        <w:spacing w:after="0" w:line="228"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as a component of selling, general and administrative expenses. Sales tax collected from customers and remitted to taxing authorities is excluded from revenue and is included in accrued expenses.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9"/>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6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246,961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253,362</w:t>
            </w:r>
          </w:p>
        </w:tc>
      </w:tr>
      <w:tr>
        <w:trPr>
          <w:trHeight w:val="23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51,195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138,398</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147,706</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127,056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138,210</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385,359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401,068</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2"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r>
    </w:tbl>
    <w:p>
      <w:pPr>
        <w:spacing w:after="0" w:line="328"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560" w:type="dxa"/>
            <w:vAlign w:val="bottom"/>
            <w:shd w:val="clear" w:color="auto" w:fill="CCEEFF"/>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1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15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(9,330)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15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1560" w:type="dxa"/>
            <w:vAlign w:val="bottom"/>
            <w:tcBorders>
              <w:top w:val="single" w:sz="8" w:color="auto"/>
              <w:bottom w:val="single" w:sz="8" w:color="auto"/>
            </w:tcBorders>
            <w:shd w:val="clear" w:color="auto" w:fill="CCEEFF"/>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7,651</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100" w:firstLine="648"/>
        <w:spacing w:after="0" w:line="228" w:lineRule="auto"/>
        <w:rPr>
          <w:sz w:val="20"/>
          <w:szCs w:val="20"/>
          <w:color w:val="auto"/>
        </w:rPr>
      </w:pPr>
      <w:r>
        <w:rPr>
          <w:rFonts w:ascii="Times New Roman" w:cs="Times New Roman" w:eastAsia="Times New Roman" w:hAnsi="Times New Roman"/>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(4.2%) and 23% for the nine months ended October 27, 2024 and October 29, 2023, respectively. The income from TRI was excluded from the calculation of the Company’s effective tax rate, as TRI is a limited liability company and not subject to income tax. The effective tax rate fluctuated significantly year over year primarily as a result of the Company recording a valuation allowance on its deferred tax assets as of October 27,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54"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18"/>
          <w:szCs w:val="18"/>
          <w:color w:val="auto"/>
        </w:rPr>
        <w:t xml:space="preserve">The Company regularly assesses the realizability of deferred tax assets and under the asset and liability method prescribed under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recognizes deferred tax assets and liabilities for the future tax consequences attributable to differences between financial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amounts of assets and liabilities and their respective tax bases. Deferred tax assets and liabilities are measured using enacted tax rates expected to apply to taxable income in the years in which those temporary differences are expected to be realized or settled. The effect of a change in tax rates on deferred tax assets and liabilities is recognized in income in the period that includes the enactment date. The realizability of deferred tax assets is assessed throughout the year and a valuation allowance is recorded, if necessary, to reduce net deferred tax assets to the amount more likely than not to be realized. The Company considers all available evidence, both positive and negative, to determine the realizability of deferred tax assets and includes historical information about results of operations for the current and preceding years as well as more subjective information about future years. In conducting this assessment, a significant piece of objective negative evidence evaluated by management was a cumulative loss over the most recent 36-month period ended October 27, 2024, which was not outweighed by available positive evidence and which limited the Company’s ability to give weight to projections of future growth for purposes of this assessment. Accordingly, as of October 27, 2024, a valuation allowance of $10.1 million was provided against the net amount of deferred tax assets. The amount of the deferred tax assets considered realizable, however, could be adjusted if estimates of future taxable income during the carryforward period are increased or if objective negative evidence in the form of cumulative losses is no longer present and additional weight is given to subjective evidence such as our projections for growth. As of January 28, 2024, there was no valuation allowance for deferred tax assets.</w:t>
      </w:r>
    </w:p>
    <w:p>
      <w:pPr>
        <w:spacing w:after="0" w:line="1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189"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8"/>
          <w:szCs w:val="18"/>
          <w:color w:val="auto"/>
        </w:rPr>
        <w:t>As part of the Company’s in-depth review of the retail portfolio strategy, fulfillment center network, and benchmarking to identify structural opportunities to improve operating margin, working capital, and asset efficiency, the Company began phase two of its fulfillment center network plan to maximize productivity and capacity. This was initiated in the second quarter of 2024 and is expected to continue beyond this fiscal year as we implement further structural changes.</w:t>
      </w:r>
    </w:p>
    <w:p>
      <w:pPr>
        <w:spacing w:after="0" w:line="158"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18"/>
          <w:szCs w:val="18"/>
          <w:color w:val="auto"/>
        </w:rPr>
        <w:t>On July 12, 2024, as a result of the phase two analysis of the fulfillment center network, the Company voluntarily entered into a lease amendment for one of its legacy fulfillment center leases in Dubuque, Iowa. The amended lease accelerated the lease expiration date from September 30, 2030 to October 27, 2024. The amended lease requires Duluth to pay an aggregate of $3.7 million (the “Termination Penalty”) in consideration of accelerating the lease termination date, which will be paid in four equal quarterly installments from October 2024 through August 2025. The Company amortized the loss from the Termination Penalty, as well as the net loss from writing off the right-of-use asset and lease liability over the modified remaining lease term. In addition, the Company accelerated the depreciation of the non-transferrable fixed assets to have no remaining net book value as of the modified lease expiration date.</w:t>
      </w:r>
    </w:p>
    <w:p>
      <w:pPr>
        <w:spacing w:after="0" w:line="158" w:lineRule="exact"/>
        <w:rPr>
          <w:sz w:val="20"/>
          <w:szCs w:val="20"/>
          <w:color w:val="auto"/>
        </w:rPr>
      </w:pPr>
    </w:p>
    <w:p>
      <w:pPr>
        <w:ind w:right="560" w:firstLine="648"/>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October 27, 2024, the Company recognized restructuring charges of $6.2 million and $7.7 million, respectively.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9"/>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340" w:type="dxa"/>
            <w:vAlign w:val="bottom"/>
          </w:tcPr>
          <w:p>
            <w:pPr>
              <w:spacing w:after="0"/>
              <w:rPr>
                <w:sz w:val="18"/>
                <w:szCs w:val="18"/>
                <w:color w:val="auto"/>
              </w:rPr>
            </w:pPr>
          </w:p>
        </w:tc>
        <w:tc>
          <w:tcPr>
            <w:tcW w:w="20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contract termination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remeasurement expense</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depreciation expense</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benefit expense</w:t>
            </w: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expense</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175" w:lineRule="exact"/>
        <w:rPr>
          <w:sz w:val="20"/>
          <w:szCs w:val="20"/>
          <w:color w:val="auto"/>
        </w:rPr>
      </w:pPr>
    </w:p>
    <w:p>
      <w:pPr>
        <w:ind w:right="80" w:firstLine="648"/>
        <w:spacing w:after="0" w:line="232" w:lineRule="auto"/>
        <w:rPr>
          <w:sz w:val="20"/>
          <w:szCs w:val="20"/>
          <w:color w:val="auto"/>
        </w:rPr>
      </w:pPr>
      <w:r>
        <w:rPr>
          <w:rFonts w:ascii="Times New Roman" w:cs="Times New Roman" w:eastAsia="Times New Roman" w:hAnsi="Times New Roman"/>
          <w:sz w:val="18"/>
          <w:szCs w:val="18"/>
          <w:color w:val="auto"/>
        </w:rPr>
        <w:t>In the second quarter of 2024, in conjunction with ongoing state sales tax audits the Company began a review of its sales tax positions. As a result of the review, the Company determined that sales in a state were subject to certain local sales tax and that the Company had not sufficiently assessed such sales tax on sales to customers in prior fiscal years.</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that some payment to the state is probable. As of October 27, 2024, the Company recorded an estimated sales tax expense accrual of $2.4 million that is reflected in Selling, general and administrative expenses within the Consolidated Statements of Operations.</w:t>
      </w:r>
    </w:p>
    <w:p>
      <w:pPr>
        <w:spacing w:after="0" w:line="1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83" w:right="9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 – Measurement of Credit Losses on Financial Instruments</w:t>
      </w:r>
    </w:p>
    <w:p>
      <w:pPr>
        <w:spacing w:after="0" w:line="171"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(“ASU 2016-13”), which amends the impairment model by requiring entities to use a forward-looking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adopted ASU 2016-13 on January 30, 2023, the first day of the Company’s first quarter for the fiscal year ending January 28, 2024, the Company’s fiscal year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73"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Improvements to Reportable Segment Disclosures.”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 annual period beginning after December 15, 2024, with early adoption permitted. Management is currently evaluating the effects this guidance will have on its consolidated financial statements.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73"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this guidance will have on its consolidated financial statements.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17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2027. Early adoption is permitted. Management is currently evaluating the effects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20"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 ended January 28, 2024 (“2023 Form 10-K”).</w:t>
      </w:r>
    </w:p>
    <w:p>
      <w:pPr>
        <w:spacing w:after="0" w:line="159" w:lineRule="exact"/>
        <w:rPr>
          <w:sz w:val="20"/>
          <w:szCs w:val="20"/>
          <w:color w:val="auto"/>
        </w:rPr>
      </w:pPr>
    </w:p>
    <w:p>
      <w:pPr>
        <w:ind w:right="28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2024 is a 53-week period and ends on February 2, 2025. Fiscal 2023 was a 52-week period and ended on January 28, 2024. The three months of fiscal 2024 and fiscal 2023 represent our 13-week periods ended October 27, 2024 and October 29, 2023,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firstLine="428"/>
        <w:spacing w:after="0" w:line="22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actual results to differ materially from those expressed in the forward-looking statements, including the risks and uncertainties described under Part I, Item 1A “Risk Factors,” in our 2023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and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in our e-commerce platform; effectively adapting to new challenges associated with our expansion into new geographic markets; our ability to meet customer delivery time expectations;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our inability to deploy marketing tactics to strengthen brand awareness and attract new customers in a cost effective manner; our ability to successfully open new stores;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availability of raw materials; our dependence on third-party vendors to provide us with sufficient quantities of merchandise at acceptable prices; the susceptibility of the price and availability of our merchandise to international trade conditions;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158" w:lineRule="exact"/>
        <w:rPr>
          <w:sz w:val="20"/>
          <w:szCs w:val="20"/>
          <w:color w:val="auto"/>
        </w:rPr>
      </w:pPr>
    </w:p>
    <w:p>
      <w:pPr>
        <w:ind w:right="60" w:firstLine="428"/>
        <w:spacing w:after="0" w:line="230"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6" w:lineRule="exact"/>
        <w:rPr>
          <w:sz w:val="20"/>
          <w:szCs w:val="20"/>
          <w:color w:val="auto"/>
        </w:rPr>
      </w:pPr>
    </w:p>
    <w:p>
      <w:pPr>
        <w:ind w:right="1140" w:firstLine="428"/>
        <w:spacing w:after="0" w:line="438"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October 27, 2024, we operated 62 retail stores and three outlet stores.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180"/>
        <w:spacing w:after="0" w:line="212"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140"/>
        <w:spacing w:after="0" w:line="266" w:lineRule="auto"/>
        <w:rPr>
          <w:sz w:val="20"/>
          <w:szCs w:val="20"/>
          <w:color w:val="auto"/>
        </w:rPr>
      </w:pPr>
      <w:r>
        <w:rPr>
          <w:rFonts w:ascii="Times New Roman" w:cs="Times New Roman" w:eastAsia="Times New Roman" w:hAnsi="Times New Roman"/>
          <w:sz w:val="18"/>
          <w:szCs w:val="18"/>
          <w:color w:val="auto"/>
        </w:rPr>
        <w:t>Net sales decreased by 8.1% over the prior year third quarter to $127.1 million, and net sales in the first nine months of fiscal 2024 decreased by 3.9% over the first nine months of the prior year to $385.4 million;</w:t>
      </w:r>
    </w:p>
    <w:p>
      <w:pPr>
        <w:spacing w:after="0" w:line="27" w:lineRule="exact"/>
        <w:rPr>
          <w:sz w:val="20"/>
          <w:szCs w:val="20"/>
          <w:color w:val="auto"/>
        </w:rPr>
      </w:pPr>
    </w:p>
    <w:p>
      <w:pPr>
        <w:ind w:left="880" w:right="140"/>
        <w:spacing w:after="0" w:line="266" w:lineRule="auto"/>
        <w:rPr>
          <w:sz w:val="20"/>
          <w:szCs w:val="20"/>
          <w:color w:val="auto"/>
        </w:rPr>
      </w:pPr>
      <w:r>
        <w:rPr>
          <w:rFonts w:ascii="Times New Roman" w:cs="Times New Roman" w:eastAsia="Times New Roman" w:hAnsi="Times New Roman"/>
          <w:sz w:val="18"/>
          <w:szCs w:val="18"/>
          <w:color w:val="auto"/>
        </w:rPr>
        <w:t>Net loss of $28.5 million in fiscal 2024 third quarter compared to the prior year third quarter net loss of $10.5 million, and net loss in the first nine months of fiscal 2024 of $40.1 million compared to a net loss in the first nine months of fiscal 2023 of $16.4 million; and</w:t>
      </w:r>
    </w:p>
    <w:p>
      <w:pPr>
        <w:spacing w:after="0" w:line="27" w:lineRule="exact"/>
        <w:rPr>
          <w:sz w:val="20"/>
          <w:szCs w:val="20"/>
          <w:color w:val="auto"/>
        </w:rPr>
      </w:pPr>
    </w:p>
    <w:p>
      <w:pPr>
        <w:ind w:left="880" w:right="40"/>
        <w:spacing w:after="0" w:line="250" w:lineRule="auto"/>
        <w:rPr>
          <w:sz w:val="20"/>
          <w:szCs w:val="20"/>
          <w:color w:val="auto"/>
        </w:rPr>
      </w:pPr>
      <w:r>
        <w:rPr>
          <w:rFonts w:ascii="Times New Roman" w:cs="Times New Roman" w:eastAsia="Times New Roman" w:hAnsi="Times New Roman"/>
          <w:sz w:val="18"/>
          <w:szCs w:val="18"/>
          <w:color w:val="auto"/>
        </w:rPr>
        <w:t>Adjusted EBITDA decreased to ($6.8) million in fiscal 2024 third quarter compared to the prior year third quarter Adjusted EBITDA of ($1.6) million, and adjusted EBITDA in the first nine months of fiscal 2024 of $5.7 million compared to $12.3 million over the first nine months of fiscal 2023.</w:t>
      </w:r>
    </w:p>
    <w:p>
      <w:pPr>
        <w:spacing w:after="0" w:line="136" w:lineRule="exact"/>
        <w:rPr>
          <w:sz w:val="20"/>
          <w:szCs w:val="20"/>
          <w:color w:val="auto"/>
        </w:rPr>
      </w:pPr>
    </w:p>
    <w:p>
      <w:pPr>
        <w:ind w:right="60"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Loss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0"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right="280" w:firstLine="492"/>
        <w:spacing w:after="0" w:line="236" w:lineRule="auto"/>
        <w:rPr>
          <w:sz w:val="20"/>
          <w:szCs w:val="20"/>
          <w:color w:val="auto"/>
        </w:rPr>
      </w:pPr>
      <w:r>
        <w:rPr>
          <w:rFonts w:ascii="Times New Roman" w:cs="Times New Roman" w:eastAsia="Times New Roman" w:hAnsi="Times New Roman"/>
          <w:sz w:val="18"/>
          <w:szCs w:val="18"/>
          <w:color w:val="auto"/>
        </w:rPr>
        <w:t>The macroeconomic environment is experiencing inflation,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360" w:firstLine="428"/>
        <w:spacing w:after="0" w:line="238"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6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restructuring expenses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metrics in determining bonus compensation for our employees. This non-GAAP measure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385,359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401,068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183,328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194,530</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(10,466)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(16,339)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8"/>
        </w:trPr>
        <w:tc>
          <w:tcPr>
            <w:tcW w:w="4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shd w:val="clear" w:color="auto" w:fill="CCEEFF"/>
          </w:tcPr>
          <w:p>
            <w:pPr>
              <w:spacing w:after="0"/>
              <w:rPr>
                <w:sz w:val="18"/>
                <w:szCs w:val="18"/>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7"/>
        </w:trPr>
        <w:tc>
          <w:tcPr>
            <w:tcW w:w="438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1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October 27, 2024, Compared to Three Months Ended October 29, 2023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30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$11.2 million, or 8.1%, to $127.1 million in the three months ended October 27, 2024 compared to $138.2 million in the three months ended October 29, 2023. The decrease in net sales was primarily driven by lower web conversion and a decline in store traffic.</w:t>
      </w:r>
    </w:p>
    <w:p>
      <w:pPr>
        <w:spacing w:after="0" w:line="108" w:lineRule="exact"/>
        <w:rPr>
          <w:sz w:val="20"/>
          <w:szCs w:val="20"/>
          <w:color w:val="auto"/>
        </w:rPr>
      </w:pPr>
    </w:p>
    <w:p>
      <w:pPr>
        <w:ind w:right="4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decreased $7.9 million, or 9.3%, to $88.7 million in the three months ended October 27, 2024 compared to $96.6 million in the three months ended October 29, 2023. Non-store market net sales decreased by $3.7 million, or 9.8%, to $37.1 million in the three months ended October 27, 2024 compared to $40.8 million in the three months ended October 29,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$3.0 million, or 4.3%, to $66.4 million in the three months ended October 27, 2024 compared to $69.4 million in the three months ended October 29, 2023. As a percentage of net sales, gross margin increased to 52.3% of net sales in the three months ended October 27, 2024, compared to 50.2% of net sales in the three months ended October 29, 2023. The increase in gross margin percentage was primarily driven by our sourcing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10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$1.0 million, or 1.2%, to $82.9 million in the three months ended October 27, 2024 compared to $81.8 million in the three months ended October 29, 2023. Selling, general and administrative expenses as a percentage of net sales increased to 65.2% in the three months ended October 27, 2024, compared to 59.2% in the three months ended October 29, 2023.</w:t>
      </w:r>
    </w:p>
    <w:p>
      <w:pPr>
        <w:spacing w:after="0" w:line="143" w:lineRule="exact"/>
        <w:rPr>
          <w:sz w:val="20"/>
          <w:szCs w:val="20"/>
          <w:color w:val="auto"/>
        </w:rPr>
      </w:pPr>
    </w:p>
    <w:p>
      <w:pPr>
        <w:ind w:right="24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was mainly driven by increased advertising spend, partially offset by optimization in our outbound shipping network.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8"/>
          <w:szCs w:val="18"/>
          <w:color w:val="auto"/>
        </w:rPr>
        <w:t>Income tax expense was $4.7 million in the three months ended October 27, 2024, compared to income tax benefit of $3.1 million in the three months ended October 29, 2023. The provision for third quarter of fiscal 2024 reflected the establishment of a valuation allowance of $10.1 million established against the net amount of deferred tax assets as well as pre-tax loss in the current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Net loss attributable to controlling interest was $28.5 million, in the three months ended October 27, 2024 compared to net loss of $10.5 million in the three months ended October 29, 2023. In addition to the factors addressed above, $6.2 million in restructuring expense contributed to the net loss in the current period.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3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Nine Months Ended October 27, 2024 Compared to Nine Months Ended October 29, 2023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34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$15.7 million, or 3.9%, to $385.4 million in the nine months ended October 27, 2024 compared to $401.1 million in the nine months ended October 29, 2023.</w:t>
      </w:r>
    </w:p>
    <w:p>
      <w:pPr>
        <w:spacing w:after="0" w:line="108"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$14.8 million, or 5.3%, to $264.7 million in the nine months ended October 27, 2024 compared to $279.6 million in the nine months ended October 29, 2023. The decrease was driven by slower store traffic compared to the prior year. Non-store market net sales decreased by $6.0 million, or 5.1%, to $112.8 million in the nine months ended October 27, 2024 compared to $118.8 million in the nine months ended October 29,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Gross profit decreased $4.5 million, or 2.2%, to $202.0 million in the nine months ended October 27, 2024 compared to $206.5 million in the nine months ended October 29, 2023. As a percentage of net sales, gross margin increased to 52.4% of net sales in the nine months ended October 27, 2024, compared to 51.5% of net sales in the nine months ended October 29, 2023.</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increase in gross margin rate was primarily driven by our sourcing initiatives.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2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$4.8 million, or 2.1%, to $229.7 million in the nine months ended October 27, 2024 compared to $224.9 million in the nine months ended October 29, 2023. Selling, general and administrative expenses as a percentage of net sales increased to 59.6% in the nine months ended October 27, 2024, compared to 56.1% in the nine months ended October 29, 2023.</w:t>
      </w:r>
    </w:p>
    <w:p>
      <w:pPr>
        <w:spacing w:after="0" w:line="130" w:lineRule="exact"/>
        <w:rPr>
          <w:sz w:val="20"/>
          <w:szCs w:val="20"/>
          <w:color w:val="auto"/>
        </w:rPr>
      </w:pPr>
    </w:p>
    <w:p>
      <w:pPr>
        <w:ind w:right="180" w:firstLine="428"/>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included a $2.4 million non-recurring estimated sales tax expense. Excluding this non-recurring expense, selling, general and administrative expenses increased $2.4 million to $227.3 million, representing 59.0% of net sales.</w:t>
      </w:r>
    </w:p>
    <w:p>
      <w:pPr>
        <w:spacing w:after="0" w:line="122" w:lineRule="exact"/>
        <w:rPr>
          <w:sz w:val="20"/>
          <w:szCs w:val="20"/>
          <w:color w:val="auto"/>
        </w:rPr>
      </w:pPr>
    </w:p>
    <w:p>
      <w:pPr>
        <w:ind w:right="12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as a percentage of net sales, excluding the aforementioned non-recurring estimated sales tax expense accrual, was primarily due to higher fixed costs from foundational strategic 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Income tax expense was $1.6 million in the nine months ended October 27, 2024, compared to income tax benefit of $4.8 million in the nine months ended October 29, 2023. The provision for third quarter of fiscal 2024 reflected the establishment of a valuation allowance of $10.1 million established against the net amount of deferred tax assets as well as pre-tax loss in the current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Net loss attributable to controlling interest was $40.2 million in the nine months ended October 27, 2024 compared to net loss of $16.3 million in the nine months ended October 29, 2023. In addition to the factors addressed above, $7.7 million in restructuring expense contributed to the net loss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62" w:lineRule="exact"/>
        <w:rPr>
          <w:sz w:val="20"/>
          <w:szCs w:val="20"/>
          <w:color w:val="auto"/>
        </w:rPr>
      </w:pPr>
    </w:p>
    <w:p>
      <w:pPr>
        <w:ind w:right="120" w:firstLine="428"/>
        <w:spacing w:after="0" w:line="238"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(40,122)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(7,844)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8,965</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tax expense accrual</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2"/>
        </w:trPr>
        <w:tc>
          <w:tcPr>
            <w:tcW w:w="46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(6,786)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(1,567)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12,270</w:t>
            </w: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60" w:firstLine="428"/>
        <w:spacing w:after="0"/>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$5.2 million to ($6.8) million in the three months ended October 27, 2024 compared to ($1.6) million in the three months ended October 29, 2023. As a percentage of net sales, Adjusted EBITDA decreased to (5.3%) of net sales in the three months October 27, 2024 compared to (1.1%) of net sales in the three months ended October 29, 2023.</w:t>
      </w:r>
    </w:p>
    <w:p>
      <w:pPr>
        <w:spacing w:after="0" w:line="131" w:lineRule="exact"/>
        <w:rPr>
          <w:sz w:val="20"/>
          <w:szCs w:val="20"/>
          <w:color w:val="auto"/>
        </w:rPr>
      </w:pPr>
    </w:p>
    <w:p>
      <w:pPr>
        <w:ind w:right="2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$6.6 million to $5.7 million in the nine months ended October 27, 2024 compared to $12.3 million in the nine months ended October 29, 2023. As a percentage of net sales, Adjusted EBITDA decreased to 1.5% of net sales in the nine months ended October 27, 2024 compared to 3.1% of net sales in the nine months ended October 29,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24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October 27, 2024, our net working capital was $60.6 million, including $9.3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$23.0 million in fiscal 2024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50"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(58,125)</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33,460</w:t>
            </w:r>
          </w:p>
        </w:tc>
        <w:tc>
          <w:tcPr>
            <w:tcW w:w="0" w:type="dxa"/>
            <w:vAlign w:val="bottom"/>
          </w:tcPr>
          <w:p>
            <w:pPr>
              <w:spacing w:after="0"/>
              <w:rPr>
                <w:sz w:val="1"/>
                <w:szCs w:val="1"/>
                <w:color w:val="auto"/>
              </w:rPr>
            </w:pPr>
          </w:p>
        </w:tc>
      </w:tr>
      <w:tr>
        <w:trPr>
          <w:trHeight w:val="196"/>
        </w:trPr>
        <w:tc>
          <w:tcPr>
            <w:tcW w:w="4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284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42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62"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2"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For the nine months ended October 27, 2024, net cash used in operating activities was $58.1 million, which primarily consisted of cash used in operating assets and liabilities of $47.3 million and a $40.1 million net loss for the nine months ended October 27, 2024 partially offset by depreciation of $24.7 million. The cash used in operating assets and liabilities of $47.3 million was primarily due to a $105.7 million increase in inventory, partially offset by a $53.2 million increase in trade accounts payable.</w:t>
      </w:r>
    </w:p>
    <w:p>
      <w:pPr>
        <w:spacing w:after="0" w:line="1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increase in inventory and trade accounts payable was primarily related to three main drivers. The first was an increase in in-transit inventory as we moved from purchasing through an agent to buying directly from factories. Another third was due to higher inventory receipts on core year-round products to mitigate low in-stock post Black Friday week. Lastly, fall winter orders arrived on time but suffered delayed sales with the unusually warmer weather.</w:t>
      </w:r>
    </w:p>
    <w:p>
      <w:pPr>
        <w:spacing w:after="0" w:line="124" w:lineRule="exact"/>
        <w:rPr>
          <w:sz w:val="20"/>
          <w:szCs w:val="20"/>
          <w:color w:val="auto"/>
        </w:rPr>
      </w:pPr>
    </w:p>
    <w:p>
      <w:pPr>
        <w:ind w:firstLine="428"/>
        <w:spacing w:after="0" w:line="236" w:lineRule="auto"/>
        <w:rPr>
          <w:sz w:val="20"/>
          <w:szCs w:val="20"/>
          <w:color w:val="auto"/>
        </w:rPr>
      </w:pPr>
      <w:r>
        <w:rPr>
          <w:rFonts w:ascii="Times New Roman" w:cs="Times New Roman" w:eastAsia="Times New Roman" w:hAnsi="Times New Roman"/>
          <w:sz w:val="18"/>
          <w:szCs w:val="18"/>
          <w:color w:val="auto"/>
        </w:rPr>
        <w:t>For the nine months ended October 29, 2023, net cash used in operating activities was $31.0 million, which primarily consisted of cash used in operating assets and liabilities of $36.6 million and a $16.4 million net loss for the nine months ended October 29, 2023 partially offset by depreciation of $23.4 million. The cash used in operating assets and liabilities of $36.6 million was primarily due to a $19.0 million increase in inventory and $10.2 million decrease in trade accounts payable.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58" w:lineRule="exact"/>
        <w:rPr>
          <w:sz w:val="20"/>
          <w:szCs w:val="20"/>
          <w:color w:val="auto"/>
        </w:rPr>
      </w:pPr>
    </w:p>
    <w:p>
      <w:pPr>
        <w:ind w:right="740" w:firstLine="428"/>
        <w:spacing w:after="0" w:line="266" w:lineRule="auto"/>
        <w:rPr>
          <w:sz w:val="20"/>
          <w:szCs w:val="20"/>
          <w:color w:val="auto"/>
        </w:rPr>
      </w:pPr>
      <w:r>
        <w:rPr>
          <w:rFonts w:ascii="Times New Roman" w:cs="Times New Roman" w:eastAsia="Times New Roman" w:hAnsi="Times New Roman"/>
          <w:sz w:val="18"/>
          <w:szCs w:val="18"/>
          <w:color w:val="auto"/>
        </w:rPr>
        <w:t>For the nine months ended October 27, 2024 and October 29, 2023, net cash used in investing activities was $5.7 million and $39.8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75" w:lineRule="exact"/>
        <w:rPr>
          <w:sz w:val="20"/>
          <w:szCs w:val="20"/>
          <w:color w:val="auto"/>
        </w:rPr>
      </w:pPr>
    </w:p>
    <w:p>
      <w:pPr>
        <w:ind w:right="640"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08" w:lineRule="exact"/>
        <w:rPr>
          <w:sz w:val="20"/>
          <w:szCs w:val="20"/>
          <w:color w:val="auto"/>
        </w:rPr>
      </w:pPr>
    </w:p>
    <w:p>
      <w:pPr>
        <w:ind w:right="1280" w:firstLine="428"/>
        <w:spacing w:after="0" w:line="438" w:lineRule="auto"/>
        <w:rPr>
          <w:sz w:val="20"/>
          <w:szCs w:val="20"/>
          <w:color w:val="auto"/>
        </w:rPr>
      </w:pPr>
      <w:r>
        <w:rPr>
          <w:rFonts w:ascii="Times New Roman" w:cs="Times New Roman" w:eastAsia="Times New Roman" w:hAnsi="Times New Roman"/>
          <w:sz w:val="18"/>
          <w:szCs w:val="18"/>
          <w:color w:val="auto"/>
        </w:rPr>
        <w:t xml:space="preserve">For the nine months ended October 27, 2024, net cash used in financing activities was $41.0 million and $33.5 million, respectively. </w:t>
      </w:r>
      <w:r>
        <w:rPr>
          <w:rFonts w:ascii="Times New Roman" w:cs="Times New Roman" w:eastAsia="Times New Roman" w:hAnsi="Times New Roman"/>
          <w:sz w:val="18"/>
          <w:szCs w:val="18"/>
          <w:b w:val="1"/>
          <w:bCs w:val="1"/>
          <w:color w:val="auto"/>
        </w:rPr>
        <w:t>Contractual Obligations</w:t>
      </w:r>
    </w:p>
    <w:p>
      <w:pPr>
        <w:spacing w:after="0" w:line="1" w:lineRule="exact"/>
        <w:rPr>
          <w:sz w:val="20"/>
          <w:szCs w:val="20"/>
          <w:color w:val="auto"/>
        </w:rPr>
      </w:pPr>
    </w:p>
    <w:p>
      <w:pPr>
        <w:ind w:right="44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75" w:lineRule="exact"/>
        <w:rPr>
          <w:sz w:val="20"/>
          <w:szCs w:val="20"/>
          <w:color w:val="auto"/>
        </w:rPr>
      </w:pPr>
    </w:p>
    <w:p>
      <w:pPr>
        <w:ind w:right="28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2023 Form 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400" w:firstLine="428"/>
        <w:spacing w:after="0" w:line="238"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2023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30"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not effective over certain financial reporting areas due to the material weakness in our internal control over financial reporting described below. Management has performed additional analysis and other procedures to ensure that our condensed financial statements are prepared in accordance with accounting principles generally accepted in the United States of America (“U.S. GAAP”) and has concluded that, notwithstanding the material weakness in our internal control over financial reporting, the condensed consolidated financial statements for the period covered by and included in this Quarterly Report on Form 10-Q fairly present, in all material respects, our financial position, results of operations and cash flows for the periods presented in conformity with U.S. GAAP.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w:t>
      </w:r>
    </w:p>
    <w:p>
      <w:pPr>
        <w:spacing w:after="0" w:line="17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As disclosed in the section titled “Evaluation of Disclosure Controls and Procedures” in Item 9A of the Company’s 2023 Annual Report on Form 10-K, we previously identified control deficiencies in the implementation of our internal control over financial reporting that constituted a material weakness.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44" w:lineRule="exact"/>
        <w:rPr>
          <w:sz w:val="20"/>
          <w:szCs w:val="20"/>
          <w:color w:val="auto"/>
        </w:rPr>
      </w:pPr>
    </w:p>
    <w:p>
      <w:pPr>
        <w:jc w:val="both"/>
        <w:ind w:right="80" w:firstLine="648"/>
        <w:spacing w:after="0" w:line="242" w:lineRule="auto"/>
        <w:rPr>
          <w:sz w:val="20"/>
          <w:szCs w:val="20"/>
          <w:color w:val="auto"/>
        </w:rPr>
      </w:pPr>
      <w:r>
        <w:rPr>
          <w:rFonts w:ascii="Times New Roman" w:cs="Times New Roman" w:eastAsia="Times New Roman" w:hAnsi="Times New Roman"/>
          <w:sz w:val="18"/>
          <w:szCs w:val="18"/>
          <w:color w:val="auto"/>
        </w:rPr>
        <w:t>The material weakness identified in our internal control over financial reporting related to control deficiencies in effective risk assessment related to the mapping of general ledger accounts to the consolidated financial statements resulting in manual controls in the financial reporting process that were not designed to sufficiently mitigate the risk of incorrect presentation of certain general ledger accounts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7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Management has simplified the process related to the mapping of general ledger accounts to the consolidated financial statements and performed a thorough risk assessment of the updated process to identify all risk points and design and implemented new process-level controls to mitigate the risk of incorrect presentation of general ledger accounts in the consolidated financial statements. However, the material weakness cannot be considered fully remediated until the applicable controls operate for a sufficient period of time and management has concluded, through testing, that these controls are operating effectively.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are taking the appropriate actions to remediate the material weakness relating to our internal control over financial reporting, as described above. Except as otherwise described herein, 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160" w:firstLine="428"/>
        <w:spacing w:after="0"/>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40" w:firstLine="440"/>
        <w:spacing w:after="0"/>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2023 Form 10-K, or other SEC filings. There have been no material changes to our risk factors as previously disclosed in our fiscal 2023 Annual Report on Form 10-K.</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October 27, 2024, which were not registered under the Securities Act.</w:t>
      </w:r>
    </w:p>
    <w:p>
      <w:pPr>
        <w:spacing w:after="0" w:line="360" w:lineRule="exact"/>
        <w:rPr>
          <w:sz w:val="20"/>
          <w:szCs w:val="20"/>
          <w:color w:val="auto"/>
        </w:rPr>
      </w:pPr>
    </w:p>
    <w:p>
      <w:pPr>
        <w:ind w:right="380" w:firstLine="492"/>
        <w:spacing w:after="0" w:line="242" w:lineRule="auto"/>
        <w:rPr>
          <w:sz w:val="20"/>
          <w:szCs w:val="20"/>
          <w:color w:val="auto"/>
        </w:rPr>
      </w:pPr>
      <w:r>
        <w:rPr>
          <w:rFonts w:ascii="Times New Roman" w:cs="Times New Roman" w:eastAsia="Times New Roman" w:hAnsi="Times New Roman"/>
          <w:sz w:val="18"/>
          <w:szCs w:val="18"/>
          <w:color w:val="auto"/>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October 27,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6"/>
                <w:szCs w:val="16"/>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09"/>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29, 2024 - August 25, 2024</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26, 2024 - September 29,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71,688</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9"/>
                <w:szCs w:val="19"/>
                <w:color w:val="auto"/>
              </w:rPr>
            </w:pPr>
          </w:p>
        </w:tc>
        <w:tc>
          <w:tcPr>
            <w:tcW w:w="2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 October 27, 2024</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71,688</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27, 2024, no director or Section 16 officer of the Company adopted or terminated a “Rule 10b5-1 trading arrangement” or “non-Rule 10b5-1 trading arrangement,” as each term is defined in Item 408(a) of Regulation S-K.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40" w:type="dxa"/>
            <w:vAlign w:val="bottom"/>
            <w:gridSpan w:val="4"/>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76"/>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 No.</w:t>
            </w:r>
          </w:p>
        </w:tc>
        <w:tc>
          <w:tcPr>
            <w:tcW w:w="8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80" w:type="dxa"/>
            <w:vAlign w:val="bottom"/>
            <w:gridSpan w:val="2"/>
            <w:vMerge w:val="continue"/>
          </w:tcPr>
          <w:p>
            <w:pPr>
              <w:spacing w:after="0"/>
              <w:rPr>
                <w:sz w:val="14"/>
                <w:szCs w:val="14"/>
                <w:color w:val="auto"/>
              </w:rPr>
            </w:pPr>
          </w:p>
        </w:tc>
        <w:tc>
          <w:tcPr>
            <w:tcW w:w="8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5"/>
                <w:szCs w:val="15"/>
                <w:color w:val="auto"/>
              </w:rPr>
            </w:pPr>
          </w:p>
        </w:tc>
        <w:tc>
          <w:tcPr>
            <w:tcW w:w="994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880" w:type="dxa"/>
            <w:vAlign w:val="bottom"/>
            <w:tcBorders>
              <w:top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6"/>
                <w:szCs w:val="16"/>
                <w:color w:val="0000FF"/>
              </w:rPr>
              <w:t>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94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94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-1329055</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ind w:left="1280" w:right="6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27, 2024 has been formatted in Inline XBRL (Inline Extensible Business Reporting Language and contained in Exhibits 101).</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640"/>
          </w:cols>
          <w:pgMar w:left="320" w:top="283" w:right="3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6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640"/>
          </w:cols>
          <w:pgMar w:left="320" w:top="28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6, 2024</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ind w:left="48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Heena Agrawal</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ind w:left="482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283"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6254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27, 2024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17"/>
          <w:szCs w:val="17"/>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27, 2024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Heena Agrawal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3"/>
    </w:lvl>
  </w:abstractNum>
  <w:abstractNum w:abstractNumId="5">
    <w:nsid w:val="66EF438D"/>
    <w:multiLevelType w:val="hybridMultilevel"/>
    <w:lvl w:ilvl="0">
      <w:lvlJc w:val="left"/>
      <w:lvlText w:val="%1."/>
      <w:numFmt w:val="upperLetter"/>
      <w:start w:val="5"/>
    </w:lvl>
  </w:abstractNum>
  <w:abstractNum w:abstractNumId="6">
    <w:nsid w:val="140E0F76"/>
    <w:multiLevelType w:val="hybridMultilevel"/>
    <w:lvl w:ilvl="0">
      <w:lvlJc w:val="left"/>
      <w:lvlText w:val="%1."/>
      <w:numFmt w:val="upperLetter"/>
      <w:start w:val="6"/>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2024-12-06T12:13:03Z</dcterms:created>
  <dcterms:modified xsi:type="dcterms:W3CDTF">2024-12-06T12:13:03Z</dcterms:modified>
</cp:coreProperties>
</file>