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79"/>
        <w:spacing w:after="0" w:line="214"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140"/>
        <w:spacing w:after="0" w:line="232" w:lineRule="auto"/>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79"/>
        <w:spacing w:after="0" w:line="228" w:lineRule="auto"/>
        <w:rPr>
          <w:sz w:val="20"/>
          <w:szCs w:val="20"/>
          <w:color w:val="auto"/>
        </w:rPr>
      </w:pPr>
      <w:r>
        <w:rPr>
          <w:rFonts w:ascii="Times New Roman" w:cs="Times New Roman" w:eastAsia="Times New Roman" w:hAnsi="Times New Roman"/>
          <w:sz w:val="29"/>
          <w:szCs w:val="29"/>
          <w:b w:val="1"/>
          <w:bCs w:val="1"/>
          <w:color w:val="auto"/>
        </w:rPr>
        <w:t>FORM 10-Q</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38" w:lineRule="exact"/>
        <w:rPr>
          <w:sz w:val="24"/>
          <w:szCs w:val="24"/>
          <w:color w:val="auto"/>
        </w:rPr>
      </w:pPr>
    </w:p>
    <w:p>
      <w:pPr>
        <w:ind w:left="480" w:right="180" w:hanging="472"/>
        <w:spacing w:after="0" w:line="249"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May 4, 2025</w:t>
      </w:r>
    </w:p>
    <w:p>
      <w:pPr>
        <w:spacing w:after="0" w:line="9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500" w:right="140" w:hanging="492"/>
        <w:spacing w:after="0" w:line="262" w:lineRule="auto"/>
        <w:tabs>
          <w:tab w:leader="none" w:pos="50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u w:val="single" w:color="auto"/>
          <w:color w:val="auto"/>
        </w:rPr>
        <w:t>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u w:val="single" w:color="auto"/>
          <w:color w:val="auto"/>
        </w:rPr>
        <w:t>_______</w:t>
      </w:r>
    </w:p>
    <w:p>
      <w:pPr>
        <w:spacing w:after="0" w:line="9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001-37641</w:t>
      </w:r>
    </w:p>
    <w:p>
      <w:pPr>
        <w:spacing w:after="0" w:line="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79"/>
        <w:spacing w:after="0" w:line="227" w:lineRule="auto"/>
        <w:rPr>
          <w:sz w:val="20"/>
          <w:szCs w:val="20"/>
          <w:color w:val="auto"/>
        </w:rPr>
      </w:pPr>
      <w:r>
        <w:rPr>
          <w:rFonts w:ascii="Times New Roman" w:cs="Times New Roman" w:eastAsia="Times New Roman" w:hAnsi="Times New Roman"/>
          <w:sz w:val="40"/>
          <w:szCs w:val="40"/>
          <w:b w:val="1"/>
          <w:bCs w:val="1"/>
          <w:color w:val="auto"/>
        </w:rPr>
        <w:t>DULUTH HOLDINGS INC.</w:t>
      </w:r>
    </w:p>
    <w:p>
      <w:pPr>
        <w:jc w:val="center"/>
        <w:ind w:right="-79"/>
        <w:spacing w:after="0" w:line="225"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16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27"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5860" w:type="dxa"/>
            <w:vAlign w:val="bottom"/>
          </w:tcPr>
          <w:p>
            <w:pPr>
              <w:jc w:val="center"/>
              <w:ind w:right="340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16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39-1564801</w:t>
            </w:r>
          </w:p>
        </w:tc>
        <w:tc>
          <w:tcPr>
            <w:tcW w:w="0" w:type="dxa"/>
            <w:vAlign w:val="bottom"/>
          </w:tcPr>
          <w:p>
            <w:pPr>
              <w:spacing w:after="0"/>
              <w:rPr>
                <w:sz w:val="1"/>
                <w:szCs w:val="1"/>
                <w:color w:val="auto"/>
              </w:rPr>
            </w:pPr>
          </w:p>
        </w:tc>
      </w:tr>
      <w:tr>
        <w:trPr>
          <w:trHeight w:val="162"/>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6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298"/>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8"/>
                <w:szCs w:val="18"/>
                <w:b w:val="1"/>
                <w:bCs w:val="1"/>
                <w:color w:val="auto"/>
                <w:w w:val="99"/>
              </w:rPr>
              <w:t>201 East Front Street</w:t>
            </w:r>
          </w:p>
        </w:tc>
        <w:tc>
          <w:tcPr>
            <w:tcW w:w="1660" w:type="dxa"/>
            <w:vAlign w:val="bottom"/>
            <w:vMerge w:val="restart"/>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53572</w:t>
            </w:r>
          </w:p>
        </w:tc>
        <w:tc>
          <w:tcPr>
            <w:tcW w:w="0" w:type="dxa"/>
            <w:vAlign w:val="bottom"/>
          </w:tcPr>
          <w:p>
            <w:pPr>
              <w:spacing w:after="0"/>
              <w:rPr>
                <w:sz w:val="1"/>
                <w:szCs w:val="1"/>
                <w:color w:val="auto"/>
              </w:rPr>
            </w:pPr>
          </w:p>
        </w:tc>
      </w:tr>
      <w:tr>
        <w:trPr>
          <w:trHeight w:val="214"/>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8"/>
                <w:szCs w:val="18"/>
                <w:b w:val="1"/>
                <w:bCs w:val="1"/>
                <w:color w:val="auto"/>
                <w:w w:val="99"/>
              </w:rPr>
              <w:t>Mount Horeb, Wisconsin</w:t>
            </w: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60" w:type="dxa"/>
            <w:vAlign w:val="bottom"/>
          </w:tcPr>
          <w:p>
            <w:pPr>
              <w:jc w:val="center"/>
              <w:ind w:right="340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15"/>
        </w:trPr>
        <w:tc>
          <w:tcPr>
            <w:tcW w:w="5860" w:type="dxa"/>
            <w:vAlign w:val="bottom"/>
          </w:tcPr>
          <w:p>
            <w:pPr>
              <w:jc w:val="right"/>
              <w:ind w:right="1322"/>
              <w:spacing w:after="0"/>
              <w:rPr>
                <w:sz w:val="20"/>
                <w:szCs w:val="20"/>
                <w:color w:val="auto"/>
              </w:rPr>
            </w:pPr>
            <w:r>
              <w:rPr>
                <w:rFonts w:ascii="Times New Roman" w:cs="Times New Roman" w:eastAsia="Times New Roman" w:hAnsi="Times New Roman"/>
                <w:sz w:val="14"/>
                <w:szCs w:val="14"/>
                <w:b w:val="1"/>
                <w:bCs w:val="1"/>
                <w:color w:val="auto"/>
              </w:rPr>
              <w:t>(608) 424-1544</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60" w:type="dxa"/>
            <w:vAlign w:val="bottom"/>
          </w:tcPr>
          <w:p>
            <w:pPr>
              <w:ind w:left="23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tcPr>
          <w:p>
            <w:pPr>
              <w:jc w:val="right"/>
              <w:ind w:right="302"/>
              <w:spacing w:after="0"/>
              <w:rPr>
                <w:sz w:val="20"/>
                <w:szCs w:val="20"/>
                <w:color w:val="auto"/>
              </w:rPr>
            </w:pPr>
            <w:r>
              <w:rPr>
                <w:rFonts w:ascii="Times New Roman" w:cs="Times New Roman" w:eastAsia="Times New Roman" w:hAnsi="Times New Roman"/>
                <w:sz w:val="14"/>
                <w:szCs w:val="14"/>
                <w:color w:val="auto"/>
              </w:rPr>
              <w:t>_________________________________________</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0" w:lineRule="exact"/>
        <w:rPr>
          <w:sz w:val="24"/>
          <w:szCs w:val="24"/>
          <w:color w:val="auto"/>
        </w:rPr>
      </w:pPr>
    </w:p>
    <w:tbl>
      <w:tblPr>
        <w:tblLayout w:type="fixed"/>
        <w:tblInd w:w="720" w:type="dxa"/>
        <w:tblCellMar>
          <w:top w:w="0" w:type="dxa"/>
          <w:left w:w="0" w:type="dxa"/>
          <w:bottom w:w="0" w:type="dxa"/>
          <w:right w:w="0" w:type="dxa"/>
        </w:tblCellMar>
      </w:tblPr>
      <w:tr>
        <w:trPr>
          <w:trHeight w:val="189"/>
        </w:trPr>
        <w:tc>
          <w:tcPr>
            <w:tcW w:w="34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Trading Symbol(s)</w:t>
            </w:r>
          </w:p>
        </w:tc>
        <w:tc>
          <w:tcPr>
            <w:tcW w:w="3700" w:type="dxa"/>
            <w:vAlign w:val="bottom"/>
          </w:tcPr>
          <w:p>
            <w:pPr>
              <w:jc w:val="center"/>
              <w:ind w:left="73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34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w w:val="99"/>
              </w:rPr>
              <w:t>Class B Common Stock, No Par Value</w:t>
            </w:r>
          </w:p>
        </w:tc>
        <w:tc>
          <w:tcPr>
            <w:tcW w:w="2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8"/>
              </w:rPr>
              <w:t>DLTH</w:t>
            </w:r>
          </w:p>
        </w:tc>
        <w:tc>
          <w:tcPr>
            <w:tcW w:w="370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40575"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48920"/>
                    </a:xfrm>
                    <a:prstGeom prst="rect">
                      <a:avLst/>
                    </a:prstGeom>
                    <a:noFill/>
                  </pic:spPr>
                </pic:pic>
              </a:graphicData>
            </a:graphic>
          </wp:anchor>
        </w:drawing>
      </w:r>
    </w:p>
    <w:p>
      <w:pPr>
        <w:spacing w:after="0" w:line="12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w:t>
      </w:r>
    </w:p>
    <w:p>
      <w:pPr>
        <w:spacing w:after="0" w:line="10" w:lineRule="exact"/>
        <w:rPr>
          <w:sz w:val="24"/>
          <w:szCs w:val="24"/>
          <w:color w:val="auto"/>
        </w:rPr>
      </w:pPr>
    </w:p>
    <w:p>
      <w:pPr>
        <w:ind w:right="240"/>
        <w:spacing w:after="0" w:line="191" w:lineRule="exact"/>
        <w:rPr>
          <w:sz w:val="20"/>
          <w:szCs w:val="20"/>
          <w:color w:val="auto"/>
        </w:rPr>
      </w:pPr>
      <w:r>
        <w:rPr>
          <w:rFonts w:ascii="Times New Roman" w:cs="Times New Roman" w:eastAsia="Times New Roman" w:hAnsi="Times New Roman"/>
          <w:sz w:val="16"/>
          <w:szCs w:val="16"/>
          <w:color w:val="auto"/>
        </w:rPr>
        <w:t xml:space="preserve">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01" w:lineRule="exact"/>
        <w:rPr>
          <w:sz w:val="24"/>
          <w:szCs w:val="24"/>
          <w:color w:val="auto"/>
        </w:rPr>
      </w:pPr>
    </w:p>
    <w:p>
      <w:pPr>
        <w:ind w:firstLine="428"/>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89" w:lineRule="exact"/>
        <w:rPr>
          <w:sz w:val="24"/>
          <w:szCs w:val="24"/>
          <w:color w:val="auto"/>
        </w:rPr>
      </w:pPr>
    </w:p>
    <w:p>
      <w:pPr>
        <w:jc w:val="both"/>
        <w:ind w:right="220" w:firstLine="428"/>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1000" w:type="dxa"/>
        <w:tblCellMar>
          <w:top w:w="0" w:type="dxa"/>
          <w:left w:w="0" w:type="dxa"/>
          <w:bottom w:w="0" w:type="dxa"/>
          <w:right w:w="0" w:type="dxa"/>
        </w:tblCellMar>
      </w:tblPr>
      <w:tr>
        <w:trPr>
          <w:trHeight w:val="18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40" w:type="dxa"/>
            <w:vAlign w:val="bottom"/>
          </w:tcPr>
          <w:p>
            <w:pPr>
              <w:ind w:left="500"/>
              <w:spacing w:after="0"/>
              <w:rPr>
                <w:sz w:val="20"/>
                <w:szCs w:val="20"/>
                <w:color w:val="auto"/>
              </w:rPr>
            </w:pPr>
            <w:r>
              <w:rPr>
                <w:rFonts w:ascii="Wingdings" w:cs="Wingdings" w:eastAsia="Wingdings" w:hAnsi="Wingdings"/>
                <w:sz w:val="16"/>
                <w:szCs w:val="16"/>
                <w:b w:val="1"/>
                <w:bCs w:val="1"/>
                <w:color w:val="auto"/>
              </w:rPr>
              <w:t>o</w:t>
            </w:r>
          </w:p>
        </w:tc>
        <w:tc>
          <w:tcPr>
            <w:tcW w:w="32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40"/>
              <w:spacing w:after="0"/>
              <w:rPr>
                <w:sz w:val="20"/>
                <w:szCs w:val="20"/>
                <w:color w:val="auto"/>
              </w:rPr>
            </w:pPr>
            <w:r>
              <w:rPr>
                <w:rFonts w:ascii="Wingdings" w:cs="Wingdings" w:eastAsia="Wingdings" w:hAnsi="Wingdings"/>
                <w:sz w:val="16"/>
                <w:szCs w:val="16"/>
                <w:b w:val="1"/>
                <w:bCs w:val="1"/>
                <w:color w:val="auto"/>
                <w:w w:val="83"/>
              </w:rPr>
              <w:t>o</w:t>
            </w:r>
          </w:p>
        </w:tc>
      </w:tr>
      <w:tr>
        <w:trPr>
          <w:trHeight w:val="18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0"/>
        </w:trPr>
        <w:tc>
          <w:tcPr>
            <w:tcW w:w="2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40"/>
              <w:spacing w:after="0"/>
              <w:rPr>
                <w:sz w:val="20"/>
                <w:szCs w:val="20"/>
                <w:color w:val="auto"/>
              </w:rPr>
            </w:pPr>
            <w:r>
              <w:rPr>
                <w:rFonts w:ascii="Wingdings" w:cs="Wingdings" w:eastAsia="Wingdings" w:hAnsi="Wingdings"/>
                <w:sz w:val="16"/>
                <w:szCs w:val="16"/>
                <w:b w:val="1"/>
                <w:bCs w:val="1"/>
                <w:color w:val="auto"/>
                <w:w w:val="83"/>
              </w:rPr>
              <w:t>o</w:t>
            </w:r>
          </w:p>
        </w:tc>
      </w:tr>
    </w:tbl>
    <w:p>
      <w:pPr>
        <w:spacing w:after="0" w:line="114" w:lineRule="exact"/>
        <w:rPr>
          <w:sz w:val="24"/>
          <w:szCs w:val="24"/>
          <w:color w:val="auto"/>
        </w:rPr>
      </w:pPr>
    </w:p>
    <w:p>
      <w:pPr>
        <w:ind w:right="80" w:firstLine="428"/>
        <w:spacing w:after="0" w:line="263"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74" w:lineRule="exact"/>
        <w:rPr>
          <w:sz w:val="24"/>
          <w:szCs w:val="24"/>
          <w:color w:val="auto"/>
        </w:rPr>
      </w:pPr>
    </w:p>
    <w:p>
      <w:pPr>
        <w:ind w:left="440"/>
        <w:spacing w:after="0" w:line="184" w:lineRule="exact"/>
        <w:tabs>
          <w:tab w:leader="none" w:pos="7940" w:val="left"/>
          <w:tab w:leader="none" w:pos="85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7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A common stock, no par value, as of June 4, 2025, was 3,364,200.</w:t>
      </w:r>
    </w:p>
    <w:p>
      <w:pPr>
        <w:spacing w:after="0" w:line="1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B common stock, no par value, as of June 4, 2025, was 34,214,660.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96" w:right="419" w:bottom="1440" w:gutter="0" w:footer="0" w:header="0"/>
        </w:sectPr>
      </w:pPr>
    </w:p>
    <w:bookmarkStart w:id="1" w:name="page2"/>
    <w:bookmarkEnd w:id="1"/>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FOR QUARTER ENDED May 4,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760" w:type="dxa"/>
            <w:vAlign w:val="bottom"/>
            <w:gridSpan w:val="14"/>
          </w:tcPr>
          <w:p>
            <w:pPr>
              <w:jc w:val="center"/>
              <w:ind w:right="3620"/>
              <w:spacing w:after="0"/>
              <w:rPr>
                <w:sz w:val="20"/>
                <w:szCs w:val="20"/>
                <w:color w:val="auto"/>
              </w:rPr>
            </w:pPr>
            <w:r>
              <w:rPr>
                <w:rFonts w:ascii="Times New Roman" w:cs="Times New Roman" w:eastAsia="Times New Roman" w:hAnsi="Times New Roman"/>
                <w:sz w:val="18"/>
                <w:szCs w:val="18"/>
                <w:color w:val="0000FF"/>
                <w:w w:val="99"/>
              </w:rPr>
              <w:t>Part I—Financial Information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Page</w:t>
            </w:r>
          </w:p>
        </w:tc>
      </w:tr>
      <w:tr>
        <w:trPr>
          <w:trHeight w:val="38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60" w:type="dxa"/>
            <w:vAlign w:val="bottom"/>
            <w:gridSpan w:val="3"/>
          </w:tcPr>
          <w:p>
            <w:pPr>
              <w:spacing w:after="0"/>
              <w:rPr>
                <w:sz w:val="24"/>
                <w:szCs w:val="24"/>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140" w:type="dxa"/>
            <w:vAlign w:val="bottom"/>
            <w:tcBorders>
              <w:top w:val="single" w:sz="8" w:color="0000FF"/>
            </w:tcBorders>
            <w:gridSpan w:val="6"/>
          </w:tcPr>
          <w:p>
            <w:pPr>
              <w:spacing w:after="0"/>
              <w:rPr>
                <w:sz w:val="24"/>
                <w:szCs w:val="24"/>
                <w:color w:val="auto"/>
              </w:rPr>
            </w:pPr>
          </w:p>
        </w:tc>
        <w:tc>
          <w:tcPr>
            <w:tcW w:w="3620" w:type="dxa"/>
            <w:vAlign w:val="bottom"/>
            <w:gridSpan w:val="8"/>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May 4, 2025 and February 2, 2025 (Unaudited)</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May 4, 2025 and April 28,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4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(Unaudited)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Income for the three months ended May 4, 2025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80" w:type="dxa"/>
            <w:vAlign w:val="bottom"/>
            <w:tcBorders>
              <w:top w:val="single" w:sz="8" w:color="0000FF"/>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w w:val="99"/>
              </w:rPr>
              <w:t>and April 28, 2024 (Unaudited)</w:t>
            </w:r>
          </w:p>
        </w:tc>
        <w:tc>
          <w:tcPr>
            <w:tcW w:w="5780" w:type="dxa"/>
            <w:vAlign w:val="bottom"/>
            <w:tcBorders>
              <w:top w:val="single" w:sz="8" w:color="0000FF"/>
            </w:tcBorders>
            <w:gridSpan w:val="1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 of Shareholders’ Equity for the three months ended May 4, 2025 (Unaudited)</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6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 of Shareholders’ Equity for the three months ended April 28, 2024</w:t>
            </w:r>
          </w:p>
        </w:tc>
        <w:tc>
          <w:tcPr>
            <w:tcW w:w="6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4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(Unaudited)</w:t>
            </w:r>
          </w:p>
        </w:tc>
        <w:tc>
          <w:tcPr>
            <w:tcW w:w="660" w:type="dxa"/>
            <w:vAlign w:val="bottom"/>
            <w:gridSpan w:val="3"/>
          </w:tcPr>
          <w:p>
            <w:pPr>
              <w:spacing w:after="0"/>
              <w:rPr>
                <w:sz w:val="14"/>
                <w:szCs w:val="14"/>
                <w:color w:val="auto"/>
              </w:rPr>
            </w:pPr>
          </w:p>
        </w:tc>
        <w:tc>
          <w:tcPr>
            <w:tcW w:w="70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May 4, 2025 and April 28,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100" w:type="dxa"/>
            <w:vAlign w:val="bottom"/>
            <w:tcBorders>
              <w:top w:val="single" w:sz="8" w:color="0000FF"/>
            </w:tcBorders>
            <w:gridSpan w:val="21"/>
          </w:tcPr>
          <w:p>
            <w:pPr>
              <w:spacing w:after="0" w:line="169" w:lineRule="exact"/>
              <w:rPr>
                <w:sz w:val="20"/>
                <w:szCs w:val="20"/>
                <w:color w:val="auto"/>
              </w:rPr>
            </w:pPr>
            <w:r>
              <w:rPr>
                <w:rFonts w:ascii="Times New Roman" w:cs="Times New Roman" w:eastAsia="Times New Roman" w:hAnsi="Times New Roman"/>
                <w:sz w:val="18"/>
                <w:szCs w:val="18"/>
                <w:color w:val="0000FF"/>
              </w:rPr>
              <w:t>(Unaudited)</w:t>
            </w:r>
          </w:p>
        </w:tc>
        <w:tc>
          <w:tcPr>
            <w:tcW w:w="70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960" w:type="dxa"/>
            <w:vAlign w:val="bottom"/>
            <w:gridSpan w:val="3"/>
          </w:tcPr>
          <w:p>
            <w:pPr>
              <w:spacing w:after="0"/>
              <w:rPr>
                <w:sz w:val="24"/>
                <w:szCs w:val="24"/>
                <w:color w:val="auto"/>
              </w:rPr>
            </w:pP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4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960" w:type="dxa"/>
            <w:vAlign w:val="bottom"/>
            <w:gridSpan w:val="3"/>
          </w:tcPr>
          <w:p>
            <w:pPr>
              <w:spacing w:after="0"/>
              <w:rPr>
                <w:sz w:val="24"/>
                <w:szCs w:val="24"/>
                <w:color w:val="auto"/>
              </w:rPr>
            </w:pP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40" w:type="dxa"/>
            <w:vAlign w:val="bottom"/>
            <w:gridSpan w:val="11"/>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85"/>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8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85"/>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60" w:type="dxa"/>
            <w:vAlign w:val="bottom"/>
            <w:gridSpan w:val="13"/>
          </w:tcPr>
          <w:p>
            <w:pPr>
              <w:jc w:val="center"/>
              <w:ind w:right="3720"/>
              <w:spacing w:after="0"/>
              <w:rPr>
                <w:sz w:val="20"/>
                <w:szCs w:val="20"/>
                <w:color w:val="auto"/>
              </w:rPr>
            </w:pPr>
            <w:r>
              <w:rPr>
                <w:rFonts w:ascii="Times New Roman" w:cs="Times New Roman" w:eastAsia="Times New Roman" w:hAnsi="Times New Roman"/>
                <w:sz w:val="18"/>
                <w:szCs w:val="18"/>
                <w:color w:val="0000FF"/>
                <w:w w:val="99"/>
              </w:rPr>
              <w:t>Part II—Other Information</w:t>
            </w:r>
          </w:p>
        </w:tc>
        <w:tc>
          <w:tcPr>
            <w:tcW w:w="960" w:type="dxa"/>
            <w:vAlign w:val="bottom"/>
          </w:tcPr>
          <w:p>
            <w:pPr>
              <w:spacing w:after="0"/>
              <w:rPr>
                <w:sz w:val="24"/>
                <w:szCs w:val="24"/>
                <w:color w:val="auto"/>
              </w:rPr>
            </w:pP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60" w:type="dxa"/>
            <w:vAlign w:val="bottom"/>
            <w:gridSpan w:val="3"/>
          </w:tcPr>
          <w:p>
            <w:pPr>
              <w:spacing w:after="0"/>
              <w:rPr>
                <w:sz w:val="24"/>
                <w:szCs w:val="24"/>
                <w:color w:val="auto"/>
              </w:rPr>
            </w:pP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800" w:type="dxa"/>
            <w:vAlign w:val="bottom"/>
            <w:gridSpan w:val="5"/>
          </w:tcPr>
          <w:p>
            <w:pPr>
              <w:spacing w:after="0"/>
              <w:rPr>
                <w:sz w:val="24"/>
                <w:szCs w:val="24"/>
                <w:color w:val="auto"/>
              </w:rPr>
            </w:pPr>
          </w:p>
        </w:tc>
        <w:tc>
          <w:tcPr>
            <w:tcW w:w="1940" w:type="dxa"/>
            <w:vAlign w:val="bottom"/>
            <w:tcBorders>
              <w:top w:val="single" w:sz="8" w:color="0000FF"/>
            </w:tcBorders>
            <w:gridSpan w:val="4"/>
          </w:tcPr>
          <w:p>
            <w:pPr>
              <w:spacing w:after="0"/>
              <w:rPr>
                <w:sz w:val="24"/>
                <w:szCs w:val="24"/>
                <w:color w:val="auto"/>
              </w:rPr>
            </w:pPr>
          </w:p>
        </w:tc>
        <w:tc>
          <w:tcPr>
            <w:tcW w:w="3720" w:type="dxa"/>
            <w:vAlign w:val="bottom"/>
            <w:gridSpan w:val="9"/>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85"/>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460" w:type="dxa"/>
            <w:vAlign w:val="bottom"/>
            <w:gridSpan w:val="1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8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8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85"/>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960" w:type="dxa"/>
            <w:vAlign w:val="bottom"/>
            <w:gridSpan w:val="3"/>
          </w:tcPr>
          <w:p>
            <w:pPr>
              <w:spacing w:after="0"/>
              <w:rPr>
                <w:sz w:val="24"/>
                <w:szCs w:val="24"/>
                <w:color w:val="auto"/>
              </w:rPr>
            </w:pP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3020" w:type="dxa"/>
            <w:vAlign w:val="bottom"/>
            <w:tcBorders>
              <w:top w:val="single" w:sz="8" w:color="0000FF"/>
            </w:tcBorders>
            <w:gridSpan w:val="7"/>
          </w:tcPr>
          <w:p>
            <w:pPr>
              <w:spacing w:after="0"/>
              <w:rPr>
                <w:sz w:val="24"/>
                <w:szCs w:val="24"/>
                <w:color w:val="auto"/>
              </w:rPr>
            </w:pPr>
          </w:p>
        </w:tc>
        <w:tc>
          <w:tcPr>
            <w:tcW w:w="4460" w:type="dxa"/>
            <w:vAlign w:val="bottom"/>
            <w:gridSpan w:val="12"/>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960" w:type="dxa"/>
            <w:vAlign w:val="bottom"/>
            <w:gridSpan w:val="3"/>
          </w:tcPr>
          <w:p>
            <w:pPr>
              <w:spacing w:after="0"/>
              <w:rPr>
                <w:sz w:val="24"/>
                <w:szCs w:val="24"/>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200" w:type="dxa"/>
            <w:vAlign w:val="bottom"/>
            <w:gridSpan w:val="22"/>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777"/>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830"/>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4340" w:type="dxa"/>
            <w:vAlign w:val="bottom"/>
            <w:gridSpan w:val="11"/>
          </w:tcPr>
          <w:p>
            <w:pPr>
              <w:ind w:left="41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20"/>
        </w:trPr>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ind w:left="3760"/>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Balance Sheets - Assets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34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2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80" w:type="dxa"/>
            <w:vAlign w:val="bottom"/>
            <w:shd w:val="clear" w:color="auto" w:fill="CCEEFF"/>
          </w:tcPr>
          <w:p>
            <w:pPr>
              <w:spacing w:after="0"/>
              <w:rPr>
                <w:sz w:val="19"/>
                <w:szCs w:val="19"/>
                <w:color w:val="auto"/>
              </w:rPr>
            </w:pPr>
          </w:p>
        </w:tc>
      </w:tr>
      <w:tr>
        <w:trPr>
          <w:trHeight w:val="229"/>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1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80" w:type="dxa"/>
            <w:vAlign w:val="bottom"/>
          </w:tcPr>
          <w:p>
            <w:pPr>
              <w:spacing w:after="0"/>
              <w:rPr>
                <w:sz w:val="19"/>
                <w:szCs w:val="19"/>
                <w:color w:val="auto"/>
              </w:rPr>
            </w:pPr>
          </w:p>
        </w:tc>
      </w:tr>
      <w:tr>
        <w:trPr>
          <w:trHeight w:val="229"/>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1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less reserves of $2,333 and $2,135, respectively</w:t>
            </w:r>
          </w:p>
        </w:tc>
        <w:tc>
          <w:tcPr>
            <w:tcW w:w="1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176,108</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166,545</w:t>
            </w:r>
          </w:p>
        </w:tc>
        <w:tc>
          <w:tcPr>
            <w:tcW w:w="180" w:type="dxa"/>
            <w:vAlign w:val="bottom"/>
          </w:tcPr>
          <w:p>
            <w:pPr>
              <w:spacing w:after="0"/>
              <w:rPr>
                <w:sz w:val="23"/>
                <w:szCs w:val="23"/>
                <w:color w:val="auto"/>
              </w:rPr>
            </w:pPr>
          </w:p>
        </w:tc>
      </w:tr>
      <w:tr>
        <w:trPr>
          <w:trHeight w:val="230"/>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&amp; other current assets</w:t>
            </w:r>
          </w:p>
        </w:tc>
        <w:tc>
          <w:tcPr>
            <w:tcW w:w="16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22,189</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17,781</w:t>
            </w:r>
          </w:p>
        </w:tc>
        <w:tc>
          <w:tcPr>
            <w:tcW w:w="180" w:type="dxa"/>
            <w:vAlign w:val="bottom"/>
            <w:shd w:val="clear" w:color="auto" w:fill="CCEEFF"/>
          </w:tcPr>
          <w:p>
            <w:pPr>
              <w:spacing w:after="0"/>
              <w:rPr>
                <w:sz w:val="19"/>
                <w:szCs w:val="19"/>
                <w:color w:val="auto"/>
              </w:rPr>
            </w:pPr>
          </w:p>
        </w:tc>
      </w:tr>
      <w:tr>
        <w:trPr>
          <w:trHeight w:val="209"/>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211,124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191,631</w:t>
            </w:r>
          </w:p>
        </w:tc>
        <w:tc>
          <w:tcPr>
            <w:tcW w:w="180" w:type="dxa"/>
            <w:vAlign w:val="bottom"/>
          </w:tcPr>
          <w:p>
            <w:pPr>
              <w:spacing w:after="0"/>
              <w:rPr>
                <w:sz w:val="18"/>
                <w:szCs w:val="18"/>
                <w:color w:val="auto"/>
              </w:rPr>
            </w:pPr>
          </w:p>
        </w:tc>
      </w:tr>
      <w:tr>
        <w:trPr>
          <w:trHeight w:val="22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111,560</w:t>
            </w:r>
          </w:p>
        </w:tc>
        <w:tc>
          <w:tcPr>
            <w:tcW w:w="180" w:type="dxa"/>
            <w:vAlign w:val="bottom"/>
            <w:shd w:val="clear" w:color="auto" w:fill="CCEEFF"/>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100,076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102,663</w:t>
            </w:r>
          </w:p>
        </w:tc>
        <w:tc>
          <w:tcPr>
            <w:tcW w:w="180" w:type="dxa"/>
            <w:vAlign w:val="bottom"/>
          </w:tcPr>
          <w:p>
            <w:pPr>
              <w:spacing w:after="0"/>
              <w:rPr>
                <w:sz w:val="19"/>
                <w:szCs w:val="19"/>
                <w:color w:val="auto"/>
              </w:rPr>
            </w:pPr>
          </w:p>
        </w:tc>
      </w:tr>
      <w:tr>
        <w:trPr>
          <w:trHeight w:val="22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1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32,112</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32,957</w:t>
            </w:r>
          </w:p>
        </w:tc>
        <w:tc>
          <w:tcPr>
            <w:tcW w:w="180" w:type="dxa"/>
            <w:vAlign w:val="bottom"/>
            <w:shd w:val="clear" w:color="auto" w:fill="CCEEFF"/>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security</w:t>
            </w:r>
          </w:p>
        </w:tc>
        <w:tc>
          <w:tcPr>
            <w:tcW w:w="1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80" w:type="dxa"/>
            <w:vAlign w:val="bottom"/>
          </w:tcPr>
          <w:p>
            <w:pPr>
              <w:spacing w:after="0"/>
              <w:rPr>
                <w:sz w:val="19"/>
                <w:szCs w:val="19"/>
                <w:color w:val="auto"/>
              </w:rPr>
            </w:pPr>
          </w:p>
        </w:tc>
      </w:tr>
      <w:tr>
        <w:trPr>
          <w:trHeight w:val="22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w:t>
            </w:r>
          </w:p>
        </w:tc>
        <w:tc>
          <w:tcPr>
            <w:tcW w:w="180" w:type="dxa"/>
            <w:vAlign w:val="bottom"/>
            <w:shd w:val="clear" w:color="auto" w:fill="CCEEFF"/>
          </w:tcPr>
          <w:p>
            <w:pPr>
              <w:spacing w:after="0"/>
              <w:rPr>
                <w:sz w:val="19"/>
                <w:szCs w:val="19"/>
                <w:color w:val="auto"/>
              </w:rPr>
            </w:pPr>
          </w:p>
        </w:tc>
      </w:tr>
      <w:tr>
        <w:trPr>
          <w:trHeight w:val="22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596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assets</w:t>
            </w:r>
          </w:p>
        </w:tc>
        <w:tc>
          <w:tcPr>
            <w:tcW w:w="16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463,705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452,442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 w:name="page4"/>
    <w:bookmarkEnd w:id="3"/>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Liabilities and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34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9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144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73,882</w:t>
            </w:r>
          </w:p>
        </w:tc>
        <w:tc>
          <w:tcPr>
            <w:tcW w:w="180" w:type="dxa"/>
            <w:vAlign w:val="bottom"/>
            <w:shd w:val="clear" w:color="auto" w:fill="CCEEFF"/>
          </w:tcPr>
          <w:p>
            <w:pPr>
              <w:spacing w:after="0"/>
              <w:rPr>
                <w:sz w:val="19"/>
                <w:szCs w:val="19"/>
                <w:color w:val="auto"/>
              </w:rPr>
            </w:pPr>
          </w:p>
        </w:tc>
      </w:tr>
      <w:tr>
        <w:trPr>
          <w:trHeight w:val="230"/>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35,684</w:t>
            </w:r>
          </w:p>
        </w:tc>
        <w:tc>
          <w:tcPr>
            <w:tcW w:w="180" w:type="dxa"/>
            <w:vAlign w:val="bottom"/>
          </w:tcPr>
          <w:p>
            <w:pPr>
              <w:spacing w:after="0"/>
              <w:rPr>
                <w:sz w:val="19"/>
                <w:szCs w:val="19"/>
                <w:color w:val="auto"/>
              </w:rPr>
            </w:pPr>
          </w:p>
        </w:tc>
      </w:tr>
      <w:tr>
        <w:trPr>
          <w:trHeight w:val="22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19"/>
                <w:szCs w:val="19"/>
                <w:color w:val="auto"/>
              </w:rPr>
            </w:pPr>
          </w:p>
        </w:tc>
      </w:tr>
      <w:tr>
        <w:trPr>
          <w:trHeight w:val="22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180" w:type="dxa"/>
            <w:vAlign w:val="bottom"/>
          </w:tcPr>
          <w:p>
            <w:pPr>
              <w:spacing w:after="0"/>
              <w:rPr>
                <w:sz w:val="19"/>
                <w:szCs w:val="19"/>
                <w:color w:val="auto"/>
              </w:rPr>
            </w:pPr>
          </w:p>
        </w:tc>
      </w:tr>
      <w:tr>
        <w:trPr>
          <w:trHeight w:val="230"/>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80" w:type="dxa"/>
            <w:vAlign w:val="bottom"/>
            <w:shd w:val="clear" w:color="auto" w:fill="CCEEFF"/>
          </w:tcPr>
          <w:p>
            <w:pPr>
              <w:spacing w:after="0"/>
              <w:rPr>
                <w:sz w:val="19"/>
                <w:szCs w:val="19"/>
                <w:color w:val="auto"/>
              </w:rPr>
            </w:pPr>
          </w:p>
        </w:tc>
      </w:tr>
      <w:tr>
        <w:trPr>
          <w:trHeight w:val="22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Line of credit</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maturities of TRI long-term debt</w:t>
            </w:r>
          </w:p>
        </w:tc>
        <w:tc>
          <w:tcPr>
            <w:tcW w:w="9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80" w:type="dxa"/>
            <w:vAlign w:val="bottom"/>
            <w:shd w:val="clear" w:color="auto" w:fill="CCEEFF"/>
          </w:tcPr>
          <w:p>
            <w:pPr>
              <w:spacing w:after="0"/>
              <w:rPr>
                <w:sz w:val="19"/>
                <w:szCs w:val="19"/>
                <w:color w:val="auto"/>
              </w:rPr>
            </w:pPr>
          </w:p>
        </w:tc>
      </w:tr>
      <w:tr>
        <w:trPr>
          <w:trHeight w:val="210"/>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156,954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128,637</w:t>
            </w:r>
          </w:p>
        </w:tc>
        <w:tc>
          <w:tcPr>
            <w:tcW w:w="180" w:type="dxa"/>
            <w:vAlign w:val="bottom"/>
          </w:tcPr>
          <w:p>
            <w:pPr>
              <w:spacing w:after="0"/>
              <w:rPr>
                <w:sz w:val="18"/>
                <w:szCs w:val="18"/>
                <w:color w:val="auto"/>
              </w:rPr>
            </w:pPr>
          </w:p>
        </w:tc>
      </w:tr>
      <w:tr>
        <w:trPr>
          <w:trHeight w:val="22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less current maturities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86,471</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89,222</w:t>
            </w:r>
          </w:p>
        </w:tc>
        <w:tc>
          <w:tcPr>
            <w:tcW w:w="180" w:type="dxa"/>
            <w:vAlign w:val="bottom"/>
            <w:shd w:val="clear" w:color="auto" w:fill="CCEEFF"/>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less current maturities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30,621</w:t>
            </w:r>
          </w:p>
        </w:tc>
        <w:tc>
          <w:tcPr>
            <w:tcW w:w="180" w:type="dxa"/>
            <w:vAlign w:val="bottom"/>
          </w:tcPr>
          <w:p>
            <w:pPr>
              <w:spacing w:after="0"/>
              <w:rPr>
                <w:sz w:val="19"/>
                <w:szCs w:val="19"/>
                <w:color w:val="auto"/>
              </w:rPr>
            </w:pPr>
          </w:p>
        </w:tc>
      </w:tr>
      <w:tr>
        <w:trPr>
          <w:trHeight w:val="22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 less current maturities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24,283</w:t>
            </w:r>
          </w:p>
        </w:tc>
        <w:tc>
          <w:tcPr>
            <w:tcW w:w="180" w:type="dxa"/>
            <w:vAlign w:val="bottom"/>
            <w:shd w:val="clear" w:color="auto" w:fill="CCEEFF"/>
          </w:tcPr>
          <w:p>
            <w:pPr>
              <w:spacing w:after="0"/>
              <w:rPr>
                <w:sz w:val="19"/>
                <w:szCs w:val="19"/>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9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298,812</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272,763</w:t>
            </w: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5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2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or outstanding as of May 4, 2025 and February 2, 2025</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(Class A), no par value; 10,000 shares authorized; 3,364 shares</w:t>
            </w: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21"/>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May 4, 2025 and February 2, 2025</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9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(Class B), no par value; 200,000 shares authorized;</w:t>
            </w:r>
          </w:p>
        </w:tc>
        <w:tc>
          <w:tcPr>
            <w:tcW w:w="9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189"/>
        </w:trPr>
        <w:tc>
          <w:tcPr>
            <w:tcW w:w="66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32,154 shares issued and 31,890 shares outstanding as of May 4, 2025 and</w:t>
            </w: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2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32,077 shares issued and 31,813 shares outstanding as of February 2, 2025</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264 and 264 shares as of May 4, 2025 and</w:t>
            </w: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21"/>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 2025, respectively</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(2,596)</w:t>
            </w:r>
          </w:p>
        </w:tc>
        <w:tc>
          <w:tcPr>
            <w:tcW w:w="3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(2,332)</w:t>
            </w: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108,329</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108,009</w:t>
            </w:r>
          </w:p>
        </w:tc>
        <w:tc>
          <w:tcPr>
            <w:tcW w:w="180" w:type="dxa"/>
            <w:vAlign w:val="bottom"/>
            <w:shd w:val="clear" w:color="auto" w:fill="CCEEFF"/>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77,721</w:t>
            </w:r>
          </w:p>
        </w:tc>
        <w:tc>
          <w:tcPr>
            <w:tcW w:w="180" w:type="dxa"/>
            <w:vAlign w:val="bottom"/>
          </w:tcPr>
          <w:p>
            <w:pPr>
              <w:spacing w:after="0"/>
              <w:rPr>
                <w:sz w:val="19"/>
                <w:szCs w:val="19"/>
                <w:color w:val="auto"/>
              </w:rPr>
            </w:pP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(722)</w:t>
            </w:r>
          </w:p>
        </w:tc>
      </w:tr>
      <w:tr>
        <w:trPr>
          <w:trHeight w:val="210"/>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shareholders' equity of Duluth Holdings Inc.</w:t>
            </w:r>
          </w:p>
        </w:tc>
        <w:tc>
          <w:tcPr>
            <w:tcW w:w="9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167,861</w:t>
            </w: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182,676</w:t>
            </w:r>
          </w:p>
        </w:tc>
        <w:tc>
          <w:tcPr>
            <w:tcW w:w="180" w:type="dxa"/>
            <w:vAlign w:val="bottom"/>
          </w:tcPr>
          <w:p>
            <w:pPr>
              <w:spacing w:after="0"/>
              <w:rPr>
                <w:sz w:val="18"/>
                <w:szCs w:val="18"/>
                <w:color w:val="auto"/>
              </w:rPr>
            </w:pP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(2,968)</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(2,997)</w:t>
            </w:r>
          </w:p>
        </w:tc>
      </w:tr>
      <w:tr>
        <w:trPr>
          <w:trHeight w:val="209"/>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9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164,893</w:t>
            </w:r>
          </w:p>
        </w:tc>
        <w:tc>
          <w:tcPr>
            <w:tcW w:w="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179,679</w:t>
            </w:r>
          </w:p>
        </w:tc>
        <w:tc>
          <w:tcPr>
            <w:tcW w:w="180" w:type="dxa"/>
            <w:vAlign w:val="bottom"/>
            <w:tcBorders>
              <w:bottom w:val="single" w:sz="8" w:color="CCEEFF"/>
            </w:tcBorders>
          </w:tcPr>
          <w:p>
            <w:pPr>
              <w:spacing w:after="0"/>
              <w:rPr>
                <w:sz w:val="18"/>
                <w:szCs w:val="18"/>
                <w:color w:val="auto"/>
              </w:rPr>
            </w:pPr>
          </w:p>
        </w:tc>
      </w:tr>
      <w:tr>
        <w:trPr>
          <w:trHeight w:val="196"/>
        </w:trPr>
        <w:tc>
          <w:tcPr>
            <w:tcW w:w="6640" w:type="dxa"/>
            <w:vAlign w:val="bottom"/>
            <w:tcBorders>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9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463,705</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452,442</w:t>
            </w:r>
          </w:p>
        </w:tc>
        <w:tc>
          <w:tcPr>
            <w:tcW w:w="180" w:type="dxa"/>
            <w:vAlign w:val="bottom"/>
            <w:tcBorders>
              <w:bottom w:val="single" w:sz="8" w:color="CCEEFF"/>
            </w:tcBorders>
            <w:shd w:val="clear" w:color="auto" w:fill="CCEEFF"/>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 w:name="page5"/>
    <w:bookmarkEnd w:id="4"/>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figures)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jc w:val="right"/>
              <w:ind w:right="11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5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102,704</w:t>
            </w:r>
          </w:p>
        </w:tc>
        <w:tc>
          <w:tcPr>
            <w:tcW w:w="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65,707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300" w:type="dxa"/>
            <w:vAlign w:val="bottom"/>
            <w:tcBorders>
              <w:bottom w:val="single" w:sz="8" w:color="auto"/>
            </w:tcBorders>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(15,293)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(7,873)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5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Basic earnings per share (Class A and Class B):</w:t>
            </w: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controlling interest</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(0.45)</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(Class A and Class B):</w:t>
            </w: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and equivalents outstanding</w:t>
            </w:r>
          </w:p>
        </w:tc>
        <w:tc>
          <w:tcPr>
            <w:tcW w:w="3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33,714</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controlling interest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(0.45)</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 w:name="page6"/>
    <w:bookmarkEnd w:id="5"/>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5"/>
          </w:tcPr>
          <w:p>
            <w:pPr>
              <w:jc w:val="right"/>
              <w:ind w:right="113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3"/>
        </w:trPr>
        <w:tc>
          <w:tcPr>
            <w:tcW w:w="5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April 28, 2024</w:t>
            </w:r>
          </w:p>
        </w:tc>
      </w:tr>
      <w:tr>
        <w:trPr>
          <w:trHeight w:val="196"/>
        </w:trPr>
        <w:tc>
          <w:tcPr>
            <w:tcW w:w="5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(15,264)</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(7,865)</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available-for sale:</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security gain (loss) arising during the period</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196"/>
        </w:trPr>
        <w:tc>
          <w:tcPr>
            <w:tcW w:w="596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5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422</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5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(14,842)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(7,970)</w:t>
            </w:r>
          </w:p>
        </w:tc>
      </w:tr>
      <w:tr>
        <w:trPr>
          <w:trHeight w:val="229"/>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15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5"/>
        </w:trPr>
        <w:tc>
          <w:tcPr>
            <w:tcW w:w="59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Comprehensive loss attributable</w:t>
            </w: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2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controlling interest</w:t>
            </w:r>
          </w:p>
        </w:tc>
        <w:tc>
          <w:tcPr>
            <w:tcW w:w="18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(14,871)</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 w:name="page7"/>
    <w:bookmarkEnd w:id="6"/>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8"/>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 May 4, 2025</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4"/>
        </w:trPr>
        <w:tc>
          <w:tcPr>
            <w:tcW w:w="3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8"/>
        </w:trPr>
        <w:tc>
          <w:tcPr>
            <w:tcW w:w="3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6"/>
        </w:trPr>
        <w:tc>
          <w:tcPr>
            <w:tcW w:w="3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6"/>
                <w:szCs w:val="16"/>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6"/>
                <w:szCs w:val="16"/>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99"/>
        </w:trPr>
        <w:tc>
          <w:tcPr>
            <w:tcW w:w="3620" w:type="dxa"/>
            <w:vAlign w:val="bottom"/>
          </w:tcPr>
          <w:p>
            <w:pPr>
              <w:spacing w:after="0"/>
              <w:rPr>
                <w:sz w:val="17"/>
                <w:szCs w:val="17"/>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entity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2, 2025</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35,177</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179,679</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(15,293)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(15,264)</w:t>
            </w:r>
          </w:p>
        </w:tc>
      </w:tr>
      <w:tr>
        <w:trPr>
          <w:trHeight w:val="196"/>
        </w:trPr>
        <w:tc>
          <w:tcPr>
            <w:tcW w:w="3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Balance at May 4, 2025</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35,254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108,329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(2,596)</w:t>
            </w: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62,428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(2,968)</w:t>
            </w: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164,893</w:t>
            </w:r>
          </w:p>
        </w:tc>
      </w:tr>
      <w:tr>
        <w:trPr>
          <w:trHeight w:val="20"/>
        </w:trPr>
        <w:tc>
          <w:tcPr>
            <w:tcW w:w="3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 w:name="page8"/>
    <w:bookmarkEnd w:id="7"/>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8"/>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 April 28, 2024</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0"/>
        </w:trPr>
        <w:tc>
          <w:tcPr>
            <w:tcW w:w="3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3"/>
        </w:trPr>
        <w:tc>
          <w:tcPr>
            <w:tcW w:w="36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9"/>
        </w:trPr>
        <w:tc>
          <w:tcPr>
            <w:tcW w:w="3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7"/>
                <w:szCs w:val="17"/>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213"/>
        </w:trPr>
        <w:tc>
          <w:tcPr>
            <w:tcW w:w="362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entity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January 28, 2024</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34,387</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103,579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(1,738)</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121,392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(3,056)</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219,750</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(7,873)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w:t>
            </w:r>
          </w:p>
        </w:tc>
      </w:tr>
      <w:tr>
        <w:trPr>
          <w:trHeight w:val="20"/>
        </w:trPr>
        <w:tc>
          <w:tcPr>
            <w:tcW w:w="3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3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April 28,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105,061</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113,519</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(3,048)</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212,879</w:t>
            </w:r>
          </w:p>
        </w:tc>
      </w:tr>
      <w:tr>
        <w:trPr>
          <w:trHeight w:val="20"/>
        </w:trPr>
        <w:tc>
          <w:tcPr>
            <w:tcW w:w="3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 w:name="page9"/>
    <w:bookmarkEnd w:id="8"/>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4"/>
          </w:tcPr>
          <w:p>
            <w:pPr>
              <w:jc w:val="right"/>
              <w:ind w:right="12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320" w:type="dxa"/>
            <w:vAlign w:val="bottom"/>
          </w:tcPr>
          <w:p>
            <w:pPr>
              <w:spacing w:after="0"/>
              <w:rPr>
                <w:sz w:val="17"/>
                <w:szCs w:val="17"/>
                <w:color w:val="auto"/>
              </w:rPr>
            </w:pPr>
          </w:p>
        </w:tc>
        <w:tc>
          <w:tcPr>
            <w:tcW w:w="15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0" w:type="dxa"/>
            <w:vAlign w:val="bottom"/>
          </w:tcPr>
          <w:p>
            <w:pPr>
              <w:spacing w:after="0"/>
              <w:rPr>
                <w:sz w:val="1"/>
                <w:szCs w:val="1"/>
                <w:color w:val="auto"/>
              </w:rPr>
            </w:pPr>
          </w:p>
        </w:tc>
      </w:tr>
      <w:tr>
        <w:trPr>
          <w:trHeight w:val="196"/>
        </w:trPr>
        <w:tc>
          <w:tcPr>
            <w:tcW w:w="6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(15,264)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(278)</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0" w:type="dxa"/>
            <w:vAlign w:val="bottom"/>
          </w:tcPr>
          <w:p>
            <w:pPr>
              <w:spacing w:after="0"/>
              <w:rPr>
                <w:sz w:val="1"/>
                <w:szCs w:val="1"/>
                <w:color w:val="auto"/>
              </w:rPr>
            </w:pPr>
          </w:p>
        </w:tc>
      </w:tr>
      <w:tr>
        <w:trPr>
          <w:trHeight w:val="229"/>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(9,563)</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w:t>
            </w: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 &amp; other current assets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(1,920)</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 hosting implementation costs, net</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(2,446)</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(28,159)</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deferred rent obligations</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(7,940)</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lease impacts</w:t>
            </w:r>
          </w:p>
        </w:tc>
        <w:tc>
          <w:tcPr>
            <w:tcW w:w="10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196"/>
        </w:trPr>
        <w:tc>
          <w:tcPr>
            <w:tcW w:w="626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(56,463)</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(33,666)</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(1,332)</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receipts from available-for-sale security</w:t>
            </w:r>
          </w:p>
        </w:tc>
        <w:tc>
          <w:tcPr>
            <w:tcW w:w="10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626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(1,279)</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64,450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(450)</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Payments on TRI long term debt</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(622)</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Payments of tax withholding on vested restricted shares</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(264)</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96"/>
        </w:trPr>
        <w:tc>
          <w:tcPr>
            <w:tcW w:w="626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62,986</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9,785</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5,244</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(25,358)</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32,157</w:t>
            </w:r>
          </w:p>
        </w:tc>
        <w:tc>
          <w:tcPr>
            <w:tcW w:w="0" w:type="dxa"/>
            <w:vAlign w:val="bottom"/>
          </w:tcPr>
          <w:p>
            <w:pPr>
              <w:spacing w:after="0"/>
              <w:rPr>
                <w:sz w:val="1"/>
                <w:szCs w:val="1"/>
                <w:color w:val="auto"/>
              </w:rPr>
            </w:pPr>
          </w:p>
        </w:tc>
      </w:tr>
      <w:tr>
        <w:trPr>
          <w:trHeight w:val="183"/>
        </w:trPr>
        <w:tc>
          <w:tcPr>
            <w:tcW w:w="626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8,579</w:t>
            </w:r>
          </w:p>
        </w:tc>
        <w:tc>
          <w:tcPr>
            <w:tcW w:w="1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6,799</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OPERATIONS AND BASIS OF PRESENTATION</w:t>
      </w:r>
    </w:p>
    <w:p>
      <w:pPr>
        <w:spacing w:after="0" w:line="171"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Nature of Operations</w:t>
      </w:r>
    </w:p>
    <w:p>
      <w:pPr>
        <w:spacing w:after="0" w:line="175" w:lineRule="exact"/>
        <w:rPr>
          <w:sz w:val="20"/>
          <w:szCs w:val="20"/>
          <w:color w:val="auto"/>
        </w:rPr>
      </w:pPr>
    </w:p>
    <w:p>
      <w:pPr>
        <w:ind w:right="400" w:firstLine="428"/>
        <w:spacing w:after="0" w:line="236" w:lineRule="auto"/>
        <w:rPr>
          <w:sz w:val="20"/>
          <w:szCs w:val="20"/>
          <w:color w:val="auto"/>
        </w:rPr>
      </w:pPr>
      <w:r>
        <w:rPr>
          <w:rFonts w:ascii="Times New Roman" w:cs="Times New Roman" w:eastAsia="Times New Roman" w:hAnsi="Times New Roman"/>
          <w:sz w:val="18"/>
          <w:szCs w:val="18"/>
          <w:color w:val="auto"/>
        </w:rPr>
        <w:t>Duluth Holdings Inc. (“Duluth Trading” or the “Company”), a Wisconsin corporation, is a lifestyle brand of men’s and women’s casual wear, workwear and accessories sold primarily through the Company’s own omnichannel platform. The Company’s products are marketed under the Duluth Trading name, with the majority of products being exclusively developed and sold as Duluth Trading branded merchandise.</w:t>
      </w:r>
    </w:p>
    <w:p>
      <w:pPr>
        <w:spacing w:after="0" w:line="145" w:lineRule="exact"/>
        <w:rPr>
          <w:sz w:val="20"/>
          <w:szCs w:val="20"/>
          <w:color w:val="auto"/>
        </w:rPr>
      </w:pPr>
    </w:p>
    <w:p>
      <w:pPr>
        <w:ind w:right="300" w:firstLine="492"/>
        <w:spacing w:after="0" w:line="242" w:lineRule="auto"/>
        <w:rPr>
          <w:sz w:val="20"/>
          <w:szCs w:val="20"/>
          <w:color w:val="auto"/>
        </w:rPr>
      </w:pPr>
      <w:r>
        <w:rPr>
          <w:rFonts w:ascii="Times New Roman" w:cs="Times New Roman" w:eastAsia="Times New Roman" w:hAnsi="Times New Roman"/>
          <w:sz w:val="18"/>
          <w:szCs w:val="18"/>
          <w:color w:val="auto"/>
        </w:rPr>
        <w:t>The Company identifies its operating segments according to how its business activities are managed and evaluated. The Company continues to report one reportable external segment, consistent with the Company’s omnichannel business approach. The Company’s revenues generated outside the United States were insignificant.</w:t>
      </w:r>
    </w:p>
    <w:p>
      <w:pPr>
        <w:spacing w:after="0" w:line="143" w:lineRule="exact"/>
        <w:rPr>
          <w:sz w:val="20"/>
          <w:szCs w:val="20"/>
          <w:color w:val="auto"/>
        </w:rPr>
      </w:pPr>
    </w:p>
    <w:p>
      <w:pPr>
        <w:jc w:val="both"/>
        <w:ind w:right="340" w:firstLine="428"/>
        <w:spacing w:after="0" w:line="236" w:lineRule="auto"/>
        <w:rPr>
          <w:sz w:val="20"/>
          <w:szCs w:val="20"/>
          <w:color w:val="auto"/>
        </w:rPr>
      </w:pPr>
      <w:r>
        <w:rPr>
          <w:rFonts w:ascii="Times New Roman" w:cs="Times New Roman" w:eastAsia="Times New Roman" w:hAnsi="Times New Roman"/>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0"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ind w:right="200" w:firstLine="428"/>
        <w:spacing w:after="0" w:line="242"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accordance with U.S. Generally Accepted Accounting Principles (“U.S. GAAP”). The Company consolidates TRI Holdings, LLC (“TRI”) as a variable interest entity (see Note 6 “Variable Interest Entity” for further information). All significant intercompany balances and transactions have been eliminated in consolidation.</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fiscal year ends on the Sunday nearest to January 31 of the following year. Fiscal 2025 is a 52-week period and ends on February 1,</w:t>
      </w:r>
    </w:p>
    <w:p>
      <w:pPr>
        <w:spacing w:after="0" w:line="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2026. Fiscal 2024 was a 53-week period and ended on February 2, 2025. The three months of fiscal 2025 and fiscal 2024 represent the Company’s 13-week periods ended May 4, 2025 and April 28, 2024, respectively.</w:t>
      </w:r>
    </w:p>
    <w:p>
      <w:pPr>
        <w:spacing w:after="0" w:line="128" w:lineRule="exact"/>
        <w:rPr>
          <w:sz w:val="20"/>
          <w:szCs w:val="20"/>
          <w:color w:val="auto"/>
        </w:rPr>
      </w:pPr>
    </w:p>
    <w:p>
      <w:pPr>
        <w:ind w:right="60" w:firstLine="428"/>
        <w:spacing w:after="0" w:line="23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and for the three months ended May 4, 2025 and April 28, 2024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months ended May 4, 2025 and April 28, 2024. These interim condensed consolidated financial statements should be read in conjunction with the consolidated financial statements and notes included in the Company’s annual report on Form 10-K for the fiscal year ended February 2, 2025.</w:t>
      </w:r>
    </w:p>
    <w:p>
      <w:pPr>
        <w:spacing w:after="0" w:line="128"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Inventory</w:t>
      </w:r>
    </w:p>
    <w:p>
      <w:pPr>
        <w:spacing w:after="0" w:line="175"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Inventory consists of finished goods stated at the lower of cost or net realizable value, with cost determined using the first-in, first-out valuation method. The Company records an inventory reserve for the anticipated loss associated with selling inventories below cost. Inventory reserve for excess and obsolete items was $2.3 million and $2.1 million as of May 4, 2025 and February 2,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D.</w:t>
        <w:tab/>
        <w:t>Prepaid Expenses and Other Assets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6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196"/>
        </w:trPr>
        <w:tc>
          <w:tcPr>
            <w:tcW w:w="5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Prepaid expenses &amp; other current assets</w:t>
            </w:r>
          </w:p>
        </w:tc>
        <w:tc>
          <w:tcPr>
            <w:tcW w:w="1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Pending returns inventory, net</w:t>
            </w:r>
          </w:p>
        </w:tc>
        <w:tc>
          <w:tcPr>
            <w:tcW w:w="2960" w:type="dxa"/>
            <w:vAlign w:val="bottom"/>
            <w:gridSpan w:val="2"/>
          </w:tcPr>
          <w:p>
            <w:pPr>
              <w:jc w:val="right"/>
              <w:ind w:right="13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1,735</w:t>
            </w:r>
          </w:p>
        </w:tc>
        <w:tc>
          <w:tcPr>
            <w:tcW w:w="600" w:type="dxa"/>
            <w:vAlign w:val="bottom"/>
            <w:gridSpan w:val="2"/>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2,301</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Current software hosting implementation costs, net</w:t>
            </w:r>
          </w:p>
        </w:tc>
        <w:tc>
          <w:tcPr>
            <w:tcW w:w="1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3,728</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3,749</w:t>
            </w:r>
          </w:p>
        </w:tc>
      </w:tr>
      <w:tr>
        <w:trPr>
          <w:trHeight w:val="203"/>
        </w:trPr>
        <w:tc>
          <w:tcPr>
            <w:tcW w:w="522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Other prepaid expenses</w:t>
            </w:r>
          </w:p>
        </w:tc>
        <w:tc>
          <w:tcPr>
            <w:tcW w:w="14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16,726</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11,731</w:t>
            </w:r>
          </w:p>
        </w:tc>
      </w:tr>
      <w:tr>
        <w:trPr>
          <w:trHeight w:val="183"/>
        </w:trPr>
        <w:tc>
          <w:tcPr>
            <w:tcW w:w="5220" w:type="dxa"/>
            <w:vAlign w:val="bottom"/>
            <w:tcBorders>
              <w:bottom w:val="single" w:sz="8" w:color="CCEEFF"/>
            </w:tcBorders>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Prepaid expenses &amp; other current assets</w:t>
            </w:r>
          </w:p>
        </w:tc>
        <w:tc>
          <w:tcPr>
            <w:tcW w:w="142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138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22,189</w:t>
            </w:r>
          </w:p>
        </w:tc>
        <w:tc>
          <w:tcPr>
            <w:tcW w:w="2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17,781</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69"/>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Other assets, net</w:t>
            </w:r>
          </w:p>
        </w:tc>
        <w:tc>
          <w:tcPr>
            <w:tcW w:w="1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Intangible assets, net</w:t>
            </w:r>
          </w:p>
        </w:tc>
        <w:tc>
          <w:tcPr>
            <w:tcW w:w="2960" w:type="dxa"/>
            <w:vAlign w:val="bottom"/>
            <w:gridSpan w:val="2"/>
          </w:tcPr>
          <w:p>
            <w:pPr>
              <w:jc w:val="right"/>
              <w:ind w:right="13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410</w:t>
            </w:r>
          </w:p>
        </w:tc>
        <w:tc>
          <w:tcPr>
            <w:tcW w:w="600" w:type="dxa"/>
            <w:vAlign w:val="bottom"/>
            <w:gridSpan w:val="2"/>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414</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Non-current software hosting implementation costs</w:t>
            </w:r>
          </w:p>
        </w:tc>
        <w:tc>
          <w:tcPr>
            <w:tcW w:w="1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7,456</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7,498</w:t>
            </w:r>
          </w:p>
        </w:tc>
      </w:tr>
      <w:tr>
        <w:trPr>
          <w:trHeight w:val="203"/>
        </w:trPr>
        <w:tc>
          <w:tcPr>
            <w:tcW w:w="522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1,393</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1,228</w:t>
            </w:r>
          </w:p>
        </w:tc>
      </w:tr>
      <w:tr>
        <w:trPr>
          <w:trHeight w:val="183"/>
        </w:trPr>
        <w:tc>
          <w:tcPr>
            <w:tcW w:w="5220" w:type="dxa"/>
            <w:vAlign w:val="bottom"/>
            <w:tcBorders>
              <w:bottom w:val="single" w:sz="8" w:color="CCEEFF"/>
            </w:tcBorders>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138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9,259</w:t>
            </w:r>
          </w:p>
        </w:tc>
        <w:tc>
          <w:tcPr>
            <w:tcW w:w="2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9,140</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175" w:lineRule="exact"/>
        <w:rPr>
          <w:sz w:val="20"/>
          <w:szCs w:val="20"/>
          <w:color w:val="auto"/>
        </w:rPr>
      </w:pPr>
    </w:p>
    <w:p>
      <w:pPr>
        <w:ind w:right="280" w:firstLine="428"/>
        <w:spacing w:after="0" w:line="250" w:lineRule="auto"/>
        <w:rPr>
          <w:sz w:val="20"/>
          <w:szCs w:val="20"/>
          <w:color w:val="auto"/>
        </w:rPr>
      </w:pPr>
      <w:r>
        <w:rPr>
          <w:rFonts w:ascii="Times New Roman" w:cs="Times New Roman" w:eastAsia="Times New Roman" w:hAnsi="Times New Roman"/>
          <w:sz w:val="18"/>
          <w:szCs w:val="18"/>
          <w:color w:val="auto"/>
        </w:rPr>
        <w:t>The Company’s business is affected by the pattern of seasonality common to most apparel businesses. Historically, the Company has recognized a significant portion of its revenue and operating profit in the fourth fiscal quarter of each year due to increased sales during the holiday season.</w:t>
      </w:r>
    </w:p>
    <w:p>
      <w:pPr>
        <w:spacing w:after="0" w:line="132"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62" w:lineRule="exact"/>
        <w:rPr>
          <w:sz w:val="20"/>
          <w:szCs w:val="20"/>
          <w:color w:val="auto"/>
        </w:rPr>
      </w:pPr>
    </w:p>
    <w:p>
      <w:pPr>
        <w:ind w:right="360" w:firstLine="428"/>
        <w:spacing w:after="0" w:line="242" w:lineRule="auto"/>
        <w:rPr>
          <w:sz w:val="20"/>
          <w:szCs w:val="20"/>
          <w:color w:val="auto"/>
        </w:rPr>
      </w:pPr>
      <w:r>
        <w:rPr>
          <w:rFonts w:ascii="Times New Roman" w:cs="Times New Roman" w:eastAsia="Times New Roman" w:hAnsi="Times New Roman"/>
          <w:sz w:val="18"/>
          <w:szCs w:val="18"/>
          <w:color w:val="auto"/>
        </w:rPr>
        <w:t>The Company considers short-term investments with original maturities of three months or less when purchased to be cash equivalents. Amounts receivable from credit card issuers are typically converted to cash within 2 to 4 days of the original sales transaction and are considered to be cash equivalents.</w:t>
      </w:r>
    </w:p>
    <w:p>
      <w:pPr>
        <w:spacing w:after="0" w:line="13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G.</w:t>
        <w:tab/>
        <w:t>Significant Accounting Policies</w:t>
      </w:r>
    </w:p>
    <w:p>
      <w:pPr>
        <w:spacing w:after="0" w:line="175" w:lineRule="exact"/>
        <w:rPr>
          <w:sz w:val="20"/>
          <w:szCs w:val="20"/>
          <w:color w:val="auto"/>
        </w:rPr>
      </w:pPr>
    </w:p>
    <w:p>
      <w:pPr>
        <w:ind w:right="100" w:firstLine="428"/>
        <w:spacing w:after="0" w:line="250" w:lineRule="auto"/>
        <w:rPr>
          <w:sz w:val="20"/>
          <w:szCs w:val="20"/>
          <w:color w:val="auto"/>
        </w:rPr>
      </w:pPr>
      <w:r>
        <w:rPr>
          <w:rFonts w:ascii="Times New Roman" w:cs="Times New Roman" w:eastAsia="Times New Roman" w:hAnsi="Times New Roman"/>
          <w:sz w:val="18"/>
          <w:szCs w:val="18"/>
          <w:color w:val="auto"/>
        </w:rPr>
        <w:t>There have been no significant changes to the Company’s significant accounting policies as described in the Company’s Annual Report on Form 10-K for the year ended February 2, 2025.</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LEASES</w:t>
      </w:r>
    </w:p>
    <w:p>
      <w:pPr>
        <w:spacing w:after="0" w:line="160" w:lineRule="exact"/>
        <w:rPr>
          <w:sz w:val="20"/>
          <w:szCs w:val="20"/>
          <w:color w:val="auto"/>
        </w:rPr>
      </w:pPr>
    </w:p>
    <w:p>
      <w:pPr>
        <w:ind w:right="340" w:firstLine="492"/>
        <w:spacing w:after="0" w:line="233" w:lineRule="auto"/>
        <w:rPr>
          <w:sz w:val="20"/>
          <w:szCs w:val="20"/>
          <w:color w:val="auto"/>
        </w:rPr>
      </w:pPr>
      <w:r>
        <w:rPr>
          <w:rFonts w:ascii="Times New Roman" w:cs="Times New Roman" w:eastAsia="Times New Roman" w:hAnsi="Times New Roman"/>
          <w:sz w:val="18"/>
          <w:szCs w:val="18"/>
          <w:color w:val="auto"/>
        </w:rPr>
        <w:t xml:space="preserve">Based on the criteria set forth 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recognizes right-of-use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46" w:lineRule="exact"/>
        <w:rPr>
          <w:sz w:val="20"/>
          <w:szCs w:val="20"/>
          <w:color w:val="auto"/>
        </w:rPr>
      </w:pPr>
    </w:p>
    <w:p>
      <w:pPr>
        <w:ind w:right="180" w:firstLine="492"/>
        <w:spacing w:after="0" w:line="236" w:lineRule="auto"/>
        <w:rPr>
          <w:sz w:val="20"/>
          <w:szCs w:val="20"/>
          <w:color w:val="auto"/>
        </w:rPr>
      </w:pPr>
      <w:r>
        <w:rPr>
          <w:rFonts w:ascii="Times New Roman" w:cs="Times New Roman" w:eastAsia="Times New Roman" w:hAnsi="Times New Roman"/>
          <w:sz w:val="18"/>
          <w:szCs w:val="18"/>
          <w:color w:val="auto"/>
        </w:rPr>
        <w:t>The Company leases retail space under non-cancelable lease agreements, which expire on various dates through 2036. Substantially all of these arrangements are store leases. Store leases generally have initial lease terms ranging from five years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44" w:lineRule="exact"/>
        <w:rPr>
          <w:sz w:val="20"/>
          <w:szCs w:val="20"/>
          <w:color w:val="auto"/>
        </w:rPr>
      </w:pPr>
    </w:p>
    <w:p>
      <w:pPr>
        <w:ind w:right="560" w:firstLine="492"/>
        <w:spacing w:after="0" w:line="250" w:lineRule="auto"/>
        <w:rPr>
          <w:sz w:val="20"/>
          <w:szCs w:val="20"/>
          <w:color w:val="auto"/>
        </w:rPr>
      </w:pPr>
      <w:r>
        <w:rPr>
          <w:rFonts w:ascii="Times New Roman" w:cs="Times New Roman" w:eastAsia="Times New Roman" w:hAnsi="Times New Roman"/>
          <w:sz w:val="18"/>
          <w:szCs w:val="18"/>
          <w:color w:val="auto"/>
        </w:rPr>
        <w:t>When calculating the lease liability on a discounted basis, the Company applies its estimated discount. The Company bases this discount on a collateralized interest rate as well as publicly available data for instruments with similar characteristics.</w:t>
      </w:r>
    </w:p>
    <w:p>
      <w:pPr>
        <w:spacing w:after="0" w:line="136" w:lineRule="exact"/>
        <w:rPr>
          <w:sz w:val="20"/>
          <w:szCs w:val="20"/>
          <w:color w:val="auto"/>
        </w:rPr>
      </w:pPr>
    </w:p>
    <w:p>
      <w:pPr>
        <w:ind w:right="200" w:firstLine="492"/>
        <w:spacing w:after="0" w:line="250" w:lineRule="auto"/>
        <w:rPr>
          <w:sz w:val="20"/>
          <w:szCs w:val="20"/>
          <w:color w:val="auto"/>
        </w:rPr>
      </w:pPr>
      <w:r>
        <w:rPr>
          <w:rFonts w:ascii="Times New Roman" w:cs="Times New Roman" w:eastAsia="Times New Roman" w:hAnsi="Times New Roman"/>
          <w:sz w:val="18"/>
          <w:szCs w:val="18"/>
          <w:color w:val="auto"/>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expense components of the Company’s leases reflected on the Company’s consolidated statement of operations were as follows: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Consolidated Statement</w:t>
            </w:r>
          </w:p>
        </w:tc>
        <w:tc>
          <w:tcPr>
            <w:tcW w:w="3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 Operations</w:t>
            </w:r>
          </w:p>
        </w:tc>
        <w:tc>
          <w:tcPr>
            <w:tcW w:w="360" w:type="dxa"/>
            <w:vAlign w:val="bottom"/>
          </w:tcPr>
          <w:p>
            <w:pPr>
              <w:spacing w:after="0"/>
              <w:rPr>
                <w:sz w:val="17"/>
                <w:szCs w:val="17"/>
                <w:color w:val="auto"/>
              </w:rPr>
            </w:pPr>
          </w:p>
        </w:tc>
        <w:tc>
          <w:tcPr>
            <w:tcW w:w="18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540" w:type="dxa"/>
            <w:vAlign w:val="bottom"/>
          </w:tcPr>
          <w:p>
            <w:pPr>
              <w:spacing w:after="0"/>
              <w:rPr>
                <w:sz w:val="17"/>
                <w:szCs w:val="17"/>
                <w:color w:val="auto"/>
              </w:rPr>
            </w:pPr>
          </w:p>
        </w:tc>
        <w:tc>
          <w:tcPr>
            <w:tcW w:w="14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w w:val="99"/>
              </w:rPr>
              <w:t>April 28, 2024</w:t>
            </w:r>
          </w:p>
        </w:tc>
        <w:tc>
          <w:tcPr>
            <w:tcW w:w="0" w:type="dxa"/>
            <w:vAlign w:val="bottom"/>
          </w:tcPr>
          <w:p>
            <w:pPr>
              <w:spacing w:after="0"/>
              <w:rPr>
                <w:sz w:val="1"/>
                <w:szCs w:val="1"/>
                <w:color w:val="auto"/>
              </w:rPr>
            </w:pPr>
          </w:p>
        </w:tc>
      </w:tr>
      <w:tr>
        <w:trPr>
          <w:trHeight w:val="191"/>
        </w:trPr>
        <w:tc>
          <w:tcPr>
            <w:tcW w:w="3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Pr>
          <w:p>
            <w:pPr>
              <w:spacing w:after="0"/>
              <w:rPr>
                <w:sz w:val="16"/>
                <w:szCs w:val="16"/>
                <w:color w:val="auto"/>
              </w:rPr>
            </w:pPr>
          </w:p>
        </w:tc>
        <w:tc>
          <w:tcPr>
            <w:tcW w:w="26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expenses</w:t>
            </w:r>
          </w:p>
        </w:tc>
        <w:tc>
          <w:tcPr>
            <w:tcW w:w="10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220" w:type="dxa"/>
            <w:vAlign w:val="bottom"/>
            <w:shd w:val="clear" w:color="auto" w:fill="CCEEFF"/>
          </w:tcPr>
          <w:p>
            <w:pPr>
              <w:ind w:left="140"/>
              <w:spacing w:after="0" w:line="157" w:lineRule="exact"/>
              <w:rPr>
                <w:sz w:val="20"/>
                <w:szCs w:val="20"/>
                <w:color w:val="auto"/>
              </w:rPr>
            </w:pPr>
            <w:r>
              <w:rPr>
                <w:rFonts w:ascii="Times New Roman" w:cs="Times New Roman" w:eastAsia="Times New Roman" w:hAnsi="Times New Roman"/>
                <w:sz w:val="18"/>
                <w:szCs w:val="18"/>
                <w:color w:val="auto"/>
              </w:rPr>
              <w:t>Amortization of right-of-use</w:t>
            </w:r>
          </w:p>
        </w:tc>
        <w:tc>
          <w:tcPr>
            <w:tcW w:w="3880" w:type="dxa"/>
            <w:vAlign w:val="bottom"/>
            <w:gridSpan w:val="3"/>
            <w:vMerge w:val="restart"/>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Selling, general and</w:t>
            </w:r>
          </w:p>
        </w:tc>
        <w:tc>
          <w:tcPr>
            <w:tcW w:w="3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880" w:type="dxa"/>
            <w:vAlign w:val="bottom"/>
            <w:gridSpan w:val="3"/>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220" w:type="dxa"/>
            <w:vAlign w:val="bottom"/>
            <w:vMerge w:val="continue"/>
            <w:shd w:val="clear" w:color="auto" w:fill="CCEEFF"/>
          </w:tcPr>
          <w:p>
            <w:pPr>
              <w:spacing w:after="0"/>
              <w:rPr>
                <w:sz w:val="14"/>
                <w:szCs w:val="14"/>
                <w:color w:val="auto"/>
              </w:rPr>
            </w:pPr>
          </w:p>
        </w:tc>
        <w:tc>
          <w:tcPr>
            <w:tcW w:w="3880" w:type="dxa"/>
            <w:vAlign w:val="bottom"/>
            <w:gridSpan w:val="3"/>
            <w:vMerge w:val="restart"/>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4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68"/>
        </w:trPr>
        <w:tc>
          <w:tcPr>
            <w:tcW w:w="3220" w:type="dxa"/>
            <w:vAlign w:val="bottom"/>
            <w:shd w:val="clear" w:color="auto" w:fill="CCEEFF"/>
          </w:tcPr>
          <w:p>
            <w:pPr>
              <w:spacing w:after="0"/>
              <w:rPr>
                <w:sz w:val="5"/>
                <w:szCs w:val="5"/>
                <w:color w:val="auto"/>
              </w:rPr>
            </w:pPr>
          </w:p>
        </w:tc>
        <w:tc>
          <w:tcPr>
            <w:tcW w:w="3880" w:type="dxa"/>
            <w:vAlign w:val="bottom"/>
            <w:gridSpan w:val="3"/>
            <w:vMerge w:val="continue"/>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880" w:type="dxa"/>
            <w:vAlign w:val="bottom"/>
            <w:tcBorders>
              <w:bottom w:val="single" w:sz="8" w:color="CCEEFF"/>
            </w:tcBorders>
            <w:gridSpan w:val="3"/>
          </w:tcPr>
          <w:p>
            <w:pPr>
              <w:ind w:left="10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0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25"/>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388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Selling, general and</w:t>
            </w: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388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240" w:type="dxa"/>
            <w:vAlign w:val="bottom"/>
          </w:tcPr>
          <w:p>
            <w:pPr>
              <w:spacing w:after="0"/>
              <w:rPr>
                <w:sz w:val="20"/>
                <w:szCs w:val="20"/>
                <w:color w:val="auto"/>
              </w:rPr>
            </w:pP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0" w:type="dxa"/>
            <w:vAlign w:val="bottom"/>
          </w:tcPr>
          <w:p>
            <w:pPr>
              <w:spacing w:after="0"/>
              <w:rPr>
                <w:sz w:val="1"/>
                <w:szCs w:val="1"/>
                <w:color w:val="auto"/>
              </w:rPr>
            </w:pPr>
          </w:p>
        </w:tc>
      </w:tr>
      <w:tr>
        <w:trPr>
          <w:trHeight w:val="157"/>
        </w:trPr>
        <w:tc>
          <w:tcPr>
            <w:tcW w:w="322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Amortization of build-to-suit</w:t>
            </w:r>
          </w:p>
        </w:tc>
        <w:tc>
          <w:tcPr>
            <w:tcW w:w="3880" w:type="dxa"/>
            <w:vAlign w:val="bottom"/>
            <w:gridSpan w:val="3"/>
            <w:vMerge w:val="restart"/>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Selling, general and</w:t>
            </w:r>
          </w:p>
        </w:tc>
        <w:tc>
          <w:tcPr>
            <w:tcW w:w="3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leases capital contribution</w:t>
            </w:r>
          </w:p>
        </w:tc>
        <w:tc>
          <w:tcPr>
            <w:tcW w:w="3880" w:type="dxa"/>
            <w:vAlign w:val="bottom"/>
            <w:gridSpan w:val="3"/>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220" w:type="dxa"/>
            <w:vAlign w:val="bottom"/>
            <w:vMerge w:val="continue"/>
            <w:shd w:val="clear" w:color="auto" w:fill="CCEEFF"/>
          </w:tcPr>
          <w:p>
            <w:pPr>
              <w:spacing w:after="0"/>
              <w:rPr>
                <w:sz w:val="14"/>
                <w:szCs w:val="14"/>
                <w:color w:val="auto"/>
              </w:rPr>
            </w:pPr>
          </w:p>
        </w:tc>
        <w:tc>
          <w:tcPr>
            <w:tcW w:w="3880" w:type="dxa"/>
            <w:vAlign w:val="bottom"/>
            <w:gridSpan w:val="3"/>
            <w:vMerge w:val="restart"/>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67"/>
        </w:trPr>
        <w:tc>
          <w:tcPr>
            <w:tcW w:w="3220" w:type="dxa"/>
            <w:vAlign w:val="bottom"/>
            <w:shd w:val="clear" w:color="auto" w:fill="CCEEFF"/>
          </w:tcPr>
          <w:p>
            <w:pPr>
              <w:spacing w:after="0"/>
              <w:rPr>
                <w:sz w:val="5"/>
                <w:szCs w:val="5"/>
                <w:color w:val="auto"/>
              </w:rPr>
            </w:pPr>
          </w:p>
        </w:tc>
        <w:tc>
          <w:tcPr>
            <w:tcW w:w="3880" w:type="dxa"/>
            <w:vAlign w:val="bottom"/>
            <w:gridSpan w:val="3"/>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388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Selling, general and</w:t>
            </w: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20" w:type="dxa"/>
            <w:vAlign w:val="bottom"/>
            <w:tcBorders>
              <w:bottom w:val="single" w:sz="8" w:color="CCEEFF"/>
            </w:tcBorders>
          </w:tcPr>
          <w:p>
            <w:pPr>
              <w:spacing w:after="0"/>
              <w:rPr>
                <w:sz w:val="20"/>
                <w:szCs w:val="20"/>
                <w:color w:val="auto"/>
              </w:rPr>
            </w:pPr>
          </w:p>
        </w:tc>
        <w:tc>
          <w:tcPr>
            <w:tcW w:w="3880" w:type="dxa"/>
            <w:vAlign w:val="bottom"/>
            <w:tcBorders>
              <w:bottom w:val="single" w:sz="8" w:color="CCEEFF"/>
            </w:tcBorders>
            <w:gridSpan w:val="3"/>
          </w:tcPr>
          <w:p>
            <w:pPr>
              <w:ind w:left="1040"/>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2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lease expense</w:t>
            </w:r>
          </w:p>
        </w:tc>
        <w:tc>
          <w:tcPr>
            <w:tcW w:w="1040" w:type="dxa"/>
            <w:vAlign w:val="bottom"/>
            <w:tcBorders>
              <w:bottom w:val="single" w:sz="8" w:color="CCEEFF"/>
            </w:tcBorders>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9,110</w:t>
            </w:r>
          </w:p>
        </w:tc>
        <w:tc>
          <w:tcPr>
            <w:tcW w:w="2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9,583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680" w:type="dxa"/>
            <w:vAlign w:val="bottom"/>
            <w:gridSpan w:val="2"/>
            <w:vMerge w:val="restart"/>
          </w:tcPr>
          <w:p>
            <w:pPr>
              <w:jc w:val="right"/>
              <w:ind w:right="1108"/>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3220" w:type="dxa"/>
            <w:vAlign w:val="bottom"/>
          </w:tcPr>
          <w:p>
            <w:pPr>
              <w:spacing w:after="0"/>
              <w:rPr>
                <w:sz w:val="24"/>
                <w:szCs w:val="24"/>
                <w:color w:val="auto"/>
              </w:rPr>
            </w:pPr>
          </w:p>
        </w:tc>
        <w:tc>
          <w:tcPr>
            <w:tcW w:w="36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information related to leases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tcBorders>
              <w:bottom w:val="single" w:sz="8" w:color="auto"/>
            </w:tcBorders>
          </w:tcPr>
          <w:p>
            <w:pPr>
              <w:spacing w:after="0"/>
              <w:rPr>
                <w:sz w:val="16"/>
                <w:szCs w:val="16"/>
                <w:color w:val="auto"/>
              </w:rPr>
            </w:pPr>
          </w:p>
        </w:tc>
      </w:tr>
      <w:tr>
        <w:trPr>
          <w:trHeight w:val="196"/>
        </w:trPr>
        <w:tc>
          <w:tcPr>
            <w:tcW w:w="6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5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April 28, 2024</w:t>
            </w:r>
          </w:p>
        </w:tc>
      </w:tr>
      <w:tr>
        <w:trPr>
          <w:trHeight w:val="196"/>
        </w:trPr>
        <w:tc>
          <w:tcPr>
            <w:tcW w:w="6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20" w:type="dxa"/>
            <w:vAlign w:val="bottom"/>
            <w:gridSpan w:val="2"/>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0" w:type="dxa"/>
            <w:vAlign w:val="bottom"/>
          </w:tcPr>
          <w:p>
            <w:pPr>
              <w:spacing w:after="0"/>
              <w:rPr>
                <w:sz w:val="18"/>
                <w:szCs w:val="18"/>
                <w:color w:val="auto"/>
              </w:rPr>
            </w:pP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220" w:type="dxa"/>
            <w:vAlign w:val="bottom"/>
            <w:gridSpan w:val="2"/>
            <w:shd w:val="clear" w:color="auto" w:fill="CCEEFF"/>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20" w:type="dxa"/>
            <w:vAlign w:val="bottom"/>
            <w:gridSpan w:val="2"/>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200" w:type="dxa"/>
            <w:vAlign w:val="bottom"/>
          </w:tcPr>
          <w:p>
            <w:pPr>
              <w:spacing w:after="0"/>
              <w:rPr>
                <w:sz w:val="18"/>
                <w:szCs w:val="18"/>
                <w:color w:val="auto"/>
              </w:rPr>
            </w:pP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w:t>
            </w:r>
          </w:p>
        </w:tc>
      </w:tr>
      <w:tr>
        <w:trPr>
          <w:trHeight w:val="216"/>
        </w:trPr>
        <w:tc>
          <w:tcPr>
            <w:tcW w:w="6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liabilities:</w:t>
            </w: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220" w:type="dxa"/>
            <w:vAlign w:val="bottom"/>
            <w:gridSpan w:val="2"/>
            <w:shd w:val="clear" w:color="auto" w:fill="CCEEFF"/>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line="216" w:lineRule="exact"/>
              <w:rPr>
                <w:sz w:val="20"/>
                <w:szCs w:val="20"/>
                <w:color w:val="auto"/>
              </w:rPr>
            </w:pPr>
            <w:r>
              <w:rPr>
                <w:rFonts w:ascii="Calibri" w:cs="Calibri" w:eastAsia="Calibri" w:hAnsi="Calibri"/>
                <w:sz w:val="20"/>
                <w:szCs w:val="20"/>
                <w:color w:val="auto"/>
              </w:rPr>
              <w:t>-</w:t>
            </w:r>
          </w:p>
        </w:tc>
      </w:tr>
      <w:tr>
        <w:trPr>
          <w:trHeight w:val="216"/>
        </w:trPr>
        <w:tc>
          <w:tcPr>
            <w:tcW w:w="6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3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the non-cancellable leases are as follows as of May 4,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340" w:type="dxa"/>
            <w:vAlign w:val="bottom"/>
          </w:tcPr>
          <w:p>
            <w:pPr>
              <w:spacing w:after="0"/>
              <w:rPr>
                <w:sz w:val="19"/>
                <w:szCs w:val="19"/>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196"/>
        </w:trPr>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(remainder of fiscal year)</w:t>
            </w:r>
          </w:p>
        </w:tc>
        <w:tc>
          <w:tcPr>
            <w:tcW w:w="326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14,961</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19,860</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18,552</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14,116</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20,997</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33,447</w:t>
            </w: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2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40,198</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117,577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 – Discount</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(7,658)</w:t>
            </w: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0" w:type="dxa"/>
            <w:vAlign w:val="bottom"/>
          </w:tcPr>
          <w:p>
            <w:pPr>
              <w:spacing w:after="0"/>
              <w:rPr>
                <w:sz w:val="1"/>
                <w:szCs w:val="1"/>
                <w:color w:val="auto"/>
              </w:rPr>
            </w:pPr>
          </w:p>
        </w:tc>
      </w:tr>
      <w:tr>
        <w:trPr>
          <w:trHeight w:val="183"/>
        </w:trPr>
        <w:tc>
          <w:tcPr>
            <w:tcW w:w="41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Lease liability</w:t>
            </w:r>
          </w:p>
        </w:tc>
        <w:tc>
          <w:tcPr>
            <w:tcW w:w="26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32,540</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102,346</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68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41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1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ind w:left="440" w:right="8020" w:hanging="432"/>
        <w:spacing w:after="0" w:line="500" w:lineRule="auto"/>
        <w:tabs>
          <w:tab w:leader="none" w:pos="327"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AND CREDIT AGREEMENT </w:t>
      </w:r>
      <w:r>
        <w:rPr>
          <w:rFonts w:ascii="Times New Roman" w:cs="Times New Roman" w:eastAsia="Times New Roman" w:hAnsi="Times New Roman"/>
          <w:sz w:val="17"/>
          <w:szCs w:val="17"/>
          <w:color w:val="auto"/>
        </w:rPr>
        <w:t>Debt consists of the following: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200" w:type="dxa"/>
            <w:vAlign w:val="bottom"/>
          </w:tcPr>
          <w:p>
            <w:pPr>
              <w:spacing w:after="0"/>
              <w:rPr>
                <w:sz w:val="16"/>
                <w:szCs w:val="16"/>
                <w:color w:val="auto"/>
              </w:rPr>
            </w:pPr>
          </w:p>
        </w:tc>
        <w:tc>
          <w:tcPr>
            <w:tcW w:w="15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196"/>
        </w:trPr>
        <w:tc>
          <w:tcPr>
            <w:tcW w:w="7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Senior Secured Note</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TRI Note</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196"/>
        </w:trPr>
        <w:tc>
          <w:tcPr>
            <w:tcW w:w="76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25,007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25,214</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183"/>
        </w:trPr>
        <w:tc>
          <w:tcPr>
            <w:tcW w:w="76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TRI long-term debt</w:t>
            </w:r>
          </w:p>
        </w:tc>
        <w:tc>
          <w:tcPr>
            <w:tcW w:w="280" w:type="dxa"/>
            <w:vAlign w:val="bottom"/>
            <w:tcBorders>
              <w:bottom w:val="single" w:sz="8" w:color="auto"/>
            </w:tcBorders>
            <w:shd w:val="clear" w:color="auto" w:fill="CCEEFF"/>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24,054</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24,283</w:t>
            </w: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70"/>
        </w:trPr>
        <w:tc>
          <w:tcPr>
            <w:tcW w:w="7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2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Duluth Line of credit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3"/>
        </w:trPr>
        <w:tc>
          <w:tcPr>
            <w:tcW w:w="76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Duluth long-term debt</w:t>
            </w:r>
          </w:p>
        </w:tc>
        <w:tc>
          <w:tcPr>
            <w:tcW w:w="280" w:type="dxa"/>
            <w:vAlign w:val="bottom"/>
            <w:tcBorders>
              <w:bottom w:val="single" w:sz="8" w:color="auto"/>
            </w:tcBorders>
            <w:shd w:val="clear" w:color="auto" w:fill="CCEEFF"/>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 Holdings, LLC</w:t>
      </w:r>
    </w:p>
    <w:p>
      <w:pPr>
        <w:spacing w:after="0" w:line="175" w:lineRule="exact"/>
        <w:rPr>
          <w:sz w:val="20"/>
          <w:szCs w:val="20"/>
          <w:color w:val="auto"/>
        </w:rPr>
      </w:pPr>
    </w:p>
    <w:p>
      <w:pPr>
        <w:jc w:val="both"/>
        <w:ind w:right="460" w:firstLine="428"/>
        <w:spacing w:after="0" w:line="242" w:lineRule="auto"/>
        <w:rPr>
          <w:sz w:val="20"/>
          <w:szCs w:val="20"/>
          <w:color w:val="auto"/>
        </w:rPr>
      </w:pPr>
      <w:r>
        <w:rPr>
          <w:rFonts w:ascii="Times New Roman" w:cs="Times New Roman" w:eastAsia="Times New Roman" w:hAnsi="Times New Roman"/>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43" w:lineRule="exact"/>
        <w:rPr>
          <w:sz w:val="20"/>
          <w:szCs w:val="20"/>
          <w:color w:val="auto"/>
        </w:rPr>
      </w:pPr>
    </w:p>
    <w:p>
      <w:pPr>
        <w:ind w:right="220" w:firstLine="428"/>
        <w:spacing w:after="0" w:line="250" w:lineRule="auto"/>
        <w:rPr>
          <w:sz w:val="20"/>
          <w:szCs w:val="20"/>
          <w:color w:val="auto"/>
        </w:rPr>
      </w:pPr>
      <w:r>
        <w:rPr>
          <w:rFonts w:ascii="Times New Roman" w:cs="Times New Roman" w:eastAsia="Times New Roman" w:hAnsi="Times New Roman"/>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While the above notes are consolidated in accordance with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is not the guarantor nor obligor of these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75" w:lineRule="exact"/>
        <w:rPr>
          <w:sz w:val="20"/>
          <w:szCs w:val="20"/>
          <w:color w:val="auto"/>
        </w:rPr>
      </w:pPr>
    </w:p>
    <w:p>
      <w:pPr>
        <w:ind w:right="40" w:firstLine="428"/>
        <w:spacing w:after="0" w:line="229" w:lineRule="auto"/>
        <w:rPr>
          <w:sz w:val="20"/>
          <w:szCs w:val="20"/>
          <w:color w:val="auto"/>
        </w:rPr>
      </w:pPr>
      <w:r>
        <w:rPr>
          <w:rFonts w:ascii="Times New Roman" w:cs="Times New Roman" w:eastAsia="Times New Roman" w:hAnsi="Times New Roman"/>
          <w:sz w:val="18"/>
          <w:szCs w:val="18"/>
          <w:color w:val="auto"/>
        </w:rPr>
        <w:t>On May 14, 2021, the Company entered into a credit agreement (the “Credit Agreement”), which was treated as a modification for accounting purposes. The Credit Agreement originally matured on May 14, 2026 and provided for borrowings of up to $150.0 million that were available under a revolving senior credit facility, with a $5.0 million sublimit for issuance of standby letters of credit, as well as a $10.0 million sublimit for swing line loans. At the Company’s option, the interest rate applicable to the revolving senior credit facility was a floating rate equal to: (i) the Bloomberg Short-Term Bank Yield Index rate (“BSBY”) plus the applicable rate of 1.25% to 2.00% determined based on the Company’s rent adjusted leverage ratio, or (ii) the base rate plus the applicable rate of 0.25% to 1.00% based on the Company’s rent adjusted leverage ratio. The Credit Agreement was secured by essentially all Company assets and required the Company to maintain compliance with certain financial and non-financial covenants, including a maximum rent adjusted leverage ratio and a minimum fixed charge coverage ratio as defined in the Credit Agreement.</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July 8, 2022, the Company entered into the First Amendment to the Credit Agreement (the “First Amendment”), which was treated as a</w:t>
      </w:r>
    </w:p>
    <w:p>
      <w:pPr>
        <w:spacing w:after="0" w:line="237" w:lineRule="auto"/>
        <w:rPr>
          <w:sz w:val="20"/>
          <w:szCs w:val="20"/>
          <w:color w:val="auto"/>
        </w:rPr>
      </w:pPr>
      <w:r>
        <w:rPr>
          <w:rFonts w:ascii="Times New Roman" w:cs="Times New Roman" w:eastAsia="Times New Roman" w:hAnsi="Times New Roman"/>
          <w:sz w:val="18"/>
          <w:szCs w:val="18"/>
          <w:color w:val="auto"/>
        </w:rPr>
        <w:t>modification for accounting purposes. The First Amendment amended the Credit Agreement in order to (i) increase the revolving commitment from</w:t>
      </w:r>
    </w:p>
    <w:p>
      <w:pPr>
        <w:spacing w:after="0" w:line="219" w:lineRule="auto"/>
        <w:rPr>
          <w:sz w:val="20"/>
          <w:szCs w:val="20"/>
          <w:color w:val="auto"/>
        </w:rPr>
      </w:pPr>
      <w:r>
        <w:rPr>
          <w:rFonts w:ascii="Times New Roman" w:cs="Times New Roman" w:eastAsia="Times New Roman" w:hAnsi="Times New Roman"/>
          <w:sz w:val="18"/>
          <w:szCs w:val="18"/>
          <w:color w:val="auto"/>
        </w:rPr>
        <w:t>$150.0 million to $200.0 million; (ii) extend the maturity date from May 14, 2026 to July 8, 2027; (iii) amend the pricing index to replace BSBY with the</w:t>
      </w:r>
    </w:p>
    <w:p>
      <w:pPr>
        <w:spacing w:after="0"/>
        <w:rPr>
          <w:sz w:val="20"/>
          <w:szCs w:val="20"/>
          <w:color w:val="auto"/>
        </w:rPr>
      </w:pPr>
      <w:r>
        <w:rPr>
          <w:rFonts w:ascii="Times New Roman" w:cs="Times New Roman" w:eastAsia="Times New Roman" w:hAnsi="Times New Roman"/>
          <w:sz w:val="18"/>
          <w:szCs w:val="18"/>
          <w:color w:val="auto"/>
        </w:rPr>
        <w:t>Term Secured Overnight Financing Rate; and (iv) reduce the commitment fee in some instances.</w:t>
      </w:r>
    </w:p>
    <w:p>
      <w:pPr>
        <w:spacing w:after="0" w:line="151" w:lineRule="exact"/>
        <w:rPr>
          <w:sz w:val="20"/>
          <w:szCs w:val="20"/>
          <w:color w:val="auto"/>
        </w:rPr>
      </w:pPr>
    </w:p>
    <w:p>
      <w:pPr>
        <w:ind w:right="80" w:firstLine="428"/>
        <w:spacing w:after="0" w:line="226" w:lineRule="auto"/>
        <w:rPr>
          <w:sz w:val="20"/>
          <w:szCs w:val="20"/>
          <w:color w:val="auto"/>
        </w:rPr>
      </w:pPr>
      <w:r>
        <w:rPr>
          <w:rFonts w:ascii="Times New Roman" w:cs="Times New Roman" w:eastAsia="Times New Roman" w:hAnsi="Times New Roman"/>
          <w:sz w:val="18"/>
          <w:szCs w:val="18"/>
          <w:color w:val="auto"/>
        </w:rPr>
        <w:t>On January 31, 2025 the Company entered into the Second Amendment to the Credit Agreement (the “Second Amendment”). The Second Amendment amended the Credit Agreement, in part, to (i) decrease the revolving commitment from $200 million to $100 million; (ii) revise the definition of “Applicable Rate” to provide for pricing terms in the event of a Rent Adjusted Leverage Ratio greater than or equal to 3.50:1.0; (iii) limit the exceptions to the prohibition on restricted payments to (a) making dividends or distributions by any subsidiary to the Company, and (b) the acquisition of equity interests in satisfaction of tax withholding obligations associated with restricted stock or awards under employee incentive plans; and (iv) provide that the Maximum Rent Adjusted Leverage Ratio and the Minimum Fixed Charge Coverage Ratio will be measured commencing on the fiscal quarter ending May 2, 2021 and measured quarterly thereafter as of the last day of each fiscal quarter of the Company (other than for the fiscal quarter ending February 2, 2025). The reduction in the revolving commitment rightsized the credit facility with the Company’s cash needs to fund seasonal inventory builds and capital</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expenditure expectations and resulted in fee savings. The Credit Agreement was extinguished on April 28, 2025, resulting in a write down of $0.2 million of debt issuance costs related to the terminated line of credit.</w:t>
      </w:r>
    </w:p>
    <w:p>
      <w:pPr>
        <w:spacing w:after="0" w:line="136" w:lineRule="exact"/>
        <w:rPr>
          <w:sz w:val="20"/>
          <w:szCs w:val="20"/>
          <w:color w:val="auto"/>
        </w:rPr>
      </w:pPr>
    </w:p>
    <w:p>
      <w:pPr>
        <w:ind w:right="60" w:firstLine="428"/>
        <w:spacing w:after="0" w:line="236" w:lineRule="auto"/>
        <w:rPr>
          <w:sz w:val="20"/>
          <w:szCs w:val="20"/>
          <w:color w:val="auto"/>
        </w:rPr>
      </w:pPr>
      <w:r>
        <w:rPr>
          <w:rFonts w:ascii="Times New Roman" w:cs="Times New Roman" w:eastAsia="Times New Roman" w:hAnsi="Times New Roman"/>
          <w:sz w:val="18"/>
          <w:szCs w:val="18"/>
          <w:color w:val="auto"/>
        </w:rPr>
        <w:t>On April 28, 2025, the Company entered into a new credit agreement (the “New Credit Agreement”) among the Company, certain financial institutions as Lenders thereto, and BMO Bank N.A., as Administrative Agent, a Swing Line Lender and a Letter of Credit Issuer. The Credit Agreement provides for borrowings of up to $100.0 million in aggregate principal amount that are available under an asset-based revolving senior credit facility (the “Revolver”) with a $10.0 million sublimit for the issuance of standby letters of credit.</w:t>
      </w:r>
    </w:p>
    <w:p>
      <w:pPr>
        <w:spacing w:after="0" w:line="144" w:lineRule="exact"/>
        <w:rPr>
          <w:sz w:val="20"/>
          <w:szCs w:val="20"/>
          <w:color w:val="auto"/>
        </w:rPr>
      </w:pPr>
    </w:p>
    <w:p>
      <w:pPr>
        <w:ind w:firstLine="428"/>
        <w:spacing w:after="0" w:line="233" w:lineRule="auto"/>
        <w:rPr>
          <w:sz w:val="20"/>
          <w:szCs w:val="20"/>
          <w:color w:val="auto"/>
        </w:rPr>
      </w:pPr>
      <w:r>
        <w:rPr>
          <w:rFonts w:ascii="Times New Roman" w:cs="Times New Roman" w:eastAsia="Times New Roman" w:hAnsi="Times New Roman"/>
          <w:sz w:val="18"/>
          <w:szCs w:val="18"/>
          <w:color w:val="auto"/>
        </w:rPr>
        <w:t>Under the New Credit Agreement, (i) each Secured Overnight Financing Rate (“SOFR”) loan will bear interest on the outstanding principal amount at a rate per annum equal to adjusted term SOFR plus 150 basis points; (ii) each base rate loan will bear interest on the outstanding principal amount from the applicable borrowing date at a rate per annum equal to the Base Rate (as defined in the New Credit Agreement) plus 50 basis points; (iii) each swing line loan will bear interest on the outstanding principal amount from the applicable borrowing date at a rate per annum equal to the base rate plus the applicable margin; and (iv) each other obligation will bear interest on the unpaid amount at a rate per annum equal to the base rate plus the applicable margin.</w:t>
      </w:r>
    </w:p>
    <w:p>
      <w:pPr>
        <w:spacing w:after="0" w:line="131" w:lineRule="exact"/>
        <w:rPr>
          <w:sz w:val="20"/>
          <w:szCs w:val="20"/>
          <w:color w:val="auto"/>
        </w:rPr>
      </w:pPr>
    </w:p>
    <w:p>
      <w:pPr>
        <w:ind w:right="20" w:firstLine="428"/>
        <w:spacing w:after="0" w:line="266" w:lineRule="auto"/>
        <w:rPr>
          <w:sz w:val="20"/>
          <w:szCs w:val="20"/>
          <w:color w:val="auto"/>
        </w:rPr>
      </w:pPr>
      <w:r>
        <w:rPr>
          <w:rFonts w:ascii="Times New Roman" w:cs="Times New Roman" w:eastAsia="Times New Roman" w:hAnsi="Times New Roman"/>
          <w:sz w:val="18"/>
          <w:szCs w:val="18"/>
          <w:color w:val="auto"/>
        </w:rPr>
        <w:t>The new $100.0 million Revolver replaces the current revolving credit facility at a lower interest rate and extends the availability of funds to April 28, 2030. The Company believes the New Credit Agreement will provide the Company with flexibility and liquidity to finance seasonal inventory builds.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83"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ind w:left="440" w:right="5720" w:hanging="432"/>
        <w:spacing w:after="0" w:line="500" w:lineRule="auto"/>
        <w:tabs>
          <w:tab w:leader="none" w:pos="317"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 of the following: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220" w:type="dxa"/>
            <w:vAlign w:val="bottom"/>
          </w:tcPr>
          <w:p>
            <w:pPr>
              <w:spacing w:after="0"/>
              <w:rPr>
                <w:sz w:val="16"/>
                <w:szCs w:val="16"/>
                <w:color w:val="auto"/>
              </w:rPr>
            </w:pPr>
          </w:p>
        </w:tc>
        <w:tc>
          <w:tcPr>
            <w:tcW w:w="15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196"/>
        </w:trPr>
        <w:tc>
          <w:tcPr>
            <w:tcW w:w="5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2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w:t>
            </w: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Product returns</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purchases of property &amp; equipment</w:t>
            </w: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12,748</w:t>
            </w:r>
          </w:p>
        </w:tc>
      </w:tr>
      <w:tr>
        <w:trPr>
          <w:trHeight w:val="183"/>
        </w:trPr>
        <w:tc>
          <w:tcPr>
            <w:tcW w:w="56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960" w:type="dxa"/>
            <w:vAlign w:val="bottom"/>
          </w:tcPr>
          <w:p>
            <w:pPr>
              <w:spacing w:after="0"/>
              <w:rPr>
                <w:sz w:val="15"/>
                <w:szCs w:val="15"/>
                <w:color w:val="auto"/>
              </w:rPr>
            </w:pPr>
          </w:p>
        </w:tc>
        <w:tc>
          <w:tcPr>
            <w:tcW w:w="280" w:type="dxa"/>
            <w:vAlign w:val="bottom"/>
            <w:tcBorders>
              <w:bottom w:val="single" w:sz="8" w:color="auto"/>
            </w:tcBorders>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27,543</w:t>
            </w:r>
          </w:p>
        </w:tc>
        <w:tc>
          <w:tcPr>
            <w:tcW w:w="18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35,684</w:t>
            </w:r>
          </w:p>
        </w:tc>
      </w:tr>
      <w:tr>
        <w:trPr>
          <w:trHeight w:val="20"/>
        </w:trPr>
        <w:tc>
          <w:tcPr>
            <w:tcW w:w="5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173" w:lineRule="exact"/>
        <w:rPr>
          <w:sz w:val="20"/>
          <w:szCs w:val="20"/>
          <w:color w:val="auto"/>
        </w:rPr>
      </w:pPr>
    </w:p>
    <w:p>
      <w:pPr>
        <w:ind w:right="60" w:firstLine="440"/>
        <w:spacing w:after="0" w:line="236"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71" w:lineRule="exact"/>
        <w:rPr>
          <w:sz w:val="20"/>
          <w:szCs w:val="20"/>
          <w:color w:val="auto"/>
        </w:rPr>
      </w:pPr>
    </w:p>
    <w:p>
      <w:pPr>
        <w:ind w:right="180" w:firstLine="440"/>
        <w:spacing w:after="0" w:line="242"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71" w:lineRule="exact"/>
        <w:rPr>
          <w:sz w:val="20"/>
          <w:szCs w:val="20"/>
          <w:color w:val="auto"/>
        </w:rPr>
      </w:pPr>
    </w:p>
    <w:p>
      <w:pPr>
        <w:ind w:right="180" w:firstLine="440"/>
        <w:spacing w:after="0" w:line="235"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are categorized as Level 3 instruments. The fair value of the Company’s available-for-sale security was valued based on a discounted cash flow method (Level 3), which incorporates the U.S. Treasury yield curve, credit information and an estimate of future cash flows. During the three months ended May 4, 2025, certain changes in the inputs did impact the fair value of the available-for-sale security. The calculated fair value is based on estimates that are subjective in nature and involve uncertainties and matters of significant judgement and, therefore, cannot be determined with precision. Changes in assumptions could significantly affect the estimates.</w:t>
      </w:r>
    </w:p>
    <w:p>
      <w:pPr>
        <w:spacing w:after="0" w:line="161" w:lineRule="exact"/>
        <w:rPr>
          <w:sz w:val="20"/>
          <w:szCs w:val="20"/>
          <w:color w:val="auto"/>
        </w:rPr>
      </w:pPr>
    </w:p>
    <w:p>
      <w:pPr>
        <w:ind w:right="300" w:firstLine="440"/>
        <w:spacing w:after="0" w:line="250" w:lineRule="auto"/>
        <w:rPr>
          <w:sz w:val="20"/>
          <w:szCs w:val="20"/>
          <w:color w:val="auto"/>
        </w:rPr>
      </w:pPr>
      <w:r>
        <w:rPr>
          <w:rFonts w:ascii="Times New Roman" w:cs="Times New Roman" w:eastAsia="Times New Roman" w:hAnsi="Times New Roman"/>
          <w:sz w:val="18"/>
          <w:szCs w:val="18"/>
          <w:color w:val="auto"/>
        </w:rPr>
        <w:t>The amortized cost and fair value of the Company’s available-for-sale security and the corresponding amount of gross unrealized gains and losses recognized in accumulated other comprehensive income are as follows:</w:t>
      </w:r>
    </w:p>
    <w:p>
      <w:pPr>
        <w:spacing w:after="0" w:line="48"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May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16510</wp:posOffset>
            </wp:positionV>
            <wp:extent cx="42259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2592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29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3"/>
        </w:trPr>
        <w:tc>
          <w:tcPr>
            <w:tcW w:w="29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29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2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February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16510</wp:posOffset>
            </wp:positionV>
            <wp:extent cx="42259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2592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29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3"/>
        </w:trPr>
        <w:tc>
          <w:tcPr>
            <w:tcW w:w="29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29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2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w:t>
            </w:r>
          </w:p>
        </w:tc>
      </w:tr>
    </w:tbl>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intend to sell the available-for-sale-security in the near term and does not believe that it will be required to sell the security.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reviews its securities on a quarterly basis to monitor its exposure to other-than-temporary impairment.</w:t>
      </w:r>
    </w:p>
    <w:p>
      <w:pPr>
        <w:spacing w:after="0" w:line="138" w:lineRule="exact"/>
        <w:rPr>
          <w:sz w:val="20"/>
          <w:szCs w:val="20"/>
          <w:color w:val="auto"/>
        </w:rPr>
      </w:pPr>
    </w:p>
    <w:p>
      <w:pPr>
        <w:ind w:right="340" w:firstLine="492"/>
        <w:spacing w:after="0" w:line="266" w:lineRule="auto"/>
        <w:rPr>
          <w:sz w:val="20"/>
          <w:szCs w:val="20"/>
          <w:color w:val="auto"/>
        </w:rPr>
      </w:pPr>
      <w:r>
        <w:rPr>
          <w:rFonts w:ascii="Times New Roman" w:cs="Times New Roman" w:eastAsia="Times New Roman" w:hAnsi="Times New Roman"/>
          <w:sz w:val="18"/>
          <w:szCs w:val="18"/>
          <w:color w:val="auto"/>
        </w:rPr>
        <w:t>No other-than-temporary impairment was recorded in the unaudited condensed consolidated statements of operations for the three months ended May 4, 2025 or April 28, 2024.</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future principal receipts related to the Company’s available-for-sale security by contractual maturity as of May 4,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8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9"/>
        </w:trPr>
        <w:tc>
          <w:tcPr>
            <w:tcW w:w="6080" w:type="dxa"/>
            <w:vAlign w:val="bottom"/>
          </w:tcPr>
          <w:p>
            <w:pPr>
              <w:spacing w:after="0"/>
              <w:rPr>
                <w:sz w:val="17"/>
                <w:szCs w:val="17"/>
                <w:color w:val="auto"/>
              </w:rPr>
            </w:pPr>
          </w:p>
        </w:tc>
        <w:tc>
          <w:tcPr>
            <w:tcW w:w="1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7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6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1860" w:type="dxa"/>
            <w:vAlign w:val="bottom"/>
            <w:shd w:val="clear" w:color="auto" w:fill="CCEEFF"/>
          </w:tcPr>
          <w:p>
            <w:pPr>
              <w:jc w:val="right"/>
              <w:ind w:right="167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8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16"/>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196"/>
        </w:trPr>
        <w:tc>
          <w:tcPr>
            <w:tcW w:w="60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auto"/>
            </w:tcBorders>
            <w:shd w:val="clear" w:color="auto" w:fill="CCEEFF"/>
          </w:tcPr>
          <w:p>
            <w:pPr>
              <w:jc w:val="right"/>
              <w:ind w:right="167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5,303</w:t>
            </w:r>
          </w:p>
        </w:tc>
        <w:tc>
          <w:tcPr>
            <w:tcW w:w="3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4,860</w:t>
            </w:r>
          </w:p>
        </w:tc>
      </w:tr>
      <w:tr>
        <w:trPr>
          <w:trHeight w:val="20"/>
        </w:trPr>
        <w:tc>
          <w:tcPr>
            <w:tcW w:w="60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carrying values and fair values of other financial instruments in the Consolidated Balance Sheets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1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1060" w:type="dxa"/>
            <w:vAlign w:val="bottom"/>
            <w:tcBorders>
              <w:bottom w:val="single" w:sz="8" w:color="auto"/>
            </w:tcBorders>
          </w:tcPr>
          <w:p>
            <w:pPr>
              <w:spacing w:after="0"/>
              <w:rPr>
                <w:sz w:val="16"/>
                <w:szCs w:val="16"/>
                <w:color w:val="auto"/>
              </w:rPr>
            </w:pPr>
          </w:p>
        </w:tc>
      </w:tr>
      <w:tr>
        <w:trPr>
          <w:trHeight w:val="385"/>
        </w:trPr>
        <w:tc>
          <w:tcPr>
            <w:tcW w:w="4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24"/>
                <w:szCs w:val="24"/>
                <w:color w:val="auto"/>
              </w:rPr>
            </w:pPr>
          </w:p>
        </w:tc>
        <w:tc>
          <w:tcPr>
            <w:tcW w:w="13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50"/>
        </w:trPr>
        <w:tc>
          <w:tcPr>
            <w:tcW w:w="4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 including short-term portion</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25,007</w:t>
            </w:r>
          </w:p>
        </w:tc>
        <w:tc>
          <w:tcPr>
            <w:tcW w:w="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25,214</w:t>
            </w:r>
          </w:p>
        </w:tc>
        <w:tc>
          <w:tcPr>
            <w:tcW w:w="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21,225</w:t>
            </w:r>
          </w:p>
        </w:tc>
      </w:tr>
    </w:tbl>
    <w:p>
      <w:pPr>
        <w:spacing w:after="0" w:line="3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The above long-term debt, including short-term portion is attributable to the consolidation of TRI in accordance with ASC Topic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was also based on a discounted cash flow method (Level 3) based on credit information and an estimate of future cash flows.</w:t>
      </w:r>
    </w:p>
    <w:p>
      <w:pPr>
        <w:spacing w:after="0" w:line="200" w:lineRule="exact"/>
        <w:rPr>
          <w:sz w:val="20"/>
          <w:szCs w:val="20"/>
          <w:color w:val="auto"/>
        </w:rPr>
      </w:pPr>
    </w:p>
    <w:p>
      <w:pPr>
        <w:spacing w:after="0" w:line="3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VARIABLE INTEREST ENTITY</w:t>
      </w:r>
    </w:p>
    <w:p>
      <w:pPr>
        <w:spacing w:after="0" w:line="173" w:lineRule="exact"/>
        <w:rPr>
          <w:sz w:val="20"/>
          <w:szCs w:val="20"/>
          <w:color w:val="auto"/>
        </w:rPr>
      </w:pPr>
    </w:p>
    <w:p>
      <w:pPr>
        <w:ind w:right="300" w:firstLine="492"/>
        <w:spacing w:after="0" w:line="233" w:lineRule="auto"/>
        <w:rPr>
          <w:sz w:val="20"/>
          <w:szCs w:val="20"/>
          <w:color w:val="auto"/>
        </w:rPr>
      </w:pPr>
      <w:r>
        <w:rPr>
          <w:rFonts w:ascii="Times New Roman" w:cs="Times New Roman" w:eastAsia="Times New Roman" w:hAnsi="Times New Roman"/>
          <w:sz w:val="18"/>
          <w:szCs w:val="18"/>
          <w:color w:val="auto"/>
        </w:rPr>
        <w:t xml:space="preserve">Based upon the criteria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VIE as of May 4, 2025 and February 2, 2025.</w:t>
      </w:r>
    </w:p>
    <w:p>
      <w:pPr>
        <w:spacing w:after="0" w:line="145" w:lineRule="exact"/>
        <w:rPr>
          <w:sz w:val="20"/>
          <w:szCs w:val="20"/>
          <w:color w:val="auto"/>
        </w:rPr>
      </w:pPr>
    </w:p>
    <w:p>
      <w:pPr>
        <w:ind w:right="40" w:firstLine="428"/>
        <w:spacing w:after="0" w:line="230" w:lineRule="auto"/>
        <w:rPr>
          <w:sz w:val="20"/>
          <w:szCs w:val="20"/>
          <w:color w:val="auto"/>
        </w:rPr>
      </w:pPr>
      <w:r>
        <w:rPr>
          <w:rFonts w:ascii="Times New Roman" w:cs="Times New Roman" w:eastAsia="Times New Roman" w:hAnsi="Times New Roman"/>
          <w:sz w:val="18"/>
          <w:szCs w:val="18"/>
          <w:color w:val="auto"/>
        </w:rPr>
        <w:t>The Company leases the Company’s headquarters in Mt. Horeb, Wisconsin from TRI. In conjunction with the lease, the Company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w:t>
      </w: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primary beneficiary, it consolidates TRI and the lease is eliminated in consolidation. The Company does not consolidate the trust as the Company is not the primary beneficiary.</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condensed consolidated balance sheets include the following amounts as a result of the consolidation of TRI as of May 4, 2025 and February 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196"/>
        </w:trPr>
        <w:tc>
          <w:tcPr>
            <w:tcW w:w="7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22,166</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22,321</w:t>
            </w:r>
          </w:p>
        </w:tc>
      </w:tr>
      <w:tr>
        <w:trPr>
          <w:trHeight w:val="183"/>
        </w:trPr>
        <w:tc>
          <w:tcPr>
            <w:tcW w:w="746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22,184</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22,332</w:t>
            </w: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0"/>
        </w:trPr>
        <w:tc>
          <w:tcPr>
            <w:tcW w:w="7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24,283</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in VIE</w:t>
            </w:r>
          </w:p>
        </w:tc>
        <w:tc>
          <w:tcPr>
            <w:tcW w:w="3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r>
      <w:tr>
        <w:trPr>
          <w:trHeight w:val="183"/>
        </w:trPr>
        <w:tc>
          <w:tcPr>
            <w:tcW w:w="74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300" w:type="dxa"/>
            <w:vAlign w:val="bottom"/>
            <w:tcBorders>
              <w:top w:val="single" w:sz="8" w:color="auto"/>
              <w:bottom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22,184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22,332</w:t>
            </w: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LOSS PER SHARE</w:t>
      </w:r>
    </w:p>
    <w:p>
      <w:pPr>
        <w:spacing w:after="0" w:line="173" w:lineRule="exact"/>
        <w:rPr>
          <w:sz w:val="20"/>
          <w:szCs w:val="20"/>
          <w:color w:val="auto"/>
        </w:rPr>
      </w:pPr>
    </w:p>
    <w:p>
      <w:pPr>
        <w:ind w:right="100" w:firstLine="428"/>
        <w:spacing w:after="0" w:line="236" w:lineRule="auto"/>
        <w:rPr>
          <w:sz w:val="20"/>
          <w:szCs w:val="20"/>
          <w:color w:val="auto"/>
        </w:rPr>
      </w:pPr>
      <w:r>
        <w:rPr>
          <w:rFonts w:ascii="Times New Roman" w:cs="Times New Roman" w:eastAsia="Times New Roman" w:hAnsi="Times New Roman"/>
          <w:sz w:val="18"/>
          <w:szCs w:val="18"/>
          <w:color w:val="auto"/>
        </w:rPr>
        <w:t>Earnings per share is computed under the provisions of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per share unless considered anti-dilutive. The reconciliation of the numerator and denominator of the basic and diluted earnings per share calculation is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8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 net loss attributable to</w:t>
            </w:r>
          </w:p>
        </w:tc>
        <w:tc>
          <w:tcPr>
            <w:tcW w:w="18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3440" w:type="dxa"/>
            <w:vAlign w:val="bottom"/>
            <w:gridSpan w:val="2"/>
            <w:shd w:val="clear" w:color="auto" w:fill="CCEEFF"/>
          </w:tcPr>
          <w:p>
            <w:pPr>
              <w:jc w:val="right"/>
              <w:ind w:right="140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(15,293)</w:t>
            </w:r>
          </w:p>
        </w:tc>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0" w:type="dxa"/>
            <w:vAlign w:val="bottom"/>
          </w:tcPr>
          <w:p>
            <w:pPr>
              <w:spacing w:after="0"/>
              <w:rPr>
                <w:sz w:val="1"/>
                <w:szCs w:val="1"/>
                <w:color w:val="auto"/>
              </w:rPr>
            </w:pPr>
          </w:p>
        </w:tc>
      </w:tr>
      <w:tr>
        <w:trPr>
          <w:trHeight w:val="225"/>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Denominator - weighted average shares</w:t>
            </w:r>
          </w:p>
        </w:tc>
        <w:tc>
          <w:tcPr>
            <w:tcW w:w="18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and Class B)</w:t>
            </w:r>
          </w:p>
        </w:tc>
        <w:tc>
          <w:tcPr>
            <w:tcW w:w="1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33,087</w:t>
            </w:r>
          </w:p>
        </w:tc>
        <w:tc>
          <w:tcPr>
            <w:tcW w:w="0" w:type="dxa"/>
            <w:vAlign w:val="bottom"/>
          </w:tcPr>
          <w:p>
            <w:pPr>
              <w:spacing w:after="0"/>
              <w:rPr>
                <w:sz w:val="1"/>
                <w:szCs w:val="1"/>
                <w:color w:val="auto"/>
              </w:rPr>
            </w:pP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Dilutive shares</w:t>
            </w:r>
          </w:p>
        </w:tc>
        <w:tc>
          <w:tcPr>
            <w:tcW w:w="1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472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Diluted</w:t>
            </w:r>
          </w:p>
        </w:tc>
        <w:tc>
          <w:tcPr>
            <w:tcW w:w="1860" w:type="dxa"/>
            <w:vAlign w:val="bottom"/>
            <w:tcBorders>
              <w:top w:val="single" w:sz="8" w:color="CCEEFF"/>
              <w:bottom w:val="single" w:sz="8" w:color="CCEEFF"/>
            </w:tcBorders>
            <w:shd w:val="clear" w:color="auto" w:fill="CCEEFF"/>
          </w:tcPr>
          <w:p>
            <w:pPr>
              <w:spacing w:after="0"/>
              <w:rPr>
                <w:sz w:val="15"/>
                <w:szCs w:val="15"/>
                <w:color w:val="auto"/>
              </w:rPr>
            </w:pPr>
          </w:p>
        </w:tc>
        <w:tc>
          <w:tcPr>
            <w:tcW w:w="158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33,714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spacing w:after="0"/>
              <w:rPr>
                <w:sz w:val="15"/>
                <w:szCs w:val="15"/>
                <w:color w:val="auto"/>
              </w:rPr>
            </w:pPr>
          </w:p>
        </w:tc>
        <w:tc>
          <w:tcPr>
            <w:tcW w:w="16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33,087</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 (Class A and Class B)</w:t>
            </w:r>
          </w:p>
        </w:tc>
        <w:tc>
          <w:tcPr>
            <w:tcW w:w="1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40" w:type="dxa"/>
            <w:vAlign w:val="bottom"/>
            <w:gridSpan w:val="2"/>
            <w:shd w:val="clear" w:color="auto" w:fill="CCEEFF"/>
          </w:tcPr>
          <w:p>
            <w:pPr>
              <w:jc w:val="right"/>
              <w:ind w:right="140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(0.45)</w:t>
            </w:r>
          </w:p>
        </w:tc>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43"/>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440" w:type="dxa"/>
            <w:vAlign w:val="bottom"/>
            <w:gridSpan w:val="2"/>
          </w:tcPr>
          <w:p>
            <w:pPr>
              <w:jc w:val="right"/>
              <w:ind w:right="140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(0.45)</w:t>
            </w:r>
          </w:p>
        </w:tc>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computation of diluted loss per share excluded (0.8) million and 0.3 million of unvested restricted stock for the three months ended May 4, 2025 and April 28, 2024, because their inclusion would be anti-dilutive due to a net loss.</w:t>
      </w: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73" w:lineRule="exact"/>
        <w:rPr>
          <w:sz w:val="20"/>
          <w:szCs w:val="20"/>
          <w:color w:val="auto"/>
        </w:rPr>
      </w:pPr>
    </w:p>
    <w:p>
      <w:pPr>
        <w:ind w:right="320" w:firstLine="428"/>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plan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requires the Company to measure all share-based payments at grant date fair value and recognize the cost over the requisite service period of the award.</w:t>
      </w:r>
    </w:p>
    <w:p>
      <w:pPr>
        <w:spacing w:after="0" w:line="133" w:lineRule="exact"/>
        <w:rPr>
          <w:sz w:val="20"/>
          <w:szCs w:val="20"/>
          <w:color w:val="auto"/>
        </w:rPr>
      </w:pPr>
    </w:p>
    <w:p>
      <w:pPr>
        <w:ind w:firstLine="428"/>
        <w:spacing w:after="0" w:line="232" w:lineRule="auto"/>
        <w:rPr>
          <w:sz w:val="20"/>
          <w:szCs w:val="20"/>
          <w:color w:val="auto"/>
        </w:rPr>
      </w:pPr>
      <w:r>
        <w:rPr>
          <w:rFonts w:ascii="Times New Roman" w:cs="Times New Roman" w:eastAsia="Times New Roman" w:hAnsi="Times New Roman"/>
          <w:sz w:val="18"/>
          <w:szCs w:val="18"/>
          <w:color w:val="auto"/>
        </w:rPr>
        <w:t>Total stock compensation expense associated with restricted stock recognized by the Company was $0.3 million and $1.4 million for the three months ended May 4, 2025 and April 28, 2024 respectively. The Company’s total stock compensation expense is included in selling, general and administrative expenses on the Condensed Consolidated Statements of Operations.</w:t>
      </w: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activity in the Company’s unvested restricted stock during the three months ended May 4, 2025 is as follows: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30"/>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29"/>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6"/>
        </w:trPr>
        <w:tc>
          <w:tcPr>
            <w:tcW w:w="8380" w:type="dxa"/>
            <w:vAlign w:val="bottom"/>
          </w:tcPr>
          <w:p>
            <w:pPr>
              <w:spacing w:after="0"/>
              <w:rPr>
                <w:sz w:val="19"/>
                <w:szCs w:val="19"/>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10"/>
        </w:trPr>
        <w:tc>
          <w:tcPr>
            <w:tcW w:w="8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February 2, 2025</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1,686,267</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29"/>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741,563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9"/>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(394,010)</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(567,341)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196"/>
        </w:trPr>
        <w:tc>
          <w:tcPr>
            <w:tcW w:w="83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Outstanding at May 4, 2025</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1,466,479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3.71</w:t>
            </w:r>
          </w:p>
        </w:tc>
      </w:tr>
      <w:tr>
        <w:trPr>
          <w:trHeight w:val="20"/>
        </w:trPr>
        <w:tc>
          <w:tcPr>
            <w:tcW w:w="8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40" w:firstLine="428"/>
        <w:spacing w:after="0" w:line="266" w:lineRule="auto"/>
        <w:rPr>
          <w:sz w:val="20"/>
          <w:szCs w:val="20"/>
          <w:color w:val="auto"/>
        </w:rPr>
      </w:pPr>
      <w:r>
        <w:rPr>
          <w:rFonts w:ascii="Times New Roman" w:cs="Times New Roman" w:eastAsia="Times New Roman" w:hAnsi="Times New Roman"/>
          <w:sz w:val="18"/>
          <w:szCs w:val="18"/>
          <w:color w:val="auto"/>
        </w:rPr>
        <w:t>At May 4, 2025, the Company had unrecognized compensation expense of $3.9 million related to the restricted stock awards, which is expected to be recognized over a weighted average period of 2.7 years.</w:t>
      </w:r>
    </w:p>
    <w:p>
      <w:pPr>
        <w:spacing w:after="0" w:line="32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220" w:type="dxa"/>
            <w:vAlign w:val="bottom"/>
          </w:tcPr>
          <w:p>
            <w:pPr>
              <w:spacing w:after="0"/>
              <w:rPr>
                <w:sz w:val="16"/>
                <w:szCs w:val="16"/>
                <w:color w:val="auto"/>
              </w:rPr>
            </w:pPr>
          </w:p>
        </w:tc>
        <w:tc>
          <w:tcPr>
            <w:tcW w:w="15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196"/>
        </w:trPr>
        <w:tc>
          <w:tcPr>
            <w:tcW w:w="7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57,732</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36,272</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65,592</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54,542</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9,472</w:t>
            </w:r>
          </w:p>
        </w:tc>
      </w:tr>
      <w:tr>
        <w:trPr>
          <w:trHeight w:val="216"/>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Software</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39,952</w:t>
            </w:r>
          </w:p>
        </w:tc>
      </w:tr>
      <w:tr>
        <w:trPr>
          <w:trHeight w:val="196"/>
        </w:trPr>
        <w:tc>
          <w:tcPr>
            <w:tcW w:w="7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269,538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268,132</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2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(165,337)</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(159,450)</w:t>
            </w:r>
          </w:p>
        </w:tc>
      </w:tr>
      <w:tr>
        <w:trPr>
          <w:trHeight w:val="196"/>
        </w:trPr>
        <w:tc>
          <w:tcPr>
            <w:tcW w:w="74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104,201</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108,682</w:t>
            </w:r>
          </w:p>
        </w:tc>
      </w:tr>
      <w:tr>
        <w:trPr>
          <w:trHeight w:val="216"/>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w:t>
            </w:r>
          </w:p>
        </w:tc>
      </w:tr>
      <w:tr>
        <w:trPr>
          <w:trHeight w:val="183"/>
        </w:trPr>
        <w:tc>
          <w:tcPr>
            <w:tcW w:w="74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106,274</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111,560</w:t>
            </w:r>
          </w:p>
        </w:tc>
      </w:tr>
      <w:tr>
        <w:trPr>
          <w:trHeight w:val="20"/>
        </w:trPr>
        <w:tc>
          <w:tcPr>
            <w:tcW w:w="7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REVENUE</w:t>
      </w:r>
    </w:p>
    <w:p>
      <w:pPr>
        <w:spacing w:after="0" w:line="175" w:lineRule="exact"/>
        <w:rPr>
          <w:sz w:val="20"/>
          <w:szCs w:val="20"/>
          <w:color w:val="auto"/>
        </w:rPr>
      </w:pPr>
    </w:p>
    <w:p>
      <w:pPr>
        <w:ind w:right="220" w:firstLine="570"/>
        <w:spacing w:after="0" w:line="235" w:lineRule="auto"/>
        <w:rPr>
          <w:sz w:val="20"/>
          <w:szCs w:val="20"/>
          <w:color w:val="auto"/>
        </w:rPr>
      </w:pPr>
      <w:r>
        <w:rPr>
          <w:rFonts w:ascii="Times New Roman" w:cs="Times New Roman" w:eastAsia="Times New Roman" w:hAnsi="Times New Roman"/>
          <w:sz w:val="18"/>
          <w:szCs w:val="18"/>
          <w:color w:val="auto"/>
        </w:rPr>
        <w:t>The Company’s revenue primarily consists of the sale of apparel, footwear and hard goods. Revenue for merchandise that is shipped to our customers from our distribution centers and stores is recognized upon shipment. Store revenue is recognized at the point of sale, net of returns, and excludes taxes.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Sales disaggregated based upon sales channel is presented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6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0" w:type="dxa"/>
            <w:vAlign w:val="bottom"/>
          </w:tcPr>
          <w:p>
            <w:pPr>
              <w:spacing w:after="0"/>
              <w:rPr>
                <w:sz w:val="1"/>
                <w:szCs w:val="1"/>
                <w:color w:val="auto"/>
              </w:rPr>
            </w:pPr>
          </w:p>
        </w:tc>
      </w:tr>
      <w:tr>
        <w:trPr>
          <w:trHeight w:val="209"/>
        </w:trPr>
        <w:tc>
          <w:tcPr>
            <w:tcW w:w="3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Direct-to-consumer</w:t>
            </w:r>
          </w:p>
        </w:tc>
        <w:tc>
          <w:tcPr>
            <w:tcW w:w="4800" w:type="dxa"/>
            <w:vAlign w:val="bottom"/>
            <w:gridSpan w:val="2"/>
            <w:shd w:val="clear" w:color="auto" w:fill="CCEEFF"/>
          </w:tcPr>
          <w:p>
            <w:pPr>
              <w:jc w:val="right"/>
              <w:ind w:right="13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62,552</w:t>
            </w:r>
          </w:p>
        </w:tc>
        <w:tc>
          <w:tcPr>
            <w:tcW w:w="8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75,444</w:t>
            </w: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Stores</w:t>
            </w:r>
          </w:p>
        </w:tc>
        <w:tc>
          <w:tcPr>
            <w:tcW w:w="334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19</w:t>
            </w:r>
          </w:p>
        </w:tc>
        <w:tc>
          <w:tcPr>
            <w:tcW w:w="1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40,152</w:t>
            </w:r>
          </w:p>
        </w:tc>
        <w:tc>
          <w:tcPr>
            <w:tcW w:w="2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41,240</w:t>
            </w: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334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348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92" w:lineRule="exact"/>
        <w:rPr>
          <w:sz w:val="20"/>
          <w:szCs w:val="20"/>
          <w:color w:val="auto"/>
        </w:rPr>
      </w:pPr>
    </w:p>
    <w:p>
      <w:pPr>
        <w:ind w:left="6820"/>
        <w:spacing w:after="0"/>
        <w:tabs>
          <w:tab w:leader="none" w:pos="8240" w:val="left"/>
          <w:tab w:leader="none" w:pos="9120" w:val="left"/>
          <w:tab w:leader="none" w:pos="10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102,704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116,684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75" w:lineRule="exact"/>
        <w:rPr>
          <w:sz w:val="20"/>
          <w:szCs w:val="20"/>
          <w:color w:val="auto"/>
        </w:rPr>
      </w:pPr>
    </w:p>
    <w:p>
      <w:pPr>
        <w:ind w:right="160" w:firstLine="492"/>
        <w:spacing w:after="0" w:line="235" w:lineRule="auto"/>
        <w:rPr>
          <w:sz w:val="20"/>
          <w:szCs w:val="20"/>
          <w:color w:val="auto"/>
        </w:rPr>
      </w:pPr>
      <w:r>
        <w:rPr>
          <w:rFonts w:ascii="Times New Roman" w:cs="Times New Roman" w:eastAsia="Times New Roman" w:hAnsi="Times New Roman"/>
          <w:sz w:val="18"/>
          <w:szCs w:val="18"/>
          <w:color w:val="auto"/>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in Accrued expenses and other current liabilities under deferred revenue (see Note 4 “Accrued Expenses and Other Current Liabilities”) on the Company’s consolidated balance sheets. Upon issuance of a gift card, a liability is established for its cash value. The gift card liability is relieved and revenues on gift cards are recorded at the time of redemption by the customer.</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Contract assets and liabilities on the Company’s consolidated balance sheets are presented in the following table: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196"/>
        </w:trPr>
        <w:tc>
          <w:tcPr>
            <w:tcW w:w="6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9,782</w:t>
            </w:r>
          </w:p>
        </w:tc>
      </w:tr>
    </w:tbl>
    <w:p>
      <w:pPr>
        <w:spacing w:after="0" w:line="328" w:lineRule="exact"/>
        <w:rPr>
          <w:sz w:val="20"/>
          <w:szCs w:val="20"/>
          <w:color w:val="auto"/>
        </w:rPr>
      </w:pPr>
    </w:p>
    <w:p>
      <w:pPr>
        <w:ind w:firstLine="570"/>
        <w:spacing w:after="0" w:line="236" w:lineRule="auto"/>
        <w:rPr>
          <w:sz w:val="20"/>
          <w:szCs w:val="20"/>
          <w:color w:val="auto"/>
        </w:rPr>
      </w:pPr>
      <w:r>
        <w:rPr>
          <w:rFonts w:ascii="Times New Roman" w:cs="Times New Roman" w:eastAsia="Times New Roman" w:hAnsi="Times New Roman"/>
          <w:sz w:val="18"/>
          <w:szCs w:val="18"/>
          <w:color w:val="auto"/>
        </w:rPr>
        <w:t>Revenue from gift cards is recognized when the gift card is redeemed by the customer for merchandise or as a gift card breakage, an estimate of gift cards which will not be redeemed. The Company does not record breakage revenue when escheat liability to the relevant jurisdictions exists. Gift card breakage is recorded within Net sales on the Company’s consolidated statement of operations. The following table provides the reconciliation of the contract liability related to gift cards for the three months ended: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April 28, 2024</w:t>
            </w: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480" w:type="dxa"/>
            <w:vAlign w:val="bottom"/>
            <w:shd w:val="clear" w:color="auto" w:fill="CCEEFF"/>
          </w:tcPr>
          <w:p>
            <w:pPr>
              <w:jc w:val="right"/>
              <w:ind w:right="13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Gift cards sold</w:t>
            </w:r>
          </w:p>
        </w:tc>
        <w:tc>
          <w:tcPr>
            <w:tcW w:w="1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Gift cards redeemed</w:t>
            </w:r>
          </w:p>
        </w:tc>
        <w:tc>
          <w:tcPr>
            <w:tcW w:w="14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Gift card breakage</w:t>
            </w:r>
          </w:p>
        </w:tc>
        <w:tc>
          <w:tcPr>
            <w:tcW w:w="14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196"/>
        </w:trPr>
        <w:tc>
          <w:tcPr>
            <w:tcW w:w="68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as of end of period</w:t>
            </w:r>
          </w:p>
        </w:tc>
        <w:tc>
          <w:tcPr>
            <w:tcW w:w="1480" w:type="dxa"/>
            <w:vAlign w:val="bottom"/>
            <w:tcBorders>
              <w:top w:val="single" w:sz="8" w:color="auto"/>
              <w:bottom w:val="single" w:sz="8" w:color="auto"/>
            </w:tcBorders>
            <w:shd w:val="clear" w:color="auto" w:fill="CCEEFF"/>
          </w:tcPr>
          <w:p>
            <w:pPr>
              <w:jc w:val="right"/>
              <w:ind w:right="13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8,514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8,105</w:t>
            </w:r>
          </w:p>
        </w:tc>
      </w:tr>
      <w:tr>
        <w:trPr>
          <w:trHeight w:val="20"/>
        </w:trPr>
        <w:tc>
          <w:tcPr>
            <w:tcW w:w="68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The Company’s provision for income taxes during the interim reporting periods has historically been calculated by applying an estimate of the annual effective tax rate for the full year to “ordinary” income or loss (pre-tax income or loss excluding unusual or infrequently occurring discrete items) for the reporting period. The effective tax rate related to controlling interest was (9%) and 21% for the three months ended May 4, 2025 and April 28, 2024, respectively. The income from TRI was excluded from the calculation of the Company’s effective tax rate, as TRI is a limited liability company and not subject to income tax. The effective tax rate fluctuated significantly year over year primarily as a result of the Company recording a valuation allowance on its deferred tax assets as of May 4, 2025.</w:t>
      </w:r>
    </w:p>
    <w:p>
      <w:pPr>
        <w:spacing w:after="0" w:line="200" w:lineRule="exact"/>
        <w:rPr>
          <w:sz w:val="20"/>
          <w:szCs w:val="20"/>
          <w:color w:val="auto"/>
        </w:rPr>
      </w:pPr>
    </w:p>
    <w:p>
      <w:pPr>
        <w:spacing w:after="0" w:line="3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189"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18"/>
          <w:szCs w:val="18"/>
          <w:color w:val="auto"/>
        </w:rPr>
        <w:t>As of May 4, 2025 and April 28, 2024, we had one reportable segment. The Company’s operating segment is based on how the Chief Operating Decision Maker (“CODM”) makes decisions about allocating resources and assessing performance. Our CODM is our Chief Executive Officer and the CODM receives discrete financial information for the Company’s gross margin and a summarized comprehensive statement of income monthly that categorizes selling, general and administrative expenses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into four line items with remaining expenses and expenditures for long-lived assets being consolidated as an omnichannel business. The following table summarizes the Company’s gross margin and selling, general and administrative expenses.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2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0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0" w:type="dxa"/>
            <w:vAlign w:val="bottom"/>
          </w:tcPr>
          <w:p>
            <w:pPr>
              <w:spacing w:after="0"/>
              <w:rPr>
                <w:sz w:val="1"/>
                <w:szCs w:val="1"/>
                <w:color w:val="auto"/>
              </w:rPr>
            </w:pPr>
          </w:p>
        </w:tc>
      </w:tr>
      <w:tr>
        <w:trPr>
          <w:trHeight w:val="213"/>
        </w:trPr>
        <w:tc>
          <w:tcPr>
            <w:tcW w:w="6320" w:type="dxa"/>
            <w:vAlign w:val="bottom"/>
          </w:tcPr>
          <w:p>
            <w:pPr>
              <w:spacing w:after="0"/>
              <w:rPr>
                <w:sz w:val="18"/>
                <w:szCs w:val="18"/>
                <w:color w:val="auto"/>
              </w:rPr>
            </w:pPr>
          </w:p>
        </w:tc>
        <w:tc>
          <w:tcPr>
            <w:tcW w:w="16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(13 weeks)</w:t>
            </w:r>
          </w:p>
        </w:tc>
        <w:tc>
          <w:tcPr>
            <w:tcW w:w="7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(13 weeks)</w:t>
            </w: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20" w:type="dxa"/>
            <w:vAlign w:val="bottom"/>
            <w:shd w:val="clear" w:color="auto" w:fill="CCEEFF"/>
          </w:tcPr>
          <w:p>
            <w:pPr>
              <w:jc w:val="right"/>
              <w:ind w:right="14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102,704</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116,684</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49,349</w:t>
            </w:r>
          </w:p>
        </w:tc>
        <w:tc>
          <w:tcPr>
            <w:tcW w:w="2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55,060</w:t>
            </w:r>
          </w:p>
        </w:tc>
        <w:tc>
          <w:tcPr>
            <w:tcW w:w="0" w:type="dxa"/>
            <w:vAlign w:val="bottom"/>
          </w:tcPr>
          <w:p>
            <w:pPr>
              <w:spacing w:after="0"/>
              <w:rPr>
                <w:sz w:val="1"/>
                <w:szCs w:val="1"/>
                <w:color w:val="auto"/>
              </w:rPr>
            </w:pPr>
          </w:p>
        </w:tc>
      </w:tr>
      <w:tr>
        <w:trPr>
          <w:trHeight w:val="183"/>
        </w:trPr>
        <w:tc>
          <w:tcPr>
            <w:tcW w:w="632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Gross margin</w:t>
            </w:r>
          </w:p>
        </w:tc>
        <w:tc>
          <w:tcPr>
            <w:tcW w:w="1620" w:type="dxa"/>
            <w:vAlign w:val="bottom"/>
            <w:tcBorders>
              <w:bottom w:val="single" w:sz="8" w:color="auto"/>
            </w:tcBorders>
            <w:shd w:val="clear" w:color="auto" w:fill="CCEEFF"/>
          </w:tcPr>
          <w:p>
            <w:pPr>
              <w:jc w:val="right"/>
              <w:ind w:right="1436"/>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53,355</w:t>
            </w:r>
          </w:p>
        </w:tc>
        <w:tc>
          <w:tcPr>
            <w:tcW w:w="2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61,624</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Less:</w:t>
            </w:r>
          </w:p>
        </w:tc>
        <w:tc>
          <w:tcPr>
            <w:tcW w:w="1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Outbound shipping expenses</w:t>
            </w:r>
          </w:p>
        </w:tc>
        <w:tc>
          <w:tcPr>
            <w:tcW w:w="1620" w:type="dxa"/>
            <w:vAlign w:val="bottom"/>
            <w:shd w:val="clear" w:color="auto" w:fill="CCEEFF"/>
          </w:tcPr>
          <w:p>
            <w:pPr>
              <w:jc w:val="right"/>
              <w:ind w:right="14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expenses</w:t>
            </w:r>
          </w:p>
        </w:tc>
        <w:tc>
          <w:tcPr>
            <w:tcW w:w="1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expenses</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10,886</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Overhead expenses</w:t>
            </w:r>
          </w:p>
        </w:tc>
        <w:tc>
          <w:tcPr>
            <w:tcW w:w="1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38,559</w:t>
            </w:r>
          </w:p>
        </w:tc>
        <w:tc>
          <w:tcPr>
            <w:tcW w:w="2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41,208</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16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65,707</w:t>
            </w:r>
          </w:p>
        </w:tc>
        <w:tc>
          <w:tcPr>
            <w:tcW w:w="2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70,595</w:t>
            </w:r>
          </w:p>
        </w:tc>
        <w:tc>
          <w:tcPr>
            <w:tcW w:w="0" w:type="dxa"/>
            <w:vAlign w:val="bottom"/>
          </w:tcPr>
          <w:p>
            <w:pPr>
              <w:spacing w:after="0"/>
              <w:rPr>
                <w:sz w:val="1"/>
                <w:szCs w:val="1"/>
                <w:color w:val="auto"/>
              </w:rPr>
            </w:pPr>
          </w:p>
        </w:tc>
      </w:tr>
      <w:tr>
        <w:trPr>
          <w:trHeight w:val="196"/>
        </w:trPr>
        <w:tc>
          <w:tcPr>
            <w:tcW w:w="6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Operating loss</w:t>
            </w:r>
          </w:p>
        </w:tc>
        <w:tc>
          <w:tcPr>
            <w:tcW w:w="16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(12,352)</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(8,971)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16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(161)</w:t>
            </w:r>
          </w:p>
        </w:tc>
        <w:tc>
          <w:tcPr>
            <w:tcW w:w="6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6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before income taxes</w:t>
            </w:r>
          </w:p>
        </w:tc>
        <w:tc>
          <w:tcPr>
            <w:tcW w:w="16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(13,994)</w:t>
            </w:r>
          </w:p>
        </w:tc>
        <w:tc>
          <w:tcPr>
            <w:tcW w:w="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(9,948)</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6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(15,264)</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(7,865)</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83"/>
        </w:trPr>
        <w:tc>
          <w:tcPr>
            <w:tcW w:w="632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1620" w:type="dxa"/>
            <w:vAlign w:val="bottom"/>
            <w:tcBorders>
              <w:bottom w:val="single" w:sz="8" w:color="auto"/>
            </w:tcBorders>
            <w:shd w:val="clear" w:color="auto" w:fill="CCEEFF"/>
          </w:tcPr>
          <w:p>
            <w:pPr>
              <w:jc w:val="right"/>
              <w:ind w:right="1436"/>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(15,293)</w:t>
            </w:r>
          </w:p>
        </w:tc>
        <w:tc>
          <w:tcPr>
            <w:tcW w:w="2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(7,873)</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Pronouncements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Segment Reporting – Improvements to Reportable Segment Disclosures</w:t>
      </w:r>
    </w:p>
    <w:p>
      <w:pPr>
        <w:spacing w:after="0" w:line="173" w:lineRule="exact"/>
        <w:rPr>
          <w:sz w:val="20"/>
          <w:szCs w:val="20"/>
          <w:color w:val="auto"/>
        </w:rPr>
      </w:pPr>
    </w:p>
    <w:p>
      <w:pPr>
        <w:ind w:right="60" w:firstLine="648"/>
        <w:spacing w:after="0" w:line="23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Improvements to Reportable Segment Disclosures.” This ASU improves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new guidance is effective for public companies with annual periods beginning after December 15, 2023, and interim periods within an annual period beginning after December 15, 2024, with early adoption permitted. The Company adopted ASU 2023-07 on January 29, 2024, the first day of the Company’s first quarter for the fiscal year ending February 2, 2025, the Company’s fiscal year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 Not Yet Adopted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Taxes – Improvements to Income Tax Disclosures</w:t>
      </w:r>
    </w:p>
    <w:p>
      <w:pPr>
        <w:spacing w:after="0" w:line="173" w:lineRule="exact"/>
        <w:rPr>
          <w:sz w:val="20"/>
          <w:szCs w:val="20"/>
          <w:color w:val="auto"/>
        </w:rPr>
      </w:pPr>
    </w:p>
    <w:p>
      <w:pPr>
        <w:ind w:right="340" w:firstLine="648"/>
        <w:spacing w:after="0" w:line="23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Improvements to Income Tax Disclosures.” This ASU improves the transparency of income tax disclosures by requiring (i) consistent categories and greater disaggregation of information in the rate reconciliation and (ii) income taxes paid disaggregated by jurisdiction. This new guidance will be effective for annual periods beginning after December 15, 2024, and early adoption is permitted. Management is currently evaluating the effects this guidance will have on its consolidated financial statements.</w:t>
      </w:r>
    </w:p>
    <w:p>
      <w:pPr>
        <w:spacing w:after="0" w:line="142" w:lineRule="exact"/>
        <w:rPr>
          <w:sz w:val="20"/>
          <w:szCs w:val="20"/>
          <w:color w:val="auto"/>
        </w:rPr>
      </w:pPr>
    </w:p>
    <w:p>
      <w:pPr>
        <w:ind w:left="5540" w:right="3840" w:hanging="487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 Statement – Reporting Comprehensive Income – Expense Disaggregation Disclosures </w:t>
      </w: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This ASU requires that each interim and annual reporting period an entity disclose more information about the components of certain expense captions that is currently disclosed in the financial statements. This update is effective for annual reporting periods beginning after December 15, 2027. Early adoption is permitted. Management is currently evaluating the effects this guidance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2" w:lineRule="exact"/>
        <w:rPr>
          <w:sz w:val="20"/>
          <w:szCs w:val="20"/>
          <w:color w:val="auto"/>
        </w:rPr>
      </w:pPr>
    </w:p>
    <w:p>
      <w:pPr>
        <w:ind w:right="320" w:firstLine="428"/>
        <w:spacing w:after="0" w:line="244"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 of this Quarterly Report on Form 10-Q and with our audited financial statements and the related notes included in our Annual Report on Form 10-K for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fiscal year ended February 2, 2025 (“2024 Form 10-K”).</w:t>
      </w:r>
    </w:p>
    <w:p>
      <w:pPr>
        <w:spacing w:after="0" w:line="159" w:lineRule="exact"/>
        <w:rPr>
          <w:sz w:val="20"/>
          <w:szCs w:val="20"/>
          <w:color w:val="auto"/>
        </w:rPr>
      </w:pPr>
    </w:p>
    <w:p>
      <w:pPr>
        <w:ind w:right="260" w:firstLine="428"/>
        <w:spacing w:after="0" w:line="264" w:lineRule="auto"/>
        <w:rPr>
          <w:sz w:val="20"/>
          <w:szCs w:val="20"/>
          <w:color w:val="auto"/>
        </w:rPr>
      </w:pPr>
      <w:r>
        <w:rPr>
          <w:rFonts w:ascii="Times New Roman" w:cs="Times New Roman" w:eastAsia="Times New Roman" w:hAnsi="Times New Roman"/>
          <w:sz w:val="14"/>
          <w:szCs w:val="14"/>
          <w:i w:val="1"/>
          <w:iCs w:val="1"/>
          <w:color w:val="auto"/>
        </w:rPr>
        <w:t>The Company’s fiscal year ends on the Sunday nearest to January 31 of the following year. Fiscal 2025 is a 52-week period and ends on February 1, 2026. Fiscal 2024 was a 53-week period and ended on February 2, 2025. The three months of fiscal 2025 and fiscal 2024 represent our 13-week periods ended May 4, 2025 and April 28, 2024, respectively.</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Unless the context indicates otherwise, the terms the “Company,” “Duluth,” “Duluth Trading,” “we,” “our,” or “us” are used to refer to Duluth Holdings Inc.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firstLine="428"/>
        <w:spacing w:after="0" w:line="270"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initiatives, or strategies are forward-looking statements. All forward-looking statements are subject to risks and uncertainties that could cause actual results to differ materially from those expressed in the forward-looking statements, including the risks and uncertainties described under Part I, Item 1A “Risk Factors,” in our 2024 Form 10-K, and other SEC filings, which factors are incorporated by reference herein. These risks and uncertainties include, but are not limited to, the following: the impact of inflation and measures to control inflation on our results of operations; the prolonged effects of economic uncertainties on store and website traffic; disruptions to our distribution network, supply chains and operations; failure to effectively manage inventory levels; our ability to maintain and enhance a strong brand and sub-brand image; adapting to declines in consumer confidence, inflation and decreases in consumer spending; disruptions to our e-commerce platform; our ability to meet customer delivery time expectations; our ability to properly allocate inventory throughout our distribution network to fulfill customer demand; our failure to meet our debt covenant ratios; natural disasters, unusually adverse weather conditions, boycotts, prolonged public health crises, epidemics or pandemics and unanticipated events; generating adequate cash from our existing stores and direct sales to support our growth; the impact of changes in corporate tax regulations and sales tax; identifying and responding to new and changing customer preferences; the success of the locations in which our stores are located; effectively relying on sources for merchandise located in foreign markets; transportation delays and interruptions, including port congestion; our inability to timely and effectively obtain shipments of products from our suppliers and deliver merchandise to our customers; the inability to maintain the performance of our maturing store portfolio; our inability to deploy marketing tactics to strengthen brand awareness and attract new customers in a cost effective manner; our ability to successfully open new stores; effectively adapting to new challenges associated with our expansion into new geographic markets; competing effectively in an environment of intense competition or elevated promotions; our ability to adapt to significant changes in sales due to the seasonality of our business; price reductions or inventory shortages resulting from failure to purchase the appropriate amount of inventory in advance of the season in which it will be sold; the potential for further increases in price and lack of availability of raw materials; our dependence on third-party vendors to provide us with sufficient quantities of merchandise at acceptable prices; the susceptibility of the price and availability of our merchandise to international trade conditions, including tariffs; failure of our vendors and their manufacturing sources to use acceptable labor or other practices; our dependence upon key executive management or our inability to hire or retain the talent required for our business; increases in costs of fuel or other energy, transportation or utility costs and in the costs of labor and employment; failure of our information technology systems to support our current and growing business, before and after our planned upgrades; disruptions in our supply chain and fulfillment centers; our inability to protect our trademarks or other intellectual property rights; infringement on the intellectual property of third parties; acts of war, terrorism or civil unrest; the impact of governmental laws and regulations and the outcomes of legal proceedings; changes in U.S. and non-U.S. laws affecting the importation and taxation of goods, including imposition of unilateral tariffs on imported goods; our ability to secure the personal and/or financial information of our customers and employees; failure to comply with data privacy regulations; our ability to comply with the security standards for the credit card industry; our failure to maintain adequate internal controls over our financial and management systems; acquisition, disposition, and development risks; and other factors that may be disclosed in our SEC filings or otherwise.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428"/>
        <w:spacing w:after="0" w:line="236"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44" w:lineRule="exact"/>
        <w:rPr>
          <w:sz w:val="20"/>
          <w:szCs w:val="20"/>
          <w:color w:val="auto"/>
        </w:rPr>
      </w:pPr>
    </w:p>
    <w:p>
      <w:pPr>
        <w:ind w:right="1140" w:firstLine="428"/>
        <w:spacing w:after="0" w:line="430" w:lineRule="auto"/>
        <w:rPr>
          <w:sz w:val="20"/>
          <w:szCs w:val="20"/>
          <w:color w:val="auto"/>
        </w:rPr>
      </w:pPr>
      <w:r>
        <w:rPr>
          <w:rFonts w:ascii="Times New Roman" w:cs="Times New Roman" w:eastAsia="Times New Roman" w:hAnsi="Times New Roman"/>
          <w:sz w:val="18"/>
          <w:szCs w:val="18"/>
          <w:color w:val="auto"/>
        </w:rPr>
        <w:t xml:space="preserve">We undertake no obligation to update or revise these forward-looking statements, except as required under the federal securities laws.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ind w:right="120" w:firstLine="428"/>
        <w:spacing w:after="0" w:line="242" w:lineRule="auto"/>
        <w:rPr>
          <w:sz w:val="20"/>
          <w:szCs w:val="20"/>
          <w:color w:val="auto"/>
        </w:rPr>
      </w:pPr>
      <w:r>
        <w:rPr>
          <w:rFonts w:ascii="Times New Roman" w:cs="Times New Roman" w:eastAsia="Times New Roman" w:hAnsi="Times New Roman"/>
          <w:sz w:val="18"/>
          <w:szCs w:val="18"/>
          <w:color w:val="auto"/>
        </w:rPr>
        <w:t>We are a lifestyle brand of men’s and women’s casual wear, workwear and accessories sold primarily through our own omnichannel platform. We offer products nationwide through our website and catalog. In 2010, we initiated our omnichannel platform with the opening of our first store. Since then, we have expanded our retail presence, and as of May 4, 2025, we operated 62 retail stores and three outlet stores.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offer a comprehensive line of innovative, durable and functional products, such as our Longtail 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shirts, Buck Naked</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underwear, Fire Hose</w:t>
      </w:r>
      <w:r>
        <w:rPr>
          <w:rFonts w:ascii="Times New Roman" w:cs="Times New Roman" w:eastAsia="Times New Roman" w:hAnsi="Times New Roman"/>
          <w:sz w:val="22"/>
          <w:szCs w:val="22"/>
          <w:color w:val="auto"/>
          <w:vertAlign w:val="superscript"/>
        </w:rPr>
        <w:t>®</w:t>
      </w:r>
    </w:p>
    <w:p>
      <w:pPr>
        <w:ind w:right="180"/>
        <w:spacing w:after="0" w:line="205" w:lineRule="auto"/>
        <w:rPr>
          <w:sz w:val="20"/>
          <w:szCs w:val="20"/>
          <w:color w:val="auto"/>
        </w:rPr>
      </w:pPr>
      <w:r>
        <w:rPr>
          <w:rFonts w:ascii="Times New Roman" w:cs="Times New Roman" w:eastAsia="Times New Roman" w:hAnsi="Times New Roman"/>
          <w:sz w:val="18"/>
          <w:szCs w:val="18"/>
          <w:color w:val="auto"/>
        </w:rPr>
        <w:t>work pants, and No-Yank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158" w:lineRule="exact"/>
        <w:rPr>
          <w:sz w:val="20"/>
          <w:szCs w:val="20"/>
          <w:color w:val="auto"/>
        </w:rPr>
      </w:pPr>
    </w:p>
    <w:p>
      <w:pPr>
        <w:ind w:firstLine="428"/>
        <w:spacing w:after="0" w:line="236" w:lineRule="auto"/>
        <w:rPr>
          <w:sz w:val="20"/>
          <w:szCs w:val="20"/>
          <w:color w:val="auto"/>
        </w:rPr>
      </w:pPr>
      <w:r>
        <w:rPr>
          <w:rFonts w:ascii="Times New Roman" w:cs="Times New Roman" w:eastAsia="Times New Roman" w:hAnsi="Times New Roman"/>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sales momentum. We have done so by sticking to our roots of “there’s gotta be a better way” and through our relentless focus on providing our customers with quality, functional products.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our financial results is as follows:</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sales decreased by 12.0% over the prior year first quarter to $102.7 million;</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loss of $15.3 million in fiscal 2025 first quarter compared to the prior year first quarter net loss of $7.9 million; and</w:t>
      </w:r>
    </w:p>
    <w:p>
      <w:pPr>
        <w:spacing w:after="0" w:line="90" w:lineRule="exact"/>
        <w:rPr>
          <w:sz w:val="20"/>
          <w:szCs w:val="20"/>
          <w:color w:val="auto"/>
        </w:rPr>
      </w:pPr>
    </w:p>
    <w:p>
      <w:pPr>
        <w:ind w:left="880" w:right="260"/>
        <w:spacing w:after="0" w:line="282" w:lineRule="auto"/>
        <w:rPr>
          <w:sz w:val="20"/>
          <w:szCs w:val="20"/>
          <w:color w:val="auto"/>
        </w:rPr>
      </w:pPr>
      <w:r>
        <w:rPr>
          <w:rFonts w:ascii="Times New Roman" w:cs="Times New Roman" w:eastAsia="Times New Roman" w:hAnsi="Times New Roman"/>
          <w:sz w:val="18"/>
          <w:szCs w:val="18"/>
          <w:color w:val="auto"/>
        </w:rPr>
        <w:t>Adjusted EBITDA decreased to ($3.8) million in fiscal 2025 first quarter compared to the prior year first quarter Adjusted EBITDA of $1.8 million.</w:t>
      </w:r>
    </w:p>
    <w:p>
      <w:pPr>
        <w:spacing w:after="0" w:line="94" w:lineRule="exact"/>
        <w:rPr>
          <w:sz w:val="20"/>
          <w:szCs w:val="20"/>
          <w:color w:val="auto"/>
        </w:rPr>
      </w:pPr>
    </w:p>
    <w:p>
      <w:pPr>
        <w:ind w:right="60" w:firstLine="402"/>
        <w:spacing w:after="0" w:line="242" w:lineRule="auto"/>
        <w:rPr>
          <w:sz w:val="20"/>
          <w:szCs w:val="20"/>
          <w:color w:val="auto"/>
        </w:rPr>
      </w:pPr>
      <w:r>
        <w:rPr>
          <w:rFonts w:ascii="Times New Roman" w:cs="Times New Roman" w:eastAsia="Times New Roman" w:hAnsi="Times New Roman"/>
          <w:sz w:val="18"/>
          <w:szCs w:val="18"/>
          <w:color w:val="auto"/>
        </w:rPr>
        <w:t>See the “Reconciliation of Net Loss to EBITDA and EBITDA to Adjusted EBITDA” section for a reconciliation of our net loss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43" w:lineRule="exact"/>
        <w:rPr>
          <w:sz w:val="20"/>
          <w:szCs w:val="20"/>
          <w:color w:val="auto"/>
        </w:rPr>
      </w:pPr>
    </w:p>
    <w:p>
      <w:pPr>
        <w:jc w:val="both"/>
        <w:ind w:right="60" w:firstLine="402"/>
        <w:spacing w:after="0" w:line="242" w:lineRule="auto"/>
        <w:rPr>
          <w:sz w:val="20"/>
          <w:szCs w:val="20"/>
          <w:color w:val="auto"/>
        </w:rPr>
      </w:pPr>
      <w:r>
        <w:rPr>
          <w:rFonts w:ascii="Times New Roman" w:cs="Times New Roman" w:eastAsia="Times New Roman" w:hAnsi="Times New Roman"/>
          <w:sz w:val="18"/>
          <w:szCs w:val="18"/>
          <w:color w:val="auto"/>
        </w:rPr>
        <w:t>Our management’s discussion and analysis includes market sales metrics for our stores, website and catalog sales. Market areas are determined by a third-party that divides the United States and Puerto Rico into 280 unique geographical areas. Our store market sales metrics include sales from our stores, website and catalog. Our non-store market sales metrics include sales from our website and catalog.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Conditions</w:t>
      </w:r>
    </w:p>
    <w:p>
      <w:pPr>
        <w:spacing w:after="0" w:line="175" w:lineRule="exact"/>
        <w:rPr>
          <w:sz w:val="20"/>
          <w:szCs w:val="20"/>
          <w:color w:val="auto"/>
        </w:rPr>
      </w:pPr>
    </w:p>
    <w:p>
      <w:pPr>
        <w:ind w:right="140" w:firstLine="492"/>
        <w:spacing w:after="0" w:line="242" w:lineRule="auto"/>
        <w:rPr>
          <w:sz w:val="20"/>
          <w:szCs w:val="20"/>
          <w:color w:val="auto"/>
        </w:rPr>
      </w:pPr>
      <w:r>
        <w:rPr>
          <w:rFonts w:ascii="Times New Roman" w:cs="Times New Roman" w:eastAsia="Times New Roman" w:hAnsi="Times New Roman"/>
          <w:sz w:val="18"/>
          <w:szCs w:val="18"/>
          <w:color w:val="auto"/>
        </w:rPr>
        <w:t>The macroeconomic environment is experiencing inflation, tariff and recessionary concerns and general uncertainty regarding the future economic environment and therefore we cannot predict the ultimate impact of these economic conditions on our operational and financial performance. Given the uncertainty, we cannot reasonably estimate store traffic patterns and the prolonged impact on overall consumer demand.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financial and operating measures that affect our operating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75" w:lineRule="exact"/>
        <w:rPr>
          <w:sz w:val="20"/>
          <w:szCs w:val="20"/>
          <w:color w:val="auto"/>
        </w:rPr>
      </w:pPr>
    </w:p>
    <w:p>
      <w:pPr>
        <w:ind w:right="360" w:firstLine="428"/>
        <w:spacing w:after="0" w:line="230" w:lineRule="auto"/>
        <w:rPr>
          <w:sz w:val="20"/>
          <w:szCs w:val="20"/>
          <w:color w:val="auto"/>
        </w:rPr>
      </w:pPr>
      <w:r>
        <w:rPr>
          <w:rFonts w:ascii="Times New Roman" w:cs="Times New Roman" w:eastAsia="Times New Roman" w:hAnsi="Times New Roman"/>
          <w:sz w:val="18"/>
          <w:szCs w:val="18"/>
          <w:color w:val="auto"/>
        </w:rPr>
        <w:t>Net sales reflect our sale of merchandise plus shipping and handling revenue collected from our customers, less returns and discounts. Direct-to-consumer sales are recognized upon shipment of the product and store sales are recognized at the point of sale.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2" w:lineRule="exact"/>
        <w:rPr>
          <w:sz w:val="20"/>
          <w:szCs w:val="20"/>
          <w:color w:val="auto"/>
        </w:rPr>
      </w:pPr>
    </w:p>
    <w:p>
      <w:pPr>
        <w:ind w:right="20" w:firstLine="428"/>
        <w:spacing w:after="0" w:line="233" w:lineRule="auto"/>
        <w:rPr>
          <w:sz w:val="20"/>
          <w:szCs w:val="20"/>
          <w:color w:val="auto"/>
        </w:rPr>
      </w:pPr>
      <w:r>
        <w:rPr>
          <w:rFonts w:ascii="Times New Roman" w:cs="Times New Roman" w:eastAsia="Times New Roman" w:hAnsi="Times New Roman"/>
          <w:sz w:val="18"/>
          <w:szCs w:val="18"/>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Our gross profit may not be comparable to other retailers, as we do not include distribution network and store occupancy expenses in calculating gross profit, but instead we include them in selling, general and administrative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ind w:firstLine="428"/>
        <w:spacing w:after="0" w:line="233" w:lineRule="auto"/>
        <w:rPr>
          <w:sz w:val="20"/>
          <w:szCs w:val="20"/>
          <w:color w:val="auto"/>
        </w:rPr>
      </w:pPr>
      <w:r>
        <w:rPr>
          <w:rFonts w:ascii="Times New Roman" w:cs="Times New Roman" w:eastAsia="Times New Roman" w:hAnsi="Times New Roman"/>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and distribution network expenses. They also include marketing expense, which primarily includes digital and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2" w:lineRule="exact"/>
        <w:rPr>
          <w:sz w:val="20"/>
          <w:szCs w:val="20"/>
          <w:color w:val="auto"/>
        </w:rPr>
      </w:pPr>
    </w:p>
    <w:p>
      <w:pPr>
        <w:ind w:right="120" w:firstLine="428"/>
        <w:spacing w:after="0" w:line="236" w:lineRule="auto"/>
        <w:rPr>
          <w:sz w:val="20"/>
          <w:szCs w:val="20"/>
          <w:color w:val="auto"/>
        </w:rPr>
      </w:pPr>
      <w:r>
        <w:rPr>
          <w:rFonts w:ascii="Times New Roman" w:cs="Times New Roman" w:eastAsia="Times New Roman" w:hAnsi="Times New Roman"/>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4" w:lineRule="exact"/>
        <w:rPr>
          <w:sz w:val="20"/>
          <w:szCs w:val="20"/>
          <w:color w:val="auto"/>
        </w:rPr>
      </w:pPr>
    </w:p>
    <w:p>
      <w:pPr>
        <w:ind w:right="160" w:firstLine="428"/>
        <w:spacing w:after="0" w:line="235" w:lineRule="auto"/>
        <w:rPr>
          <w:sz w:val="20"/>
          <w:szCs w:val="20"/>
          <w:color w:val="auto"/>
        </w:rPr>
      </w:pPr>
      <w:r>
        <w:rPr>
          <w:rFonts w:ascii="Times New Roman" w:cs="Times New Roman" w:eastAsia="Times New Roman" w:hAnsi="Times New Roman"/>
          <w:sz w:val="18"/>
          <w:szCs w:val="18"/>
          <w:color w:val="auto"/>
        </w:rPr>
        <w:t>We define Adjusted EBITDA as consolidated net income before depreciation and amortization, interest expense and provision for income taxes adjusted for the impact of certain items, including non-cash, restructuring expenses and other items we do not consider representative of our ongoing operating performance. We believe Adjusted EBITDA is less susceptible to variances in actual performance resulting from depreciation, amortization and other items. We also use Adjusted EBITDA as one of the key financial metrics in determining bonus compensation for our employees. This non-GAAP measure may not be comparable to similarly titled measures used by other companies.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unaudited consolidated results of operations for the periods indicated, both in dollars and as a percentage of net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0" w:type="dxa"/>
            <w:vAlign w:val="bottom"/>
            <w:gridSpan w:val="2"/>
            <w:shd w:val="clear" w:color="auto" w:fill="CCEEFF"/>
          </w:tcPr>
          <w:p>
            <w:pPr>
              <w:jc w:val="right"/>
              <w:ind w:right="13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102,704</w:t>
            </w:r>
          </w:p>
        </w:tc>
        <w:tc>
          <w:tcPr>
            <w:tcW w:w="80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98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26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49,349</w:t>
            </w:r>
          </w:p>
        </w:tc>
        <w:tc>
          <w:tcPr>
            <w:tcW w:w="16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55,060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6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65,707</w:t>
            </w:r>
          </w:p>
        </w:tc>
        <w:tc>
          <w:tcPr>
            <w:tcW w:w="1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126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(13,994)</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6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6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(15,264)</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26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1260" w:type="dxa"/>
            <w:vAlign w:val="bottom"/>
          </w:tcPr>
          <w:p>
            <w:pPr>
              <w:spacing w:after="0"/>
              <w:rPr>
                <w:sz w:val="17"/>
                <w:szCs w:val="17"/>
                <w:color w:val="auto"/>
              </w:rPr>
            </w:pPr>
          </w:p>
        </w:tc>
        <w:tc>
          <w:tcPr>
            <w:tcW w:w="1540" w:type="dxa"/>
            <w:vAlign w:val="bottom"/>
            <w:tcBorders>
              <w:bottom w:val="single" w:sz="8" w:color="auto"/>
            </w:tcBorders>
          </w:tcPr>
          <w:p>
            <w:pPr>
              <w:jc w:val="right"/>
              <w:ind w:right="135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(15,293)</w:t>
            </w:r>
          </w:p>
        </w:tc>
        <w:tc>
          <w:tcPr>
            <w:tcW w:w="160" w:type="dxa"/>
            <w:vAlign w:val="bottom"/>
          </w:tcPr>
          <w:p>
            <w:pPr>
              <w:spacing w:after="0"/>
              <w:rPr>
                <w:sz w:val="17"/>
                <w:szCs w:val="17"/>
                <w:color w:val="auto"/>
              </w:rPr>
            </w:pPr>
          </w:p>
        </w:tc>
        <w:tc>
          <w:tcPr>
            <w:tcW w:w="640" w:type="dxa"/>
            <w:vAlign w:val="bottom"/>
            <w:tcBorders>
              <w:bottom w:val="single" w:sz="8" w:color="auto"/>
            </w:tcBorders>
          </w:tcPr>
          <w:p>
            <w:pPr>
              <w:jc w:val="right"/>
              <w:ind w:right="4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(7,873)</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12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5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(excluding depreciation</w:t>
            </w:r>
          </w:p>
        </w:tc>
        <w:tc>
          <w:tcPr>
            <w:tcW w:w="1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and amortization)</w:t>
            </w:r>
          </w:p>
        </w:tc>
        <w:tc>
          <w:tcPr>
            <w:tcW w:w="126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36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25</w:t>
            </w:r>
          </w:p>
        </w:tc>
        <w:tc>
          <w:tcPr>
            <w:tcW w:w="1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8"/>
        </w:trPr>
        <w:tc>
          <w:tcPr>
            <w:tcW w:w="4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2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60.5 %</w:t>
            </w:r>
          </w:p>
        </w:tc>
        <w:tc>
          <w:tcPr>
            <w:tcW w:w="0" w:type="dxa"/>
            <w:vAlign w:val="bottom"/>
          </w:tcPr>
          <w:p>
            <w:pPr>
              <w:spacing w:after="0"/>
              <w:rPr>
                <w:sz w:val="1"/>
                <w:szCs w:val="1"/>
                <w:color w:val="auto"/>
              </w:rPr>
            </w:pPr>
          </w:p>
        </w:tc>
      </w:tr>
      <w:tr>
        <w:trPr>
          <w:trHeight w:val="20"/>
        </w:trPr>
        <w:tc>
          <w:tcPr>
            <w:tcW w:w="6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2"/>
            <w:vMerge w:val="continue"/>
            <w:shd w:val="clear" w:color="auto" w:fill="CCEEFF"/>
          </w:tcPr>
          <w:p>
            <w:pPr>
              <w:spacing w:after="0"/>
              <w:rPr>
                <w:sz w:val="18"/>
                <w:szCs w:val="18"/>
                <w:color w:val="auto"/>
              </w:rPr>
            </w:pP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gridSpan w:val="2"/>
            <w:vMerge w:val="continue"/>
          </w:tcPr>
          <w:p>
            <w:pPr>
              <w:spacing w:after="0"/>
              <w:rPr>
                <w:sz w:val="18"/>
                <w:szCs w:val="18"/>
                <w:color w:val="auto"/>
              </w:rPr>
            </w:pP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2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2"/>
            <w:vMerge w:val="continue"/>
          </w:tcPr>
          <w:p>
            <w:pPr>
              <w:spacing w:after="0"/>
              <w:rPr>
                <w:sz w:val="18"/>
                <w:szCs w:val="18"/>
                <w:color w:val="auto"/>
              </w:rPr>
            </w:pP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right="4700"/>
        <w:spacing w:after="0" w:line="432" w:lineRule="auto"/>
        <w:rPr>
          <w:sz w:val="20"/>
          <w:szCs w:val="20"/>
          <w:color w:val="auto"/>
        </w:rPr>
      </w:pPr>
      <w:r>
        <w:rPr>
          <w:rFonts w:ascii="Times New Roman" w:cs="Times New Roman" w:eastAsia="Times New Roman" w:hAnsi="Times New Roman"/>
          <w:sz w:val="18"/>
          <w:szCs w:val="18"/>
          <w:b w:val="1"/>
          <w:bCs w:val="1"/>
          <w:color w:val="auto"/>
        </w:rPr>
        <w:t>Three Months Ended May 4, 2025, Compared to Three Months Ended April 28, 202</w:t>
      </w: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Net Sales</w:t>
      </w:r>
    </w:p>
    <w:p>
      <w:pPr>
        <w:spacing w:after="0" w:line="1" w:lineRule="exact"/>
        <w:rPr>
          <w:sz w:val="20"/>
          <w:szCs w:val="20"/>
          <w:color w:val="auto"/>
        </w:rPr>
      </w:pPr>
    </w:p>
    <w:p>
      <w:pPr>
        <w:ind w:right="540" w:firstLine="428"/>
        <w:spacing w:after="0" w:line="266" w:lineRule="auto"/>
        <w:rPr>
          <w:sz w:val="20"/>
          <w:szCs w:val="20"/>
          <w:color w:val="auto"/>
        </w:rPr>
      </w:pPr>
      <w:r>
        <w:rPr>
          <w:rFonts w:ascii="Times New Roman" w:cs="Times New Roman" w:eastAsia="Times New Roman" w:hAnsi="Times New Roman"/>
          <w:sz w:val="18"/>
          <w:szCs w:val="18"/>
          <w:color w:val="auto"/>
        </w:rPr>
        <w:t>Net sales decreased $14.0 million, or 12.0%, to $102.7 million in the three months ended May 4, 2025 compared to $116.7 million in the three months ended April 28, 2024. The decrease in net sales was primarily driven by decline in web traffic due to slower promotional activity.</w:t>
      </w:r>
    </w:p>
    <w:p>
      <w:pPr>
        <w:spacing w:after="0" w:line="108" w:lineRule="exact"/>
        <w:rPr>
          <w:sz w:val="20"/>
          <w:szCs w:val="20"/>
          <w:color w:val="auto"/>
        </w:rPr>
      </w:pPr>
    </w:p>
    <w:p>
      <w:pPr>
        <w:jc w:val="both"/>
        <w:ind w:right="360" w:firstLine="428"/>
        <w:spacing w:after="0" w:line="242" w:lineRule="auto"/>
        <w:rPr>
          <w:sz w:val="20"/>
          <w:szCs w:val="20"/>
          <w:color w:val="auto"/>
        </w:rPr>
      </w:pPr>
      <w:r>
        <w:rPr>
          <w:rFonts w:ascii="Times New Roman" w:cs="Times New Roman" w:eastAsia="Times New Roman" w:hAnsi="Times New Roman"/>
          <w:sz w:val="18"/>
          <w:szCs w:val="18"/>
          <w:color w:val="auto"/>
        </w:rPr>
        <w:t>Store market net sales decreased $6.4 million, or 8.2%, to $71.6 million in the three months ended May 4, 2025 compared to $78.1 million in the three months ended April 28, 2024. Non-store market net sales decreased by $5.5 million, or 16.5%, to $28.0 million in the three months ended May 4, 2025 compared to $33.6 million in the three months ended April 28,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Gross profit decreased $8.3 million, or 13.4%, to $53.4 million in the three months ended May 4, 2025 compared to $61.6 million in the three months ended April 28, 2024. As a percentage of net sales, gross margin decreased to 52.0% of net sales in the three months ended May 4, 2025, compared to 52.8% of net sales in the three months ended April 28, 2024. The decrease in gross margin percentage was primarily driven by higher clearance penetration, partially offset by improvement in product costs from our direct to factory sourcing initiative.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ind w:right="100" w:firstLine="428"/>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expenses decreased $4.9 million, or 6.9%, to $65.7 million in the three months ended May 4, 2025 compared to $70.6 million in the three months ended April 28, 2024. Selling, general and administrative expenses as a percentage of net sales increased to 64.0% in the three months ended May 4, 2025, compared to 60.5% in the three months ended April 28, 2024.</w:t>
      </w:r>
    </w:p>
    <w:p>
      <w:pPr>
        <w:spacing w:after="0" w:line="143" w:lineRule="exact"/>
        <w:rPr>
          <w:sz w:val="20"/>
          <w:szCs w:val="20"/>
          <w:color w:val="auto"/>
        </w:rPr>
      </w:pPr>
    </w:p>
    <w:p>
      <w:pPr>
        <w:ind w:right="80" w:firstLine="428"/>
        <w:spacing w:after="0" w:line="250" w:lineRule="auto"/>
        <w:rPr>
          <w:sz w:val="20"/>
          <w:szCs w:val="20"/>
          <w:color w:val="auto"/>
        </w:rPr>
      </w:pPr>
      <w:r>
        <w:rPr>
          <w:rFonts w:ascii="Times New Roman" w:cs="Times New Roman" w:eastAsia="Times New Roman" w:hAnsi="Times New Roman"/>
          <w:sz w:val="18"/>
          <w:szCs w:val="18"/>
          <w:color w:val="auto"/>
        </w:rPr>
        <w:t>The increase in selling, general and administrative expense as a percentage of net sales was mainly driven by decrease in net sales, partially offset by a decrease in advertising spend.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ind w:right="340" w:firstLine="428"/>
        <w:spacing w:after="0" w:line="242" w:lineRule="auto"/>
        <w:rPr>
          <w:sz w:val="20"/>
          <w:szCs w:val="20"/>
          <w:color w:val="auto"/>
        </w:rPr>
      </w:pPr>
      <w:r>
        <w:rPr>
          <w:rFonts w:ascii="Times New Roman" w:cs="Times New Roman" w:eastAsia="Times New Roman" w:hAnsi="Times New Roman"/>
          <w:sz w:val="18"/>
          <w:szCs w:val="18"/>
          <w:color w:val="auto"/>
        </w:rPr>
        <w:t>Income tax expense was $1.3 million in the three months ended May 4, 2025, compared to income tax benefit of $2.1 million in the three months ended April 28, 2024. The provision for first quarter of fiscal 2025 reflected an addition to valuation allowance of $4.1 million which was established against the net amount of deferred tax assets as well as pre-tax loss in the previous fiscal year.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Controlling Interest</w:t>
      </w:r>
    </w:p>
    <w:p>
      <w:pPr>
        <w:spacing w:after="0" w:line="175"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Net loss attributable to controlling interest was $15.3 million, in the three months ended May 4, 2025 compared to net loss of $7.9 million in the three months ended April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EBITDA and EBITDA to Adjusted EBITDA</w:t>
      </w:r>
    </w:p>
    <w:p>
      <w:pPr>
        <w:spacing w:after="0" w:line="162" w:lineRule="exact"/>
        <w:rPr>
          <w:sz w:val="20"/>
          <w:szCs w:val="20"/>
          <w:color w:val="auto"/>
        </w:rPr>
      </w:pPr>
    </w:p>
    <w:p>
      <w:pPr>
        <w:ind w:right="120" w:firstLine="428"/>
        <w:spacing w:after="0" w:line="238" w:lineRule="auto"/>
        <w:rPr>
          <w:sz w:val="20"/>
          <w:szCs w:val="20"/>
          <w:color w:val="auto"/>
        </w:rPr>
      </w:pPr>
      <w:r>
        <w:rPr>
          <w:rFonts w:ascii="Times New Roman" w:cs="Times New Roman" w:eastAsia="Times New Roman" w:hAnsi="Times New Roman"/>
          <w:sz w:val="18"/>
          <w:szCs w:val="18"/>
          <w:color w:val="auto"/>
        </w:rPr>
        <w:t>The following table presents reconciliations of net loss to EBITDA and EBITDA to Adjusted EBITDA, both of which are non-U.S. GAAP financial measures, for the periods indicated below. See the above section titled “How We Assess the Performance of Our Business,” for our definition of Adjusted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80" w:type="dxa"/>
            <w:vAlign w:val="bottom"/>
            <w:tcBorders>
              <w:bottom w:val="single" w:sz="8" w:color="auto"/>
            </w:tcBorders>
          </w:tcPr>
          <w:p>
            <w:pPr>
              <w:spacing w:after="0"/>
              <w:rPr>
                <w:sz w:val="16"/>
                <w:szCs w:val="16"/>
                <w:color w:val="auto"/>
              </w:rPr>
            </w:pPr>
          </w:p>
        </w:tc>
      </w:tr>
      <w:tr>
        <w:trPr>
          <w:trHeight w:val="196"/>
        </w:trPr>
        <w:tc>
          <w:tcPr>
            <w:tcW w:w="66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6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April 28, 2024</w:t>
            </w:r>
          </w:p>
        </w:tc>
      </w:tr>
      <w:tr>
        <w:trPr>
          <w:trHeight w:val="196"/>
        </w:trPr>
        <w:tc>
          <w:tcPr>
            <w:tcW w:w="6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shd w:val="clear" w:color="auto" w:fill="CCEEFF"/>
          </w:tcPr>
          <w:p>
            <w:pPr>
              <w:jc w:val="right"/>
              <w:ind w:right="1339"/>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(15,264)</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w:t>
            </w: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w:t>
            </w:r>
          </w:p>
        </w:tc>
      </w:tr>
      <w:tr>
        <w:trPr>
          <w:trHeight w:val="216"/>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internal-use software hosting</w:t>
            </w:r>
          </w:p>
        </w:tc>
        <w:tc>
          <w:tcPr>
            <w:tcW w:w="1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implementation costs</w:t>
            </w:r>
          </w:p>
        </w:tc>
        <w:tc>
          <w:tcPr>
            <w:tcW w:w="1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16"/>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16"/>
        </w:trPr>
        <w:tc>
          <w:tcPr>
            <w:tcW w:w="6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w:t>
            </w:r>
          </w:p>
        </w:tc>
      </w:tr>
      <w:tr>
        <w:trPr>
          <w:trHeight w:val="196"/>
        </w:trPr>
        <w:tc>
          <w:tcPr>
            <w:tcW w:w="6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EBITDA</w:t>
            </w:r>
          </w:p>
        </w:tc>
        <w:tc>
          <w:tcPr>
            <w:tcW w:w="1500" w:type="dxa"/>
            <w:vAlign w:val="bottom"/>
            <w:shd w:val="clear" w:color="auto" w:fill="CCEEFF"/>
          </w:tcPr>
          <w:p>
            <w:pPr>
              <w:jc w:val="right"/>
              <w:ind w:right="133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(4,635)</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466</w:t>
            </w:r>
          </w:p>
        </w:tc>
      </w:tr>
      <w:tr>
        <w:trPr>
          <w:trHeight w:val="229"/>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incentive expense</w:t>
            </w:r>
          </w:p>
        </w:tc>
        <w:tc>
          <w:tcPr>
            <w:tcW w:w="1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30"/>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expense</w:t>
            </w:r>
          </w:p>
        </w:tc>
        <w:tc>
          <w:tcPr>
            <w:tcW w:w="15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6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150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(3,793)</w:t>
            </w:r>
          </w:p>
        </w:tc>
        <w:tc>
          <w:tcPr>
            <w:tcW w:w="24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1,838</w:t>
            </w:r>
          </w:p>
        </w:tc>
      </w:tr>
      <w:tr>
        <w:trPr>
          <w:trHeight w:val="20"/>
        </w:trPr>
        <w:tc>
          <w:tcPr>
            <w:tcW w:w="66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60" w:firstLine="428"/>
        <w:spacing w:after="0" w:line="242"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decreased $5.6 million to ($3.8) million in the three months ended May 4, 2025 compared to $1.8 million in the three months ended April 28, 2024. As a percentage of net sales, Adjusted EBITDA decreased to (3.7%) of net sales in the three months May 4, 2025 compared to 1.6% of net sales in the three months ended April 28,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jc w:val="both"/>
        <w:ind w:right="200" w:firstLine="428"/>
        <w:spacing w:after="0"/>
        <w:rPr>
          <w:sz w:val="20"/>
          <w:szCs w:val="20"/>
          <w:color w:val="auto"/>
        </w:rPr>
      </w:pPr>
      <w:r>
        <w:rPr>
          <w:rFonts w:ascii="Times New Roman" w:cs="Times New Roman" w:eastAsia="Times New Roman" w:hAnsi="Times New Roman"/>
          <w:sz w:val="18"/>
          <w:szCs w:val="18"/>
          <w:color w:val="auto"/>
        </w:rPr>
        <w:t>Our business relies on cash from operating activities and a credit facility as our primary sources of liquidity. Our primary cash needs have been for inventory, marketing and advertising, payroll, store leases, and capital expenditures associated with infrastructure and information technology. The most significant components of our working capital are cash, inventory, accounts payable and other current liabilities. At May 4, 2025, our net working capital was $54.2 million, including $8.6 million of cash and cash equivalents.</w:t>
      </w:r>
    </w:p>
    <w:p>
      <w:pPr>
        <w:spacing w:after="0" w:line="131" w:lineRule="exact"/>
        <w:rPr>
          <w:sz w:val="20"/>
          <w:szCs w:val="20"/>
          <w:color w:val="auto"/>
        </w:rPr>
      </w:pPr>
    </w:p>
    <w:p>
      <w:pPr>
        <w:ind w:right="60" w:firstLine="428"/>
        <w:spacing w:after="0" w:line="236" w:lineRule="auto"/>
        <w:rPr>
          <w:sz w:val="20"/>
          <w:szCs w:val="20"/>
          <w:color w:val="auto"/>
        </w:rPr>
      </w:pPr>
      <w:r>
        <w:rPr>
          <w:rFonts w:ascii="Times New Roman" w:cs="Times New Roman" w:eastAsia="Times New Roman" w:hAnsi="Times New Roman"/>
          <w:sz w:val="18"/>
          <w:szCs w:val="18"/>
          <w:color w:val="auto"/>
        </w:rPr>
        <w:t>We expect to spend approximately $17.0 million in fiscal 2025 on capital expenditures, inclusive of software hosting implementation costs, primarily due to investments in logistics optimization, including investments in the fulfillment network and information technology. Due to the seasonality of our business, the fourth quarter typically has the most significant impact on our amount of cash from operating activities. We also use cash in our investing activities for capital expenditures throughout all four quarters of our fiscal year.</w:t>
      </w:r>
    </w:p>
    <w:p>
      <w:pPr>
        <w:spacing w:after="0" w:line="144" w:lineRule="exact"/>
        <w:rPr>
          <w:sz w:val="20"/>
          <w:szCs w:val="20"/>
          <w:color w:val="auto"/>
        </w:rPr>
      </w:pPr>
    </w:p>
    <w:p>
      <w:pPr>
        <w:ind w:right="60" w:firstLine="428"/>
        <w:spacing w:after="0" w:line="266" w:lineRule="auto"/>
        <w:rPr>
          <w:sz w:val="20"/>
          <w:szCs w:val="20"/>
          <w:color w:val="auto"/>
        </w:rPr>
      </w:pPr>
      <w:r>
        <w:rPr>
          <w:rFonts w:ascii="Times New Roman" w:cs="Times New Roman" w:eastAsia="Times New Roman" w:hAnsi="Times New Roman"/>
          <w:sz w:val="18"/>
          <w:szCs w:val="18"/>
          <w:color w:val="auto"/>
        </w:rPr>
        <w:t>We believe that our cash flow from operating activities and the availability of cash under our credit facility will be sufficient to cover working capital requirements and anticipated capital expenditures for the foreseeable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tcBorders>
              <w:bottom w:val="single" w:sz="8" w:color="auto"/>
            </w:tcBorders>
          </w:tcPr>
          <w:p>
            <w:pPr>
              <w:spacing w:after="0"/>
              <w:rPr>
                <w:sz w:val="16"/>
                <w:szCs w:val="16"/>
                <w:color w:val="auto"/>
              </w:rPr>
            </w:pPr>
          </w:p>
        </w:tc>
      </w:tr>
      <w:tr>
        <w:trPr>
          <w:trHeight w:val="183"/>
        </w:trPr>
        <w:tc>
          <w:tcPr>
            <w:tcW w:w="7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April 28, 2024</w:t>
            </w:r>
          </w:p>
        </w:tc>
      </w:tr>
      <w:tr>
        <w:trPr>
          <w:trHeight w:val="250"/>
        </w:trPr>
        <w:tc>
          <w:tcPr>
            <w:tcW w:w="7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29"/>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(56,463)</w:t>
            </w:r>
          </w:p>
        </w:tc>
        <w:tc>
          <w:tcPr>
            <w:tcW w:w="52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(33,666)</w:t>
            </w: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(1,279)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3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62,986</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w:t>
            </w:r>
          </w:p>
        </w:tc>
      </w:tr>
      <w:tr>
        <w:trPr>
          <w:trHeight w:val="196"/>
        </w:trPr>
        <w:tc>
          <w:tcPr>
            <w:tcW w:w="7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5,244</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(25,358)</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75" w:lineRule="exact"/>
        <w:rPr>
          <w:sz w:val="20"/>
          <w:szCs w:val="20"/>
          <w:color w:val="auto"/>
        </w:rPr>
      </w:pPr>
    </w:p>
    <w:p>
      <w:pPr>
        <w:ind w:right="260" w:firstLine="428"/>
        <w:spacing w:after="0" w:line="238" w:lineRule="auto"/>
        <w:rPr>
          <w:sz w:val="20"/>
          <w:szCs w:val="20"/>
          <w:color w:val="auto"/>
        </w:rPr>
      </w:pPr>
      <w:r>
        <w:rPr>
          <w:rFonts w:ascii="Times New Roman" w:cs="Times New Roman" w:eastAsia="Times New Roman" w:hAnsi="Times New Roman"/>
          <w:sz w:val="18"/>
          <w:szCs w:val="18"/>
          <w:color w:val="auto"/>
        </w:rPr>
        <w:t>Operating activities consist primarily of net loss adjusted for non-cash items that include depreciation and amortization, stock-based compensation and the effect of changes in operating assets and liabilities.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428"/>
        <w:spacing w:after="0" w:line="236" w:lineRule="auto"/>
        <w:rPr>
          <w:sz w:val="20"/>
          <w:szCs w:val="20"/>
          <w:color w:val="auto"/>
        </w:rPr>
      </w:pPr>
      <w:r>
        <w:rPr>
          <w:rFonts w:ascii="Times New Roman" w:cs="Times New Roman" w:eastAsia="Times New Roman" w:hAnsi="Times New Roman"/>
          <w:sz w:val="18"/>
          <w:szCs w:val="18"/>
          <w:color w:val="auto"/>
        </w:rPr>
        <w:t>For the three months ended May 4, 2025, net cash used in operating activities was $56.5 million, which primarily consisted of cash used in operating assets and liabilities of $50.3 million and a $15.3 million net loss for the three months ended May 4, 2025 partially offset by depreciation of $6.7 million. The cash used in operating assets and liabilities of $50.3 million was primarily due to a $28.2 million decrease in accounts payable and $9.6 million increase in inventory.</w:t>
      </w:r>
    </w:p>
    <w:p>
      <w:pPr>
        <w:spacing w:after="0" w:line="144" w:lineRule="exact"/>
        <w:rPr>
          <w:sz w:val="20"/>
          <w:szCs w:val="20"/>
          <w:color w:val="auto"/>
        </w:rPr>
      </w:pPr>
    </w:p>
    <w:p>
      <w:pPr>
        <w:ind w:firstLine="428"/>
        <w:spacing w:after="0" w:line="236" w:lineRule="auto"/>
        <w:rPr>
          <w:sz w:val="20"/>
          <w:szCs w:val="20"/>
          <w:color w:val="auto"/>
        </w:rPr>
      </w:pPr>
      <w:r>
        <w:rPr>
          <w:rFonts w:ascii="Times New Roman" w:cs="Times New Roman" w:eastAsia="Times New Roman" w:hAnsi="Times New Roman"/>
          <w:sz w:val="18"/>
          <w:szCs w:val="18"/>
          <w:color w:val="auto"/>
        </w:rPr>
        <w:t>For the three months ended April 28, 2024, net cash used in operating activities was $33.7 million, which primarily consisted of cash used in operating assets and liabilities of $33.2 million and a $7.9 million net loss for the three months ended April 28, 2024 partially offset by depreciation of $8.3 million. The cash used in operating assets and liabilities of $33.2 million was primarily due to a $10.7 million increase in inventory and $13.2 million decrease in trade accounts payable.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Investing activities consist primarily of capital expenditures related to investments in infrastructure and information technology.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For the three months ended May 4, 2025 and </w:t>
      </w:r>
      <w:r>
        <w:rPr>
          <w:rFonts w:ascii="Times New Roman" w:cs="Times New Roman" w:eastAsia="Times New Roman" w:hAnsi="Times New Roman"/>
          <w:sz w:val="16"/>
          <w:szCs w:val="16"/>
          <w:color w:val="auto"/>
        </w:rPr>
        <w:t>April 28, 2024</w:t>
      </w:r>
      <w:r>
        <w:rPr>
          <w:rFonts w:ascii="Times New Roman" w:cs="Times New Roman" w:eastAsia="Times New Roman" w:hAnsi="Times New Roman"/>
          <w:sz w:val="18"/>
          <w:szCs w:val="18"/>
          <w:color w:val="auto"/>
        </w:rPr>
        <w:t>, net cash used in investing activities was $1.3 million and $1.5 million,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62" w:lineRule="exact"/>
        <w:rPr>
          <w:sz w:val="20"/>
          <w:szCs w:val="20"/>
          <w:color w:val="auto"/>
        </w:rPr>
      </w:pPr>
    </w:p>
    <w:p>
      <w:pPr>
        <w:ind w:right="600" w:firstLine="428"/>
        <w:spacing w:after="0" w:line="266" w:lineRule="auto"/>
        <w:rPr>
          <w:sz w:val="20"/>
          <w:szCs w:val="20"/>
          <w:color w:val="auto"/>
        </w:rPr>
      </w:pPr>
      <w:r>
        <w:rPr>
          <w:rFonts w:ascii="Times New Roman" w:cs="Times New Roman" w:eastAsia="Times New Roman" w:hAnsi="Times New Roman"/>
          <w:sz w:val="18"/>
          <w:szCs w:val="18"/>
          <w:color w:val="auto"/>
        </w:rPr>
        <w:t>Financing activities consist primarily of borrowings and payments related to our revolving line of credit as well as payments on finance lease obligations.</w:t>
      </w:r>
    </w:p>
    <w:p>
      <w:pPr>
        <w:spacing w:after="0" w:line="122" w:lineRule="exact"/>
        <w:rPr>
          <w:sz w:val="20"/>
          <w:szCs w:val="20"/>
          <w:color w:val="auto"/>
        </w:rPr>
      </w:pPr>
    </w:p>
    <w:p>
      <w:pPr>
        <w:ind w:right="820" w:firstLine="428"/>
        <w:spacing w:after="0" w:line="250" w:lineRule="auto"/>
        <w:rPr>
          <w:sz w:val="20"/>
          <w:szCs w:val="20"/>
          <w:color w:val="auto"/>
        </w:rPr>
      </w:pPr>
      <w:r>
        <w:rPr>
          <w:rFonts w:ascii="Times New Roman" w:cs="Times New Roman" w:eastAsia="Times New Roman" w:hAnsi="Times New Roman"/>
          <w:sz w:val="18"/>
          <w:szCs w:val="18"/>
          <w:color w:val="auto"/>
        </w:rPr>
        <w:t>For the three months ended May 4, 2025 and April 28, 2024</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net cash provided by financing activities was $63.0 million and $9.8 million, respectively, primarily consisting of net borrowings under our revolving line of credit.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62" w:lineRule="exact"/>
        <w:rPr>
          <w:sz w:val="20"/>
          <w:szCs w:val="20"/>
          <w:color w:val="auto"/>
        </w:rPr>
      </w:pPr>
    </w:p>
    <w:p>
      <w:pPr>
        <w:ind w:right="400" w:firstLine="428"/>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to our contractual obligations as described in our Annual Report on Form 10-K for the fiscal year ended February 2,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Critical Accounting Estimates</w:t>
      </w:r>
    </w:p>
    <w:p>
      <w:pPr>
        <w:spacing w:after="0" w:line="175" w:lineRule="exact"/>
        <w:rPr>
          <w:sz w:val="20"/>
          <w:szCs w:val="20"/>
          <w:color w:val="auto"/>
        </w:rPr>
      </w:pPr>
    </w:p>
    <w:p>
      <w:pPr>
        <w:ind w:right="240" w:firstLine="428"/>
        <w:spacing w:after="0" w:line="232"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the date of this filing, there were no significant changes to any of the critical accounting policies and estimates described in our 2024 Form 10-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360" w:firstLine="428"/>
        <w:spacing w:after="0" w:line="250" w:lineRule="auto"/>
        <w:rPr>
          <w:sz w:val="20"/>
          <w:szCs w:val="20"/>
          <w:color w:val="auto"/>
        </w:rPr>
      </w:pPr>
      <w:r>
        <w:rPr>
          <w:rFonts w:ascii="Times New Roman" w:cs="Times New Roman" w:eastAsia="Times New Roman" w:hAnsi="Times New Roman"/>
          <w:sz w:val="18"/>
          <w:szCs w:val="18"/>
          <w:color w:val="auto"/>
        </w:rPr>
        <w:t>See Note 14 “Recent Accounting Pronouncements,” of Notes to Condensed Consolidated Financial Statements included in Part 1, Item 1, of this quarterly report on Form 10-Q for information regarding recent accounting pronouncements.</w:t>
      </w:r>
    </w:p>
    <w:p>
      <w:pPr>
        <w:spacing w:after="0" w:line="13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94" w:lineRule="exact"/>
        <w:rPr>
          <w:sz w:val="20"/>
          <w:szCs w:val="20"/>
          <w:color w:val="auto"/>
        </w:rPr>
      </w:pPr>
    </w:p>
    <w:p>
      <w:pPr>
        <w:ind w:firstLine="440"/>
        <w:spacing w:after="0" w:line="242" w:lineRule="auto"/>
        <w:rPr>
          <w:sz w:val="20"/>
          <w:szCs w:val="20"/>
          <w:color w:val="auto"/>
        </w:rPr>
      </w:pPr>
      <w:r>
        <w:rPr>
          <w:rFonts w:ascii="Times New Roman" w:cs="Times New Roman" w:eastAsia="Times New Roman" w:hAnsi="Times New Roman"/>
          <w:sz w:val="18"/>
          <w:szCs w:val="18"/>
          <w:color w:val="auto"/>
        </w:rPr>
        <w:t>There have been no significant changes in the market risks described in our 2024 Form 10-K. See Note 3 “Debt and Credit Agreement,” of Notes to Condensed Consolidated Financial Statements included in Part 1, Item 1, of this quarterly report on Form 10-Q, for disclosure on our interest rate related to borrowings under our credit agreement.</w:t>
      </w:r>
    </w:p>
    <w:p>
      <w:pPr>
        <w:spacing w:after="0" w:line="1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ind w:right="280" w:firstLine="428"/>
        <w:spacing w:after="0" w:line="238" w:lineRule="auto"/>
        <w:rPr>
          <w:sz w:val="20"/>
          <w:szCs w:val="20"/>
          <w:color w:val="auto"/>
        </w:rPr>
      </w:pPr>
      <w:r>
        <w:rPr>
          <w:rFonts w:ascii="Times New Roman" w:cs="Times New Roman" w:eastAsia="Times New Roman" w:hAnsi="Times New Roman"/>
          <w:sz w:val="18"/>
          <w:szCs w:val="18"/>
          <w:color w:val="auto"/>
        </w:rPr>
        <w:t>Section 13a-15(b) under the Securities Exchange Act of 1934, as amended (the “Exchange Act”), requires management of an issuer subject to the Exchange Act to evaluate, with the participation of the issuer’s principal executive and principal</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2" w:lineRule="exact"/>
        <w:rPr>
          <w:sz w:val="20"/>
          <w:szCs w:val="20"/>
          <w:color w:val="auto"/>
        </w:rPr>
      </w:pPr>
    </w:p>
    <w:p>
      <w:pPr>
        <w:ind w:right="180" w:firstLine="648"/>
        <w:spacing w:after="0" w:line="24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13a-15(d) and 15d-15(d) under the Exchange Act) that occurred during the period covered by this Quarterly Report on Form 10-Q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ind w:right="200" w:firstLine="428"/>
        <w:spacing w:after="0" w:line="236" w:lineRule="auto"/>
        <w:rPr>
          <w:sz w:val="20"/>
          <w:szCs w:val="20"/>
          <w:color w:val="auto"/>
        </w:rPr>
      </w:pPr>
      <w:r>
        <w:rPr>
          <w:rFonts w:ascii="Times New Roman" w:cs="Times New Roman" w:eastAsia="Times New Roman" w:hAnsi="Times New Roman"/>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40" w:firstLine="440"/>
        <w:spacing w:after="0"/>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2024 Form 10-K, or other SEC filings. There have been no material changes to our risk factors as previously disclosed in our fiscal 2024 Annual Report on Form 10-K.</w:t>
      </w:r>
    </w:p>
    <w:p>
      <w:pPr>
        <w:spacing w:after="0" w:line="1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did not sell any equity securities during the quarter ended May 4, 2025, which were not registered under the Securities Act.</w:t>
      </w:r>
    </w:p>
    <w:p>
      <w:pPr>
        <w:spacing w:after="0" w:line="360" w:lineRule="exact"/>
        <w:rPr>
          <w:sz w:val="20"/>
          <w:szCs w:val="20"/>
          <w:color w:val="auto"/>
        </w:rPr>
      </w:pPr>
    </w:p>
    <w:p>
      <w:pPr>
        <w:ind w:right="380" w:firstLine="492"/>
        <w:spacing w:after="0" w:line="242" w:lineRule="auto"/>
        <w:rPr>
          <w:sz w:val="20"/>
          <w:szCs w:val="20"/>
          <w:color w:val="auto"/>
        </w:rPr>
      </w:pPr>
      <w:r>
        <w:rPr>
          <w:rFonts w:ascii="Times New Roman" w:cs="Times New Roman" w:eastAsia="Times New Roman" w:hAnsi="Times New Roman"/>
          <w:sz w:val="18"/>
          <w:szCs w:val="18"/>
          <w:color w:val="auto"/>
        </w:rPr>
        <w:t>The following table contains information regarding shares acquired by us during the quarter, which consisted solely of shares acquired from employees in lieu of amounts required to satisfy minimum tax withholding requirements upon the vesting of the employees’ restricted stock during the three months ended May 4, 2025.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80" w:type="dxa"/>
            <w:vAlign w:val="bottom"/>
          </w:tcPr>
          <w:p>
            <w:pPr>
              <w:spacing w:after="0"/>
              <w:rPr>
                <w:sz w:val="16"/>
                <w:szCs w:val="16"/>
                <w:color w:val="auto"/>
              </w:rPr>
            </w:pPr>
          </w:p>
        </w:tc>
        <w:tc>
          <w:tcPr>
            <w:tcW w:w="198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203"/>
        </w:trPr>
        <w:tc>
          <w:tcPr>
            <w:tcW w:w="3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shares purchased</w:t>
            </w:r>
          </w:p>
        </w:tc>
        <w:tc>
          <w:tcPr>
            <w:tcW w:w="28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203"/>
        </w:trPr>
        <w:tc>
          <w:tcPr>
            <w:tcW w:w="3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280" w:type="dxa"/>
            <w:vAlign w:val="bottom"/>
          </w:tcPr>
          <w:p>
            <w:pPr>
              <w:spacing w:after="0"/>
              <w:rPr>
                <w:sz w:val="17"/>
                <w:szCs w:val="17"/>
                <w:color w:val="auto"/>
              </w:rPr>
            </w:pPr>
          </w:p>
        </w:tc>
        <w:tc>
          <w:tcPr>
            <w:tcW w:w="1980" w:type="dxa"/>
            <w:vAlign w:val="bottom"/>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yet to be</w:t>
            </w:r>
          </w:p>
        </w:tc>
      </w:tr>
      <w:tr>
        <w:trPr>
          <w:trHeight w:val="203"/>
        </w:trPr>
        <w:tc>
          <w:tcPr>
            <w:tcW w:w="3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280" w:type="dxa"/>
            <w:vAlign w:val="bottom"/>
          </w:tcPr>
          <w:p>
            <w:pPr>
              <w:spacing w:after="0"/>
              <w:rPr>
                <w:sz w:val="17"/>
                <w:szCs w:val="17"/>
                <w:color w:val="auto"/>
              </w:rPr>
            </w:pPr>
          </w:p>
        </w:tc>
        <w:tc>
          <w:tcPr>
            <w:tcW w:w="198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99"/>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80" w:type="dxa"/>
            <w:vAlign w:val="bottom"/>
          </w:tcPr>
          <w:p>
            <w:pPr>
              <w:spacing w:after="0"/>
              <w:rPr>
                <w:sz w:val="17"/>
                <w:szCs w:val="17"/>
                <w:color w:val="auto"/>
              </w:rPr>
            </w:pPr>
          </w:p>
        </w:tc>
        <w:tc>
          <w:tcPr>
            <w:tcW w:w="198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plans or programs</w:t>
            </w:r>
          </w:p>
        </w:tc>
      </w:tr>
      <w:tr>
        <w:trPr>
          <w:trHeight w:val="210"/>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3, 2025 - March 2, 2025</w:t>
            </w:r>
          </w:p>
        </w:tc>
        <w:tc>
          <w:tcPr>
            <w:tcW w:w="1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 2025 - April 6, 2025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242,595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Pr>
          <w:p>
            <w:pPr>
              <w:spacing w:after="0"/>
              <w:rPr>
                <w:sz w:val="19"/>
                <w:szCs w:val="19"/>
                <w:color w:val="auto"/>
              </w:rPr>
            </w:pPr>
          </w:p>
        </w:tc>
        <w:tc>
          <w:tcPr>
            <w:tcW w:w="22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9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7, 2025 - May 4, 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148,277</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9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4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393,145</w:t>
            </w:r>
          </w:p>
        </w:tc>
        <w:tc>
          <w:tcPr>
            <w:tcW w:w="1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Pr>
          <w:p>
            <w:pPr>
              <w:spacing w:after="0"/>
              <w:rPr>
                <w:sz w:val="19"/>
                <w:szCs w:val="19"/>
                <w:color w:val="auto"/>
              </w:rPr>
            </w:pPr>
          </w:p>
        </w:tc>
        <w:tc>
          <w:tcPr>
            <w:tcW w:w="2000" w:type="dxa"/>
            <w:vAlign w:val="bottom"/>
            <w:tcBorders>
              <w:top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w:t>
            </w:r>
          </w:p>
        </w:tc>
      </w:tr>
    </w:tbl>
    <w:p>
      <w:pPr>
        <w:spacing w:after="0" w:line="13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62"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May 4, 2025, no director or Section 16 officer of the Company adopted or terminated a “Rule 10b5-1 trading arrangement” or “non-Rule 10b5-1 trading arrangement,” as each term is defined in Item 408(a) of Regulation S-K.</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4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60" w:type="dxa"/>
            <w:vAlign w:val="bottom"/>
            <w:gridSpan w:val="15"/>
          </w:tcPr>
          <w:p>
            <w:pPr>
              <w:ind w:left="17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6"/>
        </w:trPr>
        <w:tc>
          <w:tcPr>
            <w:tcW w:w="112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Exhibit No.</w:t>
            </w:r>
          </w:p>
        </w:tc>
        <w:tc>
          <w:tcPr>
            <w:tcW w:w="0" w:type="dxa"/>
            <w:vAlign w:val="bottom"/>
          </w:tcPr>
          <w:p>
            <w:pPr>
              <w:spacing w:after="0"/>
              <w:rPr>
                <w:sz w:val="1"/>
                <w:szCs w:val="1"/>
                <w:color w:val="auto"/>
              </w:rPr>
            </w:pPr>
          </w:p>
        </w:tc>
      </w:tr>
      <w:tr>
        <w:trPr>
          <w:trHeight w:val="180"/>
        </w:trPr>
        <w:tc>
          <w:tcPr>
            <w:tcW w:w="70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spacing w:after="0"/>
              <w:rPr>
                <w:sz w:val="15"/>
                <w:szCs w:val="15"/>
                <w:color w:val="auto"/>
              </w:rPr>
            </w:pPr>
          </w:p>
        </w:tc>
        <w:tc>
          <w:tcPr>
            <w:tcW w:w="9780" w:type="dxa"/>
            <w:vAlign w:val="bottom"/>
            <w:tcBorders>
              <w:bottom w:val="single" w:sz="8" w:color="0000FF"/>
            </w:tcBorders>
            <w:gridSpan w:val="14"/>
          </w:tcPr>
          <w:p>
            <w:pPr>
              <w:spacing w:after="0" w:line="161" w:lineRule="exact"/>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color w:val="0000FF"/>
                </w:rPr>
                <w:t>Second Amendment, dated as of January 31, 2025, among Duluth Holdings Inc., the Lenders party thereto, Bank of America, N.A., as Administrative</w:t>
              </w:r>
            </w:hyperlink>
          </w:p>
        </w:tc>
        <w:tc>
          <w:tcPr>
            <w:tcW w:w="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960" w:type="dxa"/>
            <w:vAlign w:val="bottom"/>
            <w:gridSpan w:val="16"/>
          </w:tcPr>
          <w:p>
            <w:pPr>
              <w:spacing w:after="0" w:line="155" w:lineRule="exact"/>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color w:val="0000FF"/>
                </w:rPr>
                <w:t>Agent, Swingline Lender and L/C Issuer, BofA Securities, Inc., as a Joint Lead Arranger and Sole Bookrunner, and Keybanc Capital Markets Inc., as a</w:t>
              </w:r>
            </w:hyperlink>
          </w:p>
        </w:tc>
        <w:tc>
          <w:tcPr>
            <w:tcW w:w="0" w:type="dxa"/>
            <w:vAlign w:val="bottom"/>
          </w:tcPr>
          <w:p>
            <w:pPr>
              <w:spacing w:after="0"/>
              <w:rPr>
                <w:sz w:val="1"/>
                <w:szCs w:val="1"/>
                <w:color w:val="auto"/>
              </w:rPr>
            </w:pPr>
          </w:p>
        </w:tc>
      </w:tr>
      <w:tr>
        <w:trPr>
          <w:trHeight w:val="156"/>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w:t>
            </w:r>
          </w:p>
        </w:tc>
        <w:tc>
          <w:tcPr>
            <w:tcW w:w="580" w:type="dxa"/>
            <w:vAlign w:val="bottom"/>
          </w:tcPr>
          <w:p>
            <w:pPr>
              <w:spacing w:after="0"/>
              <w:rPr>
                <w:sz w:val="13"/>
                <w:szCs w:val="13"/>
                <w:color w:val="auto"/>
              </w:rPr>
            </w:pPr>
          </w:p>
        </w:tc>
        <w:tc>
          <w:tcPr>
            <w:tcW w:w="9820" w:type="dxa"/>
            <w:vAlign w:val="bottom"/>
            <w:tcBorders>
              <w:top w:val="single" w:sz="8" w:color="0000FF"/>
            </w:tcBorders>
            <w:gridSpan w:val="15"/>
          </w:tcPr>
          <w:p>
            <w:pPr>
              <w:spacing w:after="0" w:line="155" w:lineRule="exact"/>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color w:val="0000FF"/>
                </w:rPr>
                <w:t>Joint Lead Arranger, incorporated by reference to Exhibit 10.1 to the Company’s Current Report on Form 8-K filed February 6, 2025.</w:t>
              </w:r>
            </w:hyperlink>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0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9960" w:type="dxa"/>
            <w:vAlign w:val="bottom"/>
            <w:tcBorders>
              <w:bottom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Employment Agreement between Stephanie L. Pugliese and Duluth Holdings Inc., effective as of May 5, 2025, incorporated by reference to Exhibit 10.1</w:t>
              </w:r>
            </w:hyperlink>
          </w:p>
        </w:tc>
        <w:tc>
          <w:tcPr>
            <w:tcW w:w="0" w:type="dxa"/>
            <w:vAlign w:val="bottom"/>
          </w:tcPr>
          <w:p>
            <w:pPr>
              <w:spacing w:after="0"/>
              <w:rPr>
                <w:sz w:val="1"/>
                <w:szCs w:val="1"/>
                <w:color w:val="auto"/>
              </w:rPr>
            </w:pPr>
          </w:p>
        </w:tc>
      </w:tr>
      <w:tr>
        <w:trPr>
          <w:trHeight w:val="155"/>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w:t>
            </w:r>
          </w:p>
        </w:tc>
        <w:tc>
          <w:tcPr>
            <w:tcW w:w="580" w:type="dxa"/>
            <w:vAlign w:val="bottom"/>
          </w:tcPr>
          <w:p>
            <w:pPr>
              <w:spacing w:after="0"/>
              <w:rPr>
                <w:sz w:val="13"/>
                <w:szCs w:val="13"/>
                <w:color w:val="auto"/>
              </w:rPr>
            </w:pPr>
          </w:p>
        </w:tc>
        <w:tc>
          <w:tcPr>
            <w:tcW w:w="9960" w:type="dxa"/>
            <w:vAlign w:val="bottom"/>
            <w:gridSpan w:val="16"/>
          </w:tcPr>
          <w:p>
            <w:pPr>
              <w:spacing w:after="0" w:line="155" w:lineRule="exact"/>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to the Company’s Current Report on Form 8-K filed April 2, 2025.+</w:t>
              </w:r>
            </w:hyperlink>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9960" w:type="dxa"/>
            <w:vAlign w:val="bottom"/>
            <w:gridSpan w:val="16"/>
          </w:tcPr>
          <w:p>
            <w:pPr>
              <w:spacing w:after="0" w:line="142"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Credit Agreement, dated as of April 28, 2025, among Duluth Holdings Inc., certain financial institutions as Lenders thereto, and BMO Bank N.A.,</w:t>
              </w:r>
            </w:hyperlink>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540" w:type="dxa"/>
            <w:vAlign w:val="bottom"/>
            <w:tcBorders>
              <w:top w:val="single" w:sz="8" w:color="0000FF"/>
            </w:tcBorders>
            <w:gridSpan w:val="10"/>
          </w:tcPr>
          <w:p>
            <w:pPr>
              <w:spacing w:after="0" w:line="155"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Administrative Agent, Swing Line Lender and a Letter of Credit Issuer, incorporated by reference to Exhibit 10.1 to the Company’s Current Report</w:t>
              </w:r>
            </w:hyperlink>
          </w:p>
        </w:tc>
        <w:tc>
          <w:tcPr>
            <w:tcW w:w="420" w:type="dxa"/>
            <w:vAlign w:val="bottom"/>
            <w:gridSpan w:val="6"/>
          </w:tcPr>
          <w:p>
            <w:pPr>
              <w:ind w:left="40"/>
              <w:spacing w:after="0" w:line="155"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on</w:t>
              </w:r>
            </w:hyperlink>
          </w:p>
        </w:tc>
        <w:tc>
          <w:tcPr>
            <w:tcW w:w="0" w:type="dxa"/>
            <w:vAlign w:val="bottom"/>
          </w:tcPr>
          <w:p>
            <w:pPr>
              <w:spacing w:after="0"/>
              <w:rPr>
                <w:sz w:val="1"/>
                <w:szCs w:val="1"/>
                <w:color w:val="auto"/>
              </w:rPr>
            </w:pPr>
          </w:p>
        </w:tc>
      </w:tr>
      <w:tr>
        <w:trPr>
          <w:trHeight w:val="156"/>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13"/>
                <w:szCs w:val="13"/>
                <w:color w:val="auto"/>
              </w:rPr>
            </w:pPr>
          </w:p>
        </w:tc>
        <w:tc>
          <w:tcPr>
            <w:tcW w:w="9780" w:type="dxa"/>
            <w:vAlign w:val="bottom"/>
            <w:tcBorders>
              <w:top w:val="single" w:sz="8" w:color="0000FF"/>
            </w:tcBorders>
            <w:gridSpan w:val="14"/>
          </w:tcPr>
          <w:p>
            <w:pPr>
              <w:spacing w:after="0" w:line="155"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Form 8-K filed May 1, 2025.</w:t>
              </w:r>
            </w:hyperlink>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tcBorders>
              <w:right w:val="single" w:sz="8" w:color="0000EE"/>
            </w:tcBorders>
            <w:shd w:val="clear" w:color="auto" w:fill="0000FF"/>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0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9960" w:type="dxa"/>
            <w:vAlign w:val="bottom"/>
            <w:gridSpan w:val="16"/>
          </w:tcPr>
          <w:p>
            <w:pPr>
              <w:spacing w:after="0" w:line="142" w:lineRule="exact"/>
              <w:rPr>
                <w:rFonts w:ascii="Times New Roman" w:cs="Times New Roman" w:eastAsia="Times New Roman" w:hAnsi="Times New Roman"/>
                <w:sz w:val="16"/>
                <w:szCs w:val="16"/>
                <w:color w:val="0000FF"/>
              </w:rPr>
            </w:pPr>
            <w:hyperlink r:id="rId49">
              <w:r>
                <w:rPr>
                  <w:rFonts w:ascii="Times New Roman" w:cs="Times New Roman" w:eastAsia="Times New Roman" w:hAnsi="Times New Roman"/>
                  <w:sz w:val="16"/>
                  <w:szCs w:val="16"/>
                  <w:color w:val="0000FF"/>
                </w:rPr>
                <w:t>Pledge and Security Agreement, dated as of April 28, 2025, by and between Duluth Holdings Inc. and BMO Bank, N.A., incorporated by reference to</w:t>
              </w:r>
            </w:hyperlink>
          </w:p>
        </w:tc>
        <w:tc>
          <w:tcPr>
            <w:tcW w:w="0" w:type="dxa"/>
            <w:vAlign w:val="bottom"/>
          </w:tcPr>
          <w:p>
            <w:pPr>
              <w:spacing w:after="0"/>
              <w:rPr>
                <w:sz w:val="1"/>
                <w:szCs w:val="1"/>
                <w:color w:val="auto"/>
              </w:rPr>
            </w:pPr>
          </w:p>
        </w:tc>
      </w:tr>
      <w:tr>
        <w:trPr>
          <w:trHeight w:val="156"/>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10.5</w:t>
            </w:r>
          </w:p>
        </w:tc>
        <w:tc>
          <w:tcPr>
            <w:tcW w:w="580" w:type="dxa"/>
            <w:vAlign w:val="bottom"/>
          </w:tcPr>
          <w:p>
            <w:pPr>
              <w:spacing w:after="0"/>
              <w:rPr>
                <w:sz w:val="13"/>
                <w:szCs w:val="13"/>
                <w:color w:val="auto"/>
              </w:rPr>
            </w:pPr>
          </w:p>
        </w:tc>
        <w:tc>
          <w:tcPr>
            <w:tcW w:w="9760" w:type="dxa"/>
            <w:vAlign w:val="bottom"/>
            <w:tcBorders>
              <w:top w:val="single" w:sz="8" w:color="0000FF"/>
            </w:tcBorders>
            <w:gridSpan w:val="13"/>
          </w:tcPr>
          <w:p>
            <w:pPr>
              <w:spacing w:after="0" w:line="155" w:lineRule="exact"/>
              <w:rPr>
                <w:rFonts w:ascii="Times New Roman" w:cs="Times New Roman" w:eastAsia="Times New Roman" w:hAnsi="Times New Roman"/>
                <w:sz w:val="16"/>
                <w:szCs w:val="16"/>
                <w:color w:val="0000FF"/>
              </w:rPr>
            </w:pPr>
            <w:hyperlink r:id="rId49">
              <w:r>
                <w:rPr>
                  <w:rFonts w:ascii="Times New Roman" w:cs="Times New Roman" w:eastAsia="Times New Roman" w:hAnsi="Times New Roman"/>
                  <w:sz w:val="16"/>
                  <w:szCs w:val="16"/>
                  <w:color w:val="0000FF"/>
                </w:rPr>
                <w:t>Exhibit 10.2 to the Company’s Current Report on Form 8-K filed May 1, 2025.</w:t>
              </w:r>
            </w:hyperlink>
          </w:p>
        </w:tc>
        <w:tc>
          <w:tcPr>
            <w:tcW w:w="2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40" w:type="dxa"/>
            <w:vAlign w:val="bottom"/>
            <w:tcBorders>
              <w:right w:val="single" w:sz="8" w:color="0000EE"/>
            </w:tcBorders>
            <w:gridSpan w:val="3"/>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9960" w:type="dxa"/>
            <w:vAlign w:val="bottom"/>
            <w:gridSpan w:val="16"/>
          </w:tcPr>
          <w:p>
            <w:pPr>
              <w:spacing w:after="0" w:line="142" w:lineRule="exact"/>
              <w:rPr>
                <w:sz w:val="20"/>
                <w:szCs w:val="20"/>
                <w:color w:val="auto"/>
              </w:rPr>
            </w:pPr>
            <w:r>
              <w:rPr>
                <w:rFonts w:ascii="Times New Roman" w:cs="Times New Roman" w:eastAsia="Times New Roman" w:hAnsi="Times New Roman"/>
                <w:sz w:val="16"/>
                <w:szCs w:val="16"/>
                <w:color w:val="0000FF"/>
              </w:rPr>
              <w:t>Consulting Agreement, dated as of May 1, 2025, by and between Duluth Holdings Inc. and Ronald Robinson.*</w:t>
            </w:r>
          </w:p>
        </w:tc>
        <w:tc>
          <w:tcPr>
            <w:tcW w:w="0" w:type="dxa"/>
            <w:vAlign w:val="bottom"/>
          </w:tcPr>
          <w:p>
            <w:pPr>
              <w:spacing w:after="0"/>
              <w:rPr>
                <w:sz w:val="1"/>
                <w:szCs w:val="1"/>
                <w:color w:val="auto"/>
              </w:rPr>
            </w:pPr>
          </w:p>
        </w:tc>
      </w:tr>
      <w:tr>
        <w:trPr>
          <w:trHeight w:val="169"/>
        </w:trPr>
        <w:tc>
          <w:tcPr>
            <w:tcW w:w="7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10.6</w:t>
            </w:r>
          </w:p>
        </w:tc>
        <w:tc>
          <w:tcPr>
            <w:tcW w:w="580" w:type="dxa"/>
            <w:vAlign w:val="bottom"/>
          </w:tcPr>
          <w:p>
            <w:pPr>
              <w:spacing w:after="0"/>
              <w:rPr>
                <w:sz w:val="14"/>
                <w:szCs w:val="14"/>
                <w:color w:val="auto"/>
              </w:rPr>
            </w:pPr>
          </w:p>
        </w:tc>
        <w:tc>
          <w:tcPr>
            <w:tcW w:w="7200" w:type="dxa"/>
            <w:vAlign w:val="bottom"/>
            <w:tcBorders>
              <w:top w:val="single" w:sz="8" w:color="0000FF"/>
            </w:tcBorders>
            <w:gridSpan w:val="5"/>
          </w:tcPr>
          <w:p>
            <w:pPr>
              <w:spacing w:after="0" w:line="155" w:lineRule="exact"/>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Inducement Stock Award Agreement, dated May 5, 2025, by and between Ms. Pugliese and the Company.</w:t>
              </w:r>
            </w:hyperlink>
          </w:p>
        </w:tc>
        <w:tc>
          <w:tcPr>
            <w:tcW w:w="380" w:type="dxa"/>
            <w:vAlign w:val="bottom"/>
          </w:tcPr>
          <w:p>
            <w:pPr>
              <w:spacing w:after="0"/>
              <w:rPr>
                <w:sz w:val="14"/>
                <w:szCs w:val="14"/>
                <w:color w:val="auto"/>
              </w:rPr>
            </w:pPr>
          </w:p>
        </w:tc>
        <w:tc>
          <w:tcPr>
            <w:tcW w:w="138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10.7</w:t>
            </w:r>
          </w:p>
        </w:tc>
        <w:tc>
          <w:tcPr>
            <w:tcW w:w="580" w:type="dxa"/>
            <w:vAlign w:val="bottom"/>
          </w:tcPr>
          <w:p>
            <w:pPr>
              <w:spacing w:after="0"/>
              <w:rPr>
                <w:sz w:val="14"/>
                <w:szCs w:val="14"/>
                <w:color w:val="auto"/>
              </w:rPr>
            </w:pPr>
          </w:p>
        </w:tc>
        <w:tc>
          <w:tcPr>
            <w:tcW w:w="6880" w:type="dxa"/>
            <w:vAlign w:val="bottom"/>
            <w:tcBorders>
              <w:top w:val="single" w:sz="8" w:color="0000FF"/>
            </w:tcBorders>
            <w:gridSpan w:val="4"/>
          </w:tcPr>
          <w:p>
            <w:pPr>
              <w:spacing w:after="0" w:line="155"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Inducement Restricted Stock Award Agreement, dated May 5, 2025, by and between Ms. Pugliese and the</w:t>
              </w:r>
            </w:hyperlink>
          </w:p>
        </w:tc>
        <w:tc>
          <w:tcPr>
            <w:tcW w:w="3080" w:type="dxa"/>
            <w:vAlign w:val="bottom"/>
            <w:gridSpan w:val="12"/>
          </w:tcPr>
          <w:p>
            <w:pPr>
              <w:ind w:left="40"/>
              <w:spacing w:after="0" w:line="149"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Company.</w:t>
              </w:r>
            </w:hyperlink>
          </w:p>
        </w:tc>
        <w:tc>
          <w:tcPr>
            <w:tcW w:w="0" w:type="dxa"/>
            <w:vAlign w:val="bottom"/>
          </w:tcPr>
          <w:p>
            <w:pPr>
              <w:spacing w:after="0"/>
              <w:rPr>
                <w:sz w:val="1"/>
                <w:szCs w:val="1"/>
                <w:color w:val="auto"/>
              </w:rPr>
            </w:pPr>
          </w:p>
        </w:tc>
      </w:tr>
      <w:tr>
        <w:trPr>
          <w:trHeight w:val="169"/>
        </w:trPr>
        <w:tc>
          <w:tcPr>
            <w:tcW w:w="7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31.1</w:t>
            </w:r>
          </w:p>
        </w:tc>
        <w:tc>
          <w:tcPr>
            <w:tcW w:w="580" w:type="dxa"/>
            <w:vAlign w:val="bottom"/>
          </w:tcPr>
          <w:p>
            <w:pPr>
              <w:spacing w:after="0"/>
              <w:rPr>
                <w:sz w:val="14"/>
                <w:szCs w:val="14"/>
                <w:color w:val="auto"/>
              </w:rPr>
            </w:pPr>
          </w:p>
        </w:tc>
        <w:tc>
          <w:tcPr>
            <w:tcW w:w="7580" w:type="dxa"/>
            <w:vAlign w:val="bottom"/>
            <w:tcBorders>
              <w:top w:val="single" w:sz="8" w:color="0000FF"/>
              <w:bottom w:val="single" w:sz="8" w:color="0000FF"/>
            </w:tcBorders>
            <w:gridSpan w:val="6"/>
          </w:tcPr>
          <w:p>
            <w:pPr>
              <w:spacing w:after="0" w:line="155" w:lineRule="exact"/>
              <w:rPr>
                <w:sz w:val="20"/>
                <w:szCs w:val="20"/>
                <w:color w:val="auto"/>
              </w:rPr>
            </w:pPr>
            <w:r>
              <w:rPr>
                <w:rFonts w:ascii="Times New Roman" w:cs="Times New Roman" w:eastAsia="Times New Roman" w:hAnsi="Times New Roman"/>
                <w:sz w:val="16"/>
                <w:szCs w:val="16"/>
                <w:color w:val="0000FF"/>
                <w:w w:val="99"/>
              </w:rPr>
              <w:t>Certification of Chief Executive Officer pursuant to Rule 13a-14(a) and Rule 15d-14(a) of the Securities and Exchange</w:t>
            </w:r>
          </w:p>
        </w:tc>
        <w:tc>
          <w:tcPr>
            <w:tcW w:w="1380" w:type="dxa"/>
            <w:vAlign w:val="bottom"/>
            <w:tcBorders>
              <w:bottom w:val="single" w:sz="8" w:color="0000FF"/>
            </w:tcBorders>
            <w:gridSpan w:val="2"/>
          </w:tcPr>
          <w:p>
            <w:pPr>
              <w:ind w:left="180"/>
              <w:spacing w:after="0" w:line="149" w:lineRule="exact"/>
              <w:rPr>
                <w:sz w:val="20"/>
                <w:szCs w:val="20"/>
                <w:color w:val="auto"/>
              </w:rPr>
            </w:pPr>
            <w:r>
              <w:rPr>
                <w:rFonts w:ascii="Times New Roman" w:cs="Times New Roman" w:eastAsia="Times New Roman" w:hAnsi="Times New Roman"/>
                <w:sz w:val="16"/>
                <w:szCs w:val="16"/>
                <w:color w:val="0000FF"/>
                <w:w w:val="99"/>
              </w:rPr>
              <w:t>Act, as amended.*</w:t>
            </w:r>
          </w:p>
        </w:tc>
        <w:tc>
          <w:tcPr>
            <w:tcW w:w="100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31.2</w:t>
            </w:r>
          </w:p>
        </w:tc>
        <w:tc>
          <w:tcPr>
            <w:tcW w:w="580" w:type="dxa"/>
            <w:vAlign w:val="bottom"/>
          </w:tcPr>
          <w:p>
            <w:pPr>
              <w:spacing w:after="0"/>
              <w:rPr>
                <w:sz w:val="14"/>
                <w:szCs w:val="14"/>
                <w:color w:val="auto"/>
              </w:rPr>
            </w:pPr>
          </w:p>
        </w:tc>
        <w:tc>
          <w:tcPr>
            <w:tcW w:w="9960" w:type="dxa"/>
            <w:vAlign w:val="bottom"/>
            <w:gridSpan w:val="16"/>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Chief Financial Officer pursuant to Rule 13a-14(a) and Rule 15d-14(a) of the Securities and Exchange Act of 1934, as amended.*</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spacing w:after="0" w:line="20" w:lineRule="exact"/>
              <w:rPr>
                <w:sz w:val="1"/>
                <w:szCs w:val="1"/>
                <w:color w:val="auto"/>
              </w:rPr>
            </w:pPr>
          </w:p>
        </w:tc>
        <w:tc>
          <w:tcPr>
            <w:tcW w:w="9460" w:type="dxa"/>
            <w:vAlign w:val="bottom"/>
            <w:tcBorders>
              <w:right w:val="single" w:sz="8" w:color="0000EE"/>
            </w:tcBorders>
            <w:gridSpan w:val="9"/>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960" w:type="dxa"/>
            <w:vAlign w:val="bottom"/>
            <w:gridSpan w:val="16"/>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69"/>
        </w:trPr>
        <w:tc>
          <w:tcPr>
            <w:tcW w:w="7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32.2</w:t>
            </w:r>
          </w:p>
        </w:tc>
        <w:tc>
          <w:tcPr>
            <w:tcW w:w="580" w:type="dxa"/>
            <w:vAlign w:val="bottom"/>
          </w:tcPr>
          <w:p>
            <w:pPr>
              <w:spacing w:after="0"/>
              <w:rPr>
                <w:sz w:val="14"/>
                <w:szCs w:val="14"/>
                <w:color w:val="auto"/>
              </w:rPr>
            </w:pPr>
          </w:p>
        </w:tc>
        <w:tc>
          <w:tcPr>
            <w:tcW w:w="9680" w:type="dxa"/>
            <w:vAlign w:val="bottom"/>
            <w:tcBorders>
              <w:top w:val="single" w:sz="8" w:color="0000FF"/>
            </w:tcBorders>
            <w:gridSpan w:val="12"/>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906 of the Sarbanes-Oxley Act of 2002.*</w:t>
            </w:r>
          </w:p>
        </w:tc>
        <w:tc>
          <w:tcPr>
            <w:tcW w:w="2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101.INS</w:t>
            </w:r>
          </w:p>
        </w:tc>
        <w:tc>
          <w:tcPr>
            <w:tcW w:w="580" w:type="dxa"/>
            <w:vAlign w:val="bottom"/>
          </w:tcPr>
          <w:p>
            <w:pPr>
              <w:spacing w:after="0"/>
              <w:rPr>
                <w:sz w:val="15"/>
                <w:szCs w:val="15"/>
                <w:color w:val="auto"/>
              </w:rPr>
            </w:pPr>
          </w:p>
        </w:tc>
        <w:tc>
          <w:tcPr>
            <w:tcW w:w="9640" w:type="dxa"/>
            <w:vAlign w:val="bottom"/>
            <w:tcBorders>
              <w:top w:val="single" w:sz="8" w:color="0000FF"/>
            </w:tcBorders>
            <w:gridSpan w:val="11"/>
          </w:tcPr>
          <w:p>
            <w:pPr>
              <w:spacing w:after="0" w:line="178" w:lineRule="exact"/>
              <w:rPr>
                <w:sz w:val="20"/>
                <w:szCs w:val="20"/>
                <w:color w:val="auto"/>
              </w:rPr>
            </w:pPr>
            <w:r>
              <w:rPr>
                <w:rFonts w:ascii="Times New Roman" w:cs="Times New Roman" w:eastAsia="Times New Roman" w:hAnsi="Times New Roman"/>
                <w:sz w:val="16"/>
                <w:szCs w:val="16"/>
                <w:color w:val="auto"/>
              </w:rPr>
              <w:t>XBRL Instance Document**</w:t>
            </w:r>
          </w:p>
        </w:tc>
        <w:tc>
          <w:tcPr>
            <w:tcW w:w="3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580" w:type="dxa"/>
            <w:vAlign w:val="bottom"/>
          </w:tcPr>
          <w:p>
            <w:pPr>
              <w:spacing w:after="0"/>
              <w:rPr>
                <w:sz w:val="16"/>
                <w:szCs w:val="16"/>
                <w:color w:val="auto"/>
              </w:rPr>
            </w:pPr>
          </w:p>
        </w:tc>
        <w:tc>
          <w:tcPr>
            <w:tcW w:w="996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580" w:type="dxa"/>
            <w:vAlign w:val="bottom"/>
          </w:tcPr>
          <w:p>
            <w:pPr>
              <w:spacing w:after="0"/>
              <w:rPr>
                <w:sz w:val="16"/>
                <w:szCs w:val="16"/>
                <w:color w:val="auto"/>
              </w:rPr>
            </w:pPr>
          </w:p>
        </w:tc>
        <w:tc>
          <w:tcPr>
            <w:tcW w:w="996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101.DEF</w:t>
            </w:r>
          </w:p>
        </w:tc>
        <w:tc>
          <w:tcPr>
            <w:tcW w:w="580" w:type="dxa"/>
            <w:vAlign w:val="bottom"/>
          </w:tcPr>
          <w:p>
            <w:pPr>
              <w:spacing w:after="0"/>
              <w:rPr>
                <w:sz w:val="16"/>
                <w:szCs w:val="16"/>
                <w:color w:val="auto"/>
              </w:rPr>
            </w:pPr>
          </w:p>
        </w:tc>
        <w:tc>
          <w:tcPr>
            <w:tcW w:w="996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XBRL Taxonomy Extension Definition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580" w:type="dxa"/>
            <w:vAlign w:val="bottom"/>
          </w:tcPr>
          <w:p>
            <w:pPr>
              <w:spacing w:after="0"/>
              <w:rPr>
                <w:sz w:val="16"/>
                <w:szCs w:val="16"/>
                <w:color w:val="auto"/>
              </w:rPr>
            </w:pPr>
          </w:p>
        </w:tc>
        <w:tc>
          <w:tcPr>
            <w:tcW w:w="996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80" w:type="dxa"/>
            <w:vAlign w:val="bottom"/>
          </w:tcPr>
          <w:p>
            <w:pPr>
              <w:spacing w:after="0"/>
              <w:rPr>
                <w:sz w:val="18"/>
                <w:szCs w:val="18"/>
                <w:color w:val="auto"/>
              </w:rPr>
            </w:pPr>
          </w:p>
        </w:tc>
        <w:tc>
          <w:tcPr>
            <w:tcW w:w="996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bl>
    <w:p>
      <w:pPr>
        <w:ind w:left="1280" w:right="420" w:hanging="1272"/>
        <w:spacing w:after="0" w:line="243"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May 4, 2025 has been formatted in Inline XBRL (Inline Extensible Business Reporting Language and contained in Exhibits 101).</w:t>
      </w:r>
    </w:p>
    <w:p>
      <w:pPr>
        <w:sectPr>
          <w:pgSz w:w="11900" w:h="16838" w:orient="portrait"/>
          <w:cols w:equalWidth="0" w:num="1">
            <w:col w:w="11240"/>
          </w:cols>
          <w:pgMar w:left="320" w:top="283" w:right="339" w:bottom="1440" w:gutter="0" w:footer="0" w:header="0"/>
        </w:sect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Indicates a management contract or compensation plan or arrangement</w:t>
      </w:r>
    </w:p>
    <w:p>
      <w:pPr>
        <w:spacing w:after="0" w:line="86" w:lineRule="exact"/>
        <w:rPr>
          <w:sz w:val="20"/>
          <w:szCs w:val="20"/>
          <w:color w:val="auto"/>
        </w:rPr>
      </w:pPr>
    </w:p>
    <w:p>
      <w:pPr>
        <w:sectPr>
          <w:pgSz w:w="11900" w:h="16838" w:orient="portrait"/>
          <w:cols w:equalWidth="0" w:num="2">
            <w:col w:w="860" w:space="720"/>
            <w:col w:w="9660"/>
          </w:cols>
          <w:pgMar w:left="320" w:top="28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00" w:lineRule="exact"/>
        <w:rPr>
          <w:sz w:val="20"/>
          <w:szCs w:val="20"/>
          <w:color w:val="auto"/>
        </w:rPr>
      </w:pPr>
    </w:p>
    <w:p>
      <w:pPr>
        <w:sectPr>
          <w:pgSz w:w="11900" w:h="16838" w:orient="portrait"/>
          <w:cols w:equalWidth="0" w:num="2">
            <w:col w:w="860" w:space="720"/>
            <w:col w:w="9660"/>
          </w:cols>
          <w:pgMar w:left="320" w:top="283"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ind w:right="380"/>
        <w:spacing w:after="0" w:line="263" w:lineRule="auto"/>
        <w:rPr>
          <w:sz w:val="20"/>
          <w:szCs w:val="20"/>
          <w:color w:val="auto"/>
        </w:rPr>
      </w:pPr>
      <w:r>
        <w:rPr>
          <w:rFonts w:ascii="Times New Roman" w:cs="Times New Roman" w:eastAsia="Times New Roman" w:hAnsi="Times New Roman"/>
          <w:sz w:val="16"/>
          <w:szCs w:val="16"/>
          <w:color w:val="auto"/>
        </w:rPr>
        <w:t>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ectPr>
          <w:pgSz w:w="11900" w:h="16838" w:orient="portrait"/>
          <w:cols w:equalWidth="0" w:num="2">
            <w:col w:w="860" w:space="720"/>
            <w:col w:w="9660"/>
          </w:cols>
          <w:pgMar w:left="320" w:top="28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00" w:firstLine="42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June 6, 2025</w:t>
      </w:r>
    </w:p>
    <w:p>
      <w:pPr>
        <w:spacing w:after="0" w:line="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DULUTH HOLDINGS INC.</w:t>
      </w: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35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 Heena Agrawal</w:t>
      </w:r>
    </w:p>
    <w:p>
      <w:pPr>
        <w:ind w:left="4820"/>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Heena Agrawal</w:t>
      </w:r>
    </w:p>
    <w:p>
      <w:pPr>
        <w:ind w:left="4820"/>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Senior Vice President, Chief Financial Officer</w:t>
      </w:r>
    </w:p>
    <w:p>
      <w:pPr>
        <w:ind w:left="4820"/>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(On behalf of the Registrant and as Principal Financial Officer and Interim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320" w:top="283" w:right="379" w:bottom="1440" w:gutter="0" w:footer="0" w:header="0"/>
        </w:sectPr>
      </w:pPr>
    </w:p>
    <w:bookmarkStart w:id="31" w:name="page32"/>
    <w:bookmarkEnd w:id="31"/>
    <w:p>
      <w:pPr>
        <w:spacing w:after="0" w:line="200" w:lineRule="exact"/>
        <w:rPr>
          <w:sz w:val="20"/>
          <w:szCs w:val="20"/>
          <w:color w:val="auto"/>
        </w:rPr>
      </w:pPr>
    </w:p>
    <w:p>
      <w:pPr>
        <w:jc w:val="right"/>
        <w:spacing w:after="0"/>
        <w:rPr>
          <w:sz w:val="20"/>
          <w:szCs w:val="20"/>
          <w:color w:val="auto"/>
        </w:rPr>
      </w:pPr>
      <w:r>
        <w:rPr>
          <w:rFonts w:ascii="Calibri" w:cs="Calibri" w:eastAsia="Calibri" w:hAnsi="Calibri"/>
          <w:sz w:val="23"/>
          <w:szCs w:val="23"/>
          <w:b w:val="1"/>
          <w:bCs w:val="1"/>
          <w:color w:val="auto"/>
        </w:rPr>
        <w:t>Exhibit 10.5</w:t>
      </w:r>
    </w:p>
    <w:p>
      <w:pPr>
        <w:spacing w:after="0" w:line="2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May 1, 2025</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Dear Ronnie,</w:t>
      </w:r>
    </w:p>
    <w:p>
      <w:pPr>
        <w:spacing w:after="0" w:line="229" w:lineRule="exact"/>
        <w:rPr>
          <w:sz w:val="20"/>
          <w:szCs w:val="20"/>
          <w:color w:val="auto"/>
        </w:rPr>
      </w:pPr>
    </w:p>
    <w:p>
      <w:pPr>
        <w:jc w:val="both"/>
        <w:ind w:left="1360" w:right="360" w:firstLine="388"/>
        <w:spacing w:after="0" w:line="254" w:lineRule="auto"/>
        <w:rPr>
          <w:sz w:val="20"/>
          <w:szCs w:val="20"/>
          <w:color w:val="auto"/>
        </w:rPr>
      </w:pPr>
      <w:r>
        <w:rPr>
          <w:rFonts w:ascii="Times New Roman" w:cs="Times New Roman" w:eastAsia="Times New Roman" w:hAnsi="Times New Roman"/>
          <w:sz w:val="20"/>
          <w:szCs w:val="20"/>
          <w:color w:val="auto"/>
        </w:rPr>
        <w:t>This letter agreement (this “Agreement”) sets forth the terms and conditions whereby you agree to provide certain consulting services (as described in Schedule 1) to Duluth Holdings Inc., a Wisconsin corporation, with offices located at 201 East Front Street, Mount Horeb, Wisconsin 53572 (the “Company”).</w:t>
      </w:r>
    </w:p>
    <w:p>
      <w:pPr>
        <w:spacing w:after="0" w:line="188" w:lineRule="exact"/>
        <w:rPr>
          <w:sz w:val="20"/>
          <w:szCs w:val="20"/>
          <w:color w:val="auto"/>
        </w:rPr>
      </w:pPr>
    </w:p>
    <w:p>
      <w:pPr>
        <w:ind w:left="2300" w:hanging="568"/>
        <w:spacing w:after="0"/>
        <w:tabs>
          <w:tab w:leader="none" w:pos="2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Services</w:t>
      </w:r>
      <w:r>
        <w:rPr>
          <w:rFonts w:ascii="Times New Roman" w:cs="Times New Roman" w:eastAsia="Times New Roman" w:hAnsi="Times New Roman"/>
          <w:sz w:val="20"/>
          <w:szCs w:val="20"/>
          <w:color w:val="auto"/>
        </w:rPr>
        <w:t>.</w:t>
      </w:r>
    </w:p>
    <w:p>
      <w:pPr>
        <w:spacing w:after="0" w:line="251" w:lineRule="exact"/>
        <w:rPr>
          <w:sz w:val="20"/>
          <w:szCs w:val="20"/>
          <w:color w:val="auto"/>
        </w:rPr>
      </w:pPr>
    </w:p>
    <w:p>
      <w:pPr>
        <w:ind w:left="1740" w:right="40" w:firstLine="504"/>
        <w:spacing w:after="0" w:line="239" w:lineRule="auto"/>
        <w:rPr>
          <w:sz w:val="20"/>
          <w:szCs w:val="20"/>
          <w:color w:val="auto"/>
        </w:rPr>
      </w:pPr>
      <w:r>
        <w:rPr>
          <w:rFonts w:ascii="Times New Roman" w:cs="Times New Roman" w:eastAsia="Times New Roman" w:hAnsi="Times New Roman"/>
          <w:sz w:val="20"/>
          <w:szCs w:val="20"/>
          <w:color w:val="auto"/>
        </w:rPr>
        <w:t>1.1 The Company hereby engages you, and you hereby accept such engagement, as an independent contractor to provide certain consulting services to the Company on the terms and conditions set forth in this Agreement.</w:t>
      </w:r>
    </w:p>
    <w:p>
      <w:pPr>
        <w:spacing w:after="0" w:line="231" w:lineRule="exact"/>
        <w:rPr>
          <w:sz w:val="20"/>
          <w:szCs w:val="20"/>
          <w:color w:val="auto"/>
        </w:rPr>
      </w:pPr>
    </w:p>
    <w:p>
      <w:pPr>
        <w:ind w:left="1740" w:right="840" w:firstLine="504"/>
        <w:spacing w:after="0" w:line="246" w:lineRule="auto"/>
        <w:rPr>
          <w:sz w:val="20"/>
          <w:szCs w:val="20"/>
          <w:color w:val="auto"/>
        </w:rPr>
      </w:pPr>
      <w:r>
        <w:rPr>
          <w:rFonts w:ascii="Times New Roman" w:cs="Times New Roman" w:eastAsia="Times New Roman" w:hAnsi="Times New Roman"/>
          <w:sz w:val="20"/>
          <w:szCs w:val="20"/>
          <w:color w:val="auto"/>
        </w:rPr>
        <w:t>1.2 You shall provide to the Company the consulting services set forth in Schedule 1 (the “Services”).</w:t>
      </w:r>
    </w:p>
    <w:p>
      <w:pPr>
        <w:spacing w:after="0" w:line="195" w:lineRule="exact"/>
        <w:rPr>
          <w:sz w:val="20"/>
          <w:szCs w:val="20"/>
          <w:color w:val="auto"/>
        </w:rPr>
      </w:pPr>
    </w:p>
    <w:p>
      <w:pPr>
        <w:ind w:left="1740" w:right="540" w:firstLine="504"/>
        <w:spacing w:after="0" w:line="269" w:lineRule="auto"/>
        <w:rPr>
          <w:sz w:val="20"/>
          <w:szCs w:val="20"/>
          <w:color w:val="auto"/>
        </w:rPr>
      </w:pPr>
      <w:r>
        <w:rPr>
          <w:rFonts w:ascii="Times New Roman" w:cs="Times New Roman" w:eastAsia="Times New Roman" w:hAnsi="Times New Roman"/>
          <w:sz w:val="20"/>
          <w:szCs w:val="20"/>
          <w:color w:val="auto"/>
        </w:rPr>
        <w:t>1.3 The Company does not and shall not control or direct the manner or means by which you perform the Services.</w:t>
      </w:r>
    </w:p>
    <w:p>
      <w:pPr>
        <w:spacing w:after="0" w:line="173" w:lineRule="exact"/>
        <w:rPr>
          <w:sz w:val="20"/>
          <w:szCs w:val="20"/>
          <w:color w:val="auto"/>
        </w:rPr>
      </w:pPr>
    </w:p>
    <w:p>
      <w:pPr>
        <w:ind w:left="1740" w:right="760" w:firstLine="504"/>
        <w:spacing w:after="0" w:line="269" w:lineRule="auto"/>
        <w:rPr>
          <w:sz w:val="20"/>
          <w:szCs w:val="20"/>
          <w:color w:val="auto"/>
        </w:rPr>
      </w:pPr>
      <w:r>
        <w:rPr>
          <w:rFonts w:ascii="Times New Roman" w:cs="Times New Roman" w:eastAsia="Times New Roman" w:hAnsi="Times New Roman"/>
          <w:sz w:val="20"/>
          <w:szCs w:val="20"/>
          <w:color w:val="auto"/>
        </w:rPr>
        <w:t>1.4 As set forth in Schedule 1, the Company shall provide you with access to its premises, materials, information, and systems to the extent necessary for the performance of the Services.</w:t>
      </w:r>
    </w:p>
    <w:p>
      <w:pPr>
        <w:spacing w:after="0" w:line="173" w:lineRule="exact"/>
        <w:rPr>
          <w:sz w:val="20"/>
          <w:szCs w:val="20"/>
          <w:color w:val="auto"/>
        </w:rPr>
      </w:pPr>
    </w:p>
    <w:p>
      <w:pPr>
        <w:ind w:left="1740" w:right="740" w:firstLine="504"/>
        <w:spacing w:after="0" w:line="269" w:lineRule="auto"/>
        <w:rPr>
          <w:sz w:val="20"/>
          <w:szCs w:val="20"/>
          <w:color w:val="auto"/>
        </w:rPr>
      </w:pPr>
      <w:r>
        <w:rPr>
          <w:rFonts w:ascii="Times New Roman" w:cs="Times New Roman" w:eastAsia="Times New Roman" w:hAnsi="Times New Roman"/>
          <w:sz w:val="20"/>
          <w:szCs w:val="20"/>
          <w:color w:val="auto"/>
        </w:rPr>
        <w:t>1.5 You shall comply with all rules and procedures communicated to you in writing by the Company, including those related to safety, security, and confidentiality.</w:t>
      </w:r>
    </w:p>
    <w:p>
      <w:pPr>
        <w:spacing w:after="0" w:line="173" w:lineRule="exact"/>
        <w:rPr>
          <w:sz w:val="20"/>
          <w:szCs w:val="20"/>
          <w:color w:val="auto"/>
        </w:rPr>
      </w:pPr>
    </w:p>
    <w:p>
      <w:pPr>
        <w:ind w:left="1360" w:right="40" w:firstLine="372"/>
        <w:spacing w:after="0" w:line="245" w:lineRule="auto"/>
        <w:tabs>
          <w:tab w:leader="none" w:pos="231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The term of this Agreement shall commence as of the date set forth above and shall continue through September 2025, unless earlier terminated in accordance with Section 9 (the “Term”). Any extension of the Term will be subject to mutual written agreement between you and the Company (referred to collectively as the “Parties”).</w:t>
      </w:r>
    </w:p>
    <w:p>
      <w:pPr>
        <w:ind w:left="1360" w:right="40" w:firstLine="372"/>
        <w:spacing w:after="0" w:line="245" w:lineRule="auto"/>
        <w:tabs>
          <w:tab w:leader="none" w:pos="2314" w:val="left"/>
        </w:tabs>
        <w:numPr>
          <w:ilvl w:val="0"/>
          <w:numId w:val="14"/>
        </w:numPr>
        <w:rPr>
          <w:rFonts w:ascii="Times New Roman" w:cs="Times New Roman" w:eastAsia="Times New Roman" w:hAnsi="Times New Roman"/>
          <w:sz w:val="20"/>
          <w:szCs w:val="20"/>
          <w:color w:val="auto"/>
        </w:rPr>
      </w:pPr>
    </w:p>
    <w:p>
      <w:pPr>
        <w:ind w:left="2300" w:hanging="568"/>
        <w:spacing w:after="0"/>
        <w:tabs>
          <w:tab w:leader="none" w:pos="2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and Expenses</w:t>
      </w:r>
      <w:r>
        <w:rPr>
          <w:rFonts w:ascii="Times New Roman" w:cs="Times New Roman" w:eastAsia="Times New Roman" w:hAnsi="Times New Roman"/>
          <w:sz w:val="20"/>
          <w:szCs w:val="20"/>
          <w:color w:val="auto"/>
        </w:rPr>
        <w:t>.</w:t>
      </w:r>
    </w:p>
    <w:p>
      <w:pPr>
        <w:ind w:left="2240"/>
        <w:spacing w:after="0"/>
        <w:tabs>
          <w:tab w:leader="none" w:pos="29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As full compensation for the Services and the rights granted to the Company in this</w:t>
      </w:r>
    </w:p>
    <w:p>
      <w:pPr>
        <w:ind w:left="1740"/>
        <w:spacing w:after="0"/>
        <w:rPr>
          <w:sz w:val="20"/>
          <w:szCs w:val="20"/>
          <w:color w:val="auto"/>
        </w:rPr>
      </w:pPr>
      <w:r>
        <w:rPr>
          <w:rFonts w:ascii="Times New Roman" w:cs="Times New Roman" w:eastAsia="Times New Roman" w:hAnsi="Times New Roman"/>
          <w:sz w:val="19"/>
          <w:szCs w:val="19"/>
          <w:color w:val="auto"/>
        </w:rPr>
        <w:t>Agreement, the Company shall pay you a fixed monthly fee according to the following scheduled (the “Fees”):</w:t>
      </w:r>
    </w:p>
    <w:p>
      <w:pPr>
        <w:spacing w:after="0" w:line="239" w:lineRule="exact"/>
        <w:rPr>
          <w:sz w:val="20"/>
          <w:szCs w:val="20"/>
          <w:color w:val="auto"/>
        </w:rPr>
      </w:pPr>
    </w:p>
    <w:tbl>
      <w:tblPr>
        <w:tblLayout w:type="fixed"/>
        <w:tblInd w:w="1870" w:type="dxa"/>
        <w:tblCellMar>
          <w:top w:w="0" w:type="dxa"/>
          <w:left w:w="0" w:type="dxa"/>
          <w:bottom w:w="0" w:type="dxa"/>
          <w:right w:w="0" w:type="dxa"/>
        </w:tblCellMar>
      </w:tblPr>
      <w:tr>
        <w:trPr>
          <w:trHeight w:val="209"/>
        </w:trPr>
        <w:tc>
          <w:tcPr>
            <w:tcW w:w="4260" w:type="dxa"/>
            <w:vAlign w:val="bottom"/>
            <w:tcBorders>
              <w:top w:val="single" w:sz="8" w:color="auto"/>
              <w:left w:val="single" w:sz="8" w:color="auto"/>
              <w:right w:val="single" w:sz="8" w:color="auto"/>
            </w:tcBorders>
            <w:shd w:val="clear" w:color="auto" w:fill="A6A6A6"/>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auto"/>
                <w:w w:val="96"/>
              </w:rPr>
              <w:t>Month</w:t>
            </w:r>
          </w:p>
        </w:tc>
        <w:tc>
          <w:tcPr>
            <w:tcW w:w="4100" w:type="dxa"/>
            <w:vAlign w:val="bottom"/>
            <w:tcBorders>
              <w:top w:val="single" w:sz="8" w:color="auto"/>
              <w:right w:val="single" w:sz="8" w:color="auto"/>
            </w:tcBorders>
            <w:shd w:val="clear" w:color="auto" w:fill="A6A6A6"/>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auto"/>
                <w:w w:val="99"/>
              </w:rPr>
              <w:t>Fixed Monthly Fee</w:t>
            </w:r>
          </w:p>
        </w:tc>
      </w:tr>
      <w:tr>
        <w:trPr>
          <w:trHeight w:val="137"/>
        </w:trPr>
        <w:tc>
          <w:tcPr>
            <w:tcW w:w="4260" w:type="dxa"/>
            <w:vAlign w:val="bottom"/>
            <w:tcBorders>
              <w:left w:val="single" w:sz="8" w:color="auto"/>
              <w:bottom w:val="single" w:sz="8" w:color="auto"/>
              <w:right w:val="single" w:sz="8" w:color="auto"/>
            </w:tcBorders>
            <w:shd w:val="clear" w:color="auto" w:fill="A6A6A6"/>
          </w:tcPr>
          <w:p>
            <w:pPr>
              <w:spacing w:after="0"/>
              <w:rPr>
                <w:sz w:val="11"/>
                <w:szCs w:val="11"/>
                <w:color w:val="auto"/>
              </w:rPr>
            </w:pPr>
          </w:p>
        </w:tc>
        <w:tc>
          <w:tcPr>
            <w:tcW w:w="4100" w:type="dxa"/>
            <w:vAlign w:val="bottom"/>
            <w:tcBorders>
              <w:bottom w:val="single" w:sz="8" w:color="auto"/>
              <w:right w:val="single" w:sz="8" w:color="auto"/>
            </w:tcBorders>
            <w:shd w:val="clear" w:color="auto" w:fill="A6A6A6"/>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(prorated for any partial month)</w:t>
            </w:r>
          </w:p>
        </w:tc>
      </w:tr>
      <w:tr>
        <w:trPr>
          <w:trHeight w:val="223"/>
        </w:trPr>
        <w:tc>
          <w:tcPr>
            <w:tcW w:w="42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May 2025</w:t>
            </w:r>
          </w:p>
        </w:tc>
        <w:tc>
          <w:tcPr>
            <w:tcW w:w="41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$20,000.00</w:t>
            </w:r>
          </w:p>
        </w:tc>
      </w:tr>
      <w:tr>
        <w:trPr>
          <w:trHeight w:val="223"/>
        </w:trPr>
        <w:tc>
          <w:tcPr>
            <w:tcW w:w="42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June 2025</w:t>
            </w:r>
          </w:p>
        </w:tc>
        <w:tc>
          <w:tcPr>
            <w:tcW w:w="41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$20,000.00</w:t>
            </w:r>
          </w:p>
        </w:tc>
      </w:tr>
      <w:tr>
        <w:trPr>
          <w:trHeight w:val="223"/>
        </w:trPr>
        <w:tc>
          <w:tcPr>
            <w:tcW w:w="42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July 2025</w:t>
            </w:r>
          </w:p>
        </w:tc>
        <w:tc>
          <w:tcPr>
            <w:tcW w:w="41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$10,000.00</w:t>
            </w:r>
          </w:p>
        </w:tc>
      </w:tr>
      <w:tr>
        <w:trPr>
          <w:trHeight w:val="223"/>
        </w:trPr>
        <w:tc>
          <w:tcPr>
            <w:tcW w:w="42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August 2025</w:t>
            </w:r>
          </w:p>
        </w:tc>
        <w:tc>
          <w:tcPr>
            <w:tcW w:w="41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$10,000.00</w:t>
            </w:r>
          </w:p>
        </w:tc>
      </w:tr>
      <w:tr>
        <w:trPr>
          <w:trHeight w:val="223"/>
        </w:trPr>
        <w:tc>
          <w:tcPr>
            <w:tcW w:w="42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September 2025</w:t>
            </w:r>
          </w:p>
        </w:tc>
        <w:tc>
          <w:tcPr>
            <w:tcW w:w="41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$10,000.00</w:t>
            </w:r>
          </w:p>
        </w:tc>
      </w:tr>
    </w:tbl>
    <w:p>
      <w:pPr>
        <w:spacing w:after="0" w:line="207" w:lineRule="exact"/>
        <w:rPr>
          <w:sz w:val="20"/>
          <w:szCs w:val="20"/>
          <w:color w:val="auto"/>
        </w:rPr>
      </w:pPr>
    </w:p>
    <w:p>
      <w:pPr>
        <w:ind w:right="400" w:firstLine="1763"/>
        <w:spacing w:after="0"/>
        <w:rPr>
          <w:sz w:val="20"/>
          <w:szCs w:val="20"/>
          <w:color w:val="auto"/>
        </w:rPr>
      </w:pPr>
      <w:r>
        <w:rPr>
          <w:rFonts w:ascii="Times New Roman" w:cs="Times New Roman" w:eastAsia="Times New Roman" w:hAnsi="Times New Roman"/>
          <w:sz w:val="20"/>
          <w:szCs w:val="20"/>
          <w:color w:val="auto"/>
        </w:rPr>
        <w:t>You acknowledge that you will receive an IRS Form 1099 from the Company, and that you shall be solely responsible for all federal, state, and local taxes, as set out in Section 4.2.</w:t>
      </w:r>
    </w:p>
    <w:p>
      <w:pPr>
        <w:spacing w:after="0" w:line="251" w:lineRule="exact"/>
        <w:rPr>
          <w:sz w:val="20"/>
          <w:szCs w:val="20"/>
          <w:color w:val="auto"/>
        </w:rPr>
      </w:pPr>
    </w:p>
    <w:p>
      <w:pPr>
        <w:ind w:left="1740" w:right="700" w:firstLine="504"/>
        <w:spacing w:after="0" w:line="246" w:lineRule="auto"/>
        <w:rPr>
          <w:sz w:val="20"/>
          <w:szCs w:val="20"/>
          <w:color w:val="auto"/>
        </w:rPr>
      </w:pPr>
      <w:r>
        <w:rPr>
          <w:rFonts w:ascii="Times New Roman" w:cs="Times New Roman" w:eastAsia="Times New Roman" w:hAnsi="Times New Roman"/>
          <w:sz w:val="20"/>
          <w:szCs w:val="20"/>
          <w:color w:val="auto"/>
        </w:rPr>
        <w:t>3.2 The Company will reimburse you for all pre-approved travel or other costs or expenses incurred by you in connection with the performance of the Services.</w:t>
      </w:r>
    </w:p>
    <w:p>
      <w:pPr>
        <w:spacing w:after="0" w:line="195" w:lineRule="exact"/>
        <w:rPr>
          <w:sz w:val="20"/>
          <w:szCs w:val="20"/>
          <w:color w:val="auto"/>
        </w:rPr>
      </w:pPr>
    </w:p>
    <w:p>
      <w:pPr>
        <w:ind w:left="1740" w:right="60" w:firstLine="504"/>
        <w:spacing w:after="0" w:line="269" w:lineRule="auto"/>
        <w:rPr>
          <w:sz w:val="20"/>
          <w:szCs w:val="20"/>
          <w:color w:val="auto"/>
        </w:rPr>
      </w:pPr>
      <w:r>
        <w:rPr>
          <w:rFonts w:ascii="Times New Roman" w:cs="Times New Roman" w:eastAsia="Times New Roman" w:hAnsi="Times New Roman"/>
          <w:sz w:val="20"/>
          <w:szCs w:val="20"/>
          <w:color w:val="auto"/>
        </w:rPr>
        <w:t>3.3 The Company shall pay all undisputed Fees within thirty (30) days after the Company’s receipt of an invoice submitted by you in accordance with the payment schedule set forth above.</w:t>
      </w:r>
    </w:p>
    <w:p>
      <w:pPr>
        <w:spacing w:after="0" w:line="173" w:lineRule="exact"/>
        <w:rPr>
          <w:sz w:val="20"/>
          <w:szCs w:val="20"/>
          <w:color w:val="auto"/>
        </w:rPr>
      </w:pPr>
    </w:p>
    <w:p>
      <w:pPr>
        <w:jc w:val="center"/>
        <w:ind w:right="-135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216535</wp:posOffset>
            </wp:positionV>
            <wp:extent cx="5871845"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5871845" cy="51435"/>
                    </a:xfrm>
                    <a:prstGeom prst="rect">
                      <a:avLst/>
                    </a:prstGeom>
                    <a:noFill/>
                  </pic:spPr>
                </pic:pic>
              </a:graphicData>
            </a:graphic>
          </wp:anchor>
        </w:drawing>
      </w:r>
    </w:p>
    <w:p>
      <w:pPr>
        <w:sectPr>
          <w:pgSz w:w="11900" w:h="17038" w:orient="portrait"/>
          <w:cols w:equalWidth="0" w:num="1">
            <w:col w:w="10540"/>
          </w:cols>
          <w:pgMar w:left="0" w:top="403" w:right="1359" w:bottom="0" w:gutter="0" w:footer="0" w:header="0"/>
        </w:sectPr>
      </w:pPr>
    </w:p>
    <w:bookmarkStart w:id="32" w:name="page33"/>
    <w:bookmarkEnd w:id="32"/>
    <w:p>
      <w:pPr>
        <w:spacing w:after="0" w:line="200" w:lineRule="exact"/>
        <w:rPr>
          <w:sz w:val="20"/>
          <w:szCs w:val="20"/>
          <w:color w:val="auto"/>
        </w:rPr>
      </w:pPr>
    </w:p>
    <w:p>
      <w:pPr>
        <w:ind w:left="2300" w:hanging="568"/>
        <w:spacing w:after="0"/>
        <w:tabs>
          <w:tab w:leader="none" w:pos="2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Relationship of the Parties</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spacing w:after="0" w:line="21" w:lineRule="exact"/>
        <w:rPr>
          <w:rFonts w:ascii="Times New Roman" w:cs="Times New Roman" w:eastAsia="Times New Roman" w:hAnsi="Times New Roman"/>
          <w:sz w:val="20"/>
          <w:szCs w:val="20"/>
          <w:color w:val="auto"/>
        </w:rPr>
      </w:pPr>
    </w:p>
    <w:p>
      <w:pPr>
        <w:ind w:left="2240"/>
        <w:spacing w:after="0"/>
        <w:tabs>
          <w:tab w:leader="none" w:pos="29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color w:val="auto"/>
        </w:rPr>
        <w:t>You are an independent contractor of the Company, and this Agreement shall not be construed</w:t>
      </w:r>
    </w:p>
    <w:p>
      <w:pPr>
        <w:ind w:left="1740"/>
        <w:spacing w:after="0"/>
        <w:rPr>
          <w:sz w:val="20"/>
          <w:szCs w:val="20"/>
          <w:color w:val="auto"/>
        </w:rPr>
      </w:pPr>
      <w:r>
        <w:rPr>
          <w:rFonts w:ascii="Times New Roman" w:cs="Times New Roman" w:eastAsia="Times New Roman" w:hAnsi="Times New Roman"/>
          <w:sz w:val="20"/>
          <w:szCs w:val="20"/>
          <w:color w:val="auto"/>
        </w:rPr>
        <w:t>to create any association, partnership, joint venture, employment, or agency relationship between you and the</w:t>
      </w:r>
    </w:p>
    <w:p>
      <w:pPr>
        <w:ind w:left="1740"/>
        <w:spacing w:after="0"/>
        <w:rPr>
          <w:sz w:val="20"/>
          <w:szCs w:val="20"/>
          <w:color w:val="auto"/>
        </w:rPr>
      </w:pPr>
      <w:r>
        <w:rPr>
          <w:rFonts w:ascii="Times New Roman" w:cs="Times New Roman" w:eastAsia="Times New Roman" w:hAnsi="Times New Roman"/>
          <w:sz w:val="19"/>
          <w:szCs w:val="19"/>
          <w:color w:val="auto"/>
        </w:rPr>
        <w:t>Company for any purpose. You have no authority (and shall not hold yourself out as having authority) to bind</w:t>
      </w:r>
    </w:p>
    <w:p>
      <w:pPr>
        <w:spacing w:after="0" w:line="1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the Company and you shall not make any agreements or representations on the Company’s behalf without the</w:t>
      </w:r>
    </w:p>
    <w:p>
      <w:pPr>
        <w:ind w:left="1740"/>
        <w:spacing w:after="0"/>
        <w:rPr>
          <w:sz w:val="20"/>
          <w:szCs w:val="20"/>
          <w:color w:val="auto"/>
        </w:rPr>
      </w:pPr>
      <w:r>
        <w:rPr>
          <w:rFonts w:ascii="Times New Roman" w:cs="Times New Roman" w:eastAsia="Times New Roman" w:hAnsi="Times New Roman"/>
          <w:sz w:val="20"/>
          <w:szCs w:val="20"/>
          <w:color w:val="auto"/>
        </w:rPr>
        <w:t>Company’s prior written consent.</w:t>
      </w:r>
    </w:p>
    <w:p>
      <w:pPr>
        <w:spacing w:after="0" w:line="229" w:lineRule="exact"/>
        <w:rPr>
          <w:sz w:val="20"/>
          <w:szCs w:val="20"/>
          <w:color w:val="auto"/>
        </w:rPr>
      </w:pPr>
    </w:p>
    <w:p>
      <w:pPr>
        <w:ind w:left="1740" w:right="20" w:firstLine="504"/>
        <w:spacing w:after="0"/>
        <w:rPr>
          <w:sz w:val="20"/>
          <w:szCs w:val="20"/>
          <w:color w:val="auto"/>
        </w:rPr>
      </w:pPr>
      <w:r>
        <w:rPr>
          <w:rFonts w:ascii="Times New Roman" w:cs="Times New Roman" w:eastAsia="Times New Roman" w:hAnsi="Times New Roman"/>
          <w:sz w:val="20"/>
          <w:szCs w:val="20"/>
          <w:color w:val="auto"/>
        </w:rPr>
        <w:t>4.2 Without limiting Section 4.1, you will not be eligible to participate in any vacation, group medical or life insurance, disability, profit sharing or retirement benefits, or any other fringe benefits or benefit plans offered by the Company to its employees, and the Company will not be responsible for withholding or paying any income, payroll, Social Security, or other federal, state, or local taxes, making any insurance contributions, including for unemployment or disability, or obtaining workers’ compensation insurance on your behalf. You shall be responsible for, and shall indemnify the Company against, all such taxes or contributions, including penalties and interest. Any persons employed or engaged by you in connection with the performance of the Services shall be your employees or contractors and you shall be fully responsible for them and indemnify the Company against any claims made by or on behalf of any such employee or contractor.</w:t>
      </w:r>
    </w:p>
    <w:p>
      <w:pPr>
        <w:spacing w:after="0" w:line="203" w:lineRule="exact"/>
        <w:rPr>
          <w:sz w:val="20"/>
          <w:szCs w:val="20"/>
          <w:color w:val="auto"/>
        </w:rPr>
      </w:pPr>
    </w:p>
    <w:p>
      <w:pPr>
        <w:ind w:left="2300" w:hanging="568"/>
        <w:spacing w:after="0"/>
        <w:tabs>
          <w:tab w:leader="none" w:pos="2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Intellectual Property Rights</w:t>
      </w:r>
      <w:r>
        <w:rPr>
          <w:rFonts w:ascii="Times New Roman" w:cs="Times New Roman" w:eastAsia="Times New Roman" w:hAnsi="Times New Roman"/>
          <w:sz w:val="20"/>
          <w:szCs w:val="20"/>
          <w:color w:val="auto"/>
        </w:rPr>
        <w:t>.</w:t>
      </w:r>
    </w:p>
    <w:p>
      <w:pPr>
        <w:spacing w:after="0" w:line="251" w:lineRule="exact"/>
        <w:rPr>
          <w:sz w:val="20"/>
          <w:szCs w:val="20"/>
          <w:color w:val="auto"/>
        </w:rPr>
      </w:pPr>
    </w:p>
    <w:p>
      <w:pPr>
        <w:ind w:left="2240"/>
        <w:spacing w:after="0"/>
        <w:tabs>
          <w:tab w:leader="none" w:pos="294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color w:val="auto"/>
        </w:rPr>
        <w:t>All documents, work product, and other materials that are delivered by you under this</w:t>
      </w:r>
    </w:p>
    <w:p>
      <w:pPr>
        <w:ind w:left="1740"/>
        <w:spacing w:after="0"/>
        <w:rPr>
          <w:sz w:val="20"/>
          <w:szCs w:val="20"/>
          <w:color w:val="auto"/>
        </w:rPr>
      </w:pPr>
      <w:r>
        <w:rPr>
          <w:rFonts w:ascii="Times New Roman" w:cs="Times New Roman" w:eastAsia="Times New Roman" w:hAnsi="Times New Roman"/>
          <w:sz w:val="20"/>
          <w:szCs w:val="20"/>
          <w:color w:val="auto"/>
        </w:rPr>
        <w:t>Agreement (collectively, the “Deliverables”) and all other writings, technology, inventions, discoveries,</w:t>
      </w:r>
    </w:p>
    <w:p>
      <w:pPr>
        <w:ind w:left="1740"/>
        <w:spacing w:after="0"/>
        <w:rPr>
          <w:sz w:val="20"/>
          <w:szCs w:val="20"/>
          <w:color w:val="auto"/>
        </w:rPr>
      </w:pPr>
      <w:r>
        <w:rPr>
          <w:rFonts w:ascii="Times New Roman" w:cs="Times New Roman" w:eastAsia="Times New Roman" w:hAnsi="Times New Roman"/>
          <w:sz w:val="19"/>
          <w:szCs w:val="19"/>
          <w:color w:val="auto"/>
        </w:rPr>
        <w:t>processes, techniques, methods, ideas, concepts, research, proposals, and materials, and all other work product</w:t>
      </w:r>
    </w:p>
    <w:p>
      <w:pPr>
        <w:spacing w:after="0" w:line="1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of any nature whatsoever, that are created, prepared, produced, authored, edited, modified, conceived, or</w:t>
      </w:r>
    </w:p>
    <w:p>
      <w:pPr>
        <w:ind w:left="1740"/>
        <w:spacing w:after="0"/>
        <w:rPr>
          <w:sz w:val="20"/>
          <w:szCs w:val="20"/>
          <w:color w:val="auto"/>
        </w:rPr>
      </w:pPr>
      <w:r>
        <w:rPr>
          <w:rFonts w:ascii="Times New Roman" w:cs="Times New Roman" w:eastAsia="Times New Roman" w:hAnsi="Times New Roman"/>
          <w:sz w:val="20"/>
          <w:szCs w:val="20"/>
          <w:color w:val="auto"/>
        </w:rPr>
        <w:t>reduced to practice in the course of performing the Services (collectively, and including the Deliverables,</w:t>
      </w:r>
    </w:p>
    <w:p>
      <w:pPr>
        <w:ind w:left="1740"/>
        <w:spacing w:after="0"/>
        <w:rPr>
          <w:sz w:val="20"/>
          <w:szCs w:val="20"/>
          <w:color w:val="auto"/>
        </w:rPr>
      </w:pPr>
      <w:r>
        <w:rPr>
          <w:rFonts w:ascii="Times New Roman" w:cs="Times New Roman" w:eastAsia="Times New Roman" w:hAnsi="Times New Roman"/>
          <w:sz w:val="20"/>
          <w:szCs w:val="20"/>
          <w:color w:val="auto"/>
        </w:rPr>
        <w:t>“Work Product”), and all patents, copyrights, trademarks (together with the goodwill symbolized thereby),</w:t>
      </w:r>
    </w:p>
    <w:p>
      <w:pPr>
        <w:ind w:left="1740"/>
        <w:spacing w:after="0"/>
        <w:rPr>
          <w:sz w:val="20"/>
          <w:szCs w:val="20"/>
          <w:color w:val="auto"/>
        </w:rPr>
      </w:pPr>
      <w:r>
        <w:rPr>
          <w:rFonts w:ascii="Times New Roman" w:cs="Times New Roman" w:eastAsia="Times New Roman" w:hAnsi="Times New Roman"/>
          <w:sz w:val="20"/>
          <w:szCs w:val="20"/>
          <w:color w:val="auto"/>
        </w:rPr>
        <w:t>trade secrets, know-how, and other confidential or proprietary information, and other intellectual property</w:t>
      </w:r>
    </w:p>
    <w:p>
      <w:pPr>
        <w:ind w:left="1740"/>
        <w:spacing w:after="0"/>
        <w:rPr>
          <w:sz w:val="20"/>
          <w:szCs w:val="20"/>
          <w:color w:val="auto"/>
        </w:rPr>
      </w:pPr>
      <w:r>
        <w:rPr>
          <w:rFonts w:ascii="Times New Roman" w:cs="Times New Roman" w:eastAsia="Times New Roman" w:hAnsi="Times New Roman"/>
          <w:sz w:val="20"/>
          <w:szCs w:val="20"/>
          <w:color w:val="auto"/>
        </w:rPr>
        <w:t>rights (collectively “Intellectual Property Rights”) therein, shall be owned exclusively by the Company. You</w:t>
      </w:r>
    </w:p>
    <w:p>
      <w:pPr>
        <w:ind w:left="1740"/>
        <w:spacing w:after="0"/>
        <w:rPr>
          <w:sz w:val="20"/>
          <w:szCs w:val="20"/>
          <w:color w:val="auto"/>
        </w:rPr>
      </w:pPr>
      <w:r>
        <w:rPr>
          <w:rFonts w:ascii="Times New Roman" w:cs="Times New Roman" w:eastAsia="Times New Roman" w:hAnsi="Times New Roman"/>
          <w:sz w:val="19"/>
          <w:szCs w:val="19"/>
          <w:color w:val="auto"/>
        </w:rPr>
        <w:t>hereby irrevocably assign to the Company and its successors and assigns, for no additional consideration, your</w:t>
      </w:r>
    </w:p>
    <w:p>
      <w:pPr>
        <w:spacing w:after="0" w:line="1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9"/>
          <w:szCs w:val="19"/>
          <w:color w:val="auto"/>
        </w:rPr>
        <w:t>entire right, title, and interest in and to the Work Product and all Intellectual Property Rights therein, including</w:t>
      </w:r>
    </w:p>
    <w:p>
      <w:pPr>
        <w:spacing w:after="0" w:line="1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the right to sue, counterclaim, and recover for all past, present, and future infringement, misappropriation, or</w:t>
      </w:r>
    </w:p>
    <w:p>
      <w:pPr>
        <w:ind w:left="1740"/>
        <w:spacing w:after="0"/>
        <w:rPr>
          <w:sz w:val="20"/>
          <w:szCs w:val="20"/>
          <w:color w:val="auto"/>
        </w:rPr>
      </w:pPr>
      <w:r>
        <w:rPr>
          <w:rFonts w:ascii="Times New Roman" w:cs="Times New Roman" w:eastAsia="Times New Roman" w:hAnsi="Times New Roman"/>
          <w:sz w:val="20"/>
          <w:szCs w:val="20"/>
          <w:color w:val="auto"/>
        </w:rPr>
        <w:t>dilution thereof.</w:t>
      </w:r>
    </w:p>
    <w:p>
      <w:pPr>
        <w:spacing w:after="0" w:line="229" w:lineRule="exact"/>
        <w:rPr>
          <w:sz w:val="20"/>
          <w:szCs w:val="20"/>
          <w:color w:val="auto"/>
        </w:rPr>
      </w:pPr>
    </w:p>
    <w:p>
      <w:pPr>
        <w:ind w:left="1740" w:right="20" w:firstLine="504"/>
        <w:spacing w:after="0" w:line="241" w:lineRule="auto"/>
        <w:rPr>
          <w:sz w:val="20"/>
          <w:szCs w:val="20"/>
          <w:color w:val="auto"/>
        </w:rPr>
      </w:pPr>
      <w:r>
        <w:rPr>
          <w:rFonts w:ascii="Times New Roman" w:cs="Times New Roman" w:eastAsia="Times New Roman" w:hAnsi="Times New Roman"/>
          <w:sz w:val="20"/>
          <w:szCs w:val="20"/>
          <w:color w:val="auto"/>
        </w:rPr>
        <w:t>5.2 To the extent any copyrights are assigned under this Section 5, you hereby irrevocably waive in favor of the Company, to the extent permitted by applicable law, any and all claims you may now or hereafter have in any jurisdiction to all rights of paternity or attribution, integrity, disclosure, and withdrawal and any other rights that may be known as “moral rights” in relation to all Work Product to which the assigned copyrights apply.</w:t>
      </w:r>
    </w:p>
    <w:p>
      <w:pPr>
        <w:spacing w:after="0" w:line="200" w:lineRule="exact"/>
        <w:rPr>
          <w:sz w:val="20"/>
          <w:szCs w:val="20"/>
          <w:color w:val="auto"/>
        </w:rPr>
      </w:pPr>
    </w:p>
    <w:p>
      <w:pPr>
        <w:ind w:left="1740" w:firstLine="504"/>
        <w:spacing w:after="0" w:line="244" w:lineRule="auto"/>
        <w:rPr>
          <w:sz w:val="20"/>
          <w:szCs w:val="20"/>
          <w:color w:val="auto"/>
        </w:rPr>
      </w:pPr>
      <w:r>
        <w:rPr>
          <w:rFonts w:ascii="Times New Roman" w:cs="Times New Roman" w:eastAsia="Times New Roman" w:hAnsi="Times New Roman"/>
          <w:sz w:val="20"/>
          <w:szCs w:val="20"/>
          <w:color w:val="auto"/>
        </w:rPr>
        <w:t>5.3 As between you and the Company, the Company is, and will remain, the sole and exclusive owner of all right, title, and interest in and to any documents, specifications, data, know-how, methodologies, software, and other materials provided to you by the Company (“Company Materials”), and all Intellectual Property Rights therein. You have no right or license to reproduce or use any Company Materials except solely during the Term to the extent necessary to perform your obligations under this Agreement. All other rights in and to the Company Materials are expressly reserved by the Company. You have no right or license to use the Company’s trademarks, service marks, trade names, logos, symbols, or brand names.</w:t>
      </w:r>
    </w:p>
    <w:p>
      <w:pPr>
        <w:spacing w:after="0" w:line="186" w:lineRule="exact"/>
        <w:rPr>
          <w:sz w:val="20"/>
          <w:szCs w:val="20"/>
          <w:color w:val="auto"/>
        </w:rPr>
      </w:pPr>
    </w:p>
    <w:p>
      <w:pPr>
        <w:ind w:left="1740" w:firstLine="504"/>
        <w:spacing w:after="0" w:line="249" w:lineRule="auto"/>
        <w:rPr>
          <w:sz w:val="20"/>
          <w:szCs w:val="20"/>
          <w:color w:val="auto"/>
        </w:rPr>
      </w:pPr>
      <w:r>
        <w:rPr>
          <w:rFonts w:ascii="Times New Roman" w:cs="Times New Roman" w:eastAsia="Times New Roman" w:hAnsi="Times New Roman"/>
          <w:sz w:val="20"/>
          <w:szCs w:val="20"/>
          <w:color w:val="auto"/>
        </w:rPr>
        <w:t>5.4 You shall require each of your employees and contractors, if any, to execute written agreements containing obligations of confidentiality and non-use and assignment of inventions and other work product consistent with the provisions of this Section 5 prior to such employee or contractor providing any Services under this Agreement.</w:t>
      </w:r>
    </w:p>
    <w:p>
      <w:pPr>
        <w:spacing w:after="0" w:line="180" w:lineRule="exact"/>
        <w:rPr>
          <w:sz w:val="20"/>
          <w:szCs w:val="20"/>
          <w:color w:val="auto"/>
        </w:rPr>
      </w:pPr>
    </w:p>
    <w:p>
      <w:pPr>
        <w:ind w:left="2300" w:hanging="568"/>
        <w:spacing w:after="0"/>
        <w:tabs>
          <w:tab w:leader="none" w:pos="2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spacing w:after="0" w:line="21" w:lineRule="exact"/>
        <w:rPr>
          <w:rFonts w:ascii="Times New Roman" w:cs="Times New Roman" w:eastAsia="Times New Roman" w:hAnsi="Times New Roman"/>
          <w:sz w:val="20"/>
          <w:szCs w:val="20"/>
          <w:color w:val="auto"/>
        </w:rPr>
      </w:pPr>
    </w:p>
    <w:p>
      <w:pPr>
        <w:jc w:val="center"/>
        <w:ind w:right="-13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216535</wp:posOffset>
            </wp:positionV>
            <wp:extent cx="587184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7038" w:orient="portrait"/>
          <w:cols w:equalWidth="0" w:num="1">
            <w:col w:w="10520"/>
          </w:cols>
          <w:pgMar w:left="0" w:top="346" w:right="1379" w:bottom="0" w:gutter="0" w:footer="0" w:header="0"/>
        </w:sectPr>
      </w:pPr>
    </w:p>
    <w:bookmarkStart w:id="33" w:name="page34"/>
    <w:bookmarkEnd w:id="33"/>
    <w:p>
      <w:pPr>
        <w:spacing w:after="0" w:line="200" w:lineRule="exact"/>
        <w:rPr>
          <w:sz w:val="20"/>
          <w:szCs w:val="20"/>
          <w:color w:val="auto"/>
        </w:rPr>
      </w:pPr>
    </w:p>
    <w:p>
      <w:pPr>
        <w:ind w:left="1740" w:right="40" w:firstLine="504"/>
        <w:spacing w:after="0" w:line="241" w:lineRule="auto"/>
        <w:rPr>
          <w:sz w:val="20"/>
          <w:szCs w:val="20"/>
          <w:color w:val="auto"/>
        </w:rPr>
      </w:pPr>
      <w:r>
        <w:rPr>
          <w:rFonts w:ascii="Times New Roman" w:cs="Times New Roman" w:eastAsia="Times New Roman" w:hAnsi="Times New Roman"/>
          <w:sz w:val="20"/>
          <w:szCs w:val="20"/>
          <w:color w:val="auto"/>
        </w:rPr>
        <w:t>6.1 You acknowledge that you will have access to information that is treated as confidential and proprietary by the Company including without limitation the existence and terms of this Agreement, trade secrets, technology, and information pertaining to business operations and strategies, customers, pricing, marketing, finances, sourcing, personnel, or operations of the Company, its affiliates, or their suppliers or customers, in each case whether spoken, written, printed, electronic, or in any other form or medium (collectively, the “Confidential Information”). Any Confidential Information that you access or develop in connection with the Services, including but not limited to any Work Product, shall be subject to the terms and conditions of this clause. You agree to treat all Confidential Information as strictly confidential, not to disclose Confidential Information or permit it to be disclosed, in whole or part, to any third party without the prior written consent of the Company in each instance, and not to use any Confidential Information for any purpose except as required in the performance of the Services. You shall notify the Company immediately in the event you become aware of any loss or disclosure of any Confidential Information.</w:t>
      </w:r>
    </w:p>
    <w:p>
      <w:pPr>
        <w:spacing w:after="0" w:line="233" w:lineRule="exact"/>
        <w:rPr>
          <w:sz w:val="20"/>
          <w:szCs w:val="20"/>
          <w:color w:val="auto"/>
        </w:rPr>
      </w:pPr>
    </w:p>
    <w:p>
      <w:pPr>
        <w:ind w:left="1740" w:right="240" w:firstLine="504"/>
        <w:spacing w:after="0" w:line="239" w:lineRule="auto"/>
        <w:rPr>
          <w:sz w:val="20"/>
          <w:szCs w:val="20"/>
          <w:color w:val="auto"/>
        </w:rPr>
      </w:pPr>
      <w:r>
        <w:rPr>
          <w:rFonts w:ascii="Times New Roman" w:cs="Times New Roman" w:eastAsia="Times New Roman" w:hAnsi="Times New Roman"/>
          <w:sz w:val="20"/>
          <w:szCs w:val="20"/>
          <w:color w:val="auto"/>
        </w:rPr>
        <w:t>6.2 Confidential Information shall not include information that: (a) is or becomes generally available to the public other than through your breach of this Agreement or (b) is communicated to you by a third party that had no confidentiality obligations with respect to such information.</w:t>
      </w:r>
    </w:p>
    <w:p>
      <w:pPr>
        <w:spacing w:after="0" w:line="231" w:lineRule="exact"/>
        <w:rPr>
          <w:sz w:val="20"/>
          <w:szCs w:val="20"/>
          <w:color w:val="auto"/>
        </w:rPr>
      </w:pPr>
    </w:p>
    <w:p>
      <w:pPr>
        <w:ind w:left="1740" w:right="120" w:firstLine="504"/>
        <w:spacing w:after="0" w:line="241" w:lineRule="auto"/>
        <w:rPr>
          <w:sz w:val="20"/>
          <w:szCs w:val="20"/>
          <w:color w:val="auto"/>
        </w:rPr>
      </w:pPr>
      <w:r>
        <w:rPr>
          <w:rFonts w:ascii="Times New Roman" w:cs="Times New Roman" w:eastAsia="Times New Roman" w:hAnsi="Times New Roman"/>
          <w:sz w:val="20"/>
          <w:szCs w:val="20"/>
          <w:color w:val="auto"/>
        </w:rPr>
        <w:t>6.3 Nothing herein shall be construed to prevent disclosure of Confidential Information as may be required by applicable law or regulation, or pursuant to the valid order of a court of competent jurisdiction or an authorized government agency, provided that the disclosure does not exceed the extent of disclosure required by such law, regulation, or order.</w:t>
      </w:r>
    </w:p>
    <w:p>
      <w:pPr>
        <w:spacing w:after="0" w:line="202" w:lineRule="exact"/>
        <w:rPr>
          <w:sz w:val="20"/>
          <w:szCs w:val="20"/>
          <w:color w:val="auto"/>
        </w:rPr>
      </w:pPr>
    </w:p>
    <w:p>
      <w:pPr>
        <w:ind w:left="2300" w:hanging="568"/>
        <w:spacing w:after="0"/>
        <w:tabs>
          <w:tab w:leader="none" w:pos="2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p>
    <w:p>
      <w:pPr>
        <w:spacing w:after="0" w:line="21" w:lineRule="exact"/>
        <w:rPr>
          <w:rFonts w:ascii="Times New Roman" w:cs="Times New Roman" w:eastAsia="Times New Roman" w:hAnsi="Times New Roman"/>
          <w:sz w:val="20"/>
          <w:szCs w:val="20"/>
          <w:color w:val="auto"/>
        </w:rPr>
      </w:pPr>
    </w:p>
    <w:p>
      <w:pPr>
        <w:spacing w:after="0" w:line="21" w:lineRule="exact"/>
        <w:rPr>
          <w:rFonts w:ascii="Times New Roman" w:cs="Times New Roman" w:eastAsia="Times New Roman" w:hAnsi="Times New Roman"/>
          <w:sz w:val="20"/>
          <w:szCs w:val="20"/>
          <w:color w:val="auto"/>
        </w:rPr>
      </w:pPr>
    </w:p>
    <w:p>
      <w:pPr>
        <w:ind w:left="22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7.1</w:t>
      </w:r>
      <w:r>
        <w:rPr>
          <w:rFonts w:ascii="Times New Roman" w:cs="Times New Roman" w:eastAsia="Times New Roman" w:hAnsi="Times New Roman"/>
          <w:sz w:val="19"/>
          <w:szCs w:val="19"/>
          <w:color w:val="auto"/>
        </w:rPr>
        <w:t>You represent and warrant to the Company that:</w:t>
      </w:r>
    </w:p>
    <w:p>
      <w:pPr>
        <w:ind w:left="2240"/>
        <w:spacing w:after="0"/>
        <w:rPr>
          <w:rFonts w:ascii="Times New Roman" w:cs="Times New Roman" w:eastAsia="Times New Roman" w:hAnsi="Times New Roman"/>
          <w:sz w:val="20"/>
          <w:szCs w:val="20"/>
          <w:color w:val="auto"/>
        </w:rPr>
      </w:pPr>
    </w:p>
    <w:p>
      <w:pPr>
        <w:ind w:left="2240" w:right="160" w:firstLine="653"/>
        <w:spacing w:after="0" w:line="239" w:lineRule="auto"/>
        <w:tabs>
          <w:tab w:leader="none" w:pos="3589"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the right to enter into this Agreement, to grant the rights granted herein, and to perform fully all of your obligations in this Agreement;</w:t>
      </w:r>
    </w:p>
    <w:p>
      <w:pPr>
        <w:ind w:left="2240" w:right="160" w:firstLine="653"/>
        <w:spacing w:after="0" w:line="239" w:lineRule="auto"/>
        <w:tabs>
          <w:tab w:leader="none" w:pos="3589" w:val="left"/>
        </w:tabs>
        <w:numPr>
          <w:ilvl w:val="1"/>
          <w:numId w:val="18"/>
        </w:numPr>
        <w:rPr>
          <w:rFonts w:ascii="Times New Roman" w:cs="Times New Roman" w:eastAsia="Times New Roman" w:hAnsi="Times New Roman"/>
          <w:sz w:val="20"/>
          <w:szCs w:val="20"/>
          <w:color w:val="auto"/>
        </w:rPr>
      </w:pPr>
    </w:p>
    <w:p>
      <w:pPr>
        <w:ind w:left="2240" w:firstLine="653"/>
        <w:spacing w:after="0" w:line="242" w:lineRule="auto"/>
        <w:tabs>
          <w:tab w:leader="none" w:pos="360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entering into this Agreement with the Company and your performance of the Services do not and will not conflict with or result in any breach or default under any other agreement to which you are subject;</w:t>
      </w:r>
    </w:p>
    <w:p>
      <w:pPr>
        <w:spacing w:after="0" w:line="200" w:lineRule="exact"/>
        <w:rPr>
          <w:rFonts w:ascii="Times New Roman" w:cs="Times New Roman" w:eastAsia="Times New Roman" w:hAnsi="Times New Roman"/>
          <w:sz w:val="20"/>
          <w:szCs w:val="20"/>
          <w:color w:val="auto"/>
        </w:rPr>
      </w:pPr>
    </w:p>
    <w:p>
      <w:pPr>
        <w:ind w:left="2240" w:right="60" w:firstLine="653"/>
        <w:spacing w:after="0" w:line="249" w:lineRule="auto"/>
        <w:tabs>
          <w:tab w:leader="none" w:pos="3589"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the required skill, experience, and qualifications to perform the Services, you shall perform the Services in a professional and workmanlike manner in accordance with industry standards for similar services, and you shall devote sufficient resources to ensure that the Services are performed in a timely and reliable manner;</w:t>
      </w:r>
    </w:p>
    <w:p>
      <w:pPr>
        <w:spacing w:after="0" w:line="193" w:lineRule="exact"/>
        <w:rPr>
          <w:rFonts w:ascii="Times New Roman" w:cs="Times New Roman" w:eastAsia="Times New Roman" w:hAnsi="Times New Roman"/>
          <w:sz w:val="20"/>
          <w:szCs w:val="20"/>
          <w:color w:val="auto"/>
        </w:rPr>
      </w:pPr>
    </w:p>
    <w:p>
      <w:pPr>
        <w:ind w:left="2240" w:right="180" w:firstLine="653"/>
        <w:spacing w:after="0" w:line="254" w:lineRule="auto"/>
        <w:tabs>
          <w:tab w:leader="none" w:pos="360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shall perform the Services in compliance with all applicable federal, state, and local laws and regulations, including by maintaining all licenses, permits, and registrations required to perform the Services;</w:t>
      </w:r>
    </w:p>
    <w:p>
      <w:pPr>
        <w:spacing w:after="0" w:line="187" w:lineRule="exact"/>
        <w:rPr>
          <w:rFonts w:ascii="Times New Roman" w:cs="Times New Roman" w:eastAsia="Times New Roman" w:hAnsi="Times New Roman"/>
          <w:sz w:val="20"/>
          <w:szCs w:val="20"/>
          <w:color w:val="auto"/>
        </w:rPr>
      </w:pPr>
    </w:p>
    <w:p>
      <w:pPr>
        <w:ind w:left="2240" w:right="60" w:firstLine="653"/>
        <w:spacing w:after="0" w:line="269" w:lineRule="auto"/>
        <w:tabs>
          <w:tab w:leader="none" w:pos="3589"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receive good and valid title to all Work Product, free and clear of all encumbrances and liens of any kind; and</w:t>
      </w:r>
    </w:p>
    <w:p>
      <w:pPr>
        <w:spacing w:after="0" w:line="172" w:lineRule="exact"/>
        <w:rPr>
          <w:rFonts w:ascii="Times New Roman" w:cs="Times New Roman" w:eastAsia="Times New Roman" w:hAnsi="Times New Roman"/>
          <w:sz w:val="20"/>
          <w:szCs w:val="20"/>
          <w:color w:val="auto"/>
        </w:rPr>
      </w:pPr>
    </w:p>
    <w:p>
      <w:pPr>
        <w:ind w:left="2240" w:right="160" w:firstLine="653"/>
        <w:spacing w:after="0" w:line="249" w:lineRule="auto"/>
        <w:tabs>
          <w:tab w:leader="none" w:pos="3581"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Work Product is and shall be your original work (except for material in the public domain or provided by the Company) and, to the best of your knowledge, does not and will not violate or infringe upon the intellectual property right or any other right whatsoever of any person, firm, corporation, or other entity.</w:t>
      </w:r>
    </w:p>
    <w:p>
      <w:pPr>
        <w:ind w:left="1740" w:right="240" w:firstLine="504"/>
        <w:spacing w:after="0" w:line="245" w:lineRule="auto"/>
        <w:rPr>
          <w:sz w:val="20"/>
          <w:szCs w:val="20"/>
          <w:color w:val="auto"/>
        </w:rPr>
      </w:pPr>
      <w:r>
        <w:rPr>
          <w:rFonts w:ascii="Times New Roman" w:cs="Times New Roman" w:eastAsia="Times New Roman" w:hAnsi="Times New Roman"/>
          <w:sz w:val="20"/>
          <w:szCs w:val="20"/>
          <w:color w:val="auto"/>
        </w:rPr>
        <w:t>7.2 The Company hereby represents and warrants to you that (a) it has the full right, power, and authority to enter into this Agreement and to perform its obligations hereunder; and (b) the execution of this Agreement by its representative whose signature is set forth at the end of this Agreement has been duly authorized by all necessary corporate action.</w:t>
      </w:r>
    </w:p>
    <w:p>
      <w:pPr>
        <w:spacing w:after="0" w:line="230" w:lineRule="exact"/>
        <w:rPr>
          <w:sz w:val="20"/>
          <w:szCs w:val="20"/>
          <w:color w:val="auto"/>
        </w:rPr>
      </w:pPr>
    </w:p>
    <w:p>
      <w:pPr>
        <w:ind w:left="2300" w:hanging="568"/>
        <w:spacing w:after="0"/>
        <w:tabs>
          <w:tab w:leader="none" w:pos="23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jc w:val="center"/>
        <w:ind w:right="-13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216535</wp:posOffset>
            </wp:positionV>
            <wp:extent cx="5871845"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5871845" cy="51435"/>
                    </a:xfrm>
                    <a:prstGeom prst="rect">
                      <a:avLst/>
                    </a:prstGeom>
                    <a:noFill/>
                  </pic:spPr>
                </pic:pic>
              </a:graphicData>
            </a:graphic>
          </wp:anchor>
        </w:drawing>
      </w:r>
    </w:p>
    <w:p>
      <w:pPr>
        <w:sectPr>
          <w:pgSz w:w="11900" w:h="17038" w:orient="portrait"/>
          <w:cols w:equalWidth="0" w:num="1">
            <w:col w:w="10520"/>
          </w:cols>
          <w:pgMar w:left="0" w:top="118" w:right="1379" w:bottom="0" w:gutter="0" w:footer="0" w:header="0"/>
        </w:sectPr>
      </w:pPr>
    </w:p>
    <w:bookmarkStart w:id="34" w:name="page35"/>
    <w:bookmarkEnd w:id="34"/>
    <w:p>
      <w:pPr>
        <w:spacing w:after="0" w:line="200" w:lineRule="exact"/>
        <w:rPr>
          <w:sz w:val="20"/>
          <w:szCs w:val="20"/>
          <w:color w:val="auto"/>
        </w:rPr>
      </w:pPr>
    </w:p>
    <w:p>
      <w:pPr>
        <w:ind w:left="1740" w:firstLine="504"/>
        <w:spacing w:after="0" w:line="239" w:lineRule="auto"/>
        <w:rPr>
          <w:sz w:val="20"/>
          <w:szCs w:val="20"/>
          <w:color w:val="auto"/>
        </w:rPr>
      </w:pPr>
      <w:r>
        <w:rPr>
          <w:rFonts w:ascii="Times New Roman" w:cs="Times New Roman" w:eastAsia="Times New Roman" w:hAnsi="Times New Roman"/>
          <w:sz w:val="20"/>
          <w:szCs w:val="20"/>
          <w:color w:val="auto"/>
        </w:rPr>
        <w:t>8.1 You shall defend, indemnify, and hold harmless the Company and its affiliates and their officers, directors, employees, agents, successors, and assigns from and against all losses, damages, liabilities, deficiencies, actions, judgments, interest, awards, penalties, fines, costs, or expenses of whatever kind (including reasonable attorneys’ fees) arising out of or resulting from: (a) bodily injury, death of any person, or damage to real or tangible personal property resulting from your acts or omissions or (b) your breach of any representation, warranty, or obligation under this Agreement.</w:t>
      </w:r>
    </w:p>
    <w:p>
      <w:pPr>
        <w:spacing w:after="0" w:line="232" w:lineRule="exact"/>
        <w:rPr>
          <w:sz w:val="20"/>
          <w:szCs w:val="20"/>
          <w:color w:val="auto"/>
        </w:rPr>
      </w:pPr>
    </w:p>
    <w:p>
      <w:pPr>
        <w:ind w:left="1740" w:right="140" w:firstLine="504"/>
        <w:spacing w:after="0" w:line="239" w:lineRule="auto"/>
        <w:rPr>
          <w:sz w:val="20"/>
          <w:szCs w:val="20"/>
          <w:color w:val="auto"/>
        </w:rPr>
      </w:pPr>
      <w:r>
        <w:rPr>
          <w:rFonts w:ascii="Times New Roman" w:cs="Times New Roman" w:eastAsia="Times New Roman" w:hAnsi="Times New Roman"/>
          <w:sz w:val="20"/>
          <w:szCs w:val="20"/>
          <w:color w:val="auto"/>
        </w:rPr>
        <w:t>8.2 The Company may satisfy such indemnity (in whole or in part) by way of deduction from any payment due to you.</w:t>
      </w:r>
    </w:p>
    <w:p>
      <w:pPr>
        <w:spacing w:after="0" w:line="230" w:lineRule="exact"/>
        <w:rPr>
          <w:sz w:val="20"/>
          <w:szCs w:val="20"/>
          <w:color w:val="auto"/>
        </w:rPr>
      </w:pPr>
    </w:p>
    <w:p>
      <w:pPr>
        <w:ind w:left="2300" w:hanging="568"/>
        <w:spacing w:after="0"/>
        <w:tabs>
          <w:tab w:leader="none" w:pos="23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w:t>
      </w:r>
    </w:p>
    <w:p>
      <w:pPr>
        <w:ind w:left="2300" w:hanging="568"/>
        <w:spacing w:after="0"/>
        <w:tabs>
          <w:tab w:leader="none" w:pos="2300" w:val="left"/>
        </w:tabs>
        <w:numPr>
          <w:ilvl w:val="0"/>
          <w:numId w:val="20"/>
        </w:numPr>
        <w:rPr>
          <w:rFonts w:ascii="Times New Roman" w:cs="Times New Roman" w:eastAsia="Times New Roman" w:hAnsi="Times New Roman"/>
          <w:sz w:val="20"/>
          <w:szCs w:val="20"/>
          <w:color w:val="auto"/>
        </w:rPr>
      </w:pPr>
    </w:p>
    <w:p>
      <w:pPr>
        <w:jc w:val="both"/>
        <w:ind w:left="1740" w:right="60" w:firstLine="504"/>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9.1 You or the Company may terminate this Agreement at any time or for any reason upon five (5) business days advance written notice to the other party to this Agreement. In the event of termination pursuant to this clause, the Company shall pay you on a pro-rata basis any Fees then due and payable for any Services completed up to and including the date of such termination and reimburse you for all pre-approved expenses incurred by you up to and including the date of such termination.</w:t>
      </w:r>
    </w:p>
    <w:p>
      <w:pPr>
        <w:spacing w:after="0" w:line="2" w:lineRule="exact"/>
        <w:rPr>
          <w:rFonts w:ascii="Times New Roman" w:cs="Times New Roman" w:eastAsia="Times New Roman" w:hAnsi="Times New Roman"/>
          <w:sz w:val="20"/>
          <w:szCs w:val="20"/>
          <w:color w:val="auto"/>
        </w:rPr>
      </w:pPr>
    </w:p>
    <w:p>
      <w:pPr>
        <w:spacing w:after="0" w:line="2" w:lineRule="exact"/>
        <w:rPr>
          <w:rFonts w:ascii="Times New Roman" w:cs="Times New Roman" w:eastAsia="Times New Roman" w:hAnsi="Times New Roman"/>
          <w:sz w:val="20"/>
          <w:szCs w:val="20"/>
          <w:color w:val="auto"/>
        </w:rPr>
      </w:pPr>
    </w:p>
    <w:p>
      <w:pPr>
        <w:jc w:val="both"/>
        <w:ind w:left="1740" w:right="60" w:firstLine="504"/>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9.2 Upon expiration or termination of this Agreement for any reason, or at any other time upon the Company’s written request, you shall promptly after such expiration or termination deliver to the Company all Deliverables (whether complete or incomplete) and all materials, equipment, and other property provided for your use by the Company.</w:t>
      </w:r>
    </w:p>
    <w:p>
      <w:pPr>
        <w:ind w:left="2240"/>
        <w:spacing w:after="0"/>
        <w:tabs>
          <w:tab w:leader="none" w:pos="294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19"/>
          <w:szCs w:val="19"/>
          <w:color w:val="auto"/>
        </w:rPr>
        <w:t>The terms and conditions of this clause and Section 4, Section 5, Section 6, Section 7, Section</w:t>
      </w:r>
    </w:p>
    <w:p>
      <w:pPr>
        <w:spacing w:after="0" w:line="2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8, Section 10, Section 11, and Section 12 shall survive the expiration or termination of this Agreement.</w:t>
      </w:r>
    </w:p>
    <w:p>
      <w:pPr>
        <w:spacing w:after="0" w:line="229" w:lineRule="exact"/>
        <w:rPr>
          <w:sz w:val="20"/>
          <w:szCs w:val="20"/>
          <w:color w:val="auto"/>
        </w:rPr>
      </w:pPr>
    </w:p>
    <w:p>
      <w:pPr>
        <w:ind w:left="1360" w:right="40" w:firstLine="372"/>
        <w:spacing w:after="0" w:line="241" w:lineRule="auto"/>
        <w:tabs>
          <w:tab w:leader="none" w:pos="231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You shall not assign any rights or delegate or subcontract any obligations under this Agreement without the Company’s prior written consent. Any assignment in violation of the foregoing shall be deemed null and void. The Company may freely assign its rights and obligations under this Agreement at any time. Subject to the limits on assignment stated above, this Agreement will inure to the benefit of, be binding on, and be enforceable against each of the Parties hereto and their respective successors and assigns.</w:t>
      </w:r>
    </w:p>
    <w:p>
      <w:pPr>
        <w:spacing w:after="0" w:line="200" w:lineRule="exact"/>
        <w:rPr>
          <w:rFonts w:ascii="Times New Roman" w:cs="Times New Roman" w:eastAsia="Times New Roman" w:hAnsi="Times New Roman"/>
          <w:sz w:val="20"/>
          <w:szCs w:val="20"/>
          <w:color w:val="auto"/>
        </w:rPr>
      </w:pPr>
    </w:p>
    <w:p>
      <w:pPr>
        <w:ind w:left="1360" w:right="80" w:firstLine="372"/>
        <w:spacing w:after="0" w:line="256" w:lineRule="auto"/>
        <w:tabs>
          <w:tab w:leader="none" w:pos="2338"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Jurisdiction and Venue</w:t>
      </w:r>
      <w:r>
        <w:rPr>
          <w:rFonts w:ascii="Times New Roman" w:cs="Times New Roman" w:eastAsia="Times New Roman" w:hAnsi="Times New Roman"/>
          <w:sz w:val="19"/>
          <w:szCs w:val="19"/>
          <w:color w:val="auto"/>
        </w:rPr>
        <w:t>. This Agreement and all related documents shall be governed by and construed in accordance with the laws of the State of Wisconsin, without giving effect to any conflict of laws principles that would cause the laws of any other jurisdiction to apply. Any action or proceeding by either of the Parties to enforce this Agreement shall be brought only in any state or federal court located in the State of Wisconsin, County of Dane. The Parties hereby irrevocably submit to the exclusive jurisdiction of these courts and waive the defense of inconvenient forum to the maintenance of any action or proceeding in such venue.</w:t>
      </w:r>
    </w:p>
    <w:p>
      <w:pPr>
        <w:ind w:left="1360" w:right="80" w:firstLine="372"/>
        <w:spacing w:after="0" w:line="256" w:lineRule="auto"/>
        <w:tabs>
          <w:tab w:leader="none" w:pos="2338" w:val="left"/>
        </w:tabs>
        <w:numPr>
          <w:ilvl w:val="0"/>
          <w:numId w:val="21"/>
        </w:numPr>
        <w:rPr>
          <w:rFonts w:ascii="Times New Roman" w:cs="Times New Roman" w:eastAsia="Times New Roman" w:hAnsi="Times New Roman"/>
          <w:sz w:val="19"/>
          <w:szCs w:val="19"/>
          <w:color w:val="auto"/>
        </w:rPr>
      </w:pPr>
    </w:p>
    <w:p>
      <w:pPr>
        <w:ind w:left="2320" w:hanging="588"/>
        <w:spacing w:after="0"/>
        <w:tabs>
          <w:tab w:leader="none" w:pos="23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jc w:val="both"/>
        <w:ind w:right="160" w:firstLine="2256"/>
        <w:spacing w:after="0"/>
        <w:rPr>
          <w:sz w:val="20"/>
          <w:szCs w:val="20"/>
          <w:color w:val="auto"/>
        </w:rPr>
      </w:pPr>
      <w:r>
        <w:rPr>
          <w:rFonts w:ascii="Times New Roman" w:cs="Times New Roman" w:eastAsia="Times New Roman" w:hAnsi="Times New Roman"/>
          <w:sz w:val="20"/>
          <w:szCs w:val="20"/>
          <w:color w:val="auto"/>
        </w:rPr>
        <w:t>12.1 You shall not export, directly or indirectly, any technical data acquired from the Company, or any products utilizing any such data, to any country in violation of any applicable export laws or regulations.</w:t>
      </w:r>
    </w:p>
    <w:p>
      <w:pPr>
        <w:spacing w:after="0" w:line="229" w:lineRule="exact"/>
        <w:rPr>
          <w:sz w:val="20"/>
          <w:szCs w:val="20"/>
          <w:color w:val="auto"/>
        </w:rPr>
      </w:pPr>
    </w:p>
    <w:p>
      <w:pPr>
        <w:ind w:left="1740" w:right="40" w:firstLine="504"/>
        <w:spacing w:after="0"/>
        <w:rPr>
          <w:sz w:val="20"/>
          <w:szCs w:val="20"/>
          <w:color w:val="auto"/>
        </w:rPr>
      </w:pPr>
      <w:r>
        <w:rPr>
          <w:rFonts w:ascii="Times New Roman" w:cs="Times New Roman" w:eastAsia="Times New Roman" w:hAnsi="Times New Roman"/>
          <w:sz w:val="20"/>
          <w:szCs w:val="20"/>
          <w:color w:val="auto"/>
        </w:rPr>
        <w:t>12.2 All notices, requests, consents, claims, demands, waivers, and other communications hereunder (each, a “Notice”) shall be in writing and addressed to the Parties at the addresses set forth on the first page of this Agreement (or to such other address that may be designated by the receiving party from time to time in accordance with this Section). All Notices shall be delivered by personal delivery, nationally recognized overnight courier (with all fees prepaid), email, or certified or registered mail (in each case, return receipt requested, postage prepaid). Except as otherwise provided in this Agreement, a Notice shall be deemed effective upon personal delivery to or receipt by the recipient, except that if</w:t>
      </w:r>
    </w:p>
    <w:p>
      <w:pPr>
        <w:spacing w:after="0" w:line="204"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216535</wp:posOffset>
            </wp:positionV>
            <wp:extent cx="5871845"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5871845" cy="51435"/>
                    </a:xfrm>
                    <a:prstGeom prst="rect">
                      <a:avLst/>
                    </a:prstGeom>
                    <a:noFill/>
                  </pic:spPr>
                </pic:pic>
              </a:graphicData>
            </a:graphic>
          </wp:anchor>
        </w:drawing>
      </w:r>
    </w:p>
    <w:p>
      <w:pPr>
        <w:sectPr>
          <w:pgSz w:w="11900" w:h="17038" w:orient="portrait"/>
          <w:cols w:equalWidth="0" w:num="1">
            <w:col w:w="10520"/>
          </w:cols>
          <w:pgMar w:left="0" w:top="368" w:right="1379" w:bottom="0" w:gutter="0" w:footer="0" w:header="0"/>
        </w:sectPr>
      </w:pPr>
    </w:p>
    <w:bookmarkStart w:id="35" w:name="page36"/>
    <w:bookmarkEnd w:id="35"/>
    <w:p>
      <w:pPr>
        <w:ind w:left="380" w:right="39"/>
        <w:spacing w:after="0" w:line="268" w:lineRule="auto"/>
        <w:rPr>
          <w:sz w:val="20"/>
          <w:szCs w:val="20"/>
          <w:color w:val="auto"/>
        </w:rPr>
      </w:pPr>
      <w:r>
        <w:rPr>
          <w:rFonts w:ascii="Times New Roman" w:cs="Times New Roman" w:eastAsia="Times New Roman" w:hAnsi="Times New Roman"/>
          <w:sz w:val="20"/>
          <w:szCs w:val="20"/>
          <w:color w:val="auto"/>
        </w:rPr>
        <w:t>delivery is refused or cannot be made for any reason, then such Notice shall be deemed given on the third day after it is sent.</w:t>
      </w:r>
    </w:p>
    <w:p>
      <w:pPr>
        <w:spacing w:after="0" w:line="174" w:lineRule="exact"/>
        <w:rPr>
          <w:sz w:val="20"/>
          <w:szCs w:val="20"/>
          <w:color w:val="auto"/>
        </w:rPr>
      </w:pPr>
    </w:p>
    <w:p>
      <w:pPr>
        <w:ind w:left="380" w:right="79" w:firstLine="504"/>
        <w:spacing w:after="0" w:line="266" w:lineRule="auto"/>
        <w:rPr>
          <w:sz w:val="20"/>
          <w:szCs w:val="20"/>
          <w:color w:val="auto"/>
        </w:rPr>
      </w:pPr>
      <w:r>
        <w:rPr>
          <w:rFonts w:ascii="Times New Roman" w:cs="Times New Roman" w:eastAsia="Times New Roman" w:hAnsi="Times New Roman"/>
          <w:sz w:val="19"/>
          <w:szCs w:val="19"/>
          <w:color w:val="auto"/>
        </w:rPr>
        <w:t>12.3 This Agreement, together with any other documents incorporated herein by reference and related exhibits and schedules, constitutes the sole and entire agreement of the Parties to this Agreement with respect to the subject matter contained herein, and supersedes all prior and contemporaneous understandings, agreements, representations, and warranties, both written and oral, with respect to such subject matter.</w:t>
      </w:r>
    </w:p>
    <w:p>
      <w:pPr>
        <w:spacing w:after="0" w:line="179" w:lineRule="exact"/>
        <w:rPr>
          <w:sz w:val="20"/>
          <w:szCs w:val="20"/>
          <w:color w:val="auto"/>
        </w:rPr>
      </w:pPr>
    </w:p>
    <w:p>
      <w:pPr>
        <w:ind w:left="380" w:right="19" w:firstLine="504"/>
        <w:spacing w:after="0" w:line="254" w:lineRule="auto"/>
        <w:rPr>
          <w:sz w:val="20"/>
          <w:szCs w:val="20"/>
          <w:color w:val="auto"/>
        </w:rPr>
      </w:pPr>
      <w:r>
        <w:rPr>
          <w:rFonts w:ascii="Times New Roman" w:cs="Times New Roman" w:eastAsia="Times New Roman" w:hAnsi="Times New Roman"/>
          <w:sz w:val="20"/>
          <w:szCs w:val="20"/>
          <w:color w:val="auto"/>
        </w:rPr>
        <w:t>12.4 This Agreement may only be amended, modified, or supplemented by an agreement in writing signed by each party hereto, and any of the terms thereof may be waived, only by a written document signed by each party to this Agreement or, in the case of waiver, by the party or parties waiving compliance.</w:t>
      </w:r>
    </w:p>
    <w:p>
      <w:pPr>
        <w:spacing w:after="0" w:line="188" w:lineRule="exact"/>
        <w:rPr>
          <w:sz w:val="20"/>
          <w:szCs w:val="20"/>
          <w:color w:val="auto"/>
        </w:rPr>
      </w:pPr>
    </w:p>
    <w:p>
      <w:pPr>
        <w:ind w:left="380" w:right="179" w:firstLine="504"/>
        <w:spacing w:after="0" w:line="254" w:lineRule="auto"/>
        <w:rPr>
          <w:sz w:val="20"/>
          <w:szCs w:val="20"/>
          <w:color w:val="auto"/>
        </w:rPr>
      </w:pPr>
      <w:r>
        <w:rPr>
          <w:rFonts w:ascii="Times New Roman" w:cs="Times New Roman" w:eastAsia="Times New Roman" w:hAnsi="Times New Roman"/>
          <w:sz w:val="20"/>
          <w:szCs w:val="20"/>
          <w:color w:val="auto"/>
        </w:rPr>
        <w:t>12.5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w:t>
      </w:r>
    </w:p>
    <w:p>
      <w:pPr>
        <w:spacing w:after="0" w:line="188" w:lineRule="exact"/>
        <w:rPr>
          <w:sz w:val="20"/>
          <w:szCs w:val="20"/>
          <w:color w:val="auto"/>
        </w:rPr>
      </w:pPr>
    </w:p>
    <w:p>
      <w:pPr>
        <w:ind w:left="380" w:right="39" w:firstLine="504"/>
        <w:spacing w:after="0" w:line="269" w:lineRule="auto"/>
        <w:rPr>
          <w:sz w:val="20"/>
          <w:szCs w:val="20"/>
          <w:color w:val="auto"/>
        </w:rPr>
      </w:pPr>
      <w:r>
        <w:rPr>
          <w:rFonts w:ascii="Times New Roman" w:cs="Times New Roman" w:eastAsia="Times New Roman" w:hAnsi="Times New Roman"/>
          <w:sz w:val="20"/>
          <w:szCs w:val="20"/>
          <w:color w:val="auto"/>
        </w:rPr>
        <w:t>12.6 This Agreement may be executed in multiple counterparts and by electronic signature, each of which shall be deemed an original and all of which together shall constitute one instrument.</w:t>
      </w:r>
    </w:p>
    <w:p>
      <w:pPr>
        <w:spacing w:after="0" w:line="173" w:lineRule="exact"/>
        <w:rPr>
          <w:sz w:val="20"/>
          <w:szCs w:val="20"/>
          <w:color w:val="auto"/>
        </w:rPr>
      </w:pPr>
    </w:p>
    <w:p>
      <w:pPr>
        <w:ind w:right="99"/>
        <w:spacing w:after="0" w:line="269" w:lineRule="auto"/>
        <w:rPr>
          <w:sz w:val="20"/>
          <w:szCs w:val="20"/>
          <w:color w:val="auto"/>
        </w:rPr>
      </w:pPr>
      <w:r>
        <w:rPr>
          <w:rFonts w:ascii="Times New Roman" w:cs="Times New Roman" w:eastAsia="Times New Roman" w:hAnsi="Times New Roman"/>
          <w:sz w:val="20"/>
          <w:szCs w:val="20"/>
          <w:color w:val="auto"/>
        </w:rPr>
        <w:t>If this letter accurately sets forth our understanding, kindly execute the enclosed copy of this letter and return it to the undersigned.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Very truly yours,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DULUTH HOLDINGS INC.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 /s/ Stephen L. Schlecht</w:t>
      </w:r>
      <w:r>
        <w:rPr>
          <w:rFonts w:ascii="Times New Roman" w:cs="Times New Roman" w:eastAsia="Times New Roman" w:hAnsi="Times New Roman"/>
          <w:sz w:val="20"/>
          <w:szCs w:val="20"/>
          <w:color w:val="auto"/>
        </w:rPr>
        <w:t>___</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Stephen L. Schlecht, Chairman and</w:t>
      </w:r>
    </w:p>
    <w:p>
      <w:pPr>
        <w:ind w:left="300"/>
        <w:spacing w:after="0"/>
        <w:rPr>
          <w:sz w:val="20"/>
          <w:szCs w:val="20"/>
          <w:color w:val="auto"/>
        </w:rPr>
      </w:pPr>
      <w:r>
        <w:rPr>
          <w:rFonts w:ascii="Times New Roman" w:cs="Times New Roman" w:eastAsia="Times New Roman" w:hAnsi="Times New Roman"/>
          <w:sz w:val="20"/>
          <w:szCs w:val="20"/>
          <w:color w:val="auto"/>
        </w:rPr>
        <w:t>Interim Chief Executive Officer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ACCEPTED AND AGREED:</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 SQUARED CONSULTING LLC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 /s/ Ronnie Robinson____</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Ronnie Robinson, Sole Member</w:t>
      </w:r>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216535</wp:posOffset>
            </wp:positionV>
            <wp:extent cx="587184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099"/>
          </w:cols>
          <w:pgMar w:left="1360" w:top="118"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0"/>
          <w:szCs w:val="20"/>
          <w:b w:val="1"/>
          <w:bCs w:val="1"/>
          <w:color w:val="auto"/>
        </w:rPr>
        <w:t>SCHEDULE 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SERVICES</w:t>
      </w:r>
    </w:p>
    <w:p>
      <w:pPr>
        <w:spacing w:after="0" w:line="200" w:lineRule="exact"/>
        <w:rPr>
          <w:sz w:val="20"/>
          <w:szCs w:val="20"/>
          <w:color w:val="auto"/>
        </w:rPr>
      </w:pPr>
    </w:p>
    <w:p>
      <w:pPr>
        <w:spacing w:after="0" w:line="223" w:lineRule="exact"/>
        <w:rPr>
          <w:sz w:val="20"/>
          <w:szCs w:val="20"/>
          <w:color w:val="auto"/>
        </w:rPr>
      </w:pPr>
    </w:p>
    <w:p>
      <w:pPr>
        <w:ind w:left="560" w:hanging="322"/>
        <w:spacing w:after="0"/>
        <w:tabs>
          <w:tab w:leader="none" w:pos="5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Consulting Services:</w:t>
      </w: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ind w:left="1220" w:hanging="334"/>
        <w:spacing w:after="0"/>
        <w:tabs>
          <w:tab w:leader="none" w:pos="122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Supply Chain</w:t>
      </w:r>
    </w:p>
    <w:p>
      <w:pPr>
        <w:spacing w:after="0" w:line="107" w:lineRule="exact"/>
        <w:rPr>
          <w:rFonts w:ascii="Times New Roman" w:cs="Times New Roman" w:eastAsia="Times New Roman" w:hAnsi="Times New Roman"/>
          <w:sz w:val="20"/>
          <w:szCs w:val="20"/>
          <w:color w:val="auto"/>
        </w:rPr>
      </w:pPr>
    </w:p>
    <w:p>
      <w:pPr>
        <w:ind w:left="1840" w:hanging="262"/>
        <w:spacing w:after="0"/>
        <w:tabs>
          <w:tab w:leader="none" w:pos="184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 and analyze relevant supply chain data during first two months</w:t>
      </w:r>
    </w:p>
    <w:p>
      <w:pPr>
        <w:spacing w:after="0" w:line="107" w:lineRule="exact"/>
        <w:rPr>
          <w:rFonts w:ascii="Times New Roman" w:cs="Times New Roman" w:eastAsia="Times New Roman" w:hAnsi="Times New Roman"/>
          <w:sz w:val="20"/>
          <w:szCs w:val="20"/>
          <w:color w:val="auto"/>
        </w:rPr>
      </w:pPr>
    </w:p>
    <w:p>
      <w:pPr>
        <w:ind w:left="1840" w:right="299" w:hanging="317"/>
        <w:spacing w:after="0" w:line="269" w:lineRule="auto"/>
        <w:tabs>
          <w:tab w:leader="none" w:pos="184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 options and formulate strategic recommendations to share with the leadership team</w:t>
      </w:r>
    </w:p>
    <w:p>
      <w:pPr>
        <w:spacing w:after="0" w:line="51" w:lineRule="exact"/>
        <w:rPr>
          <w:rFonts w:ascii="Times New Roman" w:cs="Times New Roman" w:eastAsia="Times New Roman" w:hAnsi="Times New Roman"/>
          <w:sz w:val="20"/>
          <w:szCs w:val="20"/>
          <w:color w:val="auto"/>
        </w:rPr>
      </w:pPr>
    </w:p>
    <w:p>
      <w:pPr>
        <w:ind w:left="1840" w:hanging="372"/>
        <w:spacing w:after="0"/>
        <w:tabs>
          <w:tab w:leader="none" w:pos="184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the hiring process of the open leader of supply chain position</w:t>
      </w:r>
    </w:p>
    <w:p>
      <w:pPr>
        <w:spacing w:after="0" w:line="107" w:lineRule="exact"/>
        <w:rPr>
          <w:rFonts w:ascii="Times New Roman" w:cs="Times New Roman" w:eastAsia="Times New Roman" w:hAnsi="Times New Roman"/>
          <w:sz w:val="20"/>
          <w:szCs w:val="20"/>
          <w:color w:val="auto"/>
        </w:rPr>
      </w:pPr>
    </w:p>
    <w:p>
      <w:pPr>
        <w:ind w:left="1840" w:hanging="348"/>
        <w:spacing w:after="0"/>
        <w:tabs>
          <w:tab w:leader="none" w:pos="184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Ensure that the person can lead the agreed strategies and execution</w:t>
      </w:r>
    </w:p>
    <w:p>
      <w:pPr>
        <w:spacing w:after="0" w:line="107" w:lineRule="exact"/>
        <w:rPr>
          <w:rFonts w:ascii="Times New Roman" w:cs="Times New Roman" w:eastAsia="Times New Roman" w:hAnsi="Times New Roman"/>
          <w:sz w:val="20"/>
          <w:szCs w:val="20"/>
          <w:color w:val="auto"/>
        </w:rPr>
      </w:pPr>
    </w:p>
    <w:p>
      <w:pPr>
        <w:ind w:left="1840" w:right="99" w:hanging="293"/>
        <w:spacing w:after="0" w:line="269" w:lineRule="auto"/>
        <w:tabs>
          <w:tab w:leader="none" w:pos="184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Mentor the supply chain leader and engage with them for a period of time to establish the strategies, short-term and long-term goals</w:t>
      </w:r>
    </w:p>
    <w:p>
      <w:pPr>
        <w:spacing w:after="0" w:line="388" w:lineRule="exact"/>
        <w:rPr>
          <w:rFonts w:ascii="Times New Roman" w:cs="Times New Roman" w:eastAsia="Times New Roman" w:hAnsi="Times New Roman"/>
          <w:sz w:val="20"/>
          <w:szCs w:val="20"/>
          <w:color w:val="auto"/>
        </w:rPr>
      </w:pPr>
    </w:p>
    <w:p>
      <w:pPr>
        <w:ind w:left="1220" w:hanging="334"/>
        <w:spacing w:after="0"/>
        <w:tabs>
          <w:tab w:leader="none" w:pos="122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Sourcing</w:t>
      </w:r>
    </w:p>
    <w:p>
      <w:pPr>
        <w:spacing w:after="0" w:line="107" w:lineRule="exact"/>
        <w:rPr>
          <w:rFonts w:ascii="Times New Roman" w:cs="Times New Roman" w:eastAsia="Times New Roman" w:hAnsi="Times New Roman"/>
          <w:sz w:val="20"/>
          <w:szCs w:val="20"/>
          <w:color w:val="auto"/>
        </w:rPr>
      </w:pPr>
    </w:p>
    <w:p>
      <w:pPr>
        <w:ind w:left="1840" w:hanging="262"/>
        <w:spacing w:after="0"/>
        <w:tabs>
          <w:tab w:leader="none" w:pos="184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 and analyze relevant sourcing data during first two months</w:t>
      </w:r>
    </w:p>
    <w:p>
      <w:pPr>
        <w:spacing w:after="0" w:line="107" w:lineRule="exact"/>
        <w:rPr>
          <w:rFonts w:ascii="Times New Roman" w:cs="Times New Roman" w:eastAsia="Times New Roman" w:hAnsi="Times New Roman"/>
          <w:sz w:val="20"/>
          <w:szCs w:val="20"/>
          <w:color w:val="auto"/>
        </w:rPr>
      </w:pPr>
    </w:p>
    <w:p>
      <w:pPr>
        <w:ind w:left="1840" w:right="299" w:hanging="317"/>
        <w:spacing w:after="0" w:line="269" w:lineRule="auto"/>
        <w:tabs>
          <w:tab w:leader="none" w:pos="184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 options and formulate strategic recommendations to share with the leadership team</w:t>
      </w:r>
    </w:p>
    <w:p>
      <w:pPr>
        <w:spacing w:after="0" w:line="51" w:lineRule="exact"/>
        <w:rPr>
          <w:rFonts w:ascii="Times New Roman" w:cs="Times New Roman" w:eastAsia="Times New Roman" w:hAnsi="Times New Roman"/>
          <w:sz w:val="20"/>
          <w:szCs w:val="20"/>
          <w:color w:val="auto"/>
        </w:rPr>
      </w:pPr>
    </w:p>
    <w:p>
      <w:pPr>
        <w:ind w:left="1840" w:right="39" w:hanging="372"/>
        <w:spacing w:after="0" w:line="269" w:lineRule="auto"/>
        <w:tabs>
          <w:tab w:leader="none" w:pos="184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Mentor the SVP of Product Development and Sourcing and engage with them for a period of time to establish the strategies, short-term and long-term goals</w:t>
      </w:r>
    </w:p>
    <w:p>
      <w:pPr>
        <w:spacing w:after="0" w:line="388" w:lineRule="exact"/>
        <w:rPr>
          <w:rFonts w:ascii="Times New Roman" w:cs="Times New Roman" w:eastAsia="Times New Roman" w:hAnsi="Times New Roman"/>
          <w:sz w:val="20"/>
          <w:szCs w:val="20"/>
          <w:color w:val="auto"/>
        </w:rPr>
      </w:pPr>
    </w:p>
    <w:p>
      <w:pPr>
        <w:ind w:left="1220" w:hanging="334"/>
        <w:spacing w:after="0"/>
        <w:tabs>
          <w:tab w:leader="none" w:pos="122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CEO Advisor</w:t>
      </w:r>
    </w:p>
    <w:p>
      <w:pPr>
        <w:spacing w:after="0" w:line="107" w:lineRule="exact"/>
        <w:rPr>
          <w:rFonts w:ascii="Times New Roman" w:cs="Times New Roman" w:eastAsia="Times New Roman" w:hAnsi="Times New Roman"/>
          <w:sz w:val="20"/>
          <w:szCs w:val="20"/>
          <w:color w:val="auto"/>
        </w:rPr>
      </w:pPr>
    </w:p>
    <w:p>
      <w:pPr>
        <w:ind w:left="1840" w:right="319" w:hanging="262"/>
        <w:spacing w:after="0" w:line="269" w:lineRule="auto"/>
        <w:tabs>
          <w:tab w:leader="none" w:pos="184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Sounding board/advisor on all things related to Business Operations/Supply Chain and Sourcing</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216535</wp:posOffset>
            </wp:positionV>
            <wp:extent cx="5871845"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5871845" cy="514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Stephanie Pugliese,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8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8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1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1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8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101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102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6, 2025</w:t>
      </w: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 Stephanie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5715</wp:posOffset>
            </wp:positionV>
            <wp:extent cx="20828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b w:val="1"/>
          <w:bCs w:val="1"/>
          <w:color w:val="auto"/>
        </w:rPr>
        <w:t>Stephanie Pugliese</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602615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p>
      <w:pPr>
        <w:sectPr>
          <w:pgSz w:w="11900" w:h="16838" w:orient="portrait"/>
          <w:cols w:equalWidth="0" w:num="1">
            <w:col w:w="9440"/>
          </w:cols>
          <w:pgMar w:left="1220" w:top="117" w:right="1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769620</wp:posOffset>
            </wp:positionH>
            <wp:positionV relativeFrom="page">
              <wp:posOffset>7285990</wp:posOffset>
            </wp:positionV>
            <wp:extent cx="6026150"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6026150" cy="50800"/>
                    </a:xfrm>
                    <a:prstGeom prst="rect">
                      <a:avLst/>
                    </a:prstGeom>
                    <a:noFill/>
                  </pic:spPr>
                </pic:pic>
              </a:graphicData>
            </a:graphic>
          </wp:anchor>
        </w:drawing>
        <w:t>Exhibit 31.2</w:t>
      </w:r>
    </w:p>
    <w:p>
      <w:pPr>
        <w:spacing w:after="0" w:line="33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Heena Agrawal,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1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1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2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101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102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6, 2025</w:t>
      </w: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 Heena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19685</wp:posOffset>
            </wp:positionV>
            <wp:extent cx="21685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Heena Agrawal</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ectPr>
          <w:pgSz w:w="11900" w:h="16838" w:orient="portrait"/>
          <w:cols w:equalWidth="0" w:num="1">
            <w:col w:w="9440"/>
          </w:cols>
          <w:pgMar w:left="1220" w:top="117" w:right="1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May 4, 2025 as filed with the Securities and Exchange Commission on the date hereof (the “Report”), I, Stephanie Pugliese, as Chief Executive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660" w:right="3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660" w:right="38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p>
      <w:pPr>
        <w:ind w:left="120" w:right="6800" w:firstLine="7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 Stephanie Pugliese </w:t>
      </w: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Stephanie Pugliese</w:t>
      </w:r>
      <w:r>
        <w:rPr>
          <w:rFonts w:ascii="Times New Roman" w:cs="Times New Roman" w:eastAsia="Times New Roman" w:hAnsi="Times New Roman"/>
          <w:sz w:val="18"/>
          <w:szCs w:val="18"/>
          <w:color w:val="auto"/>
        </w:rPr>
        <w:t xml:space="preserve"> Title: </w:t>
      </w:r>
      <w:r>
        <w:rPr>
          <w:rFonts w:ascii="Times New Roman" w:cs="Times New Roman" w:eastAsia="Times New Roman" w:hAnsi="Times New Roman"/>
          <w:sz w:val="18"/>
          <w:szCs w:val="18"/>
          <w:b w:val="1"/>
          <w:bCs w:val="1"/>
          <w:color w:val="auto"/>
        </w:rPr>
        <w:t>Chief Executive Officer</w:t>
      </w:r>
      <w:r>
        <w:rPr>
          <w:rFonts w:ascii="Times New Roman" w:cs="Times New Roman" w:eastAsia="Times New Roman" w:hAnsi="Times New Roman"/>
          <w:sz w:val="18"/>
          <w:szCs w:val="18"/>
          <w:color w:val="auto"/>
        </w:rPr>
        <w:t xml:space="preserve"> Date: </w:t>
      </w:r>
      <w:r>
        <w:rPr>
          <w:rFonts w:ascii="Times New Roman" w:cs="Times New Roman" w:eastAsia="Times New Roman" w:hAnsi="Times New Roman"/>
          <w:sz w:val="18"/>
          <w:szCs w:val="18"/>
          <w:b w:val="1"/>
          <w:bCs w:val="1"/>
          <w:color w:val="auto"/>
        </w:rPr>
        <w:t>June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-434975</wp:posOffset>
            </wp:positionV>
            <wp:extent cx="30429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42"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p>
      <w:pPr>
        <w:sectPr>
          <w:pgSz w:w="11900" w:h="16838" w:orient="portrait"/>
          <w:cols w:equalWidth="0" w:num="1">
            <w:col w:w="9440"/>
          </w:cols>
          <w:pgMar w:left="1220" w:top="117" w:right="1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May 4, 2025 as filed with the Securities and Exchange Commission on the date hereof (the “Report”), I, Heena Agrawal, as Chief Financial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980" w:right="20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2" w:lineRule="exact"/>
        <w:rPr>
          <w:sz w:val="20"/>
          <w:szCs w:val="20"/>
          <w:color w:val="auto"/>
        </w:rPr>
      </w:pPr>
    </w:p>
    <w:p>
      <w:pPr>
        <w:ind w:left="120" w:right="6820" w:firstLine="76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/s/ Heena Agrawal </w:t>
      </w: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Heena Agrawal</w:t>
      </w:r>
      <w:r>
        <w:rPr>
          <w:rFonts w:ascii="Times New Roman" w:cs="Times New Roman" w:eastAsia="Times New Roman" w:hAnsi="Times New Roman"/>
          <w:sz w:val="18"/>
          <w:szCs w:val="18"/>
          <w:color w:val="auto"/>
        </w:rPr>
        <w:t xml:space="preserve"> Title: </w:t>
      </w:r>
      <w:r>
        <w:rPr>
          <w:rFonts w:ascii="Times New Roman" w:cs="Times New Roman" w:eastAsia="Times New Roman" w:hAnsi="Times New Roman"/>
          <w:sz w:val="18"/>
          <w:szCs w:val="18"/>
          <w:b w:val="1"/>
          <w:bCs w:val="1"/>
          <w:color w:val="auto"/>
        </w:rPr>
        <w:t>Chief Financial Officer</w:t>
      </w:r>
      <w:r>
        <w:rPr>
          <w:rFonts w:ascii="Times New Roman" w:cs="Times New Roman" w:eastAsia="Times New Roman" w:hAnsi="Times New Roman"/>
          <w:sz w:val="18"/>
          <w:szCs w:val="18"/>
          <w:color w:val="auto"/>
        </w:rPr>
        <w:t xml:space="preserve"> Date: </w:t>
      </w:r>
      <w:r>
        <w:rPr>
          <w:rFonts w:ascii="Times New Roman" w:cs="Times New Roman" w:eastAsia="Times New Roman" w:hAnsi="Times New Roman"/>
          <w:sz w:val="18"/>
          <w:szCs w:val="18"/>
          <w:b w:val="1"/>
          <w:bCs w:val="1"/>
          <w:color w:val="auto"/>
        </w:rPr>
        <w:t>June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-436245</wp:posOffset>
            </wp:positionV>
            <wp:extent cx="30429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40"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sectPr>
      <w:pgSz w:w="11900" w:h="16838" w:orient="portrait"/>
      <w:cols w:equalWidth="0" w:num="1">
        <w:col w:w="9440"/>
      </w:cols>
      <w:pgMar w:left="1220" w:top="11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1."/>
      <w:numFmt w:val="upperLetter"/>
      <w:start w:val="1"/>
    </w:lvl>
  </w:abstractNum>
  <w:abstractNum w:abstractNumId="3">
    <w:nsid w:val="6B68079A"/>
    <w:multiLevelType w:val="hybridMultilevel"/>
    <w:lvl w:ilvl="0">
      <w:lvlJc w:val="left"/>
      <w:lvlText w:val="%1."/>
      <w:numFmt w:val="upperLetter"/>
      <w:start w:val="2"/>
    </w:lvl>
  </w:abstractNum>
  <w:abstractNum w:abstractNumId="4">
    <w:nsid w:val="4E6AFB66"/>
    <w:multiLevelType w:val="hybridMultilevel"/>
    <w:lvl w:ilvl="0">
      <w:lvlJc w:val="left"/>
      <w:lvlText w:val="%1."/>
      <w:numFmt w:val="upperLetter"/>
      <w:start w:val="3"/>
    </w:lvl>
  </w:abstractNum>
  <w:abstractNum w:abstractNumId="5">
    <w:nsid w:val="25E45D32"/>
    <w:multiLevelType w:val="hybridMultilevel"/>
    <w:lvl w:ilvl="0">
      <w:lvlJc w:val="left"/>
      <w:lvlText w:val="%1."/>
      <w:numFmt w:val="upperLetter"/>
      <w:start w:val="5"/>
    </w:lvl>
  </w:abstractNum>
  <w:abstractNum w:abstractNumId="6">
    <w:nsid w:val="519B500D"/>
    <w:multiLevelType w:val="hybridMultilevel"/>
    <w:lvl w:ilvl="0">
      <w:lvlJc w:val="left"/>
      <w:lvlText w:val="%1."/>
      <w:numFmt w:val="upperLetter"/>
      <w:start w:val="6"/>
    </w:lvl>
  </w:abstractNum>
  <w:abstractNum w:abstractNumId="7">
    <w:nsid w:val="431BD7B7"/>
    <w:multiLevelType w:val="hybridMultilevel"/>
    <w:lvl w:ilvl="0">
      <w:lvlJc w:val="left"/>
      <w:lvlText w:val="%1."/>
      <w:numFmt w:val="decimal"/>
      <w:start w:val="3"/>
    </w:lvl>
  </w:abstractNum>
  <w:abstractNum w:abstractNumId="8">
    <w:nsid w:val="3F2DBA31"/>
    <w:multiLevelType w:val="hybridMultilevel"/>
    <w:lvl w:ilvl="0">
      <w:lvlJc w:val="left"/>
      <w:lvlText w:val="%1."/>
      <w:numFmt w:val="decimal"/>
      <w:start w:val="4"/>
    </w:lvl>
  </w:abstractNum>
  <w:abstractNum w:abstractNumId="9">
    <w:nsid w:val="7C83E458"/>
    <w:multiLevelType w:val="hybridMultilevel"/>
    <w:lvl w:ilvl="0">
      <w:lvlJc w:val="left"/>
      <w:lvlText w:val="%1."/>
      <w:numFmt w:val="decimal"/>
      <w:start w:val="11"/>
    </w:lvl>
  </w:abstractNum>
  <w:abstractNum w:abstractNumId="10">
    <w:nsid w:val="257130A3"/>
    <w:multiLevelType w:val="hybridMultilevel"/>
    <w:lvl w:ilvl="0">
      <w:lvlJc w:val="left"/>
      <w:lvlText w:val=" "/>
      <w:numFmt w:val="bullet"/>
      <w:start w:val="1"/>
    </w:lvl>
  </w:abstractNum>
  <w:abstractNum w:abstractNumId="11">
    <w:nsid w:val="62BBD95A"/>
    <w:multiLevelType w:val="hybridMultilevel"/>
    <w:lvl w:ilvl="0">
      <w:lvlJc w:val="left"/>
      <w:lvlText w:val="%1"/>
      <w:numFmt w:val="decimal"/>
      <w:start w:val="104"/>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2"/>
    </w:lvl>
  </w:abstractNum>
  <w:abstractNum w:abstractNumId="14">
    <w:nsid w:val="333AB105"/>
    <w:multiLevelType w:val="hybridMultilevel"/>
    <w:lvl w:ilvl="0">
      <w:lvlJc w:val="left"/>
      <w:lvlText w:val="%1."/>
      <w:numFmt w:val="decimal"/>
      <w:start w:val="4"/>
    </w:lvl>
  </w:abstractNum>
  <w:abstractNum w:abstractNumId="15">
    <w:nsid w:val="721DA317"/>
    <w:multiLevelType w:val="hybridMultilevel"/>
    <w:lvl w:ilvl="0">
      <w:lvlJc w:val="left"/>
      <w:lvlText w:val="%1."/>
      <w:numFmt w:val="decimal"/>
      <w:start w:val="5"/>
    </w:lvl>
  </w:abstractNum>
  <w:abstractNum w:abstractNumId="16">
    <w:nsid w:val="2443A858"/>
    <w:multiLevelType w:val="hybridMultilevel"/>
    <w:lvl w:ilvl="0">
      <w:lvlJc w:val="left"/>
      <w:lvlText w:val="%1."/>
      <w:numFmt w:val="decimal"/>
      <w:start w:val="6"/>
    </w:lvl>
  </w:abstractNum>
  <w:abstractNum w:abstractNumId="17">
    <w:nsid w:val="2D1D5AE9"/>
    <w:multiLevelType w:val="hybridMultilevel"/>
    <w:lvl w:ilvl="0">
      <w:lvlJc w:val="left"/>
      <w:lvlText w:val="%1."/>
      <w:numFmt w:val="decimal"/>
      <w:start w:val="7"/>
    </w:lvl>
    <w:lvl w:ilvl="1">
      <w:lvlJc w:val="left"/>
      <w:lvlText w:val="(%2)"/>
      <w:numFmt w:val="lowerLetter"/>
      <w:start w:val="1"/>
    </w:lvl>
  </w:abstractNum>
  <w:abstractNum w:abstractNumId="18">
    <w:nsid w:val="6763845E"/>
    <w:multiLevelType w:val="hybridMultilevel"/>
    <w:lvl w:ilvl="0">
      <w:lvlJc w:val="left"/>
      <w:lvlText w:val="%1."/>
      <w:numFmt w:val="decimal"/>
      <w:start w:val="8"/>
    </w:lvl>
  </w:abstractNum>
  <w:abstractNum w:abstractNumId="19">
    <w:nsid w:val="75A2A8D4"/>
    <w:multiLevelType w:val="hybridMultilevel"/>
    <w:lvl w:ilvl="0">
      <w:lvlJc w:val="left"/>
      <w:lvlText w:val="%1."/>
      <w:numFmt w:val="decimal"/>
      <w:start w:val="9"/>
    </w:lvl>
  </w:abstractNum>
  <w:abstractNum w:abstractNumId="20">
    <w:nsid w:val="8EDBDAB"/>
    <w:multiLevelType w:val="hybridMultilevel"/>
    <w:lvl w:ilvl="0">
      <w:lvlJc w:val="left"/>
      <w:lvlText w:val="%1."/>
      <w:numFmt w:val="decimal"/>
      <w:start w:val="10"/>
    </w:lvl>
  </w:abstractNum>
  <w:abstractNum w:abstractNumId="21">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
    <w:nsid w:val="4353D0CD"/>
    <w:multiLevelType w:val="hybridMultilevel"/>
    <w:lvl w:ilvl="0">
      <w:lvlJc w:val="left"/>
      <w:lvlText w:val="%1."/>
      <w:numFmt w:val="decimal"/>
      <w:start w:val="1"/>
    </w:lvl>
    <w:lvl w:ilvl="1">
      <w:lvlJc w:val="left"/>
      <w:lvlText w:val="%2)"/>
      <w:numFmt w:val="lowerLetter"/>
      <w:start w:val="1"/>
    </w:lvl>
  </w:abstractNum>
  <w:abstractNum w:abstractNumId="23">
    <w:nsid w:val="B03E0C6"/>
    <w:multiLevelType w:val="hybridMultilevel"/>
    <w:lvl w:ilvl="0">
      <w:lvlJc w:val="left"/>
      <w:lvlText w:val="%1."/>
      <w:numFmt w:val="decimal"/>
      <w:start w:val="1"/>
    </w:lvl>
    <w:lvl w:ilvl="1">
      <w:lvlJc w:val="left"/>
      <w:lvlText w:val="%2)"/>
      <w:numFmt w:val="lowerLetter"/>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 "/>
      <w:numFmt w:val="bullet"/>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46" Type="http://schemas.openxmlformats.org/officeDocument/2006/relationships/hyperlink" Target="https://www.sec.gov/Archives/edgar/data/1649744/000119312525021392/d894195dex101.htm" TargetMode="External"/><Relationship Id="rId47" Type="http://schemas.openxmlformats.org/officeDocument/2006/relationships/hyperlink" Target="https://www.sec.gov/Archives/edgar/data/1649744/000119312525071322/d936221dex101.htm" TargetMode="External"/><Relationship Id="rId48" Type="http://schemas.openxmlformats.org/officeDocument/2006/relationships/hyperlink" Target="https://www.sec.gov/Archives/edgar/data/1649744/000119312525110141/d933264dex101.htm" TargetMode="External"/><Relationship Id="rId49" Type="http://schemas.openxmlformats.org/officeDocument/2006/relationships/hyperlink" Target="https://www.sec.gov/Archives/edgar/data/1649744/000119312525110141/d933264dex102.htm" TargetMode="External"/><Relationship Id="rId50" Type="http://schemas.openxmlformats.org/officeDocument/2006/relationships/hyperlink" Target="https://www.sec.gov/Archives/edgar/data/0001649744/000119312525112846/d944338dex101.htm" TargetMode="External"/><Relationship Id="rId51" Type="http://schemas.openxmlformats.org/officeDocument/2006/relationships/hyperlink" Target="https://www.sec.gov/Archives/edgar/data/0001649744/000119312525112846/d944338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2025-06-06T11:05:56Z</dcterms:created>
  <dcterms:modified xsi:type="dcterms:W3CDTF">2025-06-06T11:05:56Z</dcterms:modified>
</cp:coreProperties>
</file>