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79"/>
        <w:spacing w:after="0" w:line="214"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140"/>
        <w:spacing w:after="0" w:line="232" w:lineRule="auto"/>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8" w:lineRule="auto"/>
        <w:rPr>
          <w:sz w:val="20"/>
          <w:szCs w:val="20"/>
          <w:color w:val="auto"/>
        </w:rPr>
      </w:pPr>
      <w:r>
        <w:rPr>
          <w:rFonts w:ascii="Times New Roman" w:cs="Times New Roman" w:eastAsia="Times New Roman" w:hAnsi="Times New Roman"/>
          <w:sz w:val="29"/>
          <w:szCs w:val="29"/>
          <w:b w:val="1"/>
          <w:bCs w:val="1"/>
          <w:color w:val="auto"/>
        </w:rPr>
        <w:t>FORM 10-Q</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38" w:lineRule="exact"/>
        <w:rPr>
          <w:sz w:val="24"/>
          <w:szCs w:val="24"/>
          <w:color w:val="auto"/>
        </w:rPr>
      </w:pPr>
    </w:p>
    <w:p>
      <w:pPr>
        <w:ind w:left="480" w:right="180" w:hanging="472"/>
        <w:spacing w:after="0" w:line="249"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28, 2024</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500" w:right="140" w:hanging="492"/>
        <w:spacing w:after="0" w:line="262" w:lineRule="auto"/>
        <w:tabs>
          <w:tab w:leader="none" w:pos="50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u w:val="single" w:color="auto"/>
          <w:color w:val="auto"/>
        </w:rPr>
        <w:t>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u w:val="single" w:color="auto"/>
          <w:color w:val="auto"/>
        </w:rPr>
        <w:t>_______</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001-37641</w:t>
      </w:r>
    </w:p>
    <w:p>
      <w:pPr>
        <w:spacing w:after="0" w:line="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7" w:lineRule="auto"/>
        <w:rPr>
          <w:sz w:val="20"/>
          <w:szCs w:val="20"/>
          <w:color w:val="auto"/>
        </w:rPr>
      </w:pPr>
      <w:r>
        <w:rPr>
          <w:rFonts w:ascii="Times New Roman" w:cs="Times New Roman" w:eastAsia="Times New Roman" w:hAnsi="Times New Roman"/>
          <w:sz w:val="40"/>
          <w:szCs w:val="40"/>
          <w:b w:val="1"/>
          <w:bCs w:val="1"/>
          <w:color w:val="auto"/>
        </w:rPr>
        <w:t>DULUTH HOLDINGS INC.</w:t>
      </w:r>
    </w:p>
    <w:p>
      <w:pPr>
        <w:jc w:val="center"/>
        <w:ind w:right="-79"/>
        <w:spacing w:after="0" w:line="225"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16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27"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16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39-1564801</w:t>
            </w:r>
          </w:p>
        </w:tc>
        <w:tc>
          <w:tcPr>
            <w:tcW w:w="0" w:type="dxa"/>
            <w:vAlign w:val="bottom"/>
          </w:tcPr>
          <w:p>
            <w:pPr>
              <w:spacing w:after="0"/>
              <w:rPr>
                <w:sz w:val="1"/>
                <w:szCs w:val="1"/>
                <w:color w:val="auto"/>
              </w:rPr>
            </w:pPr>
          </w:p>
        </w:tc>
      </w:tr>
      <w:tr>
        <w:trPr>
          <w:trHeight w:val="162"/>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6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98"/>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201 East Front Street</w:t>
            </w:r>
          </w:p>
        </w:tc>
        <w:tc>
          <w:tcPr>
            <w:tcW w:w="1660" w:type="dxa"/>
            <w:vAlign w:val="bottom"/>
            <w:vMerge w:val="restart"/>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53572</w:t>
            </w:r>
          </w:p>
        </w:tc>
        <w:tc>
          <w:tcPr>
            <w:tcW w:w="0" w:type="dxa"/>
            <w:vAlign w:val="bottom"/>
          </w:tcPr>
          <w:p>
            <w:pPr>
              <w:spacing w:after="0"/>
              <w:rPr>
                <w:sz w:val="1"/>
                <w:szCs w:val="1"/>
                <w:color w:val="auto"/>
              </w:rPr>
            </w:pPr>
          </w:p>
        </w:tc>
      </w:tr>
      <w:tr>
        <w:trPr>
          <w:trHeight w:val="214"/>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Mount Horeb, Wisconsin</w:t>
            </w: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5"/>
        </w:trPr>
        <w:tc>
          <w:tcPr>
            <w:tcW w:w="5860" w:type="dxa"/>
            <w:vAlign w:val="bottom"/>
          </w:tcPr>
          <w:p>
            <w:pPr>
              <w:jc w:val="right"/>
              <w:ind w:right="1322"/>
              <w:spacing w:after="0"/>
              <w:rPr>
                <w:sz w:val="20"/>
                <w:szCs w:val="20"/>
                <w:color w:val="auto"/>
              </w:rPr>
            </w:pPr>
            <w:r>
              <w:rPr>
                <w:rFonts w:ascii="Times New Roman" w:cs="Times New Roman" w:eastAsia="Times New Roman" w:hAnsi="Times New Roman"/>
                <w:sz w:val="14"/>
                <w:szCs w:val="14"/>
                <w:b w:val="1"/>
                <w:bCs w:val="1"/>
                <w:color w:val="auto"/>
              </w:rPr>
              <w:t>(608) 424-1544</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jc w:val="right"/>
              <w:ind w:right="302"/>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0" w:lineRule="exact"/>
        <w:rPr>
          <w:sz w:val="24"/>
          <w:szCs w:val="24"/>
          <w:color w:val="auto"/>
        </w:rPr>
      </w:pPr>
    </w:p>
    <w:tbl>
      <w:tblPr>
        <w:tblLayout w:type="fixed"/>
        <w:tblInd w:w="720" w:type="dxa"/>
        <w:tblCellMar>
          <w:top w:w="0" w:type="dxa"/>
          <w:left w:w="0" w:type="dxa"/>
          <w:bottom w:w="0" w:type="dxa"/>
          <w:right w:w="0" w:type="dxa"/>
        </w:tblCellMar>
      </w:tblPr>
      <w:tr>
        <w:trPr>
          <w:trHeight w:val="189"/>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Trading Symbol(s)</w:t>
            </w:r>
          </w:p>
        </w:tc>
        <w:tc>
          <w:tcPr>
            <w:tcW w:w="370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Class B Common Stock, No Par Value</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8"/>
              </w:rPr>
              <w:t>DLTH</w:t>
            </w:r>
          </w:p>
        </w:tc>
        <w:tc>
          <w:tcPr>
            <w:tcW w:w="370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40575"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48920"/>
                    </a:xfrm>
                    <a:prstGeom prst="rect">
                      <a:avLst/>
                    </a:prstGeom>
                    <a:noFill/>
                  </pic:spPr>
                </pic:pic>
              </a:graphicData>
            </a:graphic>
          </wp:anchor>
        </w:drawing>
      </w:r>
    </w:p>
    <w:p>
      <w:pPr>
        <w:spacing w:after="0" w:line="12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w:t>
      </w:r>
    </w:p>
    <w:p>
      <w:pPr>
        <w:spacing w:after="0" w:line="10" w:lineRule="exact"/>
        <w:rPr>
          <w:sz w:val="24"/>
          <w:szCs w:val="24"/>
          <w:color w:val="auto"/>
        </w:rPr>
      </w:pPr>
    </w:p>
    <w:p>
      <w:pPr>
        <w:ind w:right="240"/>
        <w:spacing w:after="0" w:line="191" w:lineRule="exact"/>
        <w:rPr>
          <w:sz w:val="20"/>
          <w:szCs w:val="20"/>
          <w:color w:val="auto"/>
        </w:rPr>
      </w:pPr>
      <w:r>
        <w:rPr>
          <w:rFonts w:ascii="Times New Roman" w:cs="Times New Roman" w:eastAsia="Times New Roman" w:hAnsi="Times New Roman"/>
          <w:sz w:val="16"/>
          <w:szCs w:val="16"/>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01" w:lineRule="exact"/>
        <w:rPr>
          <w:sz w:val="24"/>
          <w:szCs w:val="24"/>
          <w:color w:val="auto"/>
        </w:rPr>
      </w:pPr>
    </w:p>
    <w:p>
      <w:pPr>
        <w:ind w:firstLine="428"/>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89" w:lineRule="exact"/>
        <w:rPr>
          <w:sz w:val="24"/>
          <w:szCs w:val="24"/>
          <w:color w:val="auto"/>
        </w:rPr>
      </w:pPr>
    </w:p>
    <w:p>
      <w:pPr>
        <w:jc w:val="both"/>
        <w:ind w:right="220" w:firstLine="428"/>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0" w:lineRule="exact"/>
        <w:rPr>
          <w:sz w:val="24"/>
          <w:szCs w:val="24"/>
          <w:color w:val="auto"/>
        </w:rPr>
      </w:pPr>
    </w:p>
    <w:tbl>
      <w:tblPr>
        <w:tblLayout w:type="fixed"/>
        <w:tblInd w:w="1000" w:type="dxa"/>
        <w:tblCellMar>
          <w:top w:w="0" w:type="dxa"/>
          <w:left w:w="0" w:type="dxa"/>
          <w:bottom w:w="0" w:type="dxa"/>
          <w:right w:w="0" w:type="dxa"/>
        </w:tblCellMar>
      </w:tblPr>
      <w:tr>
        <w:trPr>
          <w:trHeight w:val="198"/>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40" w:type="dxa"/>
            <w:vAlign w:val="bottom"/>
          </w:tcPr>
          <w:p>
            <w:pPr>
              <w:ind w:left="500"/>
              <w:spacing w:after="0"/>
              <w:rPr>
                <w:sz w:val="20"/>
                <w:szCs w:val="20"/>
                <w:color w:val="auto"/>
              </w:rPr>
            </w:pPr>
            <w:r>
              <w:rPr>
                <w:rFonts w:ascii="Wingdings" w:cs="Wingdings" w:eastAsia="Wingdings" w:hAnsi="Wingdings"/>
                <w:sz w:val="16"/>
                <w:szCs w:val="16"/>
                <w:b w:val="1"/>
                <w:bCs w:val="1"/>
                <w:color w:val="auto"/>
              </w:rPr>
              <w:t>o</w:t>
            </w: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40" w:type="dxa"/>
            <w:vAlign w:val="bottom"/>
          </w:tcPr>
          <w:p>
            <w:pPr>
              <w:ind w:left="500"/>
              <w:spacing w:after="0"/>
              <w:rPr>
                <w:sz w:val="20"/>
                <w:szCs w:val="20"/>
                <w:color w:val="auto"/>
              </w:rPr>
            </w:pPr>
            <w:r>
              <w:rPr>
                <w:rFonts w:ascii="Wingdings" w:cs="Wingdings" w:eastAsia="Wingdings" w:hAnsi="Wingdings"/>
                <w:sz w:val="16"/>
                <w:szCs w:val="16"/>
                <w:b w:val="1"/>
                <w:bCs w:val="1"/>
                <w:color w:val="auto"/>
              </w:rPr>
              <w:t>o</w:t>
            </w: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0"/>
        </w:trPr>
        <w:tc>
          <w:tcPr>
            <w:tcW w:w="2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4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114" w:lineRule="exact"/>
        <w:rPr>
          <w:sz w:val="24"/>
          <w:szCs w:val="24"/>
          <w:color w:val="auto"/>
        </w:rPr>
      </w:pPr>
    </w:p>
    <w:p>
      <w:pPr>
        <w:ind w:right="80" w:firstLine="428"/>
        <w:spacing w:after="0" w:line="26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74" w:lineRule="exact"/>
        <w:rPr>
          <w:sz w:val="24"/>
          <w:szCs w:val="24"/>
          <w:color w:val="auto"/>
        </w:rPr>
      </w:pPr>
    </w:p>
    <w:p>
      <w:pPr>
        <w:ind w:left="440"/>
        <w:spacing w:after="0" w:line="184" w:lineRule="exact"/>
        <w:tabs>
          <w:tab w:leader="none" w:pos="7940" w:val="left"/>
          <w:tab w:leader="none" w:pos="85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7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A common stock, no par value, as of May 29, 2024, was 3,364,200.</w:t>
      </w:r>
    </w:p>
    <w:p>
      <w:pPr>
        <w:spacing w:after="0" w:line="1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B common stock, no par value, as of May 29, 2024, was 31,701,292.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96" w:right="419" w:bottom="1440" w:gutter="0" w:footer="0" w:header="0"/>
        </w:sectPr>
      </w:pPr>
    </w:p>
    <w:bookmarkStart w:id="1" w:name="page2"/>
    <w:bookmarkEnd w:id="1"/>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FOR QUARTER ENDED April 28,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160" w:type="dxa"/>
            <w:vAlign w:val="bottom"/>
            <w:gridSpan w:val="11"/>
          </w:tcPr>
          <w:p>
            <w:pPr>
              <w:jc w:val="center"/>
              <w:ind w:right="3020"/>
              <w:spacing w:after="0"/>
              <w:rPr>
                <w:sz w:val="20"/>
                <w:szCs w:val="20"/>
                <w:color w:val="auto"/>
              </w:rPr>
            </w:pPr>
            <w:r>
              <w:rPr>
                <w:rFonts w:ascii="Times New Roman" w:cs="Times New Roman" w:eastAsia="Times New Roman" w:hAnsi="Times New Roman"/>
                <w:sz w:val="18"/>
                <w:szCs w:val="18"/>
                <w:color w:val="0000FF"/>
                <w:w w:val="99"/>
              </w:rPr>
              <w:t>Part I—Financial Information</w:t>
            </w:r>
          </w:p>
        </w:tc>
        <w:tc>
          <w:tcPr>
            <w:tcW w:w="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Page</w:t>
            </w:r>
          </w:p>
        </w:tc>
      </w:tr>
      <w:tr>
        <w:trPr>
          <w:trHeight w:val="38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60" w:type="dxa"/>
            <w:vAlign w:val="bottom"/>
            <w:gridSpan w:val="3"/>
          </w:tcPr>
          <w:p>
            <w:pPr>
              <w:spacing w:after="0"/>
              <w:rPr>
                <w:sz w:val="24"/>
                <w:szCs w:val="24"/>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140" w:type="dxa"/>
            <w:vAlign w:val="bottom"/>
            <w:tcBorders>
              <w:top w:val="single" w:sz="8" w:color="0000FF"/>
            </w:tcBorders>
            <w:gridSpan w:val="6"/>
          </w:tcPr>
          <w:p>
            <w:pPr>
              <w:spacing w:after="0"/>
              <w:rPr>
                <w:sz w:val="24"/>
                <w:szCs w:val="24"/>
                <w:color w:val="auto"/>
              </w:rPr>
            </w:pPr>
          </w:p>
        </w:tc>
        <w:tc>
          <w:tcPr>
            <w:tcW w:w="3020" w:type="dxa"/>
            <w:vAlign w:val="bottom"/>
            <w:gridSpan w:val="5"/>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April 28, 2024 and January 28, 2024 (Unaudited)</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April 28, 2024 and April 30, 2023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18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Income for the three months ended April 28, 2024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80" w:type="dxa"/>
            <w:vAlign w:val="bottom"/>
            <w:tcBorders>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9"/>
              </w:rPr>
              <w:t>and April 30, 2023 (Unaudited)</w:t>
            </w:r>
          </w:p>
        </w:tc>
        <w:tc>
          <w:tcPr>
            <w:tcW w:w="5920" w:type="dxa"/>
            <w:vAlign w:val="bottom"/>
            <w:gridSpan w:val="12"/>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 of Shareholders’ Equity for the three months ended April 28, 2024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4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7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 of Shareholders’ Equity for the three months ended April 30, 2023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4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7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April 28, 2024 and April 30, 2023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0" w:type="dxa"/>
            <w:vAlign w:val="bottom"/>
            <w:tcBorders>
              <w:top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20" w:type="dxa"/>
            <w:vAlign w:val="bottom"/>
            <w:tcBorders>
              <w:top w:val="single" w:sz="8" w:color="0000FF"/>
            </w:tcBorders>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960" w:type="dxa"/>
            <w:vAlign w:val="bottom"/>
            <w:gridSpan w:val="3"/>
          </w:tcPr>
          <w:p>
            <w:pPr>
              <w:spacing w:after="0"/>
              <w:rPr>
                <w:sz w:val="24"/>
                <w:szCs w:val="24"/>
                <w:color w:val="auto"/>
              </w:rPr>
            </w:pP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40" w:type="dxa"/>
            <w:vAlign w:val="bottom"/>
            <w:gridSpan w:val="4"/>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960" w:type="dxa"/>
            <w:vAlign w:val="bottom"/>
            <w:gridSpan w:val="3"/>
          </w:tcPr>
          <w:p>
            <w:pPr>
              <w:spacing w:after="0"/>
              <w:rPr>
                <w:sz w:val="24"/>
                <w:szCs w:val="24"/>
                <w:color w:val="auto"/>
              </w:rPr>
            </w:pP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840" w:type="dxa"/>
            <w:vAlign w:val="bottom"/>
            <w:gridSpan w:val="8"/>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85"/>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8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85"/>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10"/>
          </w:tcPr>
          <w:p>
            <w:pPr>
              <w:jc w:val="center"/>
              <w:ind w:right="3120"/>
              <w:spacing w:after="0"/>
              <w:rPr>
                <w:sz w:val="20"/>
                <w:szCs w:val="20"/>
                <w:color w:val="auto"/>
              </w:rPr>
            </w:pPr>
            <w:r>
              <w:rPr>
                <w:rFonts w:ascii="Times New Roman" w:cs="Times New Roman" w:eastAsia="Times New Roman" w:hAnsi="Times New Roman"/>
                <w:sz w:val="18"/>
                <w:szCs w:val="18"/>
                <w:color w:val="0000FF"/>
                <w:w w:val="99"/>
              </w:rPr>
              <w:t>Part II—Other Information</w:t>
            </w: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60" w:type="dxa"/>
            <w:vAlign w:val="bottom"/>
            <w:gridSpan w:val="3"/>
          </w:tcPr>
          <w:p>
            <w:pPr>
              <w:spacing w:after="0"/>
              <w:rPr>
                <w:sz w:val="24"/>
                <w:szCs w:val="24"/>
                <w:color w:val="auto"/>
              </w:rPr>
            </w:pP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800" w:type="dxa"/>
            <w:vAlign w:val="bottom"/>
            <w:gridSpan w:val="5"/>
          </w:tcPr>
          <w:p>
            <w:pPr>
              <w:spacing w:after="0"/>
              <w:rPr>
                <w:sz w:val="24"/>
                <w:szCs w:val="24"/>
                <w:color w:val="auto"/>
              </w:rPr>
            </w:pPr>
          </w:p>
        </w:tc>
        <w:tc>
          <w:tcPr>
            <w:tcW w:w="1940" w:type="dxa"/>
            <w:vAlign w:val="bottom"/>
            <w:tcBorders>
              <w:top w:val="single" w:sz="8" w:color="0000FF"/>
            </w:tcBorders>
            <w:gridSpan w:val="4"/>
          </w:tcPr>
          <w:p>
            <w:pPr>
              <w:spacing w:after="0"/>
              <w:rPr>
                <w:sz w:val="24"/>
                <w:szCs w:val="24"/>
                <w:color w:val="auto"/>
              </w:rPr>
            </w:pPr>
          </w:p>
        </w:tc>
        <w:tc>
          <w:tcPr>
            <w:tcW w:w="3120" w:type="dxa"/>
            <w:vAlign w:val="bottom"/>
            <w:gridSpan w:val="6"/>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85"/>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3860" w:type="dxa"/>
            <w:vAlign w:val="bottom"/>
            <w:gridSpan w:val="9"/>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r>
      <w:tr>
        <w:trPr>
          <w:trHeight w:val="38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8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85"/>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960" w:type="dxa"/>
            <w:vAlign w:val="bottom"/>
            <w:gridSpan w:val="3"/>
          </w:tcPr>
          <w:p>
            <w:pPr>
              <w:spacing w:after="0"/>
              <w:rPr>
                <w:sz w:val="24"/>
                <w:szCs w:val="24"/>
                <w:color w:val="auto"/>
              </w:rPr>
            </w:pP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7"/>
          </w:tcPr>
          <w:p>
            <w:pPr>
              <w:spacing w:after="0"/>
              <w:rPr>
                <w:sz w:val="24"/>
                <w:szCs w:val="24"/>
                <w:color w:val="auto"/>
              </w:rPr>
            </w:pPr>
          </w:p>
        </w:tc>
        <w:tc>
          <w:tcPr>
            <w:tcW w:w="3860" w:type="dxa"/>
            <w:vAlign w:val="bottom"/>
            <w:gridSpan w:val="9"/>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960" w:type="dxa"/>
            <w:vAlign w:val="bottom"/>
            <w:gridSpan w:val="3"/>
          </w:tcPr>
          <w:p>
            <w:pPr>
              <w:spacing w:after="0"/>
              <w:rPr>
                <w:sz w:val="24"/>
                <w:szCs w:val="24"/>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600" w:type="dxa"/>
            <w:vAlign w:val="bottom"/>
            <w:gridSpan w:val="19"/>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777"/>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830"/>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4340" w:type="dxa"/>
            <w:vAlign w:val="bottom"/>
            <w:gridSpan w:val="11"/>
          </w:tcPr>
          <w:p>
            <w:pPr>
              <w:ind w:left="41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20"/>
        </w:trPr>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ind w:left="3760"/>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Balance Sheets - Assets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34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180" w:type="dxa"/>
            <w:vAlign w:val="bottom"/>
            <w:shd w:val="clear" w:color="auto" w:fill="CCEEFF"/>
          </w:tcPr>
          <w:p>
            <w:pPr>
              <w:spacing w:after="0"/>
              <w:rPr>
                <w:sz w:val="19"/>
                <w:szCs w:val="19"/>
                <w:color w:val="auto"/>
              </w:rPr>
            </w:pPr>
          </w:p>
        </w:tc>
      </w:tr>
      <w:tr>
        <w:trPr>
          <w:trHeight w:val="229"/>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80" w:type="dxa"/>
            <w:vAlign w:val="bottom"/>
          </w:tcPr>
          <w:p>
            <w:pPr>
              <w:spacing w:after="0"/>
              <w:rPr>
                <w:sz w:val="19"/>
                <w:szCs w:val="19"/>
                <w:color w:val="auto"/>
              </w:rPr>
            </w:pPr>
          </w:p>
        </w:tc>
      </w:tr>
      <w:tr>
        <w:trPr>
          <w:trHeight w:val="229"/>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1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shd w:val="clear" w:color="auto" w:fill="CCEEFF"/>
          </w:tcPr>
          <w:p>
            <w:pPr>
              <w:spacing w:after="0"/>
              <w:rPr>
                <w:sz w:val="19"/>
                <w:szCs w:val="19"/>
                <w:color w:val="auto"/>
              </w:rPr>
            </w:pPr>
          </w:p>
        </w:tc>
      </w:tr>
      <w:tr>
        <w:trPr>
          <w:trHeight w:val="270"/>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less reserves of $1,729 and $1,361, respectively</w:t>
            </w:r>
          </w:p>
        </w:tc>
        <w:tc>
          <w:tcPr>
            <w:tcW w:w="1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136,434</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125,757</w:t>
            </w:r>
          </w:p>
        </w:tc>
        <w:tc>
          <w:tcPr>
            <w:tcW w:w="180" w:type="dxa"/>
            <w:vAlign w:val="bottom"/>
          </w:tcPr>
          <w:p>
            <w:pPr>
              <w:spacing w:after="0"/>
              <w:rPr>
                <w:sz w:val="23"/>
                <w:szCs w:val="23"/>
                <w:color w:val="auto"/>
              </w:rPr>
            </w:pPr>
          </w:p>
        </w:tc>
      </w:tr>
      <w:tr>
        <w:trPr>
          <w:trHeight w:val="230"/>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16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17,537</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w:t>
            </w:r>
          </w:p>
        </w:tc>
        <w:tc>
          <w:tcPr>
            <w:tcW w:w="180" w:type="dxa"/>
            <w:vAlign w:val="bottom"/>
            <w:shd w:val="clear" w:color="auto" w:fill="CCEEFF"/>
          </w:tcPr>
          <w:p>
            <w:pPr>
              <w:spacing w:after="0"/>
              <w:rPr>
                <w:sz w:val="19"/>
                <w:szCs w:val="19"/>
                <w:color w:val="auto"/>
              </w:rPr>
            </w:pPr>
          </w:p>
        </w:tc>
      </w:tr>
      <w:tr>
        <w:trPr>
          <w:trHeight w:val="209"/>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171,426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180,974</w:t>
            </w:r>
          </w:p>
        </w:tc>
        <w:tc>
          <w:tcPr>
            <w:tcW w:w="180" w:type="dxa"/>
            <w:vAlign w:val="bottom"/>
          </w:tcPr>
          <w:p>
            <w:pPr>
              <w:spacing w:after="0"/>
              <w:rPr>
                <w:sz w:val="18"/>
                <w:szCs w:val="18"/>
                <w:color w:val="auto"/>
              </w:rPr>
            </w:pPr>
          </w:p>
        </w:tc>
      </w:tr>
      <w:tr>
        <w:trPr>
          <w:trHeight w:val="22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126,526</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132,718</w:t>
            </w:r>
          </w:p>
        </w:tc>
        <w:tc>
          <w:tcPr>
            <w:tcW w:w="180" w:type="dxa"/>
            <w:vAlign w:val="bottom"/>
            <w:shd w:val="clear" w:color="auto" w:fill="CCEEFF"/>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121,430</w:t>
            </w:r>
          </w:p>
        </w:tc>
        <w:tc>
          <w:tcPr>
            <w:tcW w:w="180" w:type="dxa"/>
            <w:vAlign w:val="bottom"/>
          </w:tcPr>
          <w:p>
            <w:pPr>
              <w:spacing w:after="0"/>
              <w:rPr>
                <w:sz w:val="19"/>
                <w:szCs w:val="19"/>
                <w:color w:val="auto"/>
              </w:rPr>
            </w:pPr>
          </w:p>
        </w:tc>
      </w:tr>
      <w:tr>
        <w:trPr>
          <w:trHeight w:val="22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1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40,315</w:t>
            </w:r>
          </w:p>
        </w:tc>
        <w:tc>
          <w:tcPr>
            <w:tcW w:w="180" w:type="dxa"/>
            <w:vAlign w:val="bottom"/>
            <w:shd w:val="clear" w:color="auto" w:fill="CCEEFF"/>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security</w:t>
            </w: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80" w:type="dxa"/>
            <w:vAlign w:val="bottom"/>
          </w:tcPr>
          <w:p>
            <w:pPr>
              <w:spacing w:after="0"/>
              <w:rPr>
                <w:sz w:val="19"/>
                <w:szCs w:val="19"/>
                <w:color w:val="auto"/>
              </w:rPr>
            </w:pPr>
          </w:p>
        </w:tc>
      </w:tr>
      <w:tr>
        <w:trPr>
          <w:trHeight w:val="22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180" w:type="dxa"/>
            <w:vAlign w:val="bottom"/>
            <w:shd w:val="clear" w:color="auto" w:fill="CCEEFF"/>
          </w:tcPr>
          <w:p>
            <w:pPr>
              <w:spacing w:after="0"/>
              <w:rPr>
                <w:sz w:val="19"/>
                <w:szCs w:val="19"/>
                <w:color w:val="auto"/>
              </w:rPr>
            </w:pPr>
          </w:p>
        </w:tc>
      </w:tr>
      <w:tr>
        <w:trPr>
          <w:trHeight w:val="229"/>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tcBorders>
              <w:bottom w:val="single" w:sz="8" w:color="CCEEFF"/>
            </w:tcBorders>
          </w:tcPr>
          <w:p>
            <w:pPr>
              <w:spacing w:after="0"/>
              <w:rPr>
                <w:sz w:val="19"/>
                <w:szCs w:val="19"/>
                <w:color w:val="auto"/>
              </w:rPr>
            </w:pPr>
          </w:p>
        </w:tc>
      </w:tr>
      <w:tr>
        <w:trPr>
          <w:trHeight w:val="196"/>
        </w:trPr>
        <w:tc>
          <w:tcPr>
            <w:tcW w:w="596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16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471,383</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490,453</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 w:name="page4"/>
    <w:bookmarkEnd w:id="3"/>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Liabilities and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34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9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13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51,122</w:t>
            </w:r>
          </w:p>
        </w:tc>
        <w:tc>
          <w:tcPr>
            <w:tcW w:w="180" w:type="dxa"/>
            <w:vAlign w:val="bottom"/>
            <w:shd w:val="clear" w:color="auto" w:fill="CCEEFF"/>
          </w:tcPr>
          <w:p>
            <w:pPr>
              <w:spacing w:after="0"/>
              <w:rPr>
                <w:sz w:val="19"/>
                <w:szCs w:val="19"/>
                <w:color w:val="auto"/>
              </w:rPr>
            </w:pPr>
          </w:p>
        </w:tc>
      </w:tr>
      <w:tr>
        <w:trPr>
          <w:trHeight w:val="230"/>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30,930</w:t>
            </w:r>
          </w:p>
        </w:tc>
        <w:tc>
          <w:tcPr>
            <w:tcW w:w="180" w:type="dxa"/>
            <w:vAlign w:val="bottom"/>
          </w:tcPr>
          <w:p>
            <w:pPr>
              <w:spacing w:after="0"/>
              <w:rPr>
                <w:sz w:val="19"/>
                <w:szCs w:val="19"/>
                <w:color w:val="auto"/>
              </w:rPr>
            </w:pPr>
          </w:p>
        </w:tc>
      </w:tr>
      <w:tr>
        <w:trPr>
          <w:trHeight w:val="22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180" w:type="dxa"/>
            <w:vAlign w:val="bottom"/>
            <w:shd w:val="clear" w:color="auto" w:fill="CCEEFF"/>
          </w:tcPr>
          <w:p>
            <w:pPr>
              <w:spacing w:after="0"/>
              <w:rPr>
                <w:sz w:val="19"/>
                <w:szCs w:val="19"/>
                <w:color w:val="auto"/>
              </w:rPr>
            </w:pPr>
          </w:p>
        </w:tc>
      </w:tr>
      <w:tr>
        <w:trPr>
          <w:trHeight w:val="22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80" w:type="dxa"/>
            <w:vAlign w:val="bottom"/>
          </w:tcPr>
          <w:p>
            <w:pPr>
              <w:spacing w:after="0"/>
              <w:rPr>
                <w:sz w:val="19"/>
                <w:szCs w:val="19"/>
                <w:color w:val="auto"/>
              </w:rPr>
            </w:pPr>
          </w:p>
        </w:tc>
      </w:tr>
      <w:tr>
        <w:trPr>
          <w:trHeight w:val="23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Duluth line of credit</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Current maturities of TRI long-term debt</w:t>
            </w:r>
          </w:p>
        </w:tc>
        <w:tc>
          <w:tcPr>
            <w:tcW w:w="9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80" w:type="dxa"/>
            <w:vAlign w:val="bottom"/>
            <w:tcBorders>
              <w:bottom w:val="single" w:sz="8" w:color="CCEEFF"/>
            </w:tcBorders>
          </w:tcPr>
          <w:p>
            <w:pPr>
              <w:spacing w:after="0"/>
              <w:rPr>
                <w:sz w:val="19"/>
                <w:szCs w:val="19"/>
                <w:color w:val="auto"/>
              </w:rPr>
            </w:pPr>
          </w:p>
        </w:tc>
      </w:tr>
      <w:tr>
        <w:trPr>
          <w:trHeight w:val="209"/>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102,449</w:t>
            </w:r>
          </w:p>
        </w:tc>
        <w:tc>
          <w:tcPr>
            <w:tcW w:w="180" w:type="dxa"/>
            <w:vAlign w:val="bottom"/>
            <w:shd w:val="clear" w:color="auto" w:fill="CCEEFF"/>
          </w:tcPr>
          <w:p>
            <w:pPr>
              <w:spacing w:after="0"/>
              <w:rPr>
                <w:sz w:val="18"/>
                <w:szCs w:val="18"/>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maturities</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106,413</w:t>
            </w:r>
          </w:p>
        </w:tc>
        <w:tc>
          <w:tcPr>
            <w:tcW w:w="180" w:type="dxa"/>
            <w:vAlign w:val="bottom"/>
          </w:tcPr>
          <w:p>
            <w:pPr>
              <w:spacing w:after="0"/>
              <w:rPr>
                <w:sz w:val="19"/>
                <w:szCs w:val="19"/>
                <w:color w:val="auto"/>
              </w:rPr>
            </w:pP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 less current maturities</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34,276</w:t>
            </w:r>
          </w:p>
        </w:tc>
        <w:tc>
          <w:tcPr>
            <w:tcW w:w="180" w:type="dxa"/>
            <w:vAlign w:val="bottom"/>
            <w:shd w:val="clear" w:color="auto" w:fill="CCEEFF"/>
          </w:tcPr>
          <w:p>
            <w:pPr>
              <w:spacing w:after="0"/>
              <w:rPr>
                <w:sz w:val="19"/>
                <w:szCs w:val="19"/>
                <w:color w:val="auto"/>
              </w:rPr>
            </w:pPr>
          </w:p>
        </w:tc>
      </w:tr>
      <w:tr>
        <w:trPr>
          <w:trHeight w:val="230"/>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TRI long-term debt, less current maturities</w:t>
            </w:r>
          </w:p>
        </w:tc>
        <w:tc>
          <w:tcPr>
            <w:tcW w:w="9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24,933</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25,141</w:t>
            </w:r>
          </w:p>
        </w:tc>
        <w:tc>
          <w:tcPr>
            <w:tcW w:w="180" w:type="dxa"/>
            <w:vAlign w:val="bottom"/>
            <w:tcBorders>
              <w:bottom w:val="single" w:sz="8" w:color="CCEEFF"/>
            </w:tcBorders>
          </w:tcPr>
          <w:p>
            <w:pPr>
              <w:spacing w:after="0"/>
              <w:rPr>
                <w:sz w:val="19"/>
                <w:szCs w:val="19"/>
                <w:color w:val="auto"/>
              </w:rPr>
            </w:pPr>
          </w:p>
        </w:tc>
      </w:tr>
      <w:tr>
        <w:trPr>
          <w:trHeight w:val="209"/>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256,080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268,279</w:t>
            </w:r>
          </w:p>
        </w:tc>
        <w:tc>
          <w:tcPr>
            <w:tcW w:w="180" w:type="dxa"/>
            <w:vAlign w:val="bottom"/>
            <w:shd w:val="clear" w:color="auto" w:fill="CCEEFF"/>
          </w:tcPr>
          <w:p>
            <w:pPr>
              <w:spacing w:after="0"/>
              <w:rPr>
                <w:sz w:val="18"/>
                <w:szCs w:val="18"/>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5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w:t>
            </w:r>
          </w:p>
        </w:tc>
        <w:tc>
          <w:tcPr>
            <w:tcW w:w="9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2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or outstanding as of April 28, 2024 and January 28, 2024</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(Class A), no par value; 10,000 shares authorized; 3,364 shares</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21"/>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as of April 28, 2024 and January 28, 2024</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9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(Class B), no par value; 200,000 shares authorized;</w:t>
            </w:r>
          </w:p>
        </w:tc>
        <w:tc>
          <w:tcPr>
            <w:tcW w:w="9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189"/>
        </w:trPr>
        <w:tc>
          <w:tcPr>
            <w:tcW w:w="66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31,945 shares issued and 31,710 shares outstanding as of April 28, 2024 and</w:t>
            </w: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21"/>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31,178 shares issued and 31,023 shares outstanding as of January 28, 2024</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235 and 155 shares as of April 28, 2024 and</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21"/>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28, 2024, respectively</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(2,121)</w:t>
            </w:r>
          </w:p>
        </w:tc>
        <w:tc>
          <w:tcPr>
            <w:tcW w:w="3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(1,738)</w:t>
            </w: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105,061</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103,579</w:t>
            </w:r>
          </w:p>
        </w:tc>
        <w:tc>
          <w:tcPr>
            <w:tcW w:w="180" w:type="dxa"/>
            <w:vAlign w:val="bottom"/>
            <w:shd w:val="clear" w:color="auto" w:fill="CCEEFF"/>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115,943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123,816</w:t>
            </w:r>
          </w:p>
        </w:tc>
        <w:tc>
          <w:tcPr>
            <w:tcW w:w="180" w:type="dxa"/>
            <w:vAlign w:val="bottom"/>
          </w:tcPr>
          <w:p>
            <w:pPr>
              <w:spacing w:after="0"/>
              <w:rPr>
                <w:sz w:val="19"/>
                <w:szCs w:val="19"/>
                <w:color w:val="auto"/>
              </w:rPr>
            </w:pP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(532)</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(427)</w:t>
            </w:r>
          </w:p>
        </w:tc>
      </w:tr>
      <w:tr>
        <w:trPr>
          <w:trHeight w:val="210"/>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9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218,351</w:t>
            </w: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225,230</w:t>
            </w:r>
          </w:p>
        </w:tc>
        <w:tc>
          <w:tcPr>
            <w:tcW w:w="180" w:type="dxa"/>
            <w:vAlign w:val="bottom"/>
          </w:tcPr>
          <w:p>
            <w:pPr>
              <w:spacing w:after="0"/>
              <w:rPr>
                <w:sz w:val="18"/>
                <w:szCs w:val="18"/>
                <w:color w:val="auto"/>
              </w:rPr>
            </w:pP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(3,048)</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(3,056)</w:t>
            </w:r>
          </w:p>
        </w:tc>
      </w:tr>
      <w:tr>
        <w:trPr>
          <w:trHeight w:val="210"/>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9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215,303</w:t>
            </w:r>
          </w:p>
        </w:tc>
        <w:tc>
          <w:tcPr>
            <w:tcW w:w="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222,174</w:t>
            </w:r>
          </w:p>
        </w:tc>
        <w:tc>
          <w:tcPr>
            <w:tcW w:w="180" w:type="dxa"/>
            <w:vAlign w:val="bottom"/>
            <w:tcBorders>
              <w:bottom w:val="single" w:sz="8" w:color="CCEEFF"/>
            </w:tcBorders>
          </w:tcPr>
          <w:p>
            <w:pPr>
              <w:spacing w:after="0"/>
              <w:rPr>
                <w:sz w:val="18"/>
                <w:szCs w:val="18"/>
                <w:color w:val="auto"/>
              </w:rPr>
            </w:pPr>
          </w:p>
        </w:tc>
      </w:tr>
      <w:tr>
        <w:trPr>
          <w:trHeight w:val="196"/>
        </w:trPr>
        <w:tc>
          <w:tcPr>
            <w:tcW w:w="664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9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471,383</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490,453</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 w:name="page5"/>
    <w:bookmarkEnd w:id="4"/>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5"/>
          </w:tcPr>
          <w:p>
            <w:pPr>
              <w:jc w:val="right"/>
              <w:ind w:right="11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116,684</w:t>
            </w: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(2,083)</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280" w:type="dxa"/>
            <w:vAlign w:val="bottom"/>
            <w:tcBorders>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(7,873)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(3,869)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5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Basic earnings per share (Class A and Class B):</w:t>
            </w: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controlling interest</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(Class A and Class B):</w:t>
            </w: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and equivalents outstanding</w:t>
            </w:r>
          </w:p>
        </w:tc>
        <w:tc>
          <w:tcPr>
            <w:tcW w:w="2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33,087</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controlling interest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(0.24)</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 w:name="page6"/>
    <w:bookmarkEnd w:id="5"/>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5"/>
          </w:tcPr>
          <w:p>
            <w:pPr>
              <w:jc w:val="right"/>
              <w:ind w:right="11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3"/>
        </w:trPr>
        <w:tc>
          <w:tcPr>
            <w:tcW w:w="6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196"/>
        </w:trPr>
        <w:tc>
          <w:tcPr>
            <w:tcW w:w="6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(7,865)</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(3,877)</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available-for sale:</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security loss arising during the period</w:t>
            </w: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96"/>
        </w:trPr>
        <w:tc>
          <w:tcPr>
            <w:tcW w:w="618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6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(7,970)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(3,936)</w:t>
            </w:r>
          </w:p>
        </w:tc>
      </w:tr>
      <w:tr>
        <w:trPr>
          <w:trHeight w:val="229"/>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1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5"/>
        </w:trPr>
        <w:tc>
          <w:tcPr>
            <w:tcW w:w="61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Comprehensive loss attributable</w:t>
            </w: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1"/>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controlling interest</w:t>
            </w:r>
          </w:p>
        </w:tc>
        <w:tc>
          <w:tcPr>
            <w:tcW w:w="15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(7,978)</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 w:name="page7"/>
    <w:bookmarkEnd w:id="6"/>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8"/>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April 28, 2024</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4"/>
        </w:trPr>
        <w:tc>
          <w:tcPr>
            <w:tcW w:w="3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8"/>
        </w:trPr>
        <w:tc>
          <w:tcPr>
            <w:tcW w:w="37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interest in</w:t>
            </w:r>
          </w:p>
        </w:tc>
        <w:tc>
          <w:tcPr>
            <w:tcW w:w="80" w:type="dxa"/>
            <w:vAlign w:val="bottom"/>
          </w:tcPr>
          <w:p>
            <w:pPr>
              <w:spacing w:after="0"/>
              <w:rPr>
                <w:sz w:val="16"/>
                <w:szCs w:val="16"/>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3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6"/>
                <w:szCs w:val="16"/>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99"/>
        </w:trPr>
        <w:tc>
          <w:tcPr>
            <w:tcW w:w="3700" w:type="dxa"/>
            <w:vAlign w:val="bottom"/>
          </w:tcPr>
          <w:p>
            <w:pPr>
              <w:spacing w:after="0"/>
              <w:rPr>
                <w:sz w:val="17"/>
                <w:szCs w:val="17"/>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28,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222,174</w:t>
            </w: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r>
      <w:tr>
        <w:trPr>
          <w:trHeight w:val="22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April 28, 2024</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35,074</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105,061</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115,943</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215,303</w:t>
            </w:r>
          </w:p>
        </w:tc>
      </w:tr>
    </w:tbl>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8"/>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April 30, 2023</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0"/>
        </w:trPr>
        <w:tc>
          <w:tcPr>
            <w:tcW w:w="3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3"/>
        </w:trPr>
        <w:tc>
          <w:tcPr>
            <w:tcW w:w="37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100" w:type="dxa"/>
            <w:vAlign w:val="bottom"/>
          </w:tcPr>
          <w:p>
            <w:pPr>
              <w:spacing w:after="0"/>
              <w:rPr>
                <w:sz w:val="18"/>
                <w:szCs w:val="18"/>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9"/>
        </w:trPr>
        <w:tc>
          <w:tcPr>
            <w:tcW w:w="3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100" w:type="dxa"/>
            <w:vAlign w:val="bottom"/>
          </w:tcPr>
          <w:p>
            <w:pPr>
              <w:spacing w:after="0"/>
              <w:rPr>
                <w:sz w:val="17"/>
                <w:szCs w:val="17"/>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213"/>
        </w:trPr>
        <w:tc>
          <w:tcPr>
            <w:tcW w:w="37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entity</w:t>
            </w:r>
          </w:p>
        </w:tc>
        <w:tc>
          <w:tcPr>
            <w:tcW w:w="100" w:type="dxa"/>
            <w:vAlign w:val="bottom"/>
          </w:tcPr>
          <w:p>
            <w:pPr>
              <w:spacing w:after="0"/>
              <w:rPr>
                <w:sz w:val="18"/>
                <w:szCs w:val="18"/>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January 29, 2023</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33,443</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98,842</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(1,459)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133,172</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(3,210)</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227,197</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April 30, 2023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99,968</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129,303</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224,114</w:t>
            </w:r>
          </w:p>
        </w:tc>
      </w:tr>
    </w:tbl>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 w:name="page9"/>
    <w:bookmarkEnd w:id="8"/>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4"/>
          </w:tcPr>
          <w:p>
            <w:pPr>
              <w:jc w:val="right"/>
              <w:ind w:right="123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6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320" w:type="dxa"/>
            <w:vAlign w:val="bottom"/>
          </w:tcPr>
          <w:p>
            <w:pPr>
              <w:spacing w:after="0"/>
              <w:rPr>
                <w:sz w:val="17"/>
                <w:szCs w:val="17"/>
                <w:color w:val="auto"/>
              </w:rPr>
            </w:pPr>
          </w:p>
        </w:tc>
        <w:tc>
          <w:tcPr>
            <w:tcW w:w="15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(7,865)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r>
      <w:tr>
        <w:trPr>
          <w:trHeight w:val="22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(2,127)</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(4,617)</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9"/>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(10,677)</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w:t>
            </w: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 &amp; other current assets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 hosting implementation costs, net</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(2,617)</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(13,150)</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(21,080)</w:t>
            </w: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(4,635)</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Noncash lease impacts</w:t>
            </w:r>
          </w:p>
        </w:tc>
        <w:tc>
          <w:tcPr>
            <w:tcW w:w="9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196"/>
        </w:trPr>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(33,666)</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(13,973)</w:t>
            </w:r>
          </w:p>
        </w:tc>
      </w:tr>
      <w:tr>
        <w:trPr>
          <w:trHeight w:val="196"/>
        </w:trPr>
        <w:tc>
          <w:tcPr>
            <w:tcW w:w="63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(1,525)</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(21,392)</w:t>
            </w:r>
          </w:p>
        </w:tc>
      </w:tr>
      <w:tr>
        <w:trPr>
          <w:trHeight w:val="230"/>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Principal receipts from available-for-sale security</w:t>
            </w:r>
          </w:p>
        </w:tc>
        <w:tc>
          <w:tcPr>
            <w:tcW w:w="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196"/>
        </w:trPr>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(1,477)</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(21,348)</w:t>
            </w:r>
          </w:p>
        </w:tc>
      </w:tr>
      <w:tr>
        <w:trPr>
          <w:trHeight w:val="196"/>
        </w:trPr>
        <w:tc>
          <w:tcPr>
            <w:tcW w:w="63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(17,000)</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TRI long term debt</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(204)</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(737)</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3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tax withholding on vested restricted shares</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(383)</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196"/>
        </w:trPr>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9,785</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(1,017)</w:t>
            </w:r>
          </w:p>
        </w:tc>
      </w:tr>
      <w:tr>
        <w:trPr>
          <w:trHeight w:val="196"/>
        </w:trPr>
        <w:tc>
          <w:tcPr>
            <w:tcW w:w="6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Decrease in cash and cash equivalents</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(25,358)</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(36,338)</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45,548</w:t>
            </w:r>
          </w:p>
        </w:tc>
      </w:tr>
      <w:tr>
        <w:trPr>
          <w:trHeight w:val="223"/>
        </w:trPr>
        <w:tc>
          <w:tcPr>
            <w:tcW w:w="638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6,799</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9,210</w:t>
            </w:r>
          </w:p>
        </w:tc>
      </w:tr>
      <w:tr>
        <w:trPr>
          <w:trHeight w:val="183"/>
        </w:trPr>
        <w:tc>
          <w:tcPr>
            <w:tcW w:w="63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OPERATIONS AND BASIS OF PRESENTATION</w:t>
      </w:r>
    </w:p>
    <w:p>
      <w:pPr>
        <w:spacing w:after="0" w:line="171"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of Operations</w:t>
      </w:r>
    </w:p>
    <w:p>
      <w:pPr>
        <w:spacing w:after="0" w:line="175" w:lineRule="exact"/>
        <w:rPr>
          <w:sz w:val="20"/>
          <w:szCs w:val="20"/>
          <w:color w:val="auto"/>
        </w:rPr>
      </w:pPr>
    </w:p>
    <w:p>
      <w:pPr>
        <w:ind w:right="400" w:firstLine="428"/>
        <w:spacing w:after="0" w:line="236" w:lineRule="auto"/>
        <w:rPr>
          <w:sz w:val="20"/>
          <w:szCs w:val="20"/>
          <w:color w:val="auto"/>
        </w:rPr>
      </w:pPr>
      <w:r>
        <w:rPr>
          <w:rFonts w:ascii="Times New Roman" w:cs="Times New Roman" w:eastAsia="Times New Roman" w:hAnsi="Times New Roman"/>
          <w:sz w:val="18"/>
          <w:szCs w:val="18"/>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name, with the majority of products being exclusively developed and sold as Duluth Trading branded merchandise.</w:t>
      </w:r>
    </w:p>
    <w:p>
      <w:pPr>
        <w:spacing w:after="0" w:line="145" w:lineRule="exact"/>
        <w:rPr>
          <w:sz w:val="20"/>
          <w:szCs w:val="20"/>
          <w:color w:val="auto"/>
        </w:rPr>
      </w:pPr>
    </w:p>
    <w:p>
      <w:pPr>
        <w:ind w:right="300" w:firstLine="492"/>
        <w:spacing w:after="0" w:line="242" w:lineRule="auto"/>
        <w:rPr>
          <w:sz w:val="20"/>
          <w:szCs w:val="20"/>
          <w:color w:val="auto"/>
        </w:rPr>
      </w:pPr>
      <w:r>
        <w:rPr>
          <w:rFonts w:ascii="Times New Roman" w:cs="Times New Roman" w:eastAsia="Times New Roman" w:hAnsi="Times New Roman"/>
          <w:sz w:val="18"/>
          <w:szCs w:val="18"/>
          <w:color w:val="auto"/>
        </w:rPr>
        <w:t>The Company identifies its operating segments according to how its business activities are managed and evaluated. The Company continues to report one reportable external segment, consistent with the Company’s omnichannel business approach. The Company’s revenues generated outside the United States were insignificant.</w:t>
      </w:r>
    </w:p>
    <w:p>
      <w:pPr>
        <w:spacing w:after="0" w:line="143" w:lineRule="exact"/>
        <w:rPr>
          <w:sz w:val="20"/>
          <w:szCs w:val="20"/>
          <w:color w:val="auto"/>
        </w:rPr>
      </w:pPr>
    </w:p>
    <w:p>
      <w:pPr>
        <w:jc w:val="both"/>
        <w:ind w:right="340" w:firstLine="428"/>
        <w:spacing w:after="0" w:line="236"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0"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ind w:right="200" w:firstLine="428"/>
        <w:spacing w:after="0" w:line="242"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significant intercompany balances and transactions have been eliminated in consolidation.</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fiscal year ends on the Sunday nearest to January 31 of the following year. Fiscal 2024 is a 53-week period and ends on February 2,</w:t>
      </w:r>
    </w:p>
    <w:p>
      <w:pPr>
        <w:spacing w:after="0" w:line="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2025. Fiscal 2023 was a 52-week period and ended on January 28, 2024. The three months of fiscal 2024 and fiscal 2023 represent the Company’s 13-week periods ended April 28, 2024 and April 30, 2023, respectively.</w:t>
      </w:r>
    </w:p>
    <w:p>
      <w:pPr>
        <w:spacing w:after="0" w:line="128" w:lineRule="exact"/>
        <w:rPr>
          <w:sz w:val="20"/>
          <w:szCs w:val="20"/>
          <w:color w:val="auto"/>
        </w:rPr>
      </w:pPr>
    </w:p>
    <w:p>
      <w:pPr>
        <w:ind w:right="60" w:firstLine="428"/>
        <w:spacing w:after="0" w:line="23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and for the three months ended April 28, 2024 and April 30, 2023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months ended April 28, 2024 and April 30, 2023. These interim condensed consolidated financial statements should be read in conjunction with the consolidated financial statements and notes included in the Company’s annual report on Form 10-K for the fiscal year ended January 28, 2024.</w:t>
      </w:r>
    </w:p>
    <w:p>
      <w:pPr>
        <w:spacing w:after="0" w:line="128"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Analysis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April 28, 2024 and for the three months ended, no triggering events or indicators of asset impairment were noted.</w:t>
      </w:r>
    </w:p>
    <w:p>
      <w:pPr>
        <w:spacing w:after="0" w:line="16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D.</w:t>
        <w:tab/>
        <w:t>Inventory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consisting of purchased product, is valued at the lower of cost or net realizable value, under the first-in, first-out method. The</w:t>
      </w:r>
    </w:p>
    <w:p>
      <w:pPr>
        <w:spacing w:after="0" w:line="16" w:lineRule="exact"/>
        <w:rPr>
          <w:sz w:val="20"/>
          <w:szCs w:val="20"/>
          <w:color w:val="auto"/>
        </w:rPr>
      </w:pPr>
    </w:p>
    <w:p>
      <w:pPr>
        <w:jc w:val="both"/>
        <w:ind w:right="60"/>
        <w:spacing w:after="0" w:line="230" w:lineRule="auto"/>
        <w:rPr>
          <w:sz w:val="20"/>
          <w:szCs w:val="20"/>
          <w:color w:val="auto"/>
        </w:rPr>
      </w:pPr>
      <w:r>
        <w:rPr>
          <w:rFonts w:ascii="Times New Roman" w:cs="Times New Roman" w:eastAsia="Times New Roman" w:hAnsi="Times New Roman"/>
          <w:sz w:val="18"/>
          <w:szCs w:val="18"/>
          <w:color w:val="auto"/>
        </w:rPr>
        <w:t>significant estimates used in inventory valuation are obsolescence (including excess and slow-moving inventory and lower of cost or market reserves) and estimates of inventory shrinkage. Both estimates have calculations that require the Company to make assumptions and apply judgment regarding a number of factors, including market conditions, the selling environment, historical results and current inventory trends. Inventory is adjusted periodically to reflect current market conditions, which requires management’s judgment that may significantly affect the ending inventory valuation, as well as gross margin.</w:t>
      </w:r>
    </w:p>
    <w:p>
      <w:pPr>
        <w:spacing w:after="0" w:line="145" w:lineRule="exact"/>
        <w:rPr>
          <w:sz w:val="20"/>
          <w:szCs w:val="20"/>
          <w:color w:val="auto"/>
        </w:rPr>
      </w:pPr>
    </w:p>
    <w:p>
      <w:pPr>
        <w:jc w:val="both"/>
        <w:ind w:right="120" w:firstLine="648"/>
        <w:spacing w:after="0" w:line="242" w:lineRule="auto"/>
        <w:rPr>
          <w:sz w:val="20"/>
          <w:szCs w:val="20"/>
          <w:color w:val="auto"/>
        </w:rPr>
      </w:pPr>
      <w:r>
        <w:rPr>
          <w:rFonts w:ascii="Times New Roman" w:cs="Times New Roman" w:eastAsia="Times New Roman" w:hAnsi="Times New Roman"/>
          <w:sz w:val="18"/>
          <w:szCs w:val="18"/>
          <w:color w:val="auto"/>
        </w:rPr>
        <w:t>The reserve for inventory shrinkage is adjusted to reflect the trend of historical physical inventory count results. The Company performs its retail store physical inventory counts in July and the difference between actual and estimated shrinkage, recorded in Cost of goods sold, may cause fluctuations in second fiscal quarter results.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3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Prepaid Expenses and Other Assets</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6"/>
        </w:trPr>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2"/>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Prepaid expenses &amp; other current assets</w:t>
            </w:r>
          </w:p>
        </w:tc>
        <w:tc>
          <w:tcPr>
            <w:tcW w:w="14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Pending returns inventory, net</w:t>
            </w:r>
          </w:p>
        </w:tc>
        <w:tc>
          <w:tcPr>
            <w:tcW w:w="2980" w:type="dxa"/>
            <w:vAlign w:val="bottom"/>
            <w:gridSpan w:val="2"/>
          </w:tcPr>
          <w:p>
            <w:pPr>
              <w:jc w:val="right"/>
              <w:ind w:right="1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2,108</w:t>
            </w:r>
          </w:p>
        </w:tc>
        <w:tc>
          <w:tcPr>
            <w:tcW w:w="260" w:type="dxa"/>
            <w:vAlign w:val="bottom"/>
          </w:tcPr>
          <w:p>
            <w:pPr>
              <w:spacing w:after="0"/>
              <w:rPr>
                <w:sz w:val="17"/>
                <w:szCs w:val="17"/>
                <w:color w:val="auto"/>
              </w:rPr>
            </w:pP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2,778</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software hosting implementation costs, net</w:t>
            </w:r>
          </w:p>
        </w:tc>
        <w:tc>
          <w:tcPr>
            <w:tcW w:w="14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3,702</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3,353</w:t>
            </w:r>
          </w:p>
        </w:tc>
      </w:tr>
      <w:tr>
        <w:trPr>
          <w:trHeight w:val="203"/>
        </w:trPr>
        <w:tc>
          <w:tcPr>
            <w:tcW w:w="522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prepaid expenses</w:t>
            </w:r>
          </w:p>
        </w:tc>
        <w:tc>
          <w:tcPr>
            <w:tcW w:w="14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11,727</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10,357</w:t>
            </w:r>
          </w:p>
        </w:tc>
      </w:tr>
      <w:tr>
        <w:trPr>
          <w:trHeight w:val="183"/>
        </w:trPr>
        <w:tc>
          <w:tcPr>
            <w:tcW w:w="5220" w:type="dxa"/>
            <w:vAlign w:val="bottom"/>
            <w:tcBorders>
              <w:bottom w:val="single" w:sz="8" w:color="CCEEFF"/>
            </w:tcBorders>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Prepaid expenses &amp; other current assets</w:t>
            </w:r>
          </w:p>
        </w:tc>
        <w:tc>
          <w:tcPr>
            <w:tcW w:w="14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140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17,537</w:t>
            </w: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16,488</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70"/>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Other assets, net</w:t>
            </w:r>
          </w:p>
        </w:tc>
        <w:tc>
          <w:tcPr>
            <w:tcW w:w="14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2980" w:type="dxa"/>
            <w:vAlign w:val="bottom"/>
            <w:gridSpan w:val="2"/>
          </w:tcPr>
          <w:p>
            <w:pPr>
              <w:jc w:val="right"/>
              <w:ind w:right="1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c>
          <w:tcPr>
            <w:tcW w:w="260" w:type="dxa"/>
            <w:vAlign w:val="bottom"/>
          </w:tcPr>
          <w:p>
            <w:pPr>
              <w:spacing w:after="0"/>
              <w:rPr>
                <w:sz w:val="17"/>
                <w:szCs w:val="17"/>
                <w:color w:val="auto"/>
              </w:rPr>
            </w:pP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Intangible assets, net</w:t>
            </w:r>
          </w:p>
        </w:tc>
        <w:tc>
          <w:tcPr>
            <w:tcW w:w="14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428</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436</w:t>
            </w: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Non-current software hosting implementation costs</w:t>
            </w:r>
          </w:p>
        </w:tc>
        <w:tc>
          <w:tcPr>
            <w:tcW w:w="1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7,403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6,705</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1,396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1,477</w:t>
            </w:r>
          </w:p>
        </w:tc>
      </w:tr>
      <w:tr>
        <w:trPr>
          <w:trHeight w:val="183"/>
        </w:trPr>
        <w:tc>
          <w:tcPr>
            <w:tcW w:w="522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tcPr>
          <w:p>
            <w:pPr>
              <w:spacing w:after="0"/>
              <w:rPr>
                <w:sz w:val="15"/>
                <w:szCs w:val="15"/>
                <w:color w:val="auto"/>
              </w:rPr>
            </w:pPr>
          </w:p>
        </w:tc>
        <w:tc>
          <w:tcPr>
            <w:tcW w:w="1560" w:type="dxa"/>
            <w:vAlign w:val="bottom"/>
            <w:tcBorders>
              <w:bottom w:val="single" w:sz="8" w:color="auto"/>
            </w:tcBorders>
          </w:tcPr>
          <w:p>
            <w:pPr>
              <w:jc w:val="right"/>
              <w:ind w:right="140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9,629</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9,020</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175" w:lineRule="exact"/>
        <w:rPr>
          <w:sz w:val="20"/>
          <w:szCs w:val="20"/>
          <w:color w:val="auto"/>
        </w:rPr>
      </w:pPr>
    </w:p>
    <w:p>
      <w:pPr>
        <w:ind w:right="280" w:firstLine="428"/>
        <w:spacing w:after="0" w:line="250" w:lineRule="auto"/>
        <w:rPr>
          <w:sz w:val="20"/>
          <w:szCs w:val="20"/>
          <w:color w:val="auto"/>
        </w:rPr>
      </w:pPr>
      <w:r>
        <w:rPr>
          <w:rFonts w:ascii="Times New Roman" w:cs="Times New Roman" w:eastAsia="Times New Roman" w:hAnsi="Times New Roman"/>
          <w:sz w:val="18"/>
          <w:szCs w:val="18"/>
          <w:color w:val="auto"/>
        </w:rPr>
        <w:t>The Company’s business is affected by the pattern of seasonality common to most apparel businesses. Historically, the Company has recognized a significant portion of its revenue and operating profit in the fourth fiscal quarter of each year due to increased sales during the holiday season.</w:t>
      </w:r>
    </w:p>
    <w:p>
      <w:pPr>
        <w:spacing w:after="0" w:line="13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G.</w:t>
        <w:tab/>
        <w:t>Cash and Cash Equivalents</w:t>
      </w:r>
    </w:p>
    <w:p>
      <w:pPr>
        <w:spacing w:after="0" w:line="175" w:lineRule="exact"/>
        <w:rPr>
          <w:sz w:val="20"/>
          <w:szCs w:val="20"/>
          <w:color w:val="auto"/>
        </w:rPr>
      </w:pPr>
    </w:p>
    <w:p>
      <w:pPr>
        <w:ind w:right="360" w:firstLine="428"/>
        <w:spacing w:after="0" w:line="242" w:lineRule="auto"/>
        <w:rPr>
          <w:sz w:val="20"/>
          <w:szCs w:val="20"/>
          <w:color w:val="auto"/>
        </w:rPr>
      </w:pPr>
      <w:r>
        <w:rPr>
          <w:rFonts w:ascii="Times New Roman" w:cs="Times New Roman" w:eastAsia="Times New Roman" w:hAnsi="Times New Roman"/>
          <w:sz w:val="18"/>
          <w:szCs w:val="18"/>
          <w:color w:val="auto"/>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spacing w:after="0" w:line="12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H.</w:t>
      </w:r>
      <w:r>
        <w:rPr>
          <w:sz w:val="20"/>
          <w:szCs w:val="20"/>
          <w:color w:val="auto"/>
        </w:rPr>
        <w:tab/>
      </w:r>
      <w:r>
        <w:rPr>
          <w:rFonts w:ascii="Times New Roman" w:cs="Times New Roman" w:eastAsia="Times New Roman" w:hAnsi="Times New Roman"/>
          <w:sz w:val="17"/>
          <w:szCs w:val="17"/>
          <w:b w:val="1"/>
          <w:bCs w:val="1"/>
          <w:i w:val="1"/>
          <w:iCs w:val="1"/>
          <w:color w:val="auto"/>
        </w:rPr>
        <w:t>Significant Accounting Policies</w:t>
      </w:r>
    </w:p>
    <w:p>
      <w:pPr>
        <w:spacing w:after="0" w:line="175" w:lineRule="exact"/>
        <w:rPr>
          <w:sz w:val="20"/>
          <w:szCs w:val="20"/>
          <w:color w:val="auto"/>
        </w:rPr>
      </w:pPr>
    </w:p>
    <w:p>
      <w:pPr>
        <w:ind w:right="100" w:firstLine="428"/>
        <w:spacing w:after="0" w:line="250" w:lineRule="auto"/>
        <w:rPr>
          <w:sz w:val="20"/>
          <w:szCs w:val="20"/>
          <w:color w:val="auto"/>
        </w:rPr>
      </w:pPr>
      <w:r>
        <w:rPr>
          <w:rFonts w:ascii="Times New Roman" w:cs="Times New Roman" w:eastAsia="Times New Roman" w:hAnsi="Times New Roman"/>
          <w:sz w:val="18"/>
          <w:szCs w:val="18"/>
          <w:color w:val="auto"/>
        </w:rPr>
        <w:t>There have been no significant changes to the Company’s significant accounting policies as described in the Company’s Annual Report on Form 10-K for the year ended January 28, 2024.</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LEASES</w:t>
      </w:r>
    </w:p>
    <w:p>
      <w:pPr>
        <w:spacing w:after="0" w:line="160" w:lineRule="exact"/>
        <w:rPr>
          <w:sz w:val="20"/>
          <w:szCs w:val="20"/>
          <w:color w:val="auto"/>
        </w:rPr>
      </w:pPr>
    </w:p>
    <w:p>
      <w:pPr>
        <w:ind w:right="340" w:firstLine="492"/>
        <w:spacing w:after="0" w:line="233" w:lineRule="auto"/>
        <w:rPr>
          <w:sz w:val="20"/>
          <w:szCs w:val="20"/>
          <w:color w:val="auto"/>
        </w:rPr>
      </w:pPr>
      <w:r>
        <w:rPr>
          <w:rFonts w:ascii="Times New Roman" w:cs="Times New Roman" w:eastAsia="Times New Roman" w:hAnsi="Times New Roman"/>
          <w:sz w:val="18"/>
          <w:szCs w:val="18"/>
          <w:color w:val="auto"/>
        </w:rPr>
        <w:t xml:space="preserve">Based on the criteria set forth 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recognizes right-of-use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46" w:lineRule="exact"/>
        <w:rPr>
          <w:sz w:val="20"/>
          <w:szCs w:val="20"/>
          <w:color w:val="auto"/>
        </w:rPr>
      </w:pPr>
    </w:p>
    <w:p>
      <w:pPr>
        <w:ind w:right="180" w:firstLine="492"/>
        <w:spacing w:after="0" w:line="236" w:lineRule="auto"/>
        <w:rPr>
          <w:sz w:val="20"/>
          <w:szCs w:val="20"/>
          <w:color w:val="auto"/>
        </w:rPr>
      </w:pPr>
      <w:r>
        <w:rPr>
          <w:rFonts w:ascii="Times New Roman" w:cs="Times New Roman" w:eastAsia="Times New Roman" w:hAnsi="Times New Roman"/>
          <w:sz w:val="18"/>
          <w:szCs w:val="18"/>
          <w:color w:val="auto"/>
        </w:rPr>
        <w:t>The Company leases retail space under non-cancelable lease agreements, which expire on various dates through 2036.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44" w:lineRule="exact"/>
        <w:rPr>
          <w:sz w:val="20"/>
          <w:szCs w:val="20"/>
          <w:color w:val="auto"/>
        </w:rPr>
      </w:pPr>
    </w:p>
    <w:p>
      <w:pPr>
        <w:ind w:right="560" w:firstLine="492"/>
        <w:spacing w:after="0" w:line="250" w:lineRule="auto"/>
        <w:rPr>
          <w:sz w:val="20"/>
          <w:szCs w:val="20"/>
          <w:color w:val="auto"/>
        </w:rPr>
      </w:pPr>
      <w:r>
        <w:rPr>
          <w:rFonts w:ascii="Times New Roman" w:cs="Times New Roman" w:eastAsia="Times New Roman" w:hAnsi="Times New Roman"/>
          <w:sz w:val="18"/>
          <w:szCs w:val="18"/>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136" w:lineRule="exact"/>
        <w:rPr>
          <w:sz w:val="20"/>
          <w:szCs w:val="20"/>
          <w:color w:val="auto"/>
        </w:rPr>
      </w:pPr>
    </w:p>
    <w:p>
      <w:pPr>
        <w:ind w:right="200" w:firstLine="492"/>
        <w:spacing w:after="0" w:line="250" w:lineRule="auto"/>
        <w:rPr>
          <w:sz w:val="20"/>
          <w:szCs w:val="20"/>
          <w:color w:val="auto"/>
        </w:rPr>
      </w:pPr>
      <w:r>
        <w:rPr>
          <w:rFonts w:ascii="Times New Roman" w:cs="Times New Roman" w:eastAsia="Times New Roman" w:hAnsi="Times New Roman"/>
          <w:sz w:val="18"/>
          <w:szCs w:val="18"/>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expense components of the Company’s leases reflected on the Company’s consolidated statement of operations were as follows: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26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Consolidated Statement</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66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of Operations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540" w:type="dxa"/>
            <w:vAlign w:val="bottom"/>
          </w:tcPr>
          <w:p>
            <w:pPr>
              <w:spacing w:after="0"/>
              <w:rPr>
                <w:sz w:val="17"/>
                <w:szCs w:val="17"/>
                <w:color w:val="auto"/>
              </w:rPr>
            </w:pPr>
          </w:p>
        </w:tc>
        <w:tc>
          <w:tcPr>
            <w:tcW w:w="14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9"/>
              </w:rPr>
              <w:t>April 30, 2023</w:t>
            </w:r>
          </w:p>
        </w:tc>
        <w:tc>
          <w:tcPr>
            <w:tcW w:w="0" w:type="dxa"/>
            <w:vAlign w:val="bottom"/>
          </w:tcPr>
          <w:p>
            <w:pPr>
              <w:spacing w:after="0"/>
              <w:rPr>
                <w:sz w:val="1"/>
                <w:szCs w:val="1"/>
                <w:color w:val="auto"/>
              </w:rPr>
            </w:pPr>
          </w:p>
        </w:tc>
      </w:tr>
      <w:tr>
        <w:trPr>
          <w:trHeight w:val="191"/>
        </w:trPr>
        <w:tc>
          <w:tcPr>
            <w:tcW w:w="4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expenses</w:t>
            </w:r>
          </w:p>
        </w:tc>
        <w:tc>
          <w:tcPr>
            <w:tcW w:w="2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ind w:left="140"/>
              <w:spacing w:after="0" w:line="157" w:lineRule="exact"/>
              <w:rPr>
                <w:sz w:val="20"/>
                <w:szCs w:val="20"/>
                <w:color w:val="auto"/>
              </w:rPr>
            </w:pPr>
            <w:r>
              <w:rPr>
                <w:rFonts w:ascii="Times New Roman" w:cs="Times New Roman" w:eastAsia="Times New Roman" w:hAnsi="Times New Roman"/>
                <w:sz w:val="18"/>
                <w:szCs w:val="18"/>
                <w:color w:val="auto"/>
              </w:rPr>
              <w:t>Amortization of right-of-use</w:t>
            </w:r>
          </w:p>
        </w:tc>
        <w:tc>
          <w:tcPr>
            <w:tcW w:w="2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4240" w:type="dxa"/>
            <w:vAlign w:val="bottom"/>
            <w:vMerge w:val="continue"/>
            <w:shd w:val="clear" w:color="auto" w:fill="CCEEFF"/>
          </w:tcPr>
          <w:p>
            <w:pPr>
              <w:spacing w:after="0"/>
              <w:rPr>
                <w:sz w:val="14"/>
                <w:szCs w:val="14"/>
                <w:color w:val="auto"/>
              </w:rPr>
            </w:pPr>
          </w:p>
        </w:tc>
        <w:tc>
          <w:tcPr>
            <w:tcW w:w="2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540" w:type="dxa"/>
            <w:vAlign w:val="bottom"/>
            <w:gridSpan w:val="2"/>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4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68"/>
        </w:trPr>
        <w:tc>
          <w:tcPr>
            <w:tcW w:w="4240" w:type="dxa"/>
            <w:vAlign w:val="bottom"/>
            <w:shd w:val="clear" w:color="auto" w:fill="CCEEFF"/>
          </w:tcPr>
          <w:p>
            <w:pPr>
              <w:spacing w:after="0"/>
              <w:rPr>
                <w:sz w:val="5"/>
                <w:szCs w:val="5"/>
                <w:color w:val="auto"/>
              </w:rPr>
            </w:pPr>
          </w:p>
        </w:tc>
        <w:tc>
          <w:tcPr>
            <w:tcW w:w="2660" w:type="dxa"/>
            <w:vAlign w:val="bottom"/>
            <w:vMerge w:val="continue"/>
            <w:shd w:val="clear" w:color="auto" w:fill="CCEEFF"/>
          </w:tcPr>
          <w:p>
            <w:pPr>
              <w:spacing w:after="0"/>
              <w:rPr>
                <w:sz w:val="5"/>
                <w:szCs w:val="5"/>
                <w:color w:val="auto"/>
              </w:rPr>
            </w:pPr>
          </w:p>
        </w:tc>
        <w:tc>
          <w:tcPr>
            <w:tcW w:w="540" w:type="dxa"/>
            <w:vAlign w:val="bottom"/>
            <w:gridSpan w:val="2"/>
            <w:vMerge w:val="continue"/>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2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240" w:type="dxa"/>
            <w:vAlign w:val="bottom"/>
          </w:tcPr>
          <w:p>
            <w:pPr>
              <w:spacing w:after="0"/>
              <w:rPr>
                <w:sz w:val="20"/>
                <w:szCs w:val="20"/>
                <w:color w:val="auto"/>
              </w:rPr>
            </w:pP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Amortization of build-to-suit</w:t>
            </w:r>
          </w:p>
        </w:tc>
        <w:tc>
          <w:tcPr>
            <w:tcW w:w="2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leases capital contribution</w:t>
            </w:r>
          </w:p>
        </w:tc>
        <w:tc>
          <w:tcPr>
            <w:tcW w:w="26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4240" w:type="dxa"/>
            <w:vAlign w:val="bottom"/>
            <w:vMerge w:val="continue"/>
            <w:shd w:val="clear" w:color="auto" w:fill="CCEEFF"/>
          </w:tcPr>
          <w:p>
            <w:pPr>
              <w:spacing w:after="0"/>
              <w:rPr>
                <w:sz w:val="14"/>
                <w:szCs w:val="14"/>
                <w:color w:val="auto"/>
              </w:rPr>
            </w:pPr>
          </w:p>
        </w:tc>
        <w:tc>
          <w:tcPr>
            <w:tcW w:w="2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67"/>
        </w:trPr>
        <w:tc>
          <w:tcPr>
            <w:tcW w:w="4240" w:type="dxa"/>
            <w:vAlign w:val="bottom"/>
            <w:shd w:val="clear" w:color="auto" w:fill="CCEEFF"/>
          </w:tcPr>
          <w:p>
            <w:pPr>
              <w:spacing w:after="0"/>
              <w:rPr>
                <w:sz w:val="5"/>
                <w:szCs w:val="5"/>
                <w:color w:val="auto"/>
              </w:rPr>
            </w:pPr>
          </w:p>
        </w:tc>
        <w:tc>
          <w:tcPr>
            <w:tcW w:w="26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40" w:type="dxa"/>
            <w:vAlign w:val="bottom"/>
            <w:tcBorders>
              <w:bottom w:val="single" w:sz="8" w:color="CCEEFF"/>
            </w:tcBorders>
          </w:tcPr>
          <w:p>
            <w:pPr>
              <w:spacing w:after="0"/>
              <w:rPr>
                <w:sz w:val="20"/>
                <w:szCs w:val="20"/>
                <w:color w:val="auto"/>
              </w:rPr>
            </w:pPr>
          </w:p>
        </w:tc>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2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lease expense</w:t>
            </w:r>
          </w:p>
        </w:tc>
        <w:tc>
          <w:tcPr>
            <w:tcW w:w="2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9,583</w:t>
            </w:r>
          </w:p>
        </w:tc>
        <w:tc>
          <w:tcPr>
            <w:tcW w:w="2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9,563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66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42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2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information related to leases were as follows:</w:t>
      </w:r>
    </w:p>
    <w:p>
      <w:pPr>
        <w:spacing w:after="0" w:line="273"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16510</wp:posOffset>
            </wp:positionV>
            <wp:extent cx="26828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5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196"/>
        </w:trPr>
        <w:tc>
          <w:tcPr>
            <w:tcW w:w="6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80" w:type="dxa"/>
            <w:vAlign w:val="bottom"/>
            <w:gridSpan w:val="2"/>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80" w:type="dxa"/>
            <w:vAlign w:val="bottom"/>
            <w:gridSpan w:val="2"/>
            <w:shd w:val="clear" w:color="auto" w:fill="CCEEFF"/>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80" w:type="dxa"/>
            <w:vAlign w:val="bottom"/>
            <w:gridSpan w:val="2"/>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20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280" w:type="dxa"/>
            <w:vAlign w:val="bottom"/>
            <w:gridSpan w:val="2"/>
            <w:shd w:val="clear" w:color="auto" w:fill="CCEEFF"/>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line="216" w:lineRule="exact"/>
              <w:rPr>
                <w:sz w:val="20"/>
                <w:szCs w:val="20"/>
                <w:color w:val="auto"/>
              </w:rPr>
            </w:pPr>
            <w:r>
              <w:rPr>
                <w:rFonts w:ascii="Calibri" w:cs="Calibri" w:eastAsia="Calibri" w:hAnsi="Calibri"/>
                <w:sz w:val="20"/>
                <w:szCs w:val="20"/>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16"/>
        </w:trPr>
        <w:tc>
          <w:tcPr>
            <w:tcW w:w="6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3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the non-cancellable leases are as follows as of April 28,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340" w:type="dxa"/>
            <w:vAlign w:val="bottom"/>
          </w:tcPr>
          <w:p>
            <w:pPr>
              <w:spacing w:after="0"/>
              <w:rPr>
                <w:sz w:val="19"/>
                <w:szCs w:val="19"/>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196"/>
        </w:trPr>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(remainder of fiscal year)</w:t>
            </w:r>
          </w:p>
        </w:tc>
        <w:tc>
          <w:tcPr>
            <w:tcW w:w="326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20,612</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19,659</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46,792</w:t>
            </w: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2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45,906</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138,041</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 – Discount</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(9,218)</w:t>
            </w: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0" w:type="dxa"/>
            <w:vAlign w:val="bottom"/>
          </w:tcPr>
          <w:p>
            <w:pPr>
              <w:spacing w:after="0"/>
              <w:rPr>
                <w:sz w:val="1"/>
                <w:szCs w:val="1"/>
                <w:color w:val="auto"/>
              </w:rPr>
            </w:pPr>
          </w:p>
        </w:tc>
      </w:tr>
      <w:tr>
        <w:trPr>
          <w:trHeight w:val="183"/>
        </w:trPr>
        <w:tc>
          <w:tcPr>
            <w:tcW w:w="41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Lease liability</w:t>
            </w:r>
          </w:p>
        </w:tc>
        <w:tc>
          <w:tcPr>
            <w:tcW w:w="26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36,688</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118,807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8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1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1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ind w:left="440" w:right="8020" w:hanging="432"/>
        <w:spacing w:after="0" w:line="500" w:lineRule="auto"/>
        <w:tabs>
          <w:tab w:leader="none" w:pos="327"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AND CREDIT AGREEMENT </w:t>
      </w:r>
      <w:r>
        <w:rPr>
          <w:rFonts w:ascii="Times New Roman" w:cs="Times New Roman" w:eastAsia="Times New Roman" w:hAnsi="Times New Roman"/>
          <w:sz w:val="17"/>
          <w:szCs w:val="17"/>
          <w:color w:val="auto"/>
        </w:rPr>
        <w:t>Debt consists of the following: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200" w:type="dxa"/>
            <w:vAlign w:val="bottom"/>
          </w:tcPr>
          <w:p>
            <w:pPr>
              <w:spacing w:after="0"/>
              <w:rPr>
                <w:sz w:val="16"/>
                <w:szCs w:val="16"/>
                <w:color w:val="auto"/>
              </w:rPr>
            </w:pPr>
          </w:p>
        </w:tc>
        <w:tc>
          <w:tcPr>
            <w:tcW w:w="15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6"/>
        </w:trPr>
        <w:tc>
          <w:tcPr>
            <w:tcW w:w="7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Senior Secured Note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22,488</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TRI Note</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196"/>
        </w:trPr>
        <w:tc>
          <w:tcPr>
            <w:tcW w:w="76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25,800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25,988</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TRI long-term debt</w:t>
            </w:r>
          </w:p>
        </w:tc>
        <w:tc>
          <w:tcPr>
            <w:tcW w:w="260" w:type="dxa"/>
            <w:vAlign w:val="bottom"/>
            <w:tcBorders>
              <w:bottom w:val="single" w:sz="8" w:color="auto"/>
            </w:tcBorders>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24,933</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25,141</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0"/>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2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Duluth Line of credit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Duluth long-term debt</w:t>
            </w:r>
          </w:p>
        </w:tc>
        <w:tc>
          <w:tcPr>
            <w:tcW w:w="260" w:type="dxa"/>
            <w:vAlign w:val="bottom"/>
            <w:tcBorders>
              <w:bottom w:val="single" w:sz="8" w:color="auto"/>
            </w:tcBorders>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 Holdings, LLC</w:t>
      </w:r>
    </w:p>
    <w:p>
      <w:pPr>
        <w:spacing w:after="0" w:line="175" w:lineRule="exact"/>
        <w:rPr>
          <w:sz w:val="20"/>
          <w:szCs w:val="20"/>
          <w:color w:val="auto"/>
        </w:rPr>
      </w:pPr>
    </w:p>
    <w:p>
      <w:pPr>
        <w:jc w:val="both"/>
        <w:ind w:right="460" w:firstLine="428"/>
        <w:spacing w:after="0" w:line="242" w:lineRule="auto"/>
        <w:rPr>
          <w:sz w:val="20"/>
          <w:szCs w:val="20"/>
          <w:color w:val="auto"/>
        </w:rPr>
      </w:pPr>
      <w:r>
        <w:rPr>
          <w:rFonts w:ascii="Times New Roman" w:cs="Times New Roman" w:eastAsia="Times New Roman" w:hAnsi="Times New Roman"/>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43" w:lineRule="exact"/>
        <w:rPr>
          <w:sz w:val="20"/>
          <w:szCs w:val="20"/>
          <w:color w:val="auto"/>
        </w:rPr>
      </w:pPr>
    </w:p>
    <w:p>
      <w:pPr>
        <w:ind w:right="220" w:firstLine="428"/>
        <w:spacing w:after="0" w:line="250" w:lineRule="auto"/>
        <w:rPr>
          <w:sz w:val="20"/>
          <w:szCs w:val="20"/>
          <w:color w:val="auto"/>
        </w:rPr>
      </w:pPr>
      <w:r>
        <w:rPr>
          <w:rFonts w:ascii="Times New Roman" w:cs="Times New Roman" w:eastAsia="Times New Roman" w:hAnsi="Times New Roman"/>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While the above notes are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obligor of these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right="40" w:firstLine="428"/>
        <w:spacing w:after="0" w:line="229" w:lineRule="auto"/>
        <w:rPr>
          <w:sz w:val="20"/>
          <w:szCs w:val="20"/>
          <w:color w:val="auto"/>
        </w:rPr>
      </w:pPr>
      <w:r>
        <w:rPr>
          <w:rFonts w:ascii="Times New Roman" w:cs="Times New Roman" w:eastAsia="Times New Roman" w:hAnsi="Times New Roman"/>
          <w:sz w:val="18"/>
          <w:szCs w:val="18"/>
          <w:color w:val="auto"/>
        </w:rPr>
        <w:t>On May 14, 2021, the Company entered into a credit agreement (the “Credit Agreement”), which was treated as a modification for accounting purposes. The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Credit Agreement was secured by essentially all Company assets and requires the Company to maintain compliance with certain financial and non-financial covenants, including a maximum rent adjusted leverage ratio and a minimum fixed charge coverage ratio as defined in the Credit Agreement.</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July 8, 2022, the Company entered into the First Amendment to the Credit Agreement (the “First Amendment”), which was treated as a</w:t>
      </w:r>
    </w:p>
    <w:p>
      <w:pPr>
        <w:spacing w:after="0" w:line="237" w:lineRule="auto"/>
        <w:rPr>
          <w:sz w:val="20"/>
          <w:szCs w:val="20"/>
          <w:color w:val="auto"/>
        </w:rPr>
      </w:pPr>
      <w:r>
        <w:rPr>
          <w:rFonts w:ascii="Times New Roman" w:cs="Times New Roman" w:eastAsia="Times New Roman" w:hAnsi="Times New Roman"/>
          <w:sz w:val="18"/>
          <w:szCs w:val="18"/>
          <w:color w:val="auto"/>
        </w:rPr>
        <w:t>modification for accounting purposes. The First Amendment amends the Credit Agreement in order to (i) increase the revolving commitment from</w:t>
      </w:r>
    </w:p>
    <w:p>
      <w:pPr>
        <w:spacing w:after="0" w:line="219" w:lineRule="auto"/>
        <w:rPr>
          <w:sz w:val="20"/>
          <w:szCs w:val="20"/>
          <w:color w:val="auto"/>
        </w:rPr>
      </w:pPr>
      <w:r>
        <w:rPr>
          <w:rFonts w:ascii="Times New Roman" w:cs="Times New Roman" w:eastAsia="Times New Roman" w:hAnsi="Times New Roman"/>
          <w:sz w:val="18"/>
          <w:szCs w:val="18"/>
          <w:color w:val="auto"/>
        </w:rPr>
        <w:t>$150.0 million to $200.0 million; (ii) extend the maturity date from May 14, 2026 to July 8, 2027; (iii) amend the pricing index to replace BSBY with the</w:t>
      </w:r>
    </w:p>
    <w:p>
      <w:pPr>
        <w:spacing w:after="0"/>
        <w:rPr>
          <w:sz w:val="20"/>
          <w:szCs w:val="20"/>
          <w:color w:val="auto"/>
        </w:rPr>
      </w:pPr>
      <w:r>
        <w:rPr>
          <w:rFonts w:ascii="Times New Roman" w:cs="Times New Roman" w:eastAsia="Times New Roman" w:hAnsi="Times New Roman"/>
          <w:sz w:val="18"/>
          <w:szCs w:val="18"/>
          <w:color w:val="auto"/>
        </w:rPr>
        <w:t>Term Secured Overnight Financing Rate; and (iv) reduce the commitment fee in some instances.</w:t>
      </w:r>
    </w:p>
    <w:p>
      <w:pPr>
        <w:spacing w:after="0" w:line="151" w:lineRule="exact"/>
        <w:rPr>
          <w:sz w:val="20"/>
          <w:szCs w:val="20"/>
          <w:color w:val="auto"/>
        </w:rPr>
      </w:pPr>
    </w:p>
    <w:p>
      <w:pPr>
        <w:ind w:right="160" w:firstLine="428"/>
        <w:spacing w:after="0" w:line="250" w:lineRule="auto"/>
        <w:rPr>
          <w:sz w:val="20"/>
          <w:szCs w:val="20"/>
          <w:color w:val="auto"/>
        </w:rPr>
      </w:pPr>
      <w:r>
        <w:rPr>
          <w:rFonts w:ascii="Times New Roman" w:cs="Times New Roman" w:eastAsia="Times New Roman" w:hAnsi="Times New Roman"/>
          <w:sz w:val="18"/>
          <w:szCs w:val="18"/>
          <w:color w:val="auto"/>
        </w:rPr>
        <w:t>As of April 28, 2024 and for the three months then ended, the Company was in compliance with all financial and non-financial covenants contained within the Credit Agreement and the First Amendment.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ind w:left="440" w:right="5720" w:hanging="432"/>
        <w:spacing w:after="0" w:line="500" w:lineRule="auto"/>
        <w:tabs>
          <w:tab w:leader="none" w:pos="317"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 of the following: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220" w:type="dxa"/>
            <w:vAlign w:val="bottom"/>
          </w:tcPr>
          <w:p>
            <w:pPr>
              <w:spacing w:after="0"/>
              <w:rPr>
                <w:sz w:val="16"/>
                <w:szCs w:val="16"/>
                <w:color w:val="auto"/>
              </w:rPr>
            </w:pPr>
          </w:p>
        </w:tc>
        <w:tc>
          <w:tcPr>
            <w:tcW w:w="15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2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Product returns</w:t>
            </w: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purchases of property &amp; equipment</w:t>
            </w: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w:t>
            </w:r>
          </w:p>
        </w:tc>
      </w:tr>
      <w:tr>
        <w:trPr>
          <w:trHeight w:val="183"/>
        </w:trPr>
        <w:tc>
          <w:tcPr>
            <w:tcW w:w="56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960" w:type="dxa"/>
            <w:vAlign w:val="bottom"/>
          </w:tcPr>
          <w:p>
            <w:pPr>
              <w:spacing w:after="0"/>
              <w:rPr>
                <w:sz w:val="15"/>
                <w:szCs w:val="15"/>
                <w:color w:val="auto"/>
              </w:rPr>
            </w:pPr>
          </w:p>
        </w:tc>
        <w:tc>
          <w:tcPr>
            <w:tcW w:w="260" w:type="dxa"/>
            <w:vAlign w:val="bottom"/>
            <w:tcBorders>
              <w:bottom w:val="single" w:sz="8" w:color="auto"/>
            </w:tcBorders>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26,366</w:t>
            </w: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30,930</w:t>
            </w:r>
          </w:p>
        </w:tc>
      </w:tr>
      <w:tr>
        <w:trPr>
          <w:trHeight w:val="20"/>
        </w:trPr>
        <w:tc>
          <w:tcPr>
            <w:tcW w:w="5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173" w:lineRule="exact"/>
        <w:rPr>
          <w:sz w:val="20"/>
          <w:szCs w:val="20"/>
          <w:color w:val="auto"/>
        </w:rPr>
      </w:pPr>
    </w:p>
    <w:p>
      <w:pPr>
        <w:ind w:right="60" w:firstLine="440"/>
        <w:spacing w:after="0" w:line="233"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71" w:lineRule="exact"/>
        <w:rPr>
          <w:sz w:val="20"/>
          <w:szCs w:val="20"/>
          <w:color w:val="auto"/>
        </w:rPr>
      </w:pPr>
    </w:p>
    <w:p>
      <w:pPr>
        <w:ind w:right="180" w:firstLine="440"/>
        <w:spacing w:after="0" w:line="242"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71" w:lineRule="exact"/>
        <w:rPr>
          <w:sz w:val="20"/>
          <w:szCs w:val="20"/>
          <w:color w:val="auto"/>
        </w:rPr>
      </w:pPr>
    </w:p>
    <w:p>
      <w:pPr>
        <w:ind w:right="60" w:firstLine="440"/>
        <w:spacing w:after="0" w:line="233"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are categorized as Level 1 or Level 3 instruments. The fair value of the Company’s money market account is obtained from real-time quotes for transactions in active exchange markets involving identical assets (Level 1). The fair value of the Company’s available-for-sale security was valued based on a discounted cash flow method (Level 3), which incorporates the U.S. Treasury yield curve, credit information and an estimate of future cash flows. During the three months ended April 28, 2024, certain changes in the inputs did impact the fair value of the available-for-sale security. The calculated fair value is based on estimates that are subjective in nature and involve uncertainties and matters of significant judgement and, therefore, cannot be determined with precision. Changes in assumptions could significantly affect the estimates.</w:t>
      </w:r>
    </w:p>
    <w:p>
      <w:pPr>
        <w:spacing w:after="0" w:line="158" w:lineRule="exact"/>
        <w:rPr>
          <w:sz w:val="20"/>
          <w:szCs w:val="20"/>
          <w:color w:val="auto"/>
        </w:rPr>
      </w:pPr>
    </w:p>
    <w:p>
      <w:pPr>
        <w:ind w:right="300" w:firstLine="440"/>
        <w:spacing w:after="0" w:line="250" w:lineRule="auto"/>
        <w:rPr>
          <w:sz w:val="20"/>
          <w:szCs w:val="20"/>
          <w:color w:val="auto"/>
        </w:rPr>
      </w:pPr>
      <w:r>
        <w:rPr>
          <w:rFonts w:ascii="Times New Roman" w:cs="Times New Roman" w:eastAsia="Times New Roman" w:hAnsi="Times New Roman"/>
          <w:sz w:val="18"/>
          <w:szCs w:val="18"/>
          <w:color w:val="auto"/>
        </w:rPr>
        <w:t>The amortized cost and fair value of the Company’s money market account and available-for-sale security and the corresponding amount of gross unrealized gains and losses recognized in accumulated other comprehensive income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0"/>
        </w:trPr>
        <w:tc>
          <w:tcPr>
            <w:tcW w:w="3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Pr>
          <w:p>
            <w:pPr>
              <w:spacing w:after="0"/>
              <w:rPr>
                <w:sz w:val="17"/>
                <w:szCs w:val="17"/>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0" w:type="dxa"/>
            <w:vAlign w:val="bottom"/>
          </w:tcPr>
          <w:p>
            <w:pPr>
              <w:spacing w:after="0"/>
              <w:rPr>
                <w:sz w:val="18"/>
                <w:szCs w:val="18"/>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2"/>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0" w:type="dxa"/>
            <w:vAlign w:val="bottom"/>
          </w:tcPr>
          <w:p>
            <w:pPr>
              <w:spacing w:after="0"/>
              <w:rPr>
                <w:sz w:val="18"/>
                <w:szCs w:val="18"/>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3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2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Level 1 security:</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r>
      <w:tr>
        <w:trPr>
          <w:trHeight w:val="419"/>
        </w:trPr>
        <w:tc>
          <w:tcPr>
            <w:tcW w:w="3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20"/>
        </w:trPr>
        <w:tc>
          <w:tcPr>
            <w:tcW w:w="3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0"/>
        </w:trPr>
        <w:tc>
          <w:tcPr>
            <w:tcW w:w="3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3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2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Level 1 security:</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28,396</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28,396</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r>
    </w:tbl>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intend to sell the available-for-sale-security in the near term and does not believe that it will be required to sell the security.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its securities on a quarterly basis to monitor its exposure to other-than-temporary impairment.</w:t>
      </w:r>
    </w:p>
    <w:p>
      <w:pPr>
        <w:spacing w:after="0" w:line="138" w:lineRule="exact"/>
        <w:rPr>
          <w:sz w:val="20"/>
          <w:szCs w:val="20"/>
          <w:color w:val="auto"/>
        </w:rPr>
      </w:pPr>
    </w:p>
    <w:p>
      <w:pPr>
        <w:ind w:right="340" w:firstLine="492"/>
        <w:spacing w:after="0" w:line="266" w:lineRule="auto"/>
        <w:rPr>
          <w:sz w:val="20"/>
          <w:szCs w:val="20"/>
          <w:color w:val="auto"/>
        </w:rPr>
      </w:pPr>
      <w:r>
        <w:rPr>
          <w:rFonts w:ascii="Times New Roman" w:cs="Times New Roman" w:eastAsia="Times New Roman" w:hAnsi="Times New Roman"/>
          <w:sz w:val="18"/>
          <w:szCs w:val="18"/>
          <w:color w:val="auto"/>
        </w:rPr>
        <w:t>No other-than-temporary impairment was recorded in the unaudited condensed consolidated statements of operations for the three months ended April 28, 2024 or April 30, 2023.</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presents future principal receipts related to the Company’s available-for-sale security by contractual maturity as of April 28,</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8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9"/>
        </w:trPr>
        <w:tc>
          <w:tcPr>
            <w:tcW w:w="6080" w:type="dxa"/>
            <w:vAlign w:val="bottom"/>
          </w:tcPr>
          <w:p>
            <w:pPr>
              <w:spacing w:after="0"/>
              <w:rPr>
                <w:sz w:val="17"/>
                <w:szCs w:val="17"/>
                <w:color w:val="auto"/>
              </w:rPr>
            </w:pPr>
          </w:p>
        </w:tc>
        <w:tc>
          <w:tcPr>
            <w:tcW w:w="1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7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6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1860" w:type="dxa"/>
            <w:vAlign w:val="bottom"/>
            <w:shd w:val="clear" w:color="auto" w:fill="CCEEFF"/>
          </w:tcPr>
          <w:p>
            <w:pPr>
              <w:jc w:val="right"/>
              <w:ind w:right="167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8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16"/>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r>
      <w:tr>
        <w:trPr>
          <w:trHeight w:val="196"/>
        </w:trPr>
        <w:tc>
          <w:tcPr>
            <w:tcW w:w="60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shd w:val="clear" w:color="auto" w:fill="CCEEFF"/>
          </w:tcPr>
          <w:p>
            <w:pPr>
              <w:jc w:val="right"/>
              <w:ind w:right="167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5,508</w:t>
            </w:r>
          </w:p>
        </w:tc>
        <w:tc>
          <w:tcPr>
            <w:tcW w:w="3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4,798</w:t>
            </w:r>
          </w:p>
        </w:tc>
      </w:tr>
      <w:tr>
        <w:trPr>
          <w:trHeight w:val="20"/>
        </w:trPr>
        <w:tc>
          <w:tcPr>
            <w:tcW w:w="60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values and fair values of other financial instruments in the Consolidated Balance Sheets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10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060" w:type="dxa"/>
            <w:vAlign w:val="bottom"/>
            <w:tcBorders>
              <w:bottom w:val="single" w:sz="8" w:color="auto"/>
            </w:tcBorders>
          </w:tcPr>
          <w:p>
            <w:pPr>
              <w:spacing w:after="0"/>
              <w:rPr>
                <w:sz w:val="16"/>
                <w:szCs w:val="16"/>
                <w:color w:val="auto"/>
              </w:rPr>
            </w:pPr>
          </w:p>
        </w:tc>
      </w:tr>
      <w:tr>
        <w:trPr>
          <w:trHeight w:val="385"/>
        </w:trPr>
        <w:tc>
          <w:tcPr>
            <w:tcW w:w="4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24"/>
                <w:szCs w:val="24"/>
                <w:color w:val="auto"/>
              </w:rPr>
            </w:pP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50"/>
        </w:trPr>
        <w:tc>
          <w:tcPr>
            <w:tcW w:w="4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 including short-term portion</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25,800</w:t>
            </w:r>
          </w:p>
        </w:tc>
        <w:tc>
          <w:tcPr>
            <w:tcW w:w="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25,988</w:t>
            </w: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23,554</w:t>
            </w:r>
          </w:p>
        </w:tc>
      </w:tr>
    </w:tbl>
    <w:p>
      <w:pPr>
        <w:spacing w:after="0" w:line="3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The above long-term debt, including short-term portion is attributable to the consolidation of TRI in accordance with ASC Topic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was also based on a discounted cash flow method (Level 3) based on credit information and an estimate of future cash flows.</w:t>
      </w:r>
    </w:p>
    <w:p>
      <w:pPr>
        <w:spacing w:after="0" w:line="200" w:lineRule="exact"/>
        <w:rPr>
          <w:sz w:val="20"/>
          <w:szCs w:val="20"/>
          <w:color w:val="auto"/>
        </w:rPr>
      </w:pPr>
    </w:p>
    <w:p>
      <w:pPr>
        <w:spacing w:after="0" w:line="3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VARIABLE INTEREST ENTITY</w:t>
      </w:r>
    </w:p>
    <w:p>
      <w:pPr>
        <w:spacing w:after="0" w:line="173" w:lineRule="exact"/>
        <w:rPr>
          <w:sz w:val="20"/>
          <w:szCs w:val="20"/>
          <w:color w:val="auto"/>
        </w:rPr>
      </w:pPr>
    </w:p>
    <w:p>
      <w:pPr>
        <w:ind w:right="340" w:firstLine="492"/>
        <w:spacing w:after="0" w:line="233" w:lineRule="auto"/>
        <w:rPr>
          <w:sz w:val="20"/>
          <w:szCs w:val="20"/>
          <w:color w:val="auto"/>
        </w:rPr>
      </w:pPr>
      <w:r>
        <w:rPr>
          <w:rFonts w:ascii="Times New Roman" w:cs="Times New Roman" w:eastAsia="Times New Roman" w:hAnsi="Times New Roman"/>
          <w:sz w:val="18"/>
          <w:szCs w:val="18"/>
          <w:color w:val="auto"/>
        </w:rPr>
        <w:t xml:space="preserve">Based upon the criteria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4"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the VIE. The Company has determined that it was the primary beneficiary of one variable interest entity (“VIE”) as of April 28, 2024 and January 28, 2024.</w:t>
      </w:r>
    </w:p>
    <w:p>
      <w:pPr>
        <w:spacing w:after="0" w:line="136" w:lineRule="exact"/>
        <w:rPr>
          <w:sz w:val="20"/>
          <w:szCs w:val="20"/>
          <w:color w:val="auto"/>
        </w:rPr>
      </w:pPr>
    </w:p>
    <w:p>
      <w:pPr>
        <w:ind w:right="40" w:firstLine="428"/>
        <w:spacing w:after="0" w:line="233" w:lineRule="auto"/>
        <w:rPr>
          <w:sz w:val="20"/>
          <w:szCs w:val="20"/>
          <w:color w:val="auto"/>
        </w:rPr>
      </w:pPr>
      <w:r>
        <w:rPr>
          <w:rFonts w:ascii="Times New Roman" w:cs="Times New Roman" w:eastAsia="Times New Roman" w:hAnsi="Times New Roman"/>
          <w:sz w:val="18"/>
          <w:szCs w:val="18"/>
          <w:color w:val="auto"/>
        </w:rPr>
        <w:t>The Company leases the Company’s headquarters in Mt. Horeb, Wisconsin from TRI. In conjunction with the lease, the Company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condensed consolidated balance sheets include the following amounts as a result of the consolidation of TRI as of April 28, 2024 and January 28,</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6"/>
        </w:trPr>
        <w:tc>
          <w:tcPr>
            <w:tcW w:w="7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22,941</w:t>
            </w:r>
          </w:p>
        </w:tc>
      </w:tr>
      <w:tr>
        <w:trPr>
          <w:trHeight w:val="183"/>
        </w:trPr>
        <w:tc>
          <w:tcPr>
            <w:tcW w:w="746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22,801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22,958</w:t>
            </w: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9"/>
        </w:trPr>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25,141</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VIE</w:t>
            </w:r>
          </w:p>
        </w:tc>
        <w:tc>
          <w:tcPr>
            <w:tcW w:w="2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r>
      <w:tr>
        <w:trPr>
          <w:trHeight w:val="183"/>
        </w:trPr>
        <w:tc>
          <w:tcPr>
            <w:tcW w:w="74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top w:val="single" w:sz="8" w:color="auto"/>
              <w:bottom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22,801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22,958</w:t>
            </w: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LOSS PER SHARE</w:t>
      </w:r>
    </w:p>
    <w:p>
      <w:pPr>
        <w:spacing w:after="0" w:line="173" w:lineRule="exact"/>
        <w:rPr>
          <w:sz w:val="20"/>
          <w:szCs w:val="20"/>
          <w:color w:val="auto"/>
        </w:rPr>
      </w:pPr>
    </w:p>
    <w:p>
      <w:pPr>
        <w:ind w:right="100" w:firstLine="428"/>
        <w:spacing w:after="0" w:line="233" w:lineRule="auto"/>
        <w:rPr>
          <w:sz w:val="20"/>
          <w:szCs w:val="20"/>
          <w:color w:val="auto"/>
        </w:rPr>
      </w:pPr>
      <w:r>
        <w:rPr>
          <w:rFonts w:ascii="Times New Roman" w:cs="Times New Roman" w:eastAsia="Times New Roman" w:hAnsi="Times New Roman"/>
          <w:sz w:val="18"/>
          <w:szCs w:val="18"/>
          <w:color w:val="auto"/>
        </w:rPr>
        <w:t>Earnings per share is computed under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unless considered anti-dilutive. The reconciliation of the numerator and denominator of the basic and diluted earnings per share calculation is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 net loss attributable to</w:t>
            </w:r>
          </w:p>
        </w:tc>
        <w:tc>
          <w:tcPr>
            <w:tcW w:w="18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3480" w:type="dxa"/>
            <w:vAlign w:val="bottom"/>
            <w:gridSpan w:val="2"/>
            <w:shd w:val="clear" w:color="auto" w:fill="CCEEFF"/>
          </w:tcPr>
          <w:p>
            <w:pPr>
              <w:jc w:val="right"/>
              <w:ind w:right="14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(7,873)</w:t>
            </w:r>
          </w:p>
        </w:tc>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0" w:type="dxa"/>
            <w:vAlign w:val="bottom"/>
          </w:tcPr>
          <w:p>
            <w:pPr>
              <w:spacing w:after="0"/>
              <w:rPr>
                <w:sz w:val="1"/>
                <w:szCs w:val="1"/>
                <w:color w:val="auto"/>
              </w:rPr>
            </w:pPr>
          </w:p>
        </w:tc>
      </w:tr>
      <w:tr>
        <w:trPr>
          <w:trHeight w:val="225"/>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Denominator - weighted average shares</w:t>
            </w:r>
          </w:p>
        </w:tc>
        <w:tc>
          <w:tcPr>
            <w:tcW w:w="1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and Class B)</w:t>
            </w:r>
          </w:p>
        </w:tc>
        <w:tc>
          <w:tcPr>
            <w:tcW w:w="1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32,865</w:t>
            </w: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shares</w:t>
            </w:r>
          </w:p>
        </w:tc>
        <w:tc>
          <w:tcPr>
            <w:tcW w:w="1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72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Diluted</w:t>
            </w:r>
          </w:p>
        </w:tc>
        <w:tc>
          <w:tcPr>
            <w:tcW w:w="1860" w:type="dxa"/>
            <w:vAlign w:val="bottom"/>
            <w:tcBorders>
              <w:top w:val="single" w:sz="8" w:color="CCEEFF"/>
              <w:bottom w:val="single" w:sz="8" w:color="CCEEFF"/>
            </w:tcBorders>
            <w:shd w:val="clear" w:color="auto" w:fill="CCEEFF"/>
          </w:tcPr>
          <w:p>
            <w:pPr>
              <w:spacing w:after="0"/>
              <w:rPr>
                <w:sz w:val="15"/>
                <w:szCs w:val="15"/>
                <w:color w:val="auto"/>
              </w:rPr>
            </w:pPr>
          </w:p>
        </w:tc>
        <w:tc>
          <w:tcPr>
            <w:tcW w:w="162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33,087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spacing w:after="0"/>
              <w:rPr>
                <w:sz w:val="15"/>
                <w:szCs w:val="15"/>
                <w:color w:val="auto"/>
              </w:rPr>
            </w:pPr>
          </w:p>
        </w:tc>
        <w:tc>
          <w:tcPr>
            <w:tcW w:w="1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32,865</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 (Class A and Class B)</w:t>
            </w:r>
          </w:p>
        </w:tc>
        <w:tc>
          <w:tcPr>
            <w:tcW w:w="18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80" w:type="dxa"/>
            <w:vAlign w:val="bottom"/>
            <w:gridSpan w:val="2"/>
            <w:shd w:val="clear" w:color="auto" w:fill="CCEEFF"/>
          </w:tcPr>
          <w:p>
            <w:pPr>
              <w:jc w:val="right"/>
              <w:ind w:right="14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(0.24)</w:t>
            </w:r>
          </w:p>
        </w:tc>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43"/>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80" w:type="dxa"/>
            <w:vAlign w:val="bottom"/>
            <w:gridSpan w:val="2"/>
          </w:tcPr>
          <w:p>
            <w:pPr>
              <w:jc w:val="right"/>
              <w:ind w:right="14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(0.24)</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680" w:firstLine="648"/>
        <w:spacing w:after="0" w:line="250" w:lineRule="auto"/>
        <w:rPr>
          <w:sz w:val="20"/>
          <w:szCs w:val="20"/>
          <w:color w:val="auto"/>
        </w:rPr>
      </w:pPr>
      <w:r>
        <w:rPr>
          <w:rFonts w:ascii="Times New Roman" w:cs="Times New Roman" w:eastAsia="Times New Roman" w:hAnsi="Times New Roman"/>
          <w:sz w:val="18"/>
          <w:szCs w:val="18"/>
          <w:color w:val="auto"/>
        </w:rPr>
        <w:t>The computation of diluted loss per share excluded 0.3 million of unvested restricted stock for the three months ended April 28, 2024 and April 30, 2023, because their inclusion would be anti-dilutive due to a net loss.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60" w:lineRule="exact"/>
        <w:rPr>
          <w:sz w:val="20"/>
          <w:szCs w:val="20"/>
          <w:color w:val="auto"/>
        </w:rPr>
      </w:pPr>
    </w:p>
    <w:p>
      <w:pPr>
        <w:ind w:right="320" w:firstLine="428"/>
        <w:spacing w:after="0" w:line="268"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all share-based payments at grant date fair value and recognize the cost over the requisite service period of the award.</w:t>
      </w:r>
    </w:p>
    <w:p>
      <w:pPr>
        <w:spacing w:after="0" w:line="107" w:lineRule="exact"/>
        <w:rPr>
          <w:sz w:val="20"/>
          <w:szCs w:val="20"/>
          <w:color w:val="auto"/>
        </w:rPr>
      </w:pPr>
    </w:p>
    <w:p>
      <w:pPr>
        <w:ind w:firstLine="428"/>
        <w:spacing w:after="0" w:line="242" w:lineRule="auto"/>
        <w:rPr>
          <w:sz w:val="20"/>
          <w:szCs w:val="20"/>
          <w:color w:val="auto"/>
        </w:rPr>
      </w:pPr>
      <w:r>
        <w:rPr>
          <w:rFonts w:ascii="Times New Roman" w:cs="Times New Roman" w:eastAsia="Times New Roman" w:hAnsi="Times New Roman"/>
          <w:sz w:val="18"/>
          <w:szCs w:val="18"/>
          <w:color w:val="auto"/>
        </w:rPr>
        <w:t>Total stock compensation expense associated with restricted stock recognized by the Company was $1.4 million and $1.0 million for the three months ended April 28, 2024 and April 30, 2023, respectively. The Company’s total stock compensation expense is included in selling, general and administrative expenses on the Condensed Consolidated Statements of Operations.</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activity in the Company’s unvested restricted stock during the three months ended April 28, 2024 is as follows: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29"/>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29"/>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6"/>
        </w:trPr>
        <w:tc>
          <w:tcPr>
            <w:tcW w:w="8380" w:type="dxa"/>
            <w:vAlign w:val="bottom"/>
          </w:tcPr>
          <w:p>
            <w:pPr>
              <w:spacing w:after="0"/>
              <w:rPr>
                <w:sz w:val="19"/>
                <w:szCs w:val="19"/>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10"/>
        </w:trPr>
        <w:tc>
          <w:tcPr>
            <w:tcW w:w="8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28, 2024</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1,367,270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29"/>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764,055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30"/>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(247,698)</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29"/>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(14,732)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196"/>
        </w:trPr>
        <w:tc>
          <w:tcPr>
            <w:tcW w:w="8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Outstanding at April 28, 2024</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1,868,895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6.93</w:t>
            </w:r>
          </w:p>
        </w:tc>
      </w:tr>
      <w:tr>
        <w:trPr>
          <w:trHeight w:val="20"/>
        </w:trPr>
        <w:tc>
          <w:tcPr>
            <w:tcW w:w="8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20" w:firstLine="428"/>
        <w:spacing w:after="0" w:line="266" w:lineRule="auto"/>
        <w:rPr>
          <w:sz w:val="20"/>
          <w:szCs w:val="20"/>
          <w:color w:val="auto"/>
        </w:rPr>
      </w:pPr>
      <w:r>
        <w:rPr>
          <w:rFonts w:ascii="Times New Roman" w:cs="Times New Roman" w:eastAsia="Times New Roman" w:hAnsi="Times New Roman"/>
          <w:sz w:val="18"/>
          <w:szCs w:val="18"/>
          <w:color w:val="auto"/>
        </w:rPr>
        <w:t>At April 28, 2024, the Company had unrecognized compensation expense of $8.7 million related to the restricted stock awards, which is expected to be recognized over a weighted average period of 3.0 years.</w:t>
      </w:r>
    </w:p>
    <w:p>
      <w:pPr>
        <w:spacing w:after="0" w:line="32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220" w:type="dxa"/>
            <w:vAlign w:val="bottom"/>
          </w:tcPr>
          <w:p>
            <w:pPr>
              <w:spacing w:after="0"/>
              <w:rPr>
                <w:sz w:val="16"/>
                <w:szCs w:val="16"/>
                <w:color w:val="auto"/>
              </w:rPr>
            </w:pPr>
          </w:p>
        </w:tc>
        <w:tc>
          <w:tcPr>
            <w:tcW w:w="15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6"/>
        </w:trPr>
        <w:tc>
          <w:tcPr>
            <w:tcW w:w="7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56,850</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36,191</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66,481</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54,294</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w:t>
            </w:r>
          </w:p>
        </w:tc>
      </w:tr>
      <w:tr>
        <w:trPr>
          <w:trHeight w:val="216"/>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Software</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39,923</w:t>
            </w:r>
          </w:p>
        </w:tc>
      </w:tr>
      <w:tr>
        <w:trPr>
          <w:trHeight w:val="196"/>
        </w:trPr>
        <w:tc>
          <w:tcPr>
            <w:tcW w:w="7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270,251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269,488</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(145,340)</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(140,551)</w:t>
            </w:r>
          </w:p>
        </w:tc>
      </w:tr>
      <w:tr>
        <w:trPr>
          <w:trHeight w:val="196"/>
        </w:trPr>
        <w:tc>
          <w:tcPr>
            <w:tcW w:w="74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124,911</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128,937</w:t>
            </w:r>
          </w:p>
        </w:tc>
      </w:tr>
      <w:tr>
        <w:trPr>
          <w:trHeight w:val="216"/>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w:t>
            </w:r>
          </w:p>
        </w:tc>
      </w:tr>
      <w:tr>
        <w:trPr>
          <w:trHeight w:val="183"/>
        </w:trPr>
        <w:tc>
          <w:tcPr>
            <w:tcW w:w="74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126,526</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132,718</w:t>
            </w:r>
          </w:p>
        </w:tc>
      </w:tr>
      <w:tr>
        <w:trPr>
          <w:trHeight w:val="20"/>
        </w:trPr>
        <w:tc>
          <w:tcPr>
            <w:tcW w:w="7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REVENUE</w:t>
      </w:r>
    </w:p>
    <w:p>
      <w:pPr>
        <w:spacing w:after="0" w:line="175" w:lineRule="exact"/>
        <w:rPr>
          <w:sz w:val="20"/>
          <w:szCs w:val="20"/>
          <w:color w:val="auto"/>
        </w:rPr>
      </w:pPr>
    </w:p>
    <w:p>
      <w:pPr>
        <w:ind w:right="340" w:firstLine="570"/>
        <w:spacing w:after="0" w:line="232" w:lineRule="auto"/>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 Revenue for merchandise that is shipped to our customers from our distribution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4"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as a component of selling, general and administrative expenses. Sales tax collected from customers and remitted to taxing authorities is excluded from revenue and is included in accrued expenses.</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Sales disaggregated based upon sales channel is presented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209"/>
        </w:trPr>
        <w:tc>
          <w:tcPr>
            <w:tcW w:w="4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2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2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75,444</w:t>
            </w:r>
          </w:p>
        </w:tc>
        <w:tc>
          <w:tcPr>
            <w:tcW w:w="80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79,502</w:t>
            </w:r>
          </w:p>
        </w:tc>
        <w:tc>
          <w:tcPr>
            <w:tcW w:w="240" w:type="dxa"/>
            <w:vAlign w:val="bottom"/>
            <w:shd w:val="clear" w:color="auto" w:fill="CCEEFF"/>
          </w:tcPr>
          <w:p>
            <w:pPr>
              <w:spacing w:after="0"/>
              <w:rPr>
                <w:sz w:val="19"/>
                <w:szCs w:val="19"/>
                <w:color w:val="auto"/>
              </w:rPr>
            </w:pPr>
          </w:p>
        </w:tc>
      </w:tr>
      <w:tr>
        <w:trPr>
          <w:trHeight w:val="230"/>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Stores</w:t>
            </w:r>
          </w:p>
        </w:tc>
        <w:tc>
          <w:tcPr>
            <w:tcW w:w="2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41,240</w:t>
            </w:r>
          </w:p>
        </w:tc>
        <w:tc>
          <w:tcPr>
            <w:tcW w:w="2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44,257</w:t>
            </w:r>
          </w:p>
        </w:tc>
        <w:tc>
          <w:tcPr>
            <w:tcW w:w="240" w:type="dxa"/>
            <w:vAlign w:val="bottom"/>
            <w:tcBorders>
              <w:bottom w:val="single" w:sz="8" w:color="CCEEFF"/>
            </w:tcBorders>
          </w:tcPr>
          <w:p>
            <w:pPr>
              <w:spacing w:after="0"/>
              <w:rPr>
                <w:sz w:val="19"/>
                <w:szCs w:val="19"/>
                <w:color w:val="auto"/>
              </w:rPr>
            </w:pPr>
          </w:p>
        </w:tc>
      </w:tr>
      <w:tr>
        <w:trPr>
          <w:trHeight w:val="196"/>
        </w:trPr>
        <w:tc>
          <w:tcPr>
            <w:tcW w:w="404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116,684</w:t>
            </w:r>
          </w:p>
        </w:tc>
        <w:tc>
          <w:tcPr>
            <w:tcW w:w="2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123,759</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20"/>
        </w:trPr>
        <w:tc>
          <w:tcPr>
            <w:tcW w:w="40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75" w:lineRule="exact"/>
        <w:rPr>
          <w:sz w:val="20"/>
          <w:szCs w:val="20"/>
          <w:color w:val="auto"/>
        </w:rPr>
      </w:pPr>
    </w:p>
    <w:p>
      <w:pPr>
        <w:ind w:right="160" w:firstLine="492"/>
        <w:spacing w:after="0" w:line="232" w:lineRule="auto"/>
        <w:rPr>
          <w:sz w:val="20"/>
          <w:szCs w:val="20"/>
          <w:color w:val="auto"/>
        </w:rPr>
      </w:pPr>
      <w:r>
        <w:rPr>
          <w:rFonts w:ascii="Times New Roman" w:cs="Times New Roman" w:eastAsia="Times New Roman" w:hAnsi="Times New Roman"/>
          <w:sz w:val="18"/>
          <w:szCs w:val="18"/>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in Accrued expenses and other current liabilities under deferred revenue (see Note 4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Contract assets and liabilities on the Company’s consolidated balance sheets are presented in the following table: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6"/>
        </w:trPr>
        <w:tc>
          <w:tcPr>
            <w:tcW w:w="6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r>
    </w:tbl>
    <w:p>
      <w:pPr>
        <w:spacing w:after="0" w:line="328" w:lineRule="exact"/>
        <w:rPr>
          <w:sz w:val="20"/>
          <w:szCs w:val="20"/>
          <w:color w:val="auto"/>
        </w:rPr>
      </w:pPr>
    </w:p>
    <w:p>
      <w:pPr>
        <w:ind w:firstLine="570"/>
        <w:spacing w:after="0" w:line="236" w:lineRule="auto"/>
        <w:rPr>
          <w:sz w:val="20"/>
          <w:szCs w:val="20"/>
          <w:color w:val="auto"/>
        </w:rPr>
      </w:pPr>
      <w:r>
        <w:rPr>
          <w:rFonts w:ascii="Times New Roman" w:cs="Times New Roman" w:eastAsia="Times New Roman" w:hAnsi="Times New Roman"/>
          <w:sz w:val="18"/>
          <w:szCs w:val="18"/>
          <w:color w:val="auto"/>
        </w:rPr>
        <w:t>Revenue from gift cards is recognized when the gift card is redeemed by the customer for merchandise or as a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 for the three months ended: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520" w:type="dxa"/>
            <w:vAlign w:val="bottom"/>
            <w:shd w:val="clear" w:color="auto" w:fill="CCEEFF"/>
          </w:tcPr>
          <w:p>
            <w:pPr>
              <w:jc w:val="right"/>
              <w:ind w:right="13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1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15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15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196"/>
        </w:trPr>
        <w:tc>
          <w:tcPr>
            <w:tcW w:w="68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as of end of period</w:t>
            </w:r>
          </w:p>
        </w:tc>
        <w:tc>
          <w:tcPr>
            <w:tcW w:w="1520" w:type="dxa"/>
            <w:vAlign w:val="bottom"/>
            <w:tcBorders>
              <w:top w:val="single" w:sz="8" w:color="auto"/>
              <w:bottom w:val="single" w:sz="8" w:color="auto"/>
            </w:tcBorders>
            <w:shd w:val="clear" w:color="auto" w:fill="CCEEFF"/>
          </w:tcPr>
          <w:p>
            <w:pPr>
              <w:jc w:val="right"/>
              <w:ind w:right="13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8,525</w:t>
            </w:r>
          </w:p>
        </w:tc>
      </w:tr>
      <w:tr>
        <w:trPr>
          <w:trHeight w:val="20"/>
        </w:trPr>
        <w:tc>
          <w:tcPr>
            <w:tcW w:w="6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For the three months ended April 28, 2024, the Company has utilized the discrete effective tax rate method as allowed by Accounting Standards Codification ("ASC") 740-270-30-18, Income Taxes – Interim Reporting to calculate its interim tax provision. The discrete method treats the year-to-date period as if it was the annual period and determines the income tax expense or benefit on that basis. The Company believes that, at this time, the use of this discrete method is more appropriate than the annual effective tax rate method.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67"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The effective tax rate related to controlling interest was 21% and 27% for the three months ended April 28, 2024 and April 30, 2023, respectively. The income from TRI was excluded from the calculation of the Company’s effective tax rate, as TRI is a limited liability company and not subject to income taxes.</w:t>
      </w:r>
    </w:p>
    <w:p>
      <w:pPr>
        <w:spacing w:after="0" w:line="200" w:lineRule="exact"/>
        <w:rPr>
          <w:sz w:val="20"/>
          <w:szCs w:val="20"/>
          <w:color w:val="auto"/>
        </w:rPr>
      </w:pPr>
    </w:p>
    <w:p>
      <w:pPr>
        <w:spacing w:after="0" w:line="31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Financial Instruments – Credit Losses – Measurement of Credit Losses on Financial Instruments</w:t>
      </w:r>
    </w:p>
    <w:p>
      <w:pPr>
        <w:spacing w:after="0" w:line="171"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7"/>
          <w:szCs w:val="17"/>
          <w:color w:val="auto"/>
        </w:rPr>
        <w:t xml:space="preserve">In June 2016, the FASB issued Accounting Standards Update No. 2016-13 </w:t>
      </w:r>
      <w:r>
        <w:rPr>
          <w:rFonts w:ascii="Times New Roman" w:cs="Times New Roman" w:eastAsia="Times New Roman" w:hAnsi="Times New Roman"/>
          <w:sz w:val="17"/>
          <w:szCs w:val="17"/>
          <w:i w:val="1"/>
          <w:iCs w:val="1"/>
          <w:color w:val="auto"/>
        </w:rPr>
        <w:t>“Financial Instruments-Credit Losses (Topic 326): Measurement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Credit Losses on Financial Instruments,” </w:t>
      </w:r>
      <w:r>
        <w:rPr>
          <w:rFonts w:ascii="Times New Roman" w:cs="Times New Roman" w:eastAsia="Times New Roman" w:hAnsi="Times New Roman"/>
          <w:sz w:val="17"/>
          <w:szCs w:val="17"/>
          <w:color w:val="auto"/>
        </w:rPr>
        <w:t>(“ASU 2016-13”), which amends the impairment model by requiring entities to use a forward-looking approach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based 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 In</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 xml:space="preserve">addition, this guidance changes the recognition for credit losses on available-for-sale debt securities, which can occur as a result of market and credit risk and requires additional disclosures. On November 15, 2019, the FASB issued ASU No. 2019-10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(Topic 815, and Leases (Topic 842),” </w:t>
      </w:r>
      <w:r>
        <w:rPr>
          <w:rFonts w:ascii="Times New Roman" w:cs="Times New Roman" w:eastAsia="Times New Roman" w:hAnsi="Times New Roman"/>
          <w:sz w:val="18"/>
          <w:szCs w:val="18"/>
          <w:color w:val="auto"/>
        </w:rPr>
        <w:t>(ASU 2019-10”), which provides a framework to stagger effective dates for future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adopted ASU 2016-13 on January 30, 2023, the first day of the Company’s first quarter for the fiscal year ending January 28, 2024, the Company’s fiscal year 2023. The adoption of the standard did not have a material impact on the Company’s consolidated financial results.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 Not Yet Adopted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Segment Reporting – Improvements to Reportable Segment Disclosures</w:t>
      </w:r>
    </w:p>
    <w:p>
      <w:pPr>
        <w:spacing w:after="0" w:line="160"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Improvements to Reportable Segment Disclosures.” This ASU improves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new guidance is effective for public companies with annual periods beginning after December 15, 2023, and interim periods within annual period beginning after December 15, 2024, with early adoption permitted. Management is currently evaluating the effects adoption of this guidance will have on its consolidated financial statements.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w:t>
      </w:r>
    </w:p>
    <w:p>
      <w:pPr>
        <w:spacing w:after="0" w:line="160" w:lineRule="exact"/>
        <w:rPr>
          <w:sz w:val="20"/>
          <w:szCs w:val="20"/>
          <w:color w:val="auto"/>
        </w:rPr>
      </w:pPr>
    </w:p>
    <w:p>
      <w:pPr>
        <w:ind w:right="320" w:firstLine="648"/>
        <w:spacing w:after="0" w:line="23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Improvements to Income Tax Disclosures.” This ASU improves the transparency of income tax disclosures by requiring (i) consistent categories and greater disaggregation of information in the rate reconciliation and (ii) income taxes paid disaggregated by jurisdiction. This new guidance will be effective for annual periods beginning after December 15, 2024, and early adoption is permitted. Management is currently evaluating the effects adoption of this guidance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2" w:lineRule="exact"/>
        <w:rPr>
          <w:sz w:val="20"/>
          <w:szCs w:val="20"/>
          <w:color w:val="auto"/>
        </w:rPr>
      </w:pPr>
    </w:p>
    <w:p>
      <w:pPr>
        <w:ind w:right="20" w:firstLine="428"/>
        <w:spacing w:after="0" w:line="244"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year ended January 28, 2024 (“2023 Form 10-K”).</w:t>
      </w:r>
    </w:p>
    <w:p>
      <w:pPr>
        <w:spacing w:after="0" w:line="159" w:lineRule="exact"/>
        <w:rPr>
          <w:sz w:val="20"/>
          <w:szCs w:val="20"/>
          <w:color w:val="auto"/>
        </w:rPr>
      </w:pPr>
    </w:p>
    <w:p>
      <w:pPr>
        <w:ind w:right="280" w:firstLine="428"/>
        <w:spacing w:after="0" w:line="264" w:lineRule="auto"/>
        <w:rPr>
          <w:sz w:val="20"/>
          <w:szCs w:val="20"/>
          <w:color w:val="auto"/>
        </w:rPr>
      </w:pPr>
      <w:r>
        <w:rPr>
          <w:rFonts w:ascii="Times New Roman" w:cs="Times New Roman" w:eastAsia="Times New Roman" w:hAnsi="Times New Roman"/>
          <w:sz w:val="14"/>
          <w:szCs w:val="14"/>
          <w:i w:val="1"/>
          <w:iCs w:val="1"/>
          <w:color w:val="auto"/>
        </w:rPr>
        <w:t>The Company’s fiscal year ends on the Sunday nearest to January 31 of the following year. Fiscal 2024 is a 53-week period and ends on February 2, 2025. Fiscal 2023 was a 52-week period and ended on January 28, 2024. The three months of fiscal 2024 and fiscal 2023 represent our 13-week periods ended April 28, 2024 and April 30, 2023, respectively.</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Unless the context indicates otherwise, the terms the “Company,” “Duluth,” “Duluth Trading,” “we,” “our,” or “us” are used to refer to Duluth Holdings Inc.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firstLine="428"/>
        <w:spacing w:after="0" w:line="22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initiatives, or strategies are forward-looking statements. All forward-looking statements are subject to risks and uncertainties that could cause actual results to differ materially from those expressed in the forward-looking statements, including the risks and uncertainties described under Part I, Item 1A “Risk Factors,” in our 2023 Form 10-K, and other SEC filings, which factors are incorporated by reference herein. These risks and uncertainties include, but are not limited to, the following: the impact of inflation and measures to control inflation on our results of operations; the prolonged effects of economic uncertainties on store and website traffic and disruptions to our distribution network, supply chains and operations; our ability to maintain and enhance a strong brand and sub-brand image; adapting to declines in consumer confidence, inflation and decreases in consumer spending; disruptions in our e-commerce platform; effectively adapting to new challenges associated with our expansion into new geographic markets; our ability to meet customer delivery time expectations; natural disasters, unusually adverse weather conditions, boycotts, prolonged public health crises, epidemics or pandemics and unanticipated events; generating adequate cash from our existing stores and direct sales to support our growth; the impact of changes in corporate tax regulations and sales tax; identifying and responding to new and changing customer preferences; the success of the locations in which our stores are located; effectively relying on sources for merchandise located in foreign markets; transportation delays and interruptions, including port congestion; inability to timely and effectively obtain shipments of products from our suppliers and deliver merchandise to our customers; the inability to maintain the performance of maturing store portfolio; our inability to deploy marketing tactics to strengthen brand awareness and attract new customers in a cost effective manner; our ability to successfully open new stores; competing effectively in an environment of intense competition; our ability to adapt to significant changes in sales due to the seasonality of our business; price reductions or inventory shortages resulting from failure to purchase the appropriate amount of inventory in advance of the season in which it will be sold; the potential for further increases in price and availability of raw materials; our dependence on third-party vendors to provide us with sufficient quantities of merchandise at acceptable prices; the susceptibility of the price and availability of our merchandise to international trade conditions; failure of our vendors and their manufacturing sources to use acceptable labor or other practices; our dependence upon key executive management or our inability to hire or retain the talent required for our business; increases in costs of fuel or other energy, transportation or utility costs and in the costs of labor and employment; failure of our information technology systems to support our current and growing business, before and after our planned upgrades; disruptions in our supply chain and fulfillment centers; our inability to protect our trademarks or other intellectual property rights; infringement on the intellectual property of third parties; acts of war, terrorism or civil unrest; the impact of governmental laws and regulations and the outcomes of legal proceedings; changes in U.S. and non-U.S. laws affecting the importation and taxation of goods, including imposition of unilateral tariffs on imported goods; our ability to secure the personal and/or financial information of our customers and employees; our ability to comply with the security standards for the credit card industry; our failure to maintain adequate internal controls over our financial and management systems; acquisition, disposition, and development risks; and other factors that may be disclosed in our SEC filings or otherwise.</w:t>
      </w:r>
    </w:p>
    <w:p>
      <w:pPr>
        <w:spacing w:after="0" w:line="150" w:lineRule="exact"/>
        <w:rPr>
          <w:sz w:val="20"/>
          <w:szCs w:val="20"/>
          <w:color w:val="auto"/>
        </w:rPr>
      </w:pPr>
    </w:p>
    <w:p>
      <w:pPr>
        <w:ind w:right="60" w:firstLine="428"/>
        <w:spacing w:after="0" w:line="23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160" w:firstLine="428"/>
        <w:spacing w:after="0" w:line="430" w:lineRule="auto"/>
        <w:rPr>
          <w:sz w:val="20"/>
          <w:szCs w:val="20"/>
          <w:color w:val="auto"/>
        </w:rPr>
      </w:pPr>
      <w:r>
        <w:rPr>
          <w:rFonts w:ascii="Times New Roman" w:cs="Times New Roman" w:eastAsia="Times New Roman" w:hAnsi="Times New Roman"/>
          <w:sz w:val="18"/>
          <w:szCs w:val="18"/>
          <w:color w:val="auto"/>
        </w:rPr>
        <w:t xml:space="preserve">We undertake no obligation to update or revise these forward-looking statements, except as required under the federal securities laws.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ind w:right="140" w:firstLine="428"/>
        <w:spacing w:after="0" w:line="242" w:lineRule="auto"/>
        <w:rPr>
          <w:sz w:val="20"/>
          <w:szCs w:val="20"/>
          <w:color w:val="auto"/>
        </w:rPr>
      </w:pPr>
      <w:r>
        <w:rPr>
          <w:rFonts w:ascii="Times New Roman" w:cs="Times New Roman" w:eastAsia="Times New Roman" w:hAnsi="Times New Roman"/>
          <w:sz w:val="18"/>
          <w:szCs w:val="18"/>
          <w:color w:val="auto"/>
        </w:rPr>
        <w:t>We are a lifestyle brand of men’s and women’s casual wear, workwear and accessories sold primarily through our own omnichannel platform. We offer products nationwide through our website and catalog. In 2010, we initiated our omnichannel platform with the opening of our first store. Since then, we have expanded our retail presence, and as of April 28, 2024, we operated 62 retail stores and three outlet stores.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offer a comprehensive line of innovative, durable and functional products, such as our Longtail 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shirts, Buck Naked</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underwear, Fire Hose</w:t>
      </w:r>
      <w:r>
        <w:rPr>
          <w:rFonts w:ascii="Times New Roman" w:cs="Times New Roman" w:eastAsia="Times New Roman" w:hAnsi="Times New Roman"/>
          <w:sz w:val="22"/>
          <w:szCs w:val="22"/>
          <w:color w:val="auto"/>
          <w:vertAlign w:val="superscript"/>
        </w:rPr>
        <w:t>®</w:t>
      </w:r>
    </w:p>
    <w:p>
      <w:pPr>
        <w:ind w:right="200"/>
        <w:spacing w:after="0" w:line="205" w:lineRule="auto"/>
        <w:rPr>
          <w:sz w:val="20"/>
          <w:szCs w:val="20"/>
          <w:color w:val="auto"/>
        </w:rPr>
      </w:pPr>
      <w:r>
        <w:rPr>
          <w:rFonts w:ascii="Times New Roman" w:cs="Times New Roman" w:eastAsia="Times New Roman" w:hAnsi="Times New Roman"/>
          <w:sz w:val="18"/>
          <w:szCs w:val="18"/>
          <w:color w:val="auto"/>
        </w:rPr>
        <w:t>work pants, and No-Yank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158" w:lineRule="exact"/>
        <w:rPr>
          <w:sz w:val="20"/>
          <w:szCs w:val="20"/>
          <w:color w:val="auto"/>
        </w:rPr>
      </w:pPr>
    </w:p>
    <w:p>
      <w:pPr>
        <w:ind w:right="20" w:firstLine="428"/>
        <w:spacing w:after="0" w:line="236" w:lineRule="auto"/>
        <w:rPr>
          <w:sz w:val="20"/>
          <w:szCs w:val="20"/>
          <w:color w:val="auto"/>
        </w:rPr>
      </w:pPr>
      <w:r>
        <w:rPr>
          <w:rFonts w:ascii="Times New Roman" w:cs="Times New Roman" w:eastAsia="Times New Roman" w:hAnsi="Times New Roman"/>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financial results is as follows:</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sales decreased by 5.7% over the prior year first quarter to $116.7 million;</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loss of $7.9 million in fiscal 2024 first quarter compared to the prior year first quarter net loss of $3.9 million; and</w:t>
      </w:r>
    </w:p>
    <w:p>
      <w:pPr>
        <w:spacing w:after="0" w:line="90" w:lineRule="exact"/>
        <w:rPr>
          <w:sz w:val="20"/>
          <w:szCs w:val="20"/>
          <w:color w:val="auto"/>
        </w:rPr>
      </w:pPr>
    </w:p>
    <w:p>
      <w:pPr>
        <w:ind w:left="880" w:right="400"/>
        <w:spacing w:after="0" w:line="282" w:lineRule="auto"/>
        <w:rPr>
          <w:sz w:val="20"/>
          <w:szCs w:val="20"/>
          <w:color w:val="auto"/>
        </w:rPr>
      </w:pPr>
      <w:r>
        <w:rPr>
          <w:rFonts w:ascii="Times New Roman" w:cs="Times New Roman" w:eastAsia="Times New Roman" w:hAnsi="Times New Roman"/>
          <w:sz w:val="18"/>
          <w:szCs w:val="18"/>
          <w:color w:val="auto"/>
        </w:rPr>
        <w:t>Adjusted EBITDA decreased to $1.8 million in fiscal 2024 first quarter compared to the prior year first quarter Adjusted EBITDA of $5.3 million.</w:t>
      </w:r>
    </w:p>
    <w:p>
      <w:pPr>
        <w:spacing w:after="0" w:line="94" w:lineRule="exact"/>
        <w:rPr>
          <w:sz w:val="20"/>
          <w:szCs w:val="20"/>
          <w:color w:val="auto"/>
        </w:rPr>
      </w:pPr>
    </w:p>
    <w:p>
      <w:pPr>
        <w:ind w:right="80" w:firstLine="402"/>
        <w:spacing w:after="0" w:line="242" w:lineRule="auto"/>
        <w:rPr>
          <w:sz w:val="20"/>
          <w:szCs w:val="20"/>
          <w:color w:val="auto"/>
        </w:rPr>
      </w:pPr>
      <w:r>
        <w:rPr>
          <w:rFonts w:ascii="Times New Roman" w:cs="Times New Roman" w:eastAsia="Times New Roman" w:hAnsi="Times New Roman"/>
          <w:sz w:val="18"/>
          <w:szCs w:val="18"/>
          <w:color w:val="auto"/>
        </w:rPr>
        <w:t>See the “Reconciliation of Net Loss to EBITDA and EBITDA to Adjusted EBITDA” section for a reconciliation of our net loss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3" w:lineRule="exact"/>
        <w:rPr>
          <w:sz w:val="20"/>
          <w:szCs w:val="20"/>
          <w:color w:val="auto"/>
        </w:rPr>
      </w:pPr>
    </w:p>
    <w:p>
      <w:pPr>
        <w:jc w:val="both"/>
        <w:ind w:right="80" w:firstLine="402"/>
        <w:spacing w:after="0" w:line="242" w:lineRule="auto"/>
        <w:rPr>
          <w:sz w:val="20"/>
          <w:szCs w:val="20"/>
          <w:color w:val="auto"/>
        </w:rPr>
      </w:pPr>
      <w:r>
        <w:rPr>
          <w:rFonts w:ascii="Times New Roman" w:cs="Times New Roman" w:eastAsia="Times New Roman" w:hAnsi="Times New Roman"/>
          <w:sz w:val="18"/>
          <w:szCs w:val="18"/>
          <w:color w:val="auto"/>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and catalog.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w:t>
      </w:r>
    </w:p>
    <w:p>
      <w:pPr>
        <w:spacing w:after="0" w:line="175" w:lineRule="exact"/>
        <w:rPr>
          <w:sz w:val="20"/>
          <w:szCs w:val="20"/>
          <w:color w:val="auto"/>
        </w:rPr>
      </w:pPr>
    </w:p>
    <w:p>
      <w:pPr>
        <w:ind w:right="300" w:firstLine="492"/>
        <w:spacing w:after="0" w:line="242" w:lineRule="auto"/>
        <w:rPr>
          <w:sz w:val="20"/>
          <w:szCs w:val="20"/>
          <w:color w:val="auto"/>
        </w:rPr>
      </w:pPr>
      <w:r>
        <w:rPr>
          <w:rFonts w:ascii="Times New Roman" w:cs="Times New Roman" w:eastAsia="Times New Roman" w:hAnsi="Times New Roman"/>
          <w:sz w:val="18"/>
          <w:szCs w:val="18"/>
          <w:color w:val="auto"/>
        </w:rPr>
        <w:t>The macroeconomic environment is experiencing inflation, recessionary concerns and general uncertainty regarding the future economic environment and therefore we cannot predict the ultimate impact of these economic conditions on our operational and financial performance. Given the uncertainty, we cannot reasonably estimate store traffic patterns and the prolonged impact on overall consumer demand.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operating measures that affect our operating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75" w:lineRule="exact"/>
        <w:rPr>
          <w:sz w:val="20"/>
          <w:szCs w:val="20"/>
          <w:color w:val="auto"/>
        </w:rPr>
      </w:pPr>
    </w:p>
    <w:p>
      <w:pPr>
        <w:ind w:right="380" w:firstLine="428"/>
        <w:spacing w:after="0" w:line="250" w:lineRule="auto"/>
        <w:rPr>
          <w:sz w:val="20"/>
          <w:szCs w:val="20"/>
          <w:color w:val="auto"/>
        </w:rPr>
      </w:pPr>
      <w:r>
        <w:rPr>
          <w:rFonts w:ascii="Times New Roman" w:cs="Times New Roman" w:eastAsia="Times New Roman" w:hAnsi="Times New Roman"/>
          <w:sz w:val="18"/>
          <w:szCs w:val="18"/>
          <w:color w:val="auto"/>
        </w:rPr>
        <w:t>Net sales reflect our sale of merchandise plus shipping and handling revenue collected from our customers, less returns and discounts. Direct-to-consumer sales are recognized upon shipment of the product and store sales are recognized at the point of sale.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jc w:val="both"/>
        <w:ind w:firstLine="428"/>
        <w:spacing w:after="0" w:line="228" w:lineRule="auto"/>
        <w:rPr>
          <w:sz w:val="20"/>
          <w:szCs w:val="20"/>
          <w:color w:val="auto"/>
        </w:rPr>
      </w:pPr>
      <w:r>
        <w:rPr>
          <w:rFonts w:ascii="Times New Roman" w:cs="Times New Roman" w:eastAsia="Times New Roman" w:hAnsi="Times New Roman"/>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raw material costs. Depreciation and amortization are excluded from gross profit. We expect gross profit to increase to the extent that we successfully grow our net sales. Our gross profit may not be comparable to other retailers, as we do not include distribution network and store occupancy expenses in calculating gross profit, but instead we include them in selling, general and administrative expenses.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ind w:firstLine="428"/>
        <w:spacing w:after="0" w:line="233" w:lineRule="auto"/>
        <w:rPr>
          <w:sz w:val="20"/>
          <w:szCs w:val="20"/>
          <w:color w:val="auto"/>
        </w:rPr>
      </w:pPr>
      <w:r>
        <w:rPr>
          <w:rFonts w:ascii="Times New Roman" w:cs="Times New Roman" w:eastAsia="Times New Roman" w:hAnsi="Times New Roman"/>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and distribution network expenses. They also include marketing expense, which primarily includes digital and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ind w:right="120" w:firstLine="428"/>
        <w:spacing w:after="0" w:line="236" w:lineRule="auto"/>
        <w:rPr>
          <w:sz w:val="20"/>
          <w:szCs w:val="20"/>
          <w:color w:val="auto"/>
        </w:rPr>
      </w:pPr>
      <w:r>
        <w:rPr>
          <w:rFonts w:ascii="Times New Roman" w:cs="Times New Roman" w:eastAsia="Times New Roman" w:hAnsi="Times New Roman"/>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4" w:lineRule="exact"/>
        <w:rPr>
          <w:sz w:val="20"/>
          <w:szCs w:val="20"/>
          <w:color w:val="auto"/>
        </w:rPr>
      </w:pPr>
    </w:p>
    <w:p>
      <w:pPr>
        <w:ind w:right="220" w:firstLine="428"/>
        <w:spacing w:after="0" w:line="232" w:lineRule="auto"/>
        <w:rPr>
          <w:sz w:val="20"/>
          <w:szCs w:val="20"/>
          <w:color w:val="auto"/>
        </w:rPr>
      </w:pPr>
      <w:r>
        <w:rPr>
          <w:rFonts w:ascii="Times New Roman" w:cs="Times New Roman" w:eastAsia="Times New Roman" w:hAnsi="Times New Roman"/>
          <w:sz w:val="18"/>
          <w:szCs w:val="18"/>
          <w:color w:val="auto"/>
        </w:rPr>
        <w:t>We define Adjusted EBITDA as consolidated net income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 We also use Adjusted EBITDA as one of the key financial metric in determining bonus compensation for our employees. This non-GAAP measure may not be comparable to similarly titled measures used by other companies.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unaudited consolidated results of operations for the periods indicated, both in dollars and as a percentage of net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40" w:type="dxa"/>
            <w:vAlign w:val="bottom"/>
            <w:gridSpan w:val="2"/>
            <w:shd w:val="clear" w:color="auto" w:fill="CCEEFF"/>
          </w:tcPr>
          <w:p>
            <w:pPr>
              <w:jc w:val="right"/>
              <w:ind w:right="13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116,684</w:t>
            </w:r>
          </w:p>
        </w:tc>
        <w:tc>
          <w:tcPr>
            <w:tcW w:w="8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2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55,060</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58,108</w:t>
            </w: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65,651</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70,595</w:t>
            </w: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70,200</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6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6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26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1260" w:type="dxa"/>
            <w:vAlign w:val="bottom"/>
          </w:tcPr>
          <w:p>
            <w:pPr>
              <w:spacing w:after="0"/>
              <w:rPr>
                <w:sz w:val="17"/>
                <w:szCs w:val="17"/>
                <w:color w:val="auto"/>
              </w:rPr>
            </w:pPr>
          </w:p>
        </w:tc>
        <w:tc>
          <w:tcPr>
            <w:tcW w:w="1580" w:type="dxa"/>
            <w:vAlign w:val="bottom"/>
            <w:tcBorders>
              <w:bottom w:val="single" w:sz="8" w:color="auto"/>
            </w:tcBorders>
          </w:tcPr>
          <w:p>
            <w:pPr>
              <w:jc w:val="right"/>
              <w:ind w:right="139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(7,873)</w:t>
            </w:r>
          </w:p>
        </w:tc>
        <w:tc>
          <w:tcPr>
            <w:tcW w:w="160" w:type="dxa"/>
            <w:vAlign w:val="bottom"/>
          </w:tcPr>
          <w:p>
            <w:pPr>
              <w:spacing w:after="0"/>
              <w:rPr>
                <w:sz w:val="17"/>
                <w:szCs w:val="17"/>
                <w:color w:val="auto"/>
              </w:rPr>
            </w:pPr>
          </w:p>
        </w:tc>
        <w:tc>
          <w:tcPr>
            <w:tcW w:w="640" w:type="dxa"/>
            <w:vAlign w:val="bottom"/>
            <w:tcBorders>
              <w:bottom w:val="single" w:sz="8" w:color="auto"/>
            </w:tcBorders>
          </w:tcPr>
          <w:p>
            <w:pPr>
              <w:jc w:val="right"/>
              <w:ind w:right="4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(3,869)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1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5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w:t>
            </w:r>
          </w:p>
        </w:tc>
        <w:tc>
          <w:tcPr>
            <w:tcW w:w="1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and amortization)</w:t>
            </w:r>
          </w:p>
        </w:tc>
        <w:tc>
          <w:tcPr>
            <w:tcW w:w="12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3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23</w:t>
            </w:r>
          </w:p>
        </w:tc>
        <w:tc>
          <w:tcPr>
            <w:tcW w:w="15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0"/>
        </w:trPr>
        <w:tc>
          <w:tcPr>
            <w:tcW w:w="4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Borders>
              <w:top w:val="single" w:sz="8" w:color="0000FF"/>
            </w:tcBorders>
          </w:tcPr>
          <w:p>
            <w:pPr>
              <w:spacing w:after="0"/>
              <w:rPr>
                <w:sz w:val="17"/>
                <w:szCs w:val="17"/>
                <w:color w:val="auto"/>
              </w:rPr>
            </w:pPr>
          </w:p>
        </w:tc>
        <w:tc>
          <w:tcPr>
            <w:tcW w:w="4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gridSpan w:val="2"/>
            <w:vMerge w:val="continue"/>
          </w:tcPr>
          <w:p>
            <w:pPr>
              <w:spacing w:after="0"/>
              <w:rPr>
                <w:sz w:val="18"/>
                <w:szCs w:val="18"/>
                <w:color w:val="auto"/>
              </w:rPr>
            </w:pP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right="4560"/>
        <w:spacing w:after="0" w:line="432" w:lineRule="auto"/>
        <w:rPr>
          <w:sz w:val="20"/>
          <w:szCs w:val="20"/>
          <w:color w:val="auto"/>
        </w:rPr>
      </w:pPr>
      <w:r>
        <w:rPr>
          <w:rFonts w:ascii="Times New Roman" w:cs="Times New Roman" w:eastAsia="Times New Roman" w:hAnsi="Times New Roman"/>
          <w:sz w:val="18"/>
          <w:szCs w:val="18"/>
          <w:b w:val="1"/>
          <w:bCs w:val="1"/>
          <w:color w:val="auto"/>
        </w:rPr>
        <w:t xml:space="preserve">Three Months Ended April 28, 2024, Compared to Three Months Ended April 30, 2023 </w:t>
      </w:r>
      <w:r>
        <w:rPr>
          <w:rFonts w:ascii="Times New Roman" w:cs="Times New Roman" w:eastAsia="Times New Roman" w:hAnsi="Times New Roman"/>
          <w:sz w:val="18"/>
          <w:szCs w:val="18"/>
          <w:b w:val="1"/>
          <w:bCs w:val="1"/>
          <w:i w:val="1"/>
          <w:iCs w:val="1"/>
          <w:color w:val="auto"/>
        </w:rPr>
        <w:t>Net Sales</w:t>
      </w:r>
    </w:p>
    <w:p>
      <w:pPr>
        <w:spacing w:after="0" w:line="1" w:lineRule="exact"/>
        <w:rPr>
          <w:sz w:val="20"/>
          <w:szCs w:val="20"/>
          <w:color w:val="auto"/>
        </w:rPr>
      </w:pPr>
    </w:p>
    <w:p>
      <w:pPr>
        <w:jc w:val="both"/>
        <w:ind w:firstLine="428"/>
        <w:spacing w:after="0" w:line="266" w:lineRule="auto"/>
        <w:rPr>
          <w:sz w:val="20"/>
          <w:szCs w:val="20"/>
          <w:color w:val="auto"/>
        </w:rPr>
      </w:pPr>
      <w:r>
        <w:rPr>
          <w:rFonts w:ascii="Times New Roman" w:cs="Times New Roman" w:eastAsia="Times New Roman" w:hAnsi="Times New Roman"/>
          <w:sz w:val="18"/>
          <w:szCs w:val="18"/>
          <w:color w:val="auto"/>
        </w:rPr>
        <w:t>Net sales decreased $7.1 million, or 5.7%, to $116.7 million in the three months ended April 28, 2024 compared to $123.8 million in the three months ended April 30, 2023. Net sales was impacted by challenging traffic and a lower in-stock position at the beginning of the quarter.</w:t>
      </w:r>
    </w:p>
    <w:p>
      <w:pPr>
        <w:spacing w:after="0" w:line="108" w:lineRule="exact"/>
        <w:rPr>
          <w:sz w:val="20"/>
          <w:szCs w:val="20"/>
          <w:color w:val="auto"/>
        </w:rPr>
      </w:pPr>
    </w:p>
    <w:p>
      <w:pPr>
        <w:jc w:val="both"/>
        <w:ind w:right="220" w:firstLine="428"/>
        <w:spacing w:after="0" w:line="242" w:lineRule="auto"/>
        <w:rPr>
          <w:sz w:val="20"/>
          <w:szCs w:val="20"/>
          <w:color w:val="auto"/>
        </w:rPr>
      </w:pPr>
      <w:r>
        <w:rPr>
          <w:rFonts w:ascii="Times New Roman" w:cs="Times New Roman" w:eastAsia="Times New Roman" w:hAnsi="Times New Roman"/>
          <w:sz w:val="18"/>
          <w:szCs w:val="18"/>
          <w:color w:val="auto"/>
        </w:rPr>
        <w:t>Store market net sales decreased $7.3 million, or 8.6%, to $78.1 million in the three months ended April 28, 2024 compared to $85.4 million in the three months ended April 30, 2023. Non-store market net sales decreased by $3.8 million, or 10.2%, to $33.6 million in the three months ended April 28, 2024 compared to $37.4 million in the three months ended April 30,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Gross profit decreased $4.0 million, or 6.1%, to $61.6 million in the three months ended April 28, 2024 compared to $65.7 million in the three months ended April 30, 2023. As a percentage of net sales, gross margin decreased slightly to 52.8% of net sales in the three months ended April 28, 2024, compared to 53.0% of net sales in the three months ended April 30, 2023. While new product cost came in better than expected, we are seeing a delay in impact to gross margin rate as we sell through older, higher cost inventory.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jc w:val="both"/>
        <w:ind w:right="100" w:firstLine="428"/>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increased $0.4 million, or 0.6%, to $70.6 million in the three months ended April 28, 2024 compared to $70.2 million in the three months ended April 30, 2023. Selling, general and administrative expenses as a percentage of net sales increased to 60.5% in the three months ended April 28, 2024, compared to 56.7% in the three months ended April 30, 2023.</w:t>
      </w:r>
    </w:p>
    <w:p>
      <w:pPr>
        <w:spacing w:after="0" w:line="143" w:lineRule="exact"/>
        <w:rPr>
          <w:sz w:val="20"/>
          <w:szCs w:val="20"/>
          <w:color w:val="auto"/>
        </w:rPr>
      </w:pPr>
    </w:p>
    <w:p>
      <w:pPr>
        <w:ind w:right="400" w:firstLine="428"/>
        <w:spacing w:after="0" w:line="250" w:lineRule="auto"/>
        <w:rPr>
          <w:sz w:val="20"/>
          <w:szCs w:val="20"/>
          <w:color w:val="auto"/>
        </w:rPr>
      </w:pPr>
      <w:r>
        <w:rPr>
          <w:rFonts w:ascii="Times New Roman" w:cs="Times New Roman" w:eastAsia="Times New Roman" w:hAnsi="Times New Roman"/>
          <w:sz w:val="18"/>
          <w:szCs w:val="18"/>
          <w:color w:val="auto"/>
        </w:rPr>
        <w:t>The increase in selling, general and administrative expense was mainly driven by higher fixed costs and depreciation from foundational strategic investments, partially offset by efficiencies across logistics and the fulfillment center network.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ind w:right="60" w:firstLine="428"/>
        <w:spacing w:after="0" w:line="242" w:lineRule="auto"/>
        <w:rPr>
          <w:sz w:val="20"/>
          <w:szCs w:val="20"/>
          <w:color w:val="auto"/>
        </w:rPr>
      </w:pPr>
      <w:r>
        <w:rPr>
          <w:rFonts w:ascii="Times New Roman" w:cs="Times New Roman" w:eastAsia="Times New Roman" w:hAnsi="Times New Roman"/>
          <w:sz w:val="18"/>
          <w:szCs w:val="18"/>
          <w:color w:val="auto"/>
        </w:rPr>
        <w:t>Income tax benefit was $2.1 million in the three months ended April 28, 2024, compared to income tax benefit of $1.5 million in the three months ended April 30, 2023. The effective tax rate related to controlling interest for the three months ended April 28, 2024 and April 30, 2023 was 21% and 27%,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Controlling Interest</w:t>
      </w:r>
    </w:p>
    <w:p>
      <w:pPr>
        <w:spacing w:after="0" w:line="175" w:lineRule="exact"/>
        <w:rPr>
          <w:sz w:val="20"/>
          <w:szCs w:val="20"/>
          <w:color w:val="auto"/>
        </w:rPr>
      </w:pPr>
    </w:p>
    <w:p>
      <w:pPr>
        <w:ind w:right="360" w:firstLine="428"/>
        <w:spacing w:after="0" w:line="250" w:lineRule="auto"/>
        <w:rPr>
          <w:sz w:val="20"/>
          <w:szCs w:val="20"/>
          <w:color w:val="auto"/>
        </w:rPr>
      </w:pPr>
      <w:r>
        <w:rPr>
          <w:rFonts w:ascii="Times New Roman" w:cs="Times New Roman" w:eastAsia="Times New Roman" w:hAnsi="Times New Roman"/>
          <w:sz w:val="18"/>
          <w:szCs w:val="18"/>
          <w:color w:val="auto"/>
        </w:rPr>
        <w:t>Net loss attributable to controlling interest was $7.9 million, in the three months ended April 28, 2024 compared to net loss of $3.9 million in the three months ended April 30, 2023, due to the factors discussed above.</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EBITDA and EBITDA to Adjusted EBITDA</w:t>
      </w:r>
    </w:p>
    <w:p>
      <w:pPr>
        <w:spacing w:after="0" w:line="162" w:lineRule="exact"/>
        <w:rPr>
          <w:sz w:val="20"/>
          <w:szCs w:val="20"/>
          <w:color w:val="auto"/>
        </w:rPr>
      </w:pPr>
    </w:p>
    <w:p>
      <w:pPr>
        <w:ind w:right="120" w:firstLine="428"/>
        <w:spacing w:after="0" w:line="238" w:lineRule="auto"/>
        <w:rPr>
          <w:sz w:val="20"/>
          <w:szCs w:val="20"/>
          <w:color w:val="auto"/>
        </w:rPr>
      </w:pPr>
      <w:r>
        <w:rPr>
          <w:rFonts w:ascii="Times New Roman" w:cs="Times New Roman" w:eastAsia="Times New Roman" w:hAnsi="Times New Roman"/>
          <w:sz w:val="18"/>
          <w:szCs w:val="18"/>
          <w:color w:val="auto"/>
        </w:rPr>
        <w:t>The following table presents reconciliations of net loss to EBITDA and EBITDA to Adjusted EBITDA, both of which are non-U.S. GAAP financial measures, for the periods indicated below. See the above section titled “How We Assess the Performance of Our Business,” for our definition of Adjusted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6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320" w:type="dxa"/>
            <w:vAlign w:val="bottom"/>
            <w:gridSpan w:val="2"/>
            <w:shd w:val="clear" w:color="auto" w:fill="CCEEFF"/>
          </w:tcPr>
          <w:p>
            <w:pPr>
              <w:jc w:val="right"/>
              <w:ind w:right="140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(7,865)</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0" w:type="dxa"/>
            <w:vAlign w:val="bottom"/>
          </w:tcPr>
          <w:p>
            <w:pPr>
              <w:spacing w:after="0"/>
              <w:rPr>
                <w:sz w:val="1"/>
                <w:szCs w:val="1"/>
                <w:color w:val="auto"/>
              </w:rPr>
            </w:pPr>
          </w:p>
        </w:tc>
      </w:tr>
      <w:tr>
        <w:trPr>
          <w:trHeight w:val="234"/>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76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24</w:t>
            </w: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0" w:type="dxa"/>
            <w:vAlign w:val="bottom"/>
          </w:tcPr>
          <w:p>
            <w:pPr>
              <w:spacing w:after="0"/>
              <w:rPr>
                <w:sz w:val="1"/>
                <w:szCs w:val="1"/>
                <w:color w:val="auto"/>
              </w:rPr>
            </w:pPr>
          </w:p>
        </w:tc>
      </w:tr>
      <w:tr>
        <w:trPr>
          <w:trHeight w:val="184"/>
        </w:trPr>
        <w:tc>
          <w:tcPr>
            <w:tcW w:w="39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0"/>
        </w:trPr>
        <w:tc>
          <w:tcPr>
            <w:tcW w:w="39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20" w:type="dxa"/>
            <w:vAlign w:val="bottom"/>
            <w:tcBorders>
              <w:top w:val="single" w:sz="8" w:color="0000FF"/>
            </w:tcBorders>
          </w:tcPr>
          <w:p>
            <w:pPr>
              <w:spacing w:after="0"/>
              <w:rPr>
                <w:sz w:val="17"/>
                <w:szCs w:val="17"/>
                <w:color w:val="auto"/>
              </w:rPr>
            </w:pPr>
          </w:p>
        </w:tc>
        <w:tc>
          <w:tcPr>
            <w:tcW w:w="5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internal-use software hosting</w:t>
            </w: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subscription implementation costs</w:t>
            </w:r>
          </w:p>
        </w:tc>
        <w:tc>
          <w:tcPr>
            <w:tcW w:w="8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r>
      <w:tr>
        <w:trPr>
          <w:trHeight w:val="216"/>
        </w:trPr>
        <w:tc>
          <w:tcPr>
            <w:tcW w:w="6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16"/>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8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(2,083)</w:t>
            </w:r>
          </w:p>
        </w:tc>
        <w:tc>
          <w:tcPr>
            <w:tcW w:w="8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196"/>
        </w:trPr>
        <w:tc>
          <w:tcPr>
            <w:tcW w:w="66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EBITDA</w:t>
            </w:r>
          </w:p>
        </w:tc>
        <w:tc>
          <w:tcPr>
            <w:tcW w:w="860" w:type="dxa"/>
            <w:vAlign w:val="bottom"/>
            <w:tcBorders>
              <w:top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466</w:t>
            </w: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4,282</w:t>
            </w:r>
          </w:p>
        </w:tc>
      </w:tr>
      <w:tr>
        <w:trPr>
          <w:trHeight w:val="216"/>
        </w:trPr>
        <w:tc>
          <w:tcPr>
            <w:tcW w:w="66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183"/>
        </w:trPr>
        <w:tc>
          <w:tcPr>
            <w:tcW w:w="668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Adjusted EBITDA</w:t>
            </w:r>
          </w:p>
        </w:tc>
        <w:tc>
          <w:tcPr>
            <w:tcW w:w="860" w:type="dxa"/>
            <w:vAlign w:val="bottom"/>
            <w:tcBorders>
              <w:bottom w:val="single" w:sz="8" w:color="auto"/>
            </w:tcBorders>
            <w:shd w:val="clear" w:color="auto" w:fill="CCEEFF"/>
          </w:tcPr>
          <w:p>
            <w:pPr>
              <w:jc w:val="right"/>
              <w:ind w:right="6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1,838</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5,272</w:t>
            </w:r>
          </w:p>
        </w:tc>
      </w:tr>
      <w:tr>
        <w:trPr>
          <w:trHeight w:val="20"/>
        </w:trPr>
        <w:tc>
          <w:tcPr>
            <w:tcW w:w="13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320" w:firstLine="428"/>
        <w:spacing w:after="0" w:line="242"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decreased $3.4 million to $1.8 million in the three months ended April 28, 2024 compared to $5.3 million in the three months ended April 30, 2023. As a percentage of net sales, Adjusted EBITDA decreased to 1.6% of net sales in the three months April 28, 2024 compared to 4.3% of net sales in the three months ended April 30,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right="60" w:firstLine="428"/>
        <w:spacing w:after="0" w:line="236" w:lineRule="auto"/>
        <w:rPr>
          <w:sz w:val="20"/>
          <w:szCs w:val="20"/>
          <w:color w:val="auto"/>
        </w:rPr>
      </w:pPr>
      <w:r>
        <w:rPr>
          <w:rFonts w:ascii="Times New Roman" w:cs="Times New Roman" w:eastAsia="Times New Roman" w:hAnsi="Times New Roman"/>
          <w:sz w:val="18"/>
          <w:szCs w:val="18"/>
          <w:color w:val="auto"/>
        </w:rPr>
        <w:t>Our business relies on cash from operating activities and a credit facility as our primary sources of liquidity. Our primary cash needs have been for inventory, marketing and advertising, payroll, store leases, and capital expenditures associated with infrastructure and information technology. The most significant components of our working capital are cash, inventory, accounts payable and other current liabilities. At April 28, 2024, our net working capital was $75.9 million, including $6.8 million of cash and cash equivalents.</w:t>
      </w:r>
    </w:p>
    <w:p>
      <w:pPr>
        <w:spacing w:after="0" w:line="144" w:lineRule="exact"/>
        <w:rPr>
          <w:sz w:val="20"/>
          <w:szCs w:val="20"/>
          <w:color w:val="auto"/>
        </w:rPr>
      </w:pPr>
    </w:p>
    <w:p>
      <w:pPr>
        <w:ind w:right="60" w:firstLine="428"/>
        <w:spacing w:after="0" w:line="236" w:lineRule="auto"/>
        <w:rPr>
          <w:sz w:val="20"/>
          <w:szCs w:val="20"/>
          <w:color w:val="auto"/>
        </w:rPr>
      </w:pPr>
      <w:r>
        <w:rPr>
          <w:rFonts w:ascii="Times New Roman" w:cs="Times New Roman" w:eastAsia="Times New Roman" w:hAnsi="Times New Roman"/>
          <w:sz w:val="18"/>
          <w:szCs w:val="18"/>
          <w:color w:val="auto"/>
        </w:rPr>
        <w:t>We expect to spend approximately $25.0 million in fiscal 2024 on capital expenditures, inclusive of software hosting implementation costs, primarily due to investments in logistics optimization, including investments in the fulfillment network and information technology. Due to the seasonality of our business, a significant amount of cash from operating activities is generated during the fourth quarter of our fiscal year. We also use cash in our investing activities for capital expenditures throughout all four quarters of our fiscal year.</w:t>
      </w:r>
    </w:p>
    <w:p>
      <w:pPr>
        <w:spacing w:after="0" w:line="144" w:lineRule="exact"/>
        <w:rPr>
          <w:sz w:val="20"/>
          <w:szCs w:val="20"/>
          <w:color w:val="auto"/>
        </w:rPr>
      </w:pPr>
    </w:p>
    <w:p>
      <w:pPr>
        <w:ind w:right="60" w:firstLine="428"/>
        <w:spacing w:after="0" w:line="250" w:lineRule="auto"/>
        <w:rPr>
          <w:sz w:val="20"/>
          <w:szCs w:val="20"/>
          <w:color w:val="auto"/>
        </w:rPr>
      </w:pPr>
      <w:r>
        <w:rPr>
          <w:rFonts w:ascii="Times New Roman" w:cs="Times New Roman" w:eastAsia="Times New Roman" w:hAnsi="Times New Roman"/>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tcBorders>
              <w:bottom w:val="single" w:sz="8" w:color="auto"/>
            </w:tcBorders>
          </w:tcPr>
          <w:p>
            <w:pPr>
              <w:spacing w:after="0"/>
              <w:rPr>
                <w:sz w:val="16"/>
                <w:szCs w:val="16"/>
                <w:color w:val="auto"/>
              </w:rPr>
            </w:pPr>
          </w:p>
        </w:tc>
      </w:tr>
      <w:tr>
        <w:trPr>
          <w:trHeight w:val="183"/>
        </w:trPr>
        <w:tc>
          <w:tcPr>
            <w:tcW w:w="7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April 28, 2024</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250"/>
        </w:trPr>
        <w:tc>
          <w:tcPr>
            <w:tcW w:w="7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3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(33,666)</w:t>
            </w:r>
          </w:p>
        </w:tc>
        <w:tc>
          <w:tcPr>
            <w:tcW w:w="52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w:t>
            </w: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(1,477)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(21,348)</w:t>
            </w:r>
          </w:p>
        </w:tc>
      </w:tr>
      <w:tr>
        <w:trPr>
          <w:trHeight w:val="22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196"/>
        </w:trPr>
        <w:tc>
          <w:tcPr>
            <w:tcW w:w="7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Decrease in cash and cash equivalents</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(25,358)</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(36,338)</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75" w:lineRule="exact"/>
        <w:rPr>
          <w:sz w:val="20"/>
          <w:szCs w:val="20"/>
          <w:color w:val="auto"/>
        </w:rPr>
      </w:pPr>
    </w:p>
    <w:p>
      <w:pPr>
        <w:jc w:val="both"/>
        <w:ind w:firstLine="428"/>
        <w:spacing w:after="0" w:line="250"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include depreciation and amortization, stock-based compensation and the effect of changes in operating assets and liabilities.</w:t>
      </w:r>
    </w:p>
    <w:p>
      <w:pPr>
        <w:spacing w:after="0" w:line="136" w:lineRule="exact"/>
        <w:rPr>
          <w:sz w:val="20"/>
          <w:szCs w:val="20"/>
          <w:color w:val="auto"/>
        </w:rPr>
      </w:pPr>
    </w:p>
    <w:p>
      <w:pPr>
        <w:ind w:right="40" w:firstLine="428"/>
        <w:spacing w:after="0" w:line="236" w:lineRule="auto"/>
        <w:rPr>
          <w:sz w:val="20"/>
          <w:szCs w:val="20"/>
          <w:color w:val="auto"/>
        </w:rPr>
      </w:pPr>
      <w:r>
        <w:rPr>
          <w:rFonts w:ascii="Times New Roman" w:cs="Times New Roman" w:eastAsia="Times New Roman" w:hAnsi="Times New Roman"/>
          <w:sz w:val="18"/>
          <w:szCs w:val="18"/>
          <w:color w:val="auto"/>
        </w:rPr>
        <w:t>For the three months ended April 28, 2024, net cash used in operating activities was $33.7 million, which primarily consisted of cash used in operating assets and liabilities of $33.3 million and a $7.9 million net loss for the three months ended April 28, 2024 partially offset by depreciation of $8.3 million. The cash used in operating assets and liabilities of $33.3 million was primarily due to a $10.7 million increase in inventory and $13.2 million decrease in trade accounts payable.</w:t>
      </w:r>
    </w:p>
    <w:p>
      <w:pPr>
        <w:spacing w:after="0" w:line="144" w:lineRule="exact"/>
        <w:rPr>
          <w:sz w:val="20"/>
          <w:szCs w:val="20"/>
          <w:color w:val="auto"/>
        </w:rPr>
      </w:pPr>
    </w:p>
    <w:p>
      <w:pPr>
        <w:ind w:right="480" w:firstLine="428"/>
        <w:spacing w:after="0" w:line="242" w:lineRule="auto"/>
        <w:rPr>
          <w:sz w:val="20"/>
          <w:szCs w:val="20"/>
          <w:color w:val="auto"/>
        </w:rPr>
      </w:pPr>
      <w:r>
        <w:rPr>
          <w:rFonts w:ascii="Times New Roman" w:cs="Times New Roman" w:eastAsia="Times New Roman" w:hAnsi="Times New Roman"/>
          <w:sz w:val="18"/>
          <w:szCs w:val="18"/>
          <w:color w:val="auto"/>
        </w:rPr>
        <w:t>For the three months ended April 30, 2023, net cash used in operating activities was $14.0 million, which primarily consisted of cash used in operating assets and liabilities of $17.1 million. The cash used in operating assets and liabilities of $17.1 million was primarily due to a $21.1 million decrease in trade accounts payable partially offset by a $10.0 million decrease in inventory.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Investing activities consist primarily of capital expenditures for growth related to investments in infrastructure and information technology.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three months ended April 28, 2024 and April 30, 2023, net cash used in investing activities was $1.5 million and $21.3 million,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175" w:lineRule="exact"/>
        <w:rPr>
          <w:sz w:val="20"/>
          <w:szCs w:val="20"/>
          <w:color w:val="auto"/>
        </w:rPr>
      </w:pPr>
    </w:p>
    <w:p>
      <w:pPr>
        <w:ind w:right="600" w:firstLine="428"/>
        <w:spacing w:after="0" w:line="250" w:lineRule="auto"/>
        <w:rPr>
          <w:sz w:val="20"/>
          <w:szCs w:val="20"/>
          <w:color w:val="auto"/>
        </w:rPr>
      </w:pPr>
      <w:r>
        <w:rPr>
          <w:rFonts w:ascii="Times New Roman" w:cs="Times New Roman" w:eastAsia="Times New Roman" w:hAnsi="Times New Roman"/>
          <w:sz w:val="18"/>
          <w:szCs w:val="18"/>
          <w:color w:val="auto"/>
        </w:rPr>
        <w:t>Financing activities consist primarily of borrowings and payments related to our revolving line of credit as well as payments on finance lease obligations.</w:t>
      </w:r>
    </w:p>
    <w:p>
      <w:pPr>
        <w:spacing w:after="0" w:line="136" w:lineRule="exact"/>
        <w:rPr>
          <w:sz w:val="20"/>
          <w:szCs w:val="20"/>
          <w:color w:val="auto"/>
        </w:rPr>
      </w:pPr>
    </w:p>
    <w:p>
      <w:pPr>
        <w:ind w:right="260" w:firstLine="428"/>
        <w:spacing w:after="0" w:line="250" w:lineRule="auto"/>
        <w:rPr>
          <w:sz w:val="20"/>
          <w:szCs w:val="20"/>
          <w:color w:val="auto"/>
        </w:rPr>
      </w:pPr>
      <w:r>
        <w:rPr>
          <w:rFonts w:ascii="Times New Roman" w:cs="Times New Roman" w:eastAsia="Times New Roman" w:hAnsi="Times New Roman"/>
          <w:sz w:val="18"/>
          <w:szCs w:val="18"/>
          <w:color w:val="auto"/>
        </w:rPr>
        <w:t>For the three months ended April 28, 2024, net cash provided by financing activities was $9.8 million, primarily consisting of $11.0 million in net borrowings under our revolving line of credit.</w:t>
      </w:r>
    </w:p>
    <w:p>
      <w:pPr>
        <w:spacing w:after="0" w:line="136" w:lineRule="exact"/>
        <w:rPr>
          <w:sz w:val="20"/>
          <w:szCs w:val="20"/>
          <w:color w:val="auto"/>
        </w:rPr>
      </w:pPr>
    </w:p>
    <w:p>
      <w:pPr>
        <w:ind w:right="120" w:firstLine="428"/>
        <w:spacing w:after="0" w:line="266" w:lineRule="auto"/>
        <w:rPr>
          <w:sz w:val="20"/>
          <w:szCs w:val="20"/>
          <w:color w:val="auto"/>
        </w:rPr>
      </w:pPr>
      <w:r>
        <w:rPr>
          <w:rFonts w:ascii="Times New Roman" w:cs="Times New Roman" w:eastAsia="Times New Roman" w:hAnsi="Times New Roman"/>
          <w:sz w:val="18"/>
          <w:szCs w:val="18"/>
          <w:color w:val="auto"/>
        </w:rPr>
        <w:t>For the three months ended April 30, 2023, net cash used in financing activities was $1.0 million, primarily consisting of payments on finance lease obligations.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ind w:right="400" w:firstLine="428"/>
        <w:spacing w:after="0" w:line="250" w:lineRule="auto"/>
        <w:rPr>
          <w:sz w:val="20"/>
          <w:szCs w:val="20"/>
          <w:color w:val="auto"/>
        </w:rPr>
      </w:pPr>
      <w:r>
        <w:rPr>
          <w:rFonts w:ascii="Times New Roman" w:cs="Times New Roman" w:eastAsia="Times New Roman" w:hAnsi="Times New Roman"/>
          <w:sz w:val="18"/>
          <w:szCs w:val="18"/>
          <w:color w:val="auto"/>
        </w:rPr>
        <w:t>There have been no significant changes to our contractual obligations as described in our Annual Report on Form 10-K for the fiscal year ended January 28,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Critical Accounting Estimates</w:t>
      </w:r>
    </w:p>
    <w:p>
      <w:pPr>
        <w:spacing w:after="0" w:line="162" w:lineRule="exact"/>
        <w:rPr>
          <w:sz w:val="20"/>
          <w:szCs w:val="20"/>
          <w:color w:val="auto"/>
        </w:rPr>
      </w:pPr>
    </w:p>
    <w:p>
      <w:pPr>
        <w:ind w:right="240" w:firstLine="428"/>
        <w:spacing w:after="0" w:line="23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date of this filing, there were no significant changes to any of the critical accounting policies and estimates described in our 2023 Form 10-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ind w:right="360" w:firstLine="428"/>
        <w:spacing w:after="0" w:line="266" w:lineRule="auto"/>
        <w:rPr>
          <w:sz w:val="20"/>
          <w:szCs w:val="20"/>
          <w:color w:val="auto"/>
        </w:rPr>
      </w:pPr>
      <w:r>
        <w:rPr>
          <w:rFonts w:ascii="Times New Roman" w:cs="Times New Roman" w:eastAsia="Times New Roman" w:hAnsi="Times New Roman"/>
          <w:sz w:val="18"/>
          <w:szCs w:val="18"/>
          <w:color w:val="auto"/>
        </w:rPr>
        <w:t>See Note 12 “Recent Accounting Pronouncements,” of Notes to Condensed Consolidated Financial Statements included in Part 1, Item 1, of this quarterly report on Form 10-Q for information regarding recent accounting pronouncements.</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08"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There have been no significant changes in the market risks described in our 2023 Form 10-K. See Note 3 “Debt and Credit Agreement,” of Notes to Condensed Consolidated Financial Statements included in Part 1, Item 1, of this quarterly report on Form 10-Q, for disclosure on our interest rate related to borrowings under our credit agreement.</w:t>
      </w:r>
    </w:p>
    <w:p>
      <w:pPr>
        <w:spacing w:after="0" w:line="12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ind w:firstLine="428"/>
        <w:spacing w:after="0" w:line="226" w:lineRule="auto"/>
        <w:rPr>
          <w:sz w:val="20"/>
          <w:szCs w:val="20"/>
          <w:color w:val="auto"/>
        </w:rPr>
      </w:pPr>
      <w:r>
        <w:rPr>
          <w:rFonts w:ascii="Times New Roman" w:cs="Times New Roman" w:eastAsia="Times New Roman" w:hAnsi="Times New Roman"/>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not effective over certain financial reporting areas due to the material weakness in our internal control over financial reporting described below. Management has performed additional analysis and other procedures to ensure that our condensed financial statements are prepared in accordance with accounting principles generally accepted in the United States of America (“U.S. GAAP”) and has concluded that, notwithstanding the material weakness in our internal control over financial reporting, the condensed consolidated financial statements for the period covered by and included in this Quarterly Report on Form 10-Q</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1" w:lineRule="exact"/>
        <w:rPr>
          <w:sz w:val="20"/>
          <w:szCs w:val="20"/>
          <w:color w:val="auto"/>
        </w:rPr>
      </w:pPr>
    </w:p>
    <w:p>
      <w:pPr>
        <w:ind w:right="80"/>
        <w:spacing w:after="0" w:line="430" w:lineRule="auto"/>
        <w:rPr>
          <w:sz w:val="20"/>
          <w:szCs w:val="20"/>
          <w:color w:val="auto"/>
        </w:rPr>
      </w:pPr>
      <w:r>
        <w:rPr>
          <w:rFonts w:ascii="Times New Roman" w:cs="Times New Roman" w:eastAsia="Times New Roman" w:hAnsi="Times New Roman"/>
          <w:sz w:val="18"/>
          <w:szCs w:val="18"/>
          <w:color w:val="auto"/>
        </w:rPr>
        <w:t xml:space="preserve">fairly present, in all material respects, our financial position, results of operations and cash flows for the periods presented in conformity with U.S. GAAP. </w:t>
      </w:r>
      <w:r>
        <w:rPr>
          <w:rFonts w:ascii="Times New Roman" w:cs="Times New Roman" w:eastAsia="Times New Roman" w:hAnsi="Times New Roman"/>
          <w:sz w:val="18"/>
          <w:szCs w:val="18"/>
          <w:b w:val="1"/>
          <w:bCs w:val="1"/>
          <w:i w:val="1"/>
          <w:iCs w:val="1"/>
          <w:color w:val="auto"/>
        </w:rPr>
        <w:t>Material Weakness</w:t>
      </w:r>
    </w:p>
    <w:p>
      <w:pPr>
        <w:spacing w:after="0" w:line="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As disclosed in the section titled “Evaluation of Disclosure Controls and Procedures” in Item 9A of the Company’s 2023 Annual Report on Form 10-K, we previously identified control deficiencies in the implementation of our internal control over financial reporting that constituted a material weakness.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31" w:lineRule="exact"/>
        <w:rPr>
          <w:sz w:val="20"/>
          <w:szCs w:val="20"/>
          <w:color w:val="auto"/>
        </w:rPr>
      </w:pPr>
    </w:p>
    <w:p>
      <w:pPr>
        <w:jc w:val="both"/>
        <w:ind w:right="260"/>
        <w:spacing w:after="0" w:line="242" w:lineRule="auto"/>
        <w:rPr>
          <w:sz w:val="20"/>
          <w:szCs w:val="20"/>
          <w:color w:val="auto"/>
        </w:rPr>
      </w:pPr>
      <w:r>
        <w:rPr>
          <w:rFonts w:ascii="Times New Roman" w:cs="Times New Roman" w:eastAsia="Times New Roman" w:hAnsi="Times New Roman"/>
          <w:sz w:val="18"/>
          <w:szCs w:val="18"/>
          <w:color w:val="auto"/>
        </w:rPr>
        <w:t>The material weakness identified in our internal control over financial reporting related to control deficiencies in effective risk assessment related to the mapping of general ledger accounts to the consolidated financial statements resulting in manual controls in the financial reporting process that were not designed to sufficiently mitigate the risk of incorrect presentation of certain general ledger accounts in the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Plans</w:t>
      </w:r>
    </w:p>
    <w:p>
      <w:pPr>
        <w:spacing w:after="0" w:line="175"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18"/>
          <w:szCs w:val="18"/>
          <w:color w:val="auto"/>
        </w:rPr>
        <w:t>Management has simplified the process related to the mapping of general ledger accounts to the consolidated financial statements and performed a thorough risk assessment of the updated process to identify all risk points and design and implemented new process-level controls to mitigate the risk of incorrect presentation of general ledger accounts in the consolidated financial statements. However, the material weakness cannot be considered fully remediated until the applicable controls operate for a sufficient period of time and management has concluded, through testing, that these controls are operating effectively.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60" w:firstLine="428"/>
        <w:spacing w:after="0" w:line="236" w:lineRule="auto"/>
        <w:rPr>
          <w:sz w:val="20"/>
          <w:szCs w:val="20"/>
          <w:color w:val="auto"/>
        </w:rPr>
      </w:pPr>
      <w:r>
        <w:rPr>
          <w:rFonts w:ascii="Times New Roman" w:cs="Times New Roman" w:eastAsia="Times New Roman" w:hAnsi="Times New Roman"/>
          <w:sz w:val="18"/>
          <w:szCs w:val="18"/>
          <w:color w:val="auto"/>
        </w:rPr>
        <w:t>We are taking the appropriate actions to remediate the material weakness relating to our internal control over financial reporting, as described above. Except as otherwise described herein, there were no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ind w:right="160" w:firstLine="428"/>
        <w:spacing w:after="0" w:line="236" w:lineRule="auto"/>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2023 Form 10-K, or other SEC filings. There have been no material changes to our risk factors as previously disclosed in our fiscal 2023 Annual Report on Form 10-K.</w:t>
      </w:r>
    </w:p>
    <w:p>
      <w:pPr>
        <w:spacing w:after="0" w:line="1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did not sell any equity securities during the quarter ended April 28, 2024, which were not registered under the Securities Act.</w:t>
      </w:r>
    </w:p>
    <w:p>
      <w:pPr>
        <w:spacing w:after="0" w:line="2" w:lineRule="exact"/>
        <w:rPr>
          <w:sz w:val="20"/>
          <w:szCs w:val="20"/>
          <w:color w:val="auto"/>
        </w:rPr>
      </w:pPr>
    </w:p>
    <w:p>
      <w:pPr>
        <w:ind w:right="560" w:firstLine="492"/>
        <w:spacing w:after="0" w:line="243" w:lineRule="auto"/>
        <w:rPr>
          <w:sz w:val="20"/>
          <w:szCs w:val="20"/>
          <w:color w:val="auto"/>
        </w:rPr>
      </w:pPr>
      <w:r>
        <w:rPr>
          <w:rFonts w:ascii="Times New Roman" w:cs="Times New Roman" w:eastAsia="Times New Roman" w:hAnsi="Times New Roman"/>
          <w:sz w:val="18"/>
          <w:szCs w:val="18"/>
          <w:color w:val="auto"/>
        </w:rPr>
        <w:t>The following table contains information of shares acquired from employees in lieu of amounts required to satisfy minimum tax withholding requirements upon the vesting of the employees’ restricted stock during the three months ended April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 shares purchased</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yet to be</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99"/>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plans or programs</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29, 2024 - February 25, 2024</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98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2024 - March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159,404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0" w:type="dxa"/>
            <w:vAlign w:val="bottom"/>
          </w:tcPr>
          <w:p>
            <w:pPr>
              <w:spacing w:after="0"/>
              <w:rPr>
                <w:sz w:val="19"/>
                <w:szCs w:val="19"/>
                <w:color w:val="auto"/>
              </w:rPr>
            </w:pPr>
          </w:p>
        </w:tc>
        <w:tc>
          <w:tcPr>
            <w:tcW w:w="22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2024 - April 28, 2024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200,698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0" w:type="dxa"/>
            <w:vAlign w:val="bottom"/>
          </w:tcPr>
          <w:p>
            <w:pPr>
              <w:spacing w:after="0"/>
              <w:rPr>
                <w:sz w:val="18"/>
                <w:szCs w:val="18"/>
                <w:color w:val="auto"/>
              </w:rPr>
            </w:pPr>
          </w:p>
        </w:tc>
        <w:tc>
          <w:tcPr>
            <w:tcW w:w="2000" w:type="dxa"/>
            <w:vAlign w:val="bottom"/>
            <w:tcBorders>
              <w:top w:val="single" w:sz="8" w:color="auto"/>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980" w:type="dxa"/>
            <w:vAlign w:val="bottom"/>
            <w:tcBorders>
              <w:top w:val="single" w:sz="8" w:color="auto"/>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w:t>
            </w:r>
          </w:p>
        </w:tc>
      </w:tr>
    </w:tbl>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75" w:lineRule="exact"/>
        <w:rPr>
          <w:sz w:val="20"/>
          <w:szCs w:val="20"/>
          <w:color w:val="auto"/>
        </w:rPr>
      </w:pPr>
    </w:p>
    <w:p>
      <w:pPr>
        <w:ind w:right="320" w:firstLine="648"/>
        <w:spacing w:after="0" w:line="250" w:lineRule="auto"/>
        <w:rPr>
          <w:sz w:val="20"/>
          <w:szCs w:val="20"/>
          <w:color w:val="auto"/>
        </w:rPr>
      </w:pPr>
      <w:r>
        <w:rPr>
          <w:rFonts w:ascii="Times New Roman" w:cs="Times New Roman" w:eastAsia="Times New Roman" w:hAnsi="Times New Roman"/>
          <w:sz w:val="18"/>
          <w:szCs w:val="18"/>
          <w:color w:val="auto"/>
        </w:rPr>
        <w:t>During the three months ended April 28, 2024, no director or Section 16 officer of the Company adopted or terminated a “Rule 10b5-1 trading arrangement” or “non-Rule 10b5-1 trading arrangement,” as each term is defined in Item 408(a) of Regulation S-K.</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9780" w:type="dxa"/>
            <w:vAlign w:val="bottom"/>
            <w:tcBorders>
              <w:bottom w:val="single" w:sz="8" w:color="0000FF"/>
            </w:tcBorders>
            <w:gridSpan w:val="10"/>
          </w:tcPr>
          <w:p>
            <w:pPr>
              <w:spacing w:after="0" w:line="194"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Amended and Restated Annual Incentive Plan, incorporate by reference to Exhibit 10.1 of the Company’s Current Report on Form 8-K</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9780" w:type="dxa"/>
            <w:vAlign w:val="bottom"/>
            <w:gridSpan w:val="10"/>
          </w:tcPr>
          <w:p>
            <w:pPr>
              <w:spacing w:after="0" w:line="182"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dated February 20, 2024.</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8960" w:type="dxa"/>
            <w:vAlign w:val="bottom"/>
            <w:tcBorders>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Certification of Chief Executive Officer pursuant to Rule 13a-14(a) and Rule 15d-14(a) of the Securities and Exchange Act, as amended.*</w:t>
            </w:r>
          </w:p>
        </w:tc>
        <w:tc>
          <w:tcPr>
            <w:tcW w:w="20" w:type="dxa"/>
            <w:vAlign w:val="bottom"/>
            <w:tcBorders>
              <w:bottom w:val="single" w:sz="8" w:color="0000EE"/>
            </w:tcBorders>
          </w:tcPr>
          <w:p>
            <w:pPr>
              <w:spacing w:after="0"/>
              <w:rPr>
                <w:sz w:val="13"/>
                <w:szCs w:val="13"/>
                <w:color w:val="auto"/>
              </w:rPr>
            </w:pPr>
          </w:p>
        </w:tc>
        <w:tc>
          <w:tcPr>
            <w:tcW w:w="8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31.2</w:t>
            </w:r>
          </w:p>
        </w:tc>
        <w:tc>
          <w:tcPr>
            <w:tcW w:w="8980" w:type="dxa"/>
            <w:vAlign w:val="bottom"/>
            <w:gridSpan w:val="6"/>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Interim Chief Financial Officer pursuant to Rule 13a-14(a) and Rule 15d-14(a) of the Securities and Exchange Act of 1934,</w:t>
            </w:r>
          </w:p>
        </w:tc>
        <w:tc>
          <w:tcPr>
            <w:tcW w:w="80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6"/>
                <w:szCs w:val="16"/>
                <w:color w:val="0000FF"/>
              </w:rPr>
              <w:t>as</w:t>
            </w:r>
          </w:p>
        </w:tc>
        <w:tc>
          <w:tcPr>
            <w:tcW w:w="0" w:type="dxa"/>
            <w:vAlign w:val="bottom"/>
          </w:tcPr>
          <w:p>
            <w:pPr>
              <w:spacing w:after="0"/>
              <w:rPr>
                <w:sz w:val="1"/>
                <w:szCs w:val="1"/>
                <w:color w:val="auto"/>
              </w:rPr>
            </w:pPr>
          </w:p>
        </w:tc>
      </w:tr>
      <w:tr>
        <w:trPr>
          <w:trHeight w:val="15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9260" w:type="dxa"/>
            <w:vAlign w:val="bottom"/>
            <w:tcBorders>
              <w:top w:val="single" w:sz="8" w:color="0000FF"/>
            </w:tcBorders>
            <w:gridSpan w:val="7"/>
          </w:tcPr>
          <w:p>
            <w:pPr>
              <w:spacing w:after="0" w:line="155" w:lineRule="exact"/>
              <w:rPr>
                <w:sz w:val="20"/>
                <w:szCs w:val="20"/>
                <w:color w:val="auto"/>
              </w:rPr>
            </w:pPr>
            <w:r>
              <w:rPr>
                <w:rFonts w:ascii="Times New Roman" w:cs="Times New Roman" w:eastAsia="Times New Roman" w:hAnsi="Times New Roman"/>
                <w:sz w:val="16"/>
                <w:szCs w:val="16"/>
                <w:color w:val="0000FF"/>
              </w:rPr>
              <w:t>amended.*</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700" w:type="dxa"/>
            <w:vAlign w:val="bottom"/>
            <w:tcBorders>
              <w:top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84"/>
              </w:rPr>
              <w:t>Certification</w:t>
            </w:r>
          </w:p>
        </w:tc>
        <w:tc>
          <w:tcPr>
            <w:tcW w:w="20" w:type="dxa"/>
            <w:vAlign w:val="bottom"/>
            <w:tcBorders>
              <w:top w:val="single" w:sz="8" w:color="0000EE"/>
            </w:tcBorders>
          </w:tcPr>
          <w:p>
            <w:pPr>
              <w:spacing w:after="0"/>
              <w:rPr>
                <w:sz w:val="13"/>
                <w:szCs w:val="13"/>
                <w:color w:val="auto"/>
              </w:rPr>
            </w:pPr>
          </w:p>
        </w:tc>
        <w:tc>
          <w:tcPr>
            <w:tcW w:w="9060" w:type="dxa"/>
            <w:vAlign w:val="bottom"/>
            <w:gridSpan w:val="7"/>
          </w:tcPr>
          <w:p>
            <w:pPr>
              <w:ind w:left="140"/>
              <w:spacing w:after="0" w:line="136" w:lineRule="exact"/>
              <w:rPr>
                <w:sz w:val="20"/>
                <w:szCs w:val="20"/>
                <w:color w:val="auto"/>
              </w:rPr>
            </w:pPr>
            <w:r>
              <w:rPr>
                <w:rFonts w:ascii="Times New Roman" w:cs="Times New Roman" w:eastAsia="Times New Roman" w:hAnsi="Times New Roman"/>
                <w:sz w:val="15"/>
                <w:szCs w:val="15"/>
                <w:color w:val="0000FF"/>
              </w:rPr>
              <w:t>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69"/>
        </w:trPr>
        <w:tc>
          <w:tcPr>
            <w:tcW w:w="128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32.2</w:t>
            </w:r>
          </w:p>
        </w:tc>
        <w:tc>
          <w:tcPr>
            <w:tcW w:w="9680" w:type="dxa"/>
            <w:vAlign w:val="bottom"/>
            <w:tcBorders>
              <w:top w:val="single" w:sz="8" w:color="0000FF"/>
              <w:bottom w:val="single" w:sz="8" w:color="0000FF"/>
            </w:tcBorders>
            <w:gridSpan w:val="8"/>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Interim Chief Financial Officer pursuant to 18 U.S.C. Section 1350, as adopted pursuant to Section 906 of the Sarbanes-Oxley Act of</w:t>
            </w:r>
          </w:p>
        </w:tc>
        <w:tc>
          <w:tcPr>
            <w:tcW w:w="4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440" w:type="dxa"/>
            <w:vAlign w:val="bottom"/>
            <w:tcBorders>
              <w:bottom w:val="single" w:sz="8" w:color="0000FF"/>
            </w:tcBorders>
          </w:tcPr>
          <w:p>
            <w:pPr>
              <w:spacing w:after="0" w:line="155" w:lineRule="exact"/>
              <w:rPr>
                <w:sz w:val="20"/>
                <w:szCs w:val="20"/>
                <w:color w:val="auto"/>
              </w:rPr>
            </w:pPr>
            <w:r>
              <w:rPr>
                <w:rFonts w:ascii="Times New Roman" w:cs="Times New Roman" w:eastAsia="Times New Roman" w:hAnsi="Times New Roman"/>
                <w:sz w:val="16"/>
                <w:szCs w:val="16"/>
                <w:color w:val="0000FF"/>
                <w:w w:val="95"/>
              </w:rPr>
              <w:t>2002.*</w:t>
            </w:r>
          </w:p>
        </w:tc>
        <w:tc>
          <w:tcPr>
            <w:tcW w:w="9340" w:type="dxa"/>
            <w:vAlign w:val="bottom"/>
            <w:gridSpan w:val="9"/>
            <w:vMerge w:val="restart"/>
          </w:tcPr>
          <w:p>
            <w:pPr>
              <w:ind w:left="20"/>
              <w:spacing w:after="0"/>
              <w:rPr>
                <w:sz w:val="20"/>
                <w:szCs w:val="20"/>
                <w:color w:val="auto"/>
              </w:rPr>
            </w:pPr>
            <w:r>
              <w:rPr>
                <w:rFonts w:ascii="Times New Roman" w:cs="Times New Roman" w:eastAsia="Times New Roman" w:hAnsi="Times New Roman"/>
                <w:sz w:val="16"/>
                <w:szCs w:val="16"/>
                <w:color w:val="auto"/>
              </w:rPr>
              <w:t>Instance Document**</w:t>
            </w:r>
          </w:p>
        </w:tc>
        <w:tc>
          <w:tcPr>
            <w:tcW w:w="0" w:type="dxa"/>
            <w:vAlign w:val="bottom"/>
          </w:tcPr>
          <w:p>
            <w:pPr>
              <w:spacing w:after="0"/>
              <w:rPr>
                <w:sz w:val="1"/>
                <w:szCs w:val="1"/>
                <w:color w:val="auto"/>
              </w:rPr>
            </w:pPr>
          </w:p>
        </w:tc>
      </w:tr>
      <w:tr>
        <w:trPr>
          <w:trHeight w:val="164"/>
        </w:trPr>
        <w:tc>
          <w:tcPr>
            <w:tcW w:w="1280" w:type="dxa"/>
            <w:vAlign w:val="bottom"/>
            <w:vMerge w:val="continue"/>
          </w:tcPr>
          <w:p>
            <w:pPr>
              <w:spacing w:after="0"/>
              <w:rPr>
                <w:sz w:val="14"/>
                <w:szCs w:val="14"/>
                <w:color w:val="auto"/>
              </w:rPr>
            </w:pPr>
          </w:p>
        </w:tc>
        <w:tc>
          <w:tcPr>
            <w:tcW w:w="4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w w:val="98"/>
              </w:rPr>
              <w:t>XBRL</w:t>
            </w:r>
          </w:p>
        </w:tc>
        <w:tc>
          <w:tcPr>
            <w:tcW w:w="934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97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189"/>
        </w:trPr>
        <w:tc>
          <w:tcPr>
            <w:tcW w:w="1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97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1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97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Definition Document**</w:t>
            </w:r>
          </w:p>
        </w:tc>
        <w:tc>
          <w:tcPr>
            <w:tcW w:w="0" w:type="dxa"/>
            <w:vAlign w:val="bottom"/>
          </w:tcPr>
          <w:p>
            <w:pPr>
              <w:spacing w:after="0"/>
              <w:rPr>
                <w:sz w:val="1"/>
                <w:szCs w:val="1"/>
                <w:color w:val="auto"/>
              </w:rPr>
            </w:pPr>
          </w:p>
        </w:tc>
      </w:tr>
      <w:tr>
        <w:trPr>
          <w:trHeight w:val="189"/>
        </w:trPr>
        <w:tc>
          <w:tcPr>
            <w:tcW w:w="1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97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bl>
    <w:p>
      <w:pPr>
        <w:ind w:left="1280" w:right="100" w:hanging="1272"/>
        <w:spacing w:after="0" w:line="243"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April 28, 2024 has been formatted in Inline XBRL (Inline Extensible Business Reporting Language and contained in Exhibits 101).</w:t>
      </w:r>
    </w:p>
    <w:p>
      <w:pPr>
        <w:sectPr>
          <w:pgSz w:w="11900" w:h="16838" w:orient="portrait"/>
          <w:cols w:equalWidth="0" w:num="1">
            <w:col w:w="11060"/>
          </w:cols>
          <w:pgMar w:left="320" w:top="283"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ectPr>
          <w:pgSz w:w="11900" w:h="16838" w:orient="portrait"/>
          <w:cols w:equalWidth="0" w:num="2">
            <w:col w:w="860" w:space="720"/>
            <w:col w:w="9480"/>
          </w:cols>
          <w:pgMar w:left="320" w:top="283" w:right="51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right="200"/>
        <w:spacing w:after="0" w:line="263" w:lineRule="auto"/>
        <w:rPr>
          <w:sz w:val="20"/>
          <w:szCs w:val="20"/>
          <w:color w:val="auto"/>
        </w:rPr>
      </w:pPr>
      <w:r>
        <w:rPr>
          <w:rFonts w:ascii="Times New Roman" w:cs="Times New Roman" w:eastAsia="Times New Roman" w:hAnsi="Times New Roman"/>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ectPr>
          <w:pgSz w:w="11900" w:h="16838" w:orient="portrait"/>
          <w:cols w:equalWidth="0" w:num="2">
            <w:col w:w="860" w:space="720"/>
            <w:col w:w="9480"/>
          </w:cols>
          <w:pgMar w:left="320" w:top="283" w:right="519"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83" w:right="5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31, 2024</w:t>
      </w:r>
    </w:p>
    <w:p>
      <w:pPr>
        <w:spacing w:after="0" w:line="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DULUTH HOLDINGS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35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 Heena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11430</wp:posOffset>
            </wp:positionV>
            <wp:extent cx="40716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Heena Agrawal</w:t>
      </w:r>
    </w:p>
    <w:p>
      <w:pPr>
        <w:ind w:left="482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Senior Vice President, Chief Financial Officer</w:t>
      </w: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(On behalf of the Registrant and as Principal Financial Officer)</w:t>
      </w:r>
    </w:p>
    <w:p>
      <w:pPr>
        <w:spacing w:after="0" w:line="200" w:lineRule="exact"/>
        <w:rPr>
          <w:sz w:val="20"/>
          <w:szCs w:val="20"/>
          <w:color w:val="auto"/>
        </w:rPr>
      </w:pPr>
    </w:p>
    <w:p>
      <w:pPr>
        <w:spacing w:after="0" w:line="31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11430</wp:posOffset>
            </wp:positionV>
            <wp:extent cx="40716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18"/>
          <w:szCs w:val="18"/>
          <w:b w:val="1"/>
          <w:bCs w:val="1"/>
          <w:color w:val="auto"/>
        </w:rPr>
        <w:t>Michael Murphy</w:t>
      </w:r>
    </w:p>
    <w:p>
      <w:pPr>
        <w:ind w:left="482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Vice President, Chief Accounting Officer and Treasury</w:t>
      </w: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(On behalf of the Registrant and as Principal Accounting Officer)</w:t>
      </w:r>
    </w:p>
    <w:p>
      <w:pPr>
        <w:spacing w:after="0" w:line="34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00"/>
          </w:cols>
          <w:pgMar w:left="320" w:top="283" w:right="8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 Sato,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31, 2024</w:t>
      </w: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 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-10795</wp:posOffset>
            </wp:positionV>
            <wp:extent cx="6254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 Sato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6026150"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7285355</wp:posOffset>
            </wp:positionV>
            <wp:extent cx="602615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026150" cy="51435"/>
                    </a:xfrm>
                    <a:prstGeom prst="rect">
                      <a:avLst/>
                    </a:prstGeom>
                    <a:noFill/>
                  </pic:spPr>
                </pic:pic>
              </a:graphicData>
            </a:graphic>
          </wp:anchor>
        </w:drawing>
        <w:t>Exhibit 31.2</w:t>
      </w:r>
    </w:p>
    <w:p>
      <w:pPr>
        <w:spacing w:after="0" w:line="33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Heena Agrawal,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31, 2024</w:t>
      </w: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Heena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19685</wp:posOffset>
            </wp:positionV>
            <wp:extent cx="2168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Heena Agrawal</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ectPr>
          <w:pgSz w:w="11900" w:h="16838" w:orient="portrait"/>
          <w:cols w:equalWidth="0" w:num="1">
            <w:col w:w="9440"/>
          </w:cols>
          <w:pgMar w:left="1220" w:top="117" w:right="1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April 28, 2024 as filed with the Securities and Exchange Commission on the date hereof (the “Report”), I, Sam Sato, as Chief Executive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660" w:right="3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660" w:right="38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ind w:left="120" w:right="7620" w:firstLine="7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/s/ Sam Sato </w:t>
      </w: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Sam Sato</w:t>
      </w:r>
    </w:p>
    <w:p>
      <w:pPr>
        <w:ind w:left="120"/>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17"/>
          <w:szCs w:val="17"/>
          <w:b w:val="1"/>
          <w:bCs w:val="1"/>
          <w:color w:val="auto"/>
        </w:rPr>
        <w:t>Chief Executive Officer</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May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-422275</wp:posOffset>
            </wp:positionV>
            <wp:extent cx="30429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62"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April 28, 2024 as filed with the Securities and Exchange Commission on the date hereof (the “Report”), I, Heena Agrawal, as Chief Financial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980" w:right="20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2" w:lineRule="exact"/>
        <w:rPr>
          <w:sz w:val="20"/>
          <w:szCs w:val="20"/>
          <w:color w:val="auto"/>
        </w:rPr>
      </w:pPr>
    </w:p>
    <w:p>
      <w:pPr>
        <w:ind w:left="120" w:right="6820" w:firstLine="76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/s/ Heena Agrawal </w:t>
      </w: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Heena Agrawal</w:t>
      </w:r>
      <w:r>
        <w:rPr>
          <w:rFonts w:ascii="Times New Roman" w:cs="Times New Roman" w:eastAsia="Times New Roman" w:hAnsi="Times New Roman"/>
          <w:sz w:val="18"/>
          <w:szCs w:val="18"/>
          <w:color w:val="auto"/>
        </w:rPr>
        <w:t xml:space="preserve"> Title: </w:t>
      </w:r>
      <w:r>
        <w:rPr>
          <w:rFonts w:ascii="Times New Roman" w:cs="Times New Roman" w:eastAsia="Times New Roman" w:hAnsi="Times New Roman"/>
          <w:sz w:val="18"/>
          <w:szCs w:val="18"/>
          <w:b w:val="1"/>
          <w:bCs w:val="1"/>
          <w:color w:val="auto"/>
        </w:rPr>
        <w:t>Chief Financial Officer</w:t>
      </w:r>
      <w:r>
        <w:rPr>
          <w:rFonts w:ascii="Times New Roman" w:cs="Times New Roman" w:eastAsia="Times New Roman" w:hAnsi="Times New Roman"/>
          <w:sz w:val="18"/>
          <w:szCs w:val="18"/>
          <w:color w:val="auto"/>
        </w:rPr>
        <w:t xml:space="preserve"> Date: </w:t>
      </w:r>
      <w:r>
        <w:rPr>
          <w:rFonts w:ascii="Times New Roman" w:cs="Times New Roman" w:eastAsia="Times New Roman" w:hAnsi="Times New Roman"/>
          <w:sz w:val="18"/>
          <w:szCs w:val="18"/>
          <w:b w:val="1"/>
          <w:bCs w:val="1"/>
          <w:color w:val="auto"/>
        </w:rPr>
        <w:t>May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-436245</wp:posOffset>
            </wp:positionV>
            <wp:extent cx="30429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40"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sectPr>
      <w:pgSz w:w="11900" w:h="16838" w:orient="portrait"/>
      <w:cols w:equalWidth="0" w:num="1">
        <w:col w:w="9440"/>
      </w:cols>
      <w:pgMar w:left="1220" w:top="1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upperLetter"/>
      <w:start w:val="1"/>
    </w:lvl>
  </w:abstractNum>
  <w:abstractNum w:abstractNumId="3">
    <w:nsid w:val="216231B"/>
    <w:multiLevelType w:val="hybridMultilevel"/>
    <w:lvl w:ilvl="0">
      <w:lvlJc w:val="left"/>
      <w:lvlText w:val="%1."/>
      <w:numFmt w:val="upperLetter"/>
      <w:start w:val="2"/>
    </w:lvl>
  </w:abstractNum>
  <w:abstractNum w:abstractNumId="4">
    <w:nsid w:val="1F16E9E8"/>
    <w:multiLevelType w:val="hybridMultilevel"/>
    <w:lvl w:ilvl="0">
      <w:lvlJc w:val="left"/>
      <w:lvlText w:val="%1."/>
      <w:numFmt w:val="upperLetter"/>
      <w:start w:val="3"/>
    </w:lvl>
  </w:abstractNum>
  <w:abstractNum w:abstractNumId="5">
    <w:nsid w:val="1190CDE7"/>
    <w:multiLevelType w:val="hybridMultilevel"/>
    <w:lvl w:ilvl="0">
      <w:lvlJc w:val="left"/>
      <w:lvlText w:val="%1."/>
      <w:numFmt w:val="upperLetter"/>
      <w:start w:val="6"/>
    </w:lvl>
  </w:abstractNum>
  <w:abstractNum w:abstractNumId="6">
    <w:nsid w:val="66EF438D"/>
    <w:multiLevelType w:val="hybridMultilevel"/>
    <w:lvl w:ilvl="0">
      <w:lvlJc w:val="left"/>
      <w:lvlText w:val="%1."/>
      <w:numFmt w:val="decimal"/>
      <w:start w:val="3"/>
    </w:lvl>
  </w:abstractNum>
  <w:abstractNum w:abstractNumId="7">
    <w:nsid w:val="140E0F76"/>
    <w:multiLevelType w:val="hybridMultilevel"/>
    <w:lvl w:ilvl="0">
      <w:lvlJc w:val="left"/>
      <w:lvlText w:val="%1."/>
      <w:numFmt w:val="decimal"/>
      <w:start w:val="4"/>
    </w:lvl>
  </w:abstractNum>
  <w:abstractNum w:abstractNumId="8">
    <w:nsid w:val="3352255A"/>
    <w:multiLevelType w:val="hybridMultilevel"/>
    <w:lvl w:ilvl="0">
      <w:lvlJc w:val="left"/>
      <w:lvlText w:val="%1."/>
      <w:numFmt w:val="decimal"/>
      <w:start w:val="11"/>
    </w:lvl>
  </w:abstractNum>
  <w:abstractNum w:abstractNumId="9">
    <w:nsid w:val="109CF92E"/>
    <w:multiLevelType w:val="hybridMultilevel"/>
    <w:lvl w:ilvl="0">
      <w:lvlJc w:val="left"/>
      <w:lvlText w:val=" "/>
      <w:numFmt w:val="bullet"/>
      <w:start w:val="1"/>
    </w:lvl>
  </w:abstractNum>
  <w:abstractNum w:abstractNumId="10">
    <w:nsid w:val="DED7263"/>
    <w:multiLevelType w:val="hybridMultilevel"/>
    <w:lvl w:ilvl="0">
      <w:lvlJc w:val="left"/>
      <w:lvlText w:val="%1"/>
      <w:numFmt w:val="decimal"/>
      <w:start w:val="104"/>
    </w:lvl>
  </w:abstractNum>
  <w:abstractNum w:abstractNumId="11">
    <w:nsid w:val="7FDCC233"/>
    <w:multiLevelType w:val="hybridMultilevel"/>
    <w:lvl w:ilvl="0">
      <w:lvlJc w:val="left"/>
      <w:lvlText w:val="%1."/>
      <w:numFmt w:val="decimal"/>
      <w:start w:val="1"/>
    </w:lvl>
    <w:lvl w:ilvl="1">
      <w:lvlJc w:val="left"/>
      <w:lvlText w:val="%2)"/>
      <w:numFmt w:val="lowerLetter"/>
      <w:start w:val="1"/>
    </w:lvl>
  </w:abstractNum>
  <w:abstractNum w:abstractNumId="12">
    <w:nsid w:val="1BEFD79F"/>
    <w:multiLevelType w:val="hybridMultilevel"/>
    <w:lvl w:ilvl="0">
      <w:lvlJc w:val="left"/>
      <w:lvlText w:val="%1."/>
      <w:numFmt w:val="decimal"/>
      <w:start w:val="1"/>
    </w:lvl>
    <w:lvl w:ilvl="1">
      <w:lvlJc w:val="left"/>
      <w:lvlText w:val="%2)"/>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 "/>
      <w:numFmt w:val="bullet"/>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44" Type="http://schemas.openxmlformats.org/officeDocument/2006/relationships/hyperlink" Target="https://www.sec.gov/ix?doc=/Archives/edgar/data/0001649744/000119312524039979/d75611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2024-05-31T11:17:20Z</dcterms:created>
  <dcterms:modified xsi:type="dcterms:W3CDTF">2024-05-31T11:17:20Z</dcterms:modified>
</cp:coreProperties>
</file>