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2022</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110" w:lineRule="exact"/>
        <w:rPr>
          <w:sz w:val="24"/>
          <w:szCs w:val="24"/>
          <w:color w:val="auto"/>
        </w:rPr>
      </w:pPr>
    </w:p>
    <w:p>
      <w:pPr>
        <w:ind w:firstLine="428"/>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96"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t>
            </w:r>
          </w:p>
        </w:tc>
        <w:tc>
          <w:tcPr>
            <w:tcW w:w="32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t>
            </w:r>
          </w:p>
        </w:tc>
        <w:tc>
          <w:tcPr>
            <w:tcW w:w="32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ind w:left="440"/>
        <w:spacing w:after="0" w:line="184" w:lineRule="exact"/>
        <w:tabs>
          <w:tab w:leader="none" w:pos="7940" w:val="left"/>
          <w:tab w:leader="none" w:pos="8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Yes o</w:t>
        <w:tab/>
        <w:t xml:space="preserve">No </w:t>
      </w:r>
      <w:r>
        <w:rPr>
          <w:rFonts w:ascii="MS PGothic" w:cs="MS PGothic" w:eastAsia="MS PGothic" w:hAnsi="MS PGothic"/>
          <w:sz w:val="16"/>
          <w:szCs w:val="16"/>
          <w:color w:val="auto"/>
        </w:rPr>
        <w:t>☑</w:t>
      </w:r>
    </w:p>
    <w:p>
      <w:pPr>
        <w:spacing w:after="0" w:line="16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August 31, 2022,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August 31, 2022, was 30,013,639.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July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80" w:type="dxa"/>
            <w:vAlign w:val="bottom"/>
            <w:gridSpan w:val="14"/>
          </w:tcPr>
          <w:p>
            <w:pPr>
              <w:jc w:val="center"/>
              <w:ind w:right="364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64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July 31, 2022 and January 30, 2022 (Unaudited)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July 31, 2022 and August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1, 2021 (Unaudited)</w:t>
            </w:r>
          </w:p>
        </w:tc>
        <w:tc>
          <w:tcPr>
            <w:tcW w:w="662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July 31,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8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and August 1, 2021 (Unaudited)</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Shareholders’ Equity for the six months ended July 31, 2022 (Unaudited)</w:t>
            </w:r>
          </w:p>
        </w:tc>
        <w:tc>
          <w:tcPr>
            <w:tcW w:w="74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six months ended August 1, 2021 (Unaudited)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July 31, 2022 and August 1, 2021</w:t>
            </w: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6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760" w:type="dxa"/>
            <w:vAlign w:val="bottom"/>
            <w:gridSpan w:val="5"/>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6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6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3"/>
          </w:tcPr>
          <w:p>
            <w:pPr>
              <w:jc w:val="center"/>
              <w:ind w:right="374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94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74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tcBorders>
              <w:top w:val="single" w:sz="8" w:color="0000FF"/>
            </w:tcBorders>
            <w:gridSpan w:val="9"/>
          </w:tcPr>
          <w:p>
            <w:pPr>
              <w:spacing w:after="0"/>
              <w:rPr>
                <w:sz w:val="24"/>
                <w:szCs w:val="24"/>
                <w:color w:val="auto"/>
              </w:rPr>
            </w:pPr>
          </w:p>
        </w:tc>
        <w:tc>
          <w:tcPr>
            <w:tcW w:w="448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776"/>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0"/>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77,051</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7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less reserves of $2,310 and $2,372, respectively</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164,499</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122,672</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catalog costs</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222,521</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110,078</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120,911</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50,133</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196"/>
        </w:trPr>
        <w:tc>
          <w:tcPr>
            <w:tcW w:w="77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493,321</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515,550</w:t>
            </w:r>
          </w:p>
        </w:tc>
      </w:tr>
      <w:tr>
        <w:trPr>
          <w:trHeight w:val="20"/>
        </w:trPr>
        <w:tc>
          <w:tcPr>
            <w:tcW w:w="7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Duluth long-term debt</w:t>
            </w:r>
          </w:p>
        </w:tc>
        <w:tc>
          <w:tcPr>
            <w:tcW w:w="4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115,996</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107,094</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40,267</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long-term debt, less current maturities</w:t>
            </w: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268,940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292,832</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July 31, 2022 and January 30, 2022</w:t>
            </w:r>
          </w:p>
        </w:tc>
        <w:tc>
          <w:tcPr>
            <w:tcW w:w="4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3,364 shares issued and outstanding as of July 31, 2022 and January 30, 2022</w:t>
            </w: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30,089 shares issued and 29,977 shares outstanding as of July 31, 2022 and</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29,786 shares issued and 29,707 shares outstanding as of January 30, 2022</w:t>
            </w:r>
          </w:p>
        </w:tc>
        <w:tc>
          <w:tcPr>
            <w:tcW w:w="4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112 and 79 shares as of July 31, 2022 and</w:t>
            </w: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30, 2022, respectively</w:t>
            </w: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(1,458)</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95,515</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130,868</w:t>
            </w:r>
          </w:p>
        </w:tc>
      </w:tr>
      <w:tr>
        <w:trPr>
          <w:trHeight w:val="230"/>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0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227,589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225,870</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(3,208)</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224,381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222,718</w:t>
            </w:r>
          </w:p>
        </w:tc>
      </w:tr>
      <w:tr>
        <w:trPr>
          <w:trHeight w:val="196"/>
        </w:trPr>
        <w:tc>
          <w:tcPr>
            <w:tcW w:w="77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493,321</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515,550</w:t>
            </w:r>
          </w:p>
        </w:tc>
      </w:tr>
      <w:tr>
        <w:trPr>
          <w:trHeight w:val="20"/>
        </w:trPr>
        <w:tc>
          <w:tcPr>
            <w:tcW w:w="7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141,511</w:t>
            </w: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264,415</w:t>
            </w: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282,546</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65,903</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67,701</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134,577</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147,969</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139,733</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132,987</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180" w:type="dxa"/>
            <w:vAlign w:val="bottom"/>
            <w:tcBorders>
              <w:top w:val="single" w:sz="8" w:color="auto"/>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2,368</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8,992</w:t>
            </w:r>
          </w:p>
        </w:tc>
        <w:tc>
          <w:tcPr>
            <w:tcW w:w="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1,074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32,624</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32,732</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controlling interest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controlling interest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8,947</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9,445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(loss) income arising during the period</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516</w:t>
            </w: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9,261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9,961</w:t>
            </w: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5"/>
        </w:trPr>
        <w:tc>
          <w:tcPr>
            <w:tcW w:w="55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July 31, 2022</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4"/>
        </w:trPr>
        <w:tc>
          <w:tcPr>
            <w:tcW w:w="3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8"/>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6"/>
                <w:szCs w:val="16"/>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6"/>
                <w:szCs w:val="16"/>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7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129,575</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221,389</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July 31, 2022</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33,341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97,102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(1,458)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131,943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224,381</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August 1, 2021</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8"/>
                <w:szCs w:val="18"/>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213"/>
        </w:trPr>
        <w:tc>
          <w:tcPr>
            <w:tcW w:w="3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8"/>
                <w:szCs w:val="18"/>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31, 2021</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32,841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92,875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101,166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190,461</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3"/>
        </w:trPr>
        <w:tc>
          <w:tcPr>
            <w:tcW w:w="37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Balance at May 2, 2021</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32,917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93,378</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101,710</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(3,046)</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191,306</w:t>
            </w:r>
          </w:p>
        </w:tc>
      </w:tr>
      <w:tr>
        <w:trPr>
          <w:trHeight w:val="170"/>
        </w:trPr>
        <w:tc>
          <w:tcPr>
            <w:tcW w:w="376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139</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August 1, 2021</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33,057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94,080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110,702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564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201,264</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0" w:type="dxa"/>
            <w:vAlign w:val="bottom"/>
            <w:tcBorders>
              <w:bottom w:val="single" w:sz="8" w:color="auto"/>
            </w:tcBorders>
          </w:tcPr>
          <w:p>
            <w:pPr>
              <w:spacing w:after="0"/>
              <w:rPr>
                <w:sz w:val="16"/>
                <w:szCs w:val="16"/>
                <w:color w:val="auto"/>
              </w:rPr>
            </w:pPr>
          </w:p>
        </w:tc>
      </w:tr>
      <w:tr>
        <w:trPr>
          <w:trHeight w:val="196"/>
        </w:trPr>
        <w:tc>
          <w:tcPr>
            <w:tcW w:w="6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500" w:type="dxa"/>
            <w:vAlign w:val="bottom"/>
          </w:tcPr>
          <w:p>
            <w:pPr>
              <w:spacing w:after="0"/>
              <w:rPr>
                <w:sz w:val="17"/>
                <w:szCs w:val="17"/>
                <w:color w:val="auto"/>
              </w:rPr>
            </w:pPr>
          </w:p>
        </w:tc>
        <w:tc>
          <w:tcPr>
            <w:tcW w:w="14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August 1, 2021</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(309)</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(41,827)</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catalog costs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(6,231)</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(18,974)</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(41,138)</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26,512</w:t>
            </w: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(18,814)</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disposals</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6"/>
        </w:trPr>
        <w:tc>
          <w:tcPr>
            <w:tcW w:w="63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(18,727)</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(4,858)</w:t>
            </w: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delayed draw term loan</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(1,336)</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(1,817)</w:t>
            </w:r>
          </w:p>
        </w:tc>
        <w:tc>
          <w:tcPr>
            <w:tcW w:w="1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(49,954)</w:t>
            </w: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cash equivalents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(61,682)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(28,300)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w:t>
            </w:r>
          </w:p>
        </w:tc>
      </w:tr>
      <w:tr>
        <w:trPr>
          <w:trHeight w:val="223"/>
        </w:trPr>
        <w:tc>
          <w:tcPr>
            <w:tcW w:w="63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15,369</w:t>
            </w:r>
          </w:p>
        </w:tc>
        <w:tc>
          <w:tcPr>
            <w:tcW w:w="1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18,921</w:t>
            </w:r>
          </w:p>
        </w:tc>
      </w:tr>
      <w:tr>
        <w:trPr>
          <w:trHeight w:val="183"/>
        </w:trPr>
        <w:tc>
          <w:tcPr>
            <w:tcW w:w="63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2022 is a 52-week period and ends on January 29,</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2023. Fiscal 2021 was a 52-week period and ended on January 30, 2022. The three months of fiscal 2022 and fiscal 2021 represent the Company’s 13-week periods ended July 31, 2022 and August 1, 2021, respectively.</w:t>
      </w:r>
    </w:p>
    <w:p>
      <w:pPr>
        <w:spacing w:after="0" w:line="128" w:lineRule="exact"/>
        <w:rPr>
          <w:sz w:val="20"/>
          <w:szCs w:val="20"/>
          <w:color w:val="auto"/>
        </w:rPr>
      </w:pPr>
    </w:p>
    <w:p>
      <w:pPr>
        <w:ind w:right="80" w:firstLine="428"/>
        <w:spacing w:after="0" w:line="23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six months ended July 31, 2022 and August 1, 2021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July 31, 2022 and August 1, 2021. These interim condensed consolidated financial statements should be read in conjunction with the consolidated financial statements and notes included in the Company’s annual report on Form 10-K for the fiscal year ended January 30, 2022.</w:t>
      </w:r>
    </w:p>
    <w:p>
      <w:pPr>
        <w:spacing w:after="0" w:line="14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COVID-19</w:t>
      </w:r>
    </w:p>
    <w:p>
      <w:pPr>
        <w:spacing w:after="0" w:line="162" w:lineRule="exact"/>
        <w:rPr>
          <w:sz w:val="20"/>
          <w:szCs w:val="20"/>
          <w:color w:val="auto"/>
        </w:rPr>
      </w:pPr>
    </w:p>
    <w:p>
      <w:pPr>
        <w:ind w:right="160" w:firstLine="428"/>
        <w:spacing w:after="0" w:line="242" w:lineRule="auto"/>
        <w:rPr>
          <w:sz w:val="20"/>
          <w:szCs w:val="20"/>
          <w:color w:val="auto"/>
        </w:rPr>
      </w:pPr>
      <w:r>
        <w:rPr>
          <w:rFonts w:ascii="Times New Roman" w:cs="Times New Roman" w:eastAsia="Times New Roman" w:hAnsi="Times New Roman"/>
          <w:sz w:val="18"/>
          <w:szCs w:val="18"/>
          <w:color w:val="auto"/>
        </w:rPr>
        <w:t>In March 2020, a novel strain of coronavirus (“COVID -19”)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43" w:lineRule="exact"/>
        <w:rPr>
          <w:sz w:val="20"/>
          <w:szCs w:val="20"/>
          <w:color w:val="auto"/>
        </w:rPr>
      </w:pPr>
    </w:p>
    <w:p>
      <w:pPr>
        <w:jc w:val="both"/>
        <w:ind w:right="160" w:firstLine="428"/>
        <w:spacing w:after="0" w:line="242" w:lineRule="auto"/>
        <w:rPr>
          <w:sz w:val="20"/>
          <w:szCs w:val="20"/>
          <w:color w:val="auto"/>
        </w:rPr>
      </w:pPr>
      <w:r>
        <w:rPr>
          <w:rFonts w:ascii="Times New Roman" w:cs="Times New Roman" w:eastAsia="Times New Roman" w:hAnsi="Times New Roman"/>
          <w:sz w:val="18"/>
          <w:szCs w:val="18"/>
          <w:color w:val="auto"/>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spacing w:after="0" w:line="1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Impairment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31, 2022 and for the three and six months ended, no triggering events or indicators of asset impairment were noted.</w:t>
      </w:r>
    </w:p>
    <w:p>
      <w:pPr>
        <w:spacing w:after="0" w:line="16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ind w:right="220" w:firstLine="648"/>
        <w:spacing w:after="0" w:line="230"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inventories below cost. Inventory reserve for excess and obsolete items was $2.3 million and $1.0 million as of July 31, 2022 and January 30, 2022, respectively.</w:t>
      </w:r>
    </w:p>
    <w:p>
      <w:pPr>
        <w:spacing w:after="0" w:line="13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The reserve for retail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 Due to the timing of the inventory counts, an insignificant retail inventory shrinkage reserve was outstanding as of July 31, 2022, compared to $1.4 million as of January 30, 2022.</w:t>
      </w:r>
    </w:p>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F.</w:t>
        <w:tab/>
        <w:t>Prepaid Expenses and Other Assets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1,824</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2,235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1,942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1,475</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13,075</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13,623</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16,841</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17,333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246</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3,885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2,949</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1,979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1,756</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540" w:type="dxa"/>
            <w:vAlign w:val="bottom"/>
            <w:tcBorders>
              <w:bottom w:val="single" w:sz="8" w:color="auto"/>
            </w:tcBorders>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6,725</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5,353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as a result of increased sales during the holiday season.</w:t>
      </w:r>
    </w:p>
    <w:p>
      <w:pPr>
        <w:spacing w:after="0" w:line="1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Cash and Cash Equivalents</w:t>
      </w:r>
    </w:p>
    <w:p>
      <w:pPr>
        <w:spacing w:after="0" w:line="162"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9"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January 30,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3" w:lineRule="exact"/>
        <w:rPr>
          <w:sz w:val="20"/>
          <w:szCs w:val="20"/>
          <w:color w:val="auto"/>
        </w:rPr>
      </w:pPr>
    </w:p>
    <w:p>
      <w:pPr>
        <w:ind w:right="180" w:firstLine="492"/>
        <w:spacing w:after="0"/>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1" w:lineRule="exact"/>
        <w:rPr>
          <w:sz w:val="20"/>
          <w:szCs w:val="20"/>
          <w:color w:val="auto"/>
        </w:rPr>
      </w:pPr>
    </w:p>
    <w:p>
      <w:pPr>
        <w:ind w:right="560" w:firstLine="492"/>
        <w:spacing w:after="0" w:line="266"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08"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20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180" w:type="dxa"/>
            <w:vAlign w:val="bottom"/>
          </w:tcPr>
          <w:p>
            <w:pPr>
              <w:spacing w:after="0"/>
              <w:rPr>
                <w:sz w:val="17"/>
                <w:szCs w:val="17"/>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6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0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8,810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7,663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16,798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15,334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16510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6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60" w:type="dxa"/>
            <w:vAlign w:val="bottom"/>
            <w:gridSpan w:val="2"/>
            <w:shd w:val="clear" w:color="auto" w:fill="CCEEFF"/>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6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July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196"/>
        </w:trPr>
        <w:tc>
          <w:tcPr>
            <w:tcW w:w="6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fiscal year)</w:t>
            </w:r>
          </w:p>
        </w:tc>
        <w:tc>
          <w:tcPr>
            <w:tcW w:w="5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59,227</w:t>
            </w: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53,866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135,488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(12,233)</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w:t>
            </w:r>
          </w:p>
        </w:tc>
      </w:tr>
      <w:tr>
        <w:trPr>
          <w:trHeight w:val="183"/>
        </w:trPr>
        <w:tc>
          <w:tcPr>
            <w:tcW w:w="68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41,633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114,430</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right="8020" w:hanging="432"/>
        <w:spacing w:after="0" w:line="512" w:lineRule="auto"/>
        <w:tabs>
          <w:tab w:leader="none" w:pos="32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0" w:type="dxa"/>
            <w:vAlign w:val="bottom"/>
          </w:tcPr>
          <w:p>
            <w:pPr>
              <w:spacing w:after="0"/>
              <w:rPr>
                <w:sz w:val="16"/>
                <w:szCs w:val="16"/>
                <w:color w:val="auto"/>
              </w:rPr>
            </w:pPr>
          </w:p>
        </w:tc>
        <w:tc>
          <w:tcPr>
            <w:tcW w:w="15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27,301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26,271</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26,608</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3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80" w:firstLine="428"/>
        <w:spacing w:after="0" w:line="230" w:lineRule="auto"/>
        <w:rPr>
          <w:sz w:val="20"/>
          <w:szCs w:val="20"/>
          <w:color w:val="auto"/>
        </w:rPr>
      </w:pPr>
      <w:r>
        <w:rPr>
          <w:rFonts w:ascii="Times New Roman" w:cs="Times New Roman" w:eastAsia="Times New Roman" w:hAnsi="Times New Roman"/>
          <w:sz w:val="18"/>
          <w:szCs w:val="18"/>
          <w:color w:val="auto"/>
        </w:rPr>
        <w:t>On May 17, 2018, the Company entered into a credit agreement (the “Credit Agreement”) which provided for borrowing availability of up to $80.0 million in revolving credit and associated swing line (the “Revolver”) and borrowing availability of up to $50.0 million in a delayed draw term loan (“DDTL”), for a total credit facility of $130.0 million. On April 30, 2020, the Credit Agreement was amended to include an incremental DDTL of $20.5 million (the “Incremental DDTL”) that was available to draw upon before March 31, 2021, and matured on April 29, 2021, for a total credit facility of $150.5 million.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ratio. The interest rate applicable to the Incremental DDTL was also a fixed rate over the aforementioned interest periods equal to LIBOR (with a 1% floor) for such interest period plus a margin of 275 to 350 basis points.</w:t>
      </w:r>
    </w:p>
    <w:p>
      <w:pPr>
        <w:spacing w:after="0" w:line="145" w:lineRule="exact"/>
        <w:rPr>
          <w:sz w:val="20"/>
          <w:szCs w:val="20"/>
          <w:color w:val="auto"/>
        </w:rPr>
      </w:pPr>
    </w:p>
    <w:p>
      <w:pPr>
        <w:ind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terminated the Credit Agreement, and entered into a new credit agreement (the “New Credit Agreement”), which was treated as a modification for accounting purposes. The New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was secured by essentially all Company assets and requires the Company to maintain compliance with certain financial and non-financial covenants, including a maximum rent adjusted leverage ratio and a minimum fixed charge coverage ratio as defined in the New Credit Agreement.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New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amends the New Credit Agreement in order to (i) increase the revolving commitment from</w:t>
      </w:r>
    </w:p>
    <w:p>
      <w:pPr>
        <w:spacing w:after="0" w:line="219" w:lineRule="auto"/>
        <w:rPr>
          <w:sz w:val="20"/>
          <w:szCs w:val="20"/>
          <w:color w:val="auto"/>
        </w:rPr>
      </w:pPr>
      <w:r>
        <w:rPr>
          <w:rFonts w:ascii="Times New Roman" w:cs="Times New Roman" w:eastAsia="Times New Roman" w:hAnsi="Times New Roman"/>
          <w:sz w:val="18"/>
          <w:szCs w:val="18"/>
          <w:color w:val="auto"/>
        </w:rPr>
        <w:t>$150 million to $200 million; (ii) extend the maturity date from May 14, 2026 to July 8, 2027; (iii) amend the pricing index to replace BSBY with the Term</w:t>
      </w:r>
    </w:p>
    <w:p>
      <w:pPr>
        <w:spacing w:after="0"/>
        <w:rPr>
          <w:sz w:val="20"/>
          <w:szCs w:val="20"/>
          <w:color w:val="auto"/>
        </w:rPr>
      </w:pPr>
      <w:r>
        <w:rPr>
          <w:rFonts w:ascii="Times New Roman" w:cs="Times New Roman" w:eastAsia="Times New Roman" w:hAnsi="Times New Roman"/>
          <w:sz w:val="18"/>
          <w:szCs w:val="18"/>
          <w:color w:val="auto"/>
        </w:rPr>
        <w:t>Secured Overnight Financing Rate; and (iv) to reduce the commitment fee in some instances.</w:t>
      </w:r>
    </w:p>
    <w:p>
      <w:pPr>
        <w:spacing w:after="0" w:line="151" w:lineRule="exact"/>
        <w:rPr>
          <w:sz w:val="20"/>
          <w:szCs w:val="20"/>
          <w:color w:val="auto"/>
        </w:rPr>
      </w:pPr>
    </w:p>
    <w:p>
      <w:pPr>
        <w:ind w:right="380" w:firstLine="428"/>
        <w:spacing w:after="0" w:line="250" w:lineRule="auto"/>
        <w:rPr>
          <w:sz w:val="20"/>
          <w:szCs w:val="20"/>
          <w:color w:val="auto"/>
        </w:rPr>
      </w:pPr>
      <w:r>
        <w:rPr>
          <w:rFonts w:ascii="Times New Roman" w:cs="Times New Roman" w:eastAsia="Times New Roman" w:hAnsi="Times New Roman"/>
          <w:sz w:val="18"/>
          <w:szCs w:val="18"/>
          <w:color w:val="auto"/>
        </w:rPr>
        <w:t>As of July 31, 2022 and for the six months then ended, the Company was in compliance with all financial and non-financial covenants contained within the New Credit Agreement and the First Amendment.</w:t>
      </w:r>
    </w:p>
    <w:p>
      <w:pPr>
        <w:spacing w:after="0" w:line="334" w:lineRule="exact"/>
        <w:rPr>
          <w:sz w:val="20"/>
          <w:szCs w:val="20"/>
          <w:color w:val="auto"/>
        </w:rPr>
      </w:pPr>
    </w:p>
    <w:p>
      <w:pPr>
        <w:ind w:left="440" w:right="5720" w:hanging="432"/>
        <w:spacing w:after="0" w:line="500" w:lineRule="auto"/>
        <w:tabs>
          <w:tab w:leader="none" w:pos="31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3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183"/>
        </w:trPr>
        <w:tc>
          <w:tcPr>
            <w:tcW w:w="4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96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28,961</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47,504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96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6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60"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58"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58"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The fair value of the Company’s available-for-sale security was valued based on a discounted cash flow method (Level 3), which incorporates the U.S. Treasury yield curve, credit information and an estimate of future cash flows. During the six months ended July 31, 2022, certain changes in the inputs did impact the fair value of the available-for-sale security. The calculated fair value is based on estimates that are subjective in nature and involve uncertainties and matters of significant judgment and, therefore, cannot be determined with precision. Changes in assumptions could significantly affect the estimates.</w:t>
      </w:r>
    </w:p>
    <w:p>
      <w:pPr>
        <w:spacing w:after="0" w:line="161" w:lineRule="exact"/>
        <w:rPr>
          <w:sz w:val="20"/>
          <w:szCs w:val="20"/>
          <w:color w:val="auto"/>
        </w:rPr>
      </w:pPr>
    </w:p>
    <w:p>
      <w:pPr>
        <w:ind w:right="30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4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16510</wp:posOffset>
            </wp:positionV>
            <wp:extent cx="4217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2"/>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8"/>
                <w:szCs w:val="18"/>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5,823</w:t>
            </w:r>
          </w:p>
        </w:tc>
      </w:tr>
      <w:tr>
        <w:trPr>
          <w:trHeight w:val="662"/>
        </w:trPr>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0"/>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7"/>
                <w:szCs w:val="17"/>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8"/>
                <w:szCs w:val="18"/>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6,554</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51" w:lineRule="exact"/>
        <w:rPr>
          <w:sz w:val="20"/>
          <w:szCs w:val="20"/>
          <w:color w:val="auto"/>
        </w:rPr>
      </w:pPr>
    </w:p>
    <w:p>
      <w:pPr>
        <w:ind w:right="480" w:firstLine="492"/>
        <w:spacing w:after="0" w:line="250"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six months ended July 31, 2022 or August 1, 2021.</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July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92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920" w:type="dxa"/>
            <w:vAlign w:val="bottom"/>
            <w:tcBorders>
              <w:bottom w:val="single" w:sz="8" w:color="auto"/>
            </w:tcBorders>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Cost</w:t>
            </w:r>
          </w:p>
        </w:tc>
        <w:tc>
          <w:tcPr>
            <w:tcW w:w="6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920" w:type="dxa"/>
            <w:vAlign w:val="bottom"/>
          </w:tcPr>
          <w:p>
            <w:pPr>
              <w:jc w:val="right"/>
              <w:ind w:right="17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9"/>
        </w:trPr>
        <w:tc>
          <w:tcPr>
            <w:tcW w:w="132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474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DULUTH HOLDINGS INC.</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6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0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3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2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33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196"/>
        </w:trPr>
        <w:tc>
          <w:tcPr>
            <w:tcW w:w="272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3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5,821</w:t>
            </w:r>
          </w:p>
        </w:tc>
        <w:tc>
          <w:tcPr>
            <w:tcW w:w="3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5,823</w:t>
            </w:r>
          </w:p>
        </w:tc>
      </w:tr>
      <w:tr>
        <w:trPr>
          <w:trHeight w:val="20"/>
        </w:trPr>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8"/>
                <w:szCs w:val="18"/>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60" w:lineRule="exact"/>
        <w:rPr>
          <w:sz w:val="20"/>
          <w:szCs w:val="20"/>
          <w:color w:val="auto"/>
        </w:rPr>
      </w:pPr>
    </w:p>
    <w:p>
      <w:pPr>
        <w:ind w:right="340" w:firstLine="492"/>
        <w:spacing w:after="0" w:line="236"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July 31, 2022 and January 30, 2022.</w:t>
      </w:r>
    </w:p>
    <w:p>
      <w:pPr>
        <w:spacing w:after="0" w:line="145" w:lineRule="exact"/>
        <w:rPr>
          <w:sz w:val="20"/>
          <w:szCs w:val="20"/>
          <w:color w:val="auto"/>
        </w:rPr>
      </w:pPr>
    </w:p>
    <w:p>
      <w:pPr>
        <w:ind w:right="40" w:firstLine="428"/>
        <w:spacing w:after="0" w:line="233"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July 31, 2022 and January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24,180</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23,900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3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23,900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3" w:lineRule="exact"/>
        <w:rPr>
          <w:sz w:val="20"/>
          <w:szCs w:val="20"/>
          <w:color w:val="auto"/>
        </w:rPr>
      </w:pPr>
    </w:p>
    <w:p>
      <w:pPr>
        <w:ind w:right="100" w:firstLine="428"/>
        <w:spacing w:after="0" w:line="233"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20" w:type="dxa"/>
            <w:vAlign w:val="bottom"/>
          </w:tcPr>
          <w:p>
            <w:pPr>
              <w:spacing w:after="0"/>
              <w:rPr>
                <w:sz w:val="15"/>
                <w:szCs w:val="15"/>
                <w:color w:val="auto"/>
              </w:rPr>
            </w:pPr>
          </w:p>
        </w:tc>
        <w:tc>
          <w:tcPr>
            <w:tcW w:w="13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attributable to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32,582</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32,813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32,786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(Class A and Class B)</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20" w:firstLine="492"/>
        <w:spacing w:after="0" w:line="250" w:lineRule="auto"/>
        <w:rPr>
          <w:sz w:val="20"/>
          <w:szCs w:val="20"/>
          <w:color w:val="auto"/>
        </w:rPr>
      </w:pPr>
      <w:r>
        <w:rPr>
          <w:rFonts w:ascii="Times New Roman" w:cs="Times New Roman" w:eastAsia="Times New Roman" w:hAnsi="Times New Roman"/>
          <w:sz w:val="18"/>
          <w:szCs w:val="18"/>
          <w:color w:val="auto"/>
        </w:rPr>
        <w:t>The computation of diluted earnings per share excluded (0.1) million shares of unvested restricted stock for the three months ended July 31, 2022, because the inclusion of dilutive potential common shares outstanding would be anti-dilutive.</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3" w:lineRule="exact"/>
        <w:rPr>
          <w:sz w:val="20"/>
          <w:szCs w:val="20"/>
          <w:color w:val="auto"/>
        </w:rPr>
      </w:pPr>
    </w:p>
    <w:p>
      <w:pPr>
        <w:ind w:right="320" w:firstLine="428"/>
        <w:spacing w:after="0" w:line="26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jc w:val="both"/>
        <w:ind w:right="20" w:firstLine="428"/>
        <w:spacing w:after="0" w:line="24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$0.7 million and $1.3 million for the three and six months ended July 31, 2022, respectively. The Company’s total stock compensation expense is included in selling, general and administrative expenses on the Condensed Consolidated Statements of Operations.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six months ended July 31, 2022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(124,352)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(44,435)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July 31, 2022</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558,318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13.21</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0" w:firstLine="428"/>
        <w:spacing w:after="0" w:line="250" w:lineRule="auto"/>
        <w:rPr>
          <w:sz w:val="20"/>
          <w:szCs w:val="20"/>
          <w:color w:val="auto"/>
        </w:rPr>
      </w:pPr>
      <w:r>
        <w:rPr>
          <w:rFonts w:ascii="Times New Roman" w:cs="Times New Roman" w:eastAsia="Times New Roman" w:hAnsi="Times New Roman"/>
          <w:sz w:val="18"/>
          <w:szCs w:val="18"/>
          <w:color w:val="auto"/>
        </w:rPr>
        <w:t>At July 31, 2022, the Company had unrecognized compensation expense of $5.9 million related to the restricted stock awards, which is expected to be recognized over a weighted average period of 2.8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53,607</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34,207</w:t>
            </w:r>
          </w:p>
        </w:tc>
      </w:tr>
      <w:tr>
        <w:trPr>
          <w:trHeight w:val="196"/>
        </w:trPr>
        <w:tc>
          <w:tcPr>
            <w:tcW w:w="7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205,140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201,973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(108,080)</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(97,473)</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97,060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104,500</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114,616</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110,078</w:t>
            </w:r>
          </w:p>
        </w:tc>
      </w:tr>
      <w:tr>
        <w:trPr>
          <w:trHeight w:val="20"/>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220" w:firstLine="570"/>
        <w:spacing w:after="0" w:line="235"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0"/>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80" w:type="dxa"/>
            <w:vAlign w:val="bottom"/>
          </w:tcPr>
          <w:p>
            <w:pPr>
              <w:spacing w:after="0"/>
              <w:rPr>
                <w:sz w:val="18"/>
                <w:szCs w:val="18"/>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173,630</w:t>
            </w:r>
          </w:p>
        </w:tc>
      </w:tr>
      <w:tr>
        <w:trPr>
          <w:trHeight w:val="229"/>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108,916</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141,511</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149,127</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264,415</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282,546</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373"/>
        </w:trPr>
        <w:tc>
          <w:tcPr>
            <w:tcW w:w="3440" w:type="dxa"/>
            <w:vAlign w:val="bottom"/>
          </w:tcPr>
          <w:p>
            <w:pPr>
              <w:spacing w:after="0"/>
              <w:rPr>
                <w:sz w:val="24"/>
                <w:szCs w:val="24"/>
                <w:color w:val="auto"/>
              </w:rPr>
            </w:pPr>
          </w:p>
        </w:tc>
        <w:tc>
          <w:tcPr>
            <w:tcW w:w="33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20"/>
        </w:trPr>
        <w:tc>
          <w:tcPr>
            <w:tcW w:w="34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six months ended: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80" w:type="dxa"/>
            <w:vAlign w:val="bottom"/>
            <w:shd w:val="clear" w:color="auto" w:fill="CCEEFF"/>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1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14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14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148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7,757</w:t>
            </w:r>
          </w:p>
        </w:tc>
      </w:tr>
      <w:tr>
        <w:trPr>
          <w:trHeight w:val="20"/>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20" w:firstLine="428"/>
        <w:spacing w:after="0" w:line="236" w:lineRule="auto"/>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21% for the six months ended July 31, 2022 and 25% for the six months ended August 1, 2021. The income from TRI was excluded from the calculation of the Company’s effective tax rate, as TRI is a limited liability company and not subject to income taxes.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3" w:lineRule="exact"/>
        <w:rPr>
          <w:sz w:val="20"/>
          <w:szCs w:val="20"/>
          <w:color w:val="auto"/>
        </w:rPr>
      </w:pPr>
    </w:p>
    <w:p>
      <w:pPr>
        <w:ind w:right="140" w:firstLine="648"/>
        <w:spacing w:after="0" w:line="230"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No.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(“ASU 2016-13”), which amends the impairment model by requiring entities to use a forward-looking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and Leases (Topic 842),” </w:t>
      </w:r>
      <w:r>
        <w:rPr>
          <w:rFonts w:ascii="Times New Roman" w:cs="Times New Roman" w:eastAsia="Times New Roman" w:hAnsi="Times New Roman"/>
          <w:sz w:val="18"/>
          <w:szCs w:val="18"/>
          <w:color w:val="auto"/>
        </w:rPr>
        <w:t>(ASU 2019-10”), which provides a framework to stagger effective dates for future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impact adopting ASU 2016-13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9" w:lineRule="exact"/>
        <w:rPr>
          <w:sz w:val="20"/>
          <w:szCs w:val="20"/>
          <w:color w:val="auto"/>
        </w:rPr>
      </w:pPr>
    </w:p>
    <w:p>
      <w:pPr>
        <w:jc w:val="both"/>
        <w:ind w:right="380" w:firstLine="428"/>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30, 2022 (“2021 Form 10-K”).</w:t>
      </w:r>
    </w:p>
    <w:p>
      <w:pPr>
        <w:spacing w:after="0" w:line="119" w:lineRule="exact"/>
        <w:rPr>
          <w:sz w:val="20"/>
          <w:szCs w:val="20"/>
          <w:color w:val="auto"/>
        </w:rPr>
      </w:pPr>
    </w:p>
    <w:p>
      <w:pPr>
        <w:ind w:right="280" w:firstLine="428"/>
        <w:spacing w:after="0" w:line="285"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2022 is a 52-week period and ends on January 29, 2023. Fiscal 2021 was a 52-week period and ended on January 30, 2022. The three months of fiscal 2022 and fiscal 2021 represent our 13-week periods ended July 31, 2022 and August 1, 2021, respectively.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w:t>
      </w:r>
    </w:p>
    <w:p>
      <w:pPr>
        <w:spacing w:after="0" w:line="1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including the risks and uncertainties described under Part I, Item 1A “Risk Factors,” in our 2021 Form 10-K, and other SEC filings, which factors are incorporated by reference herein. These risks and uncertainties include, but are not limited to, the following: the prolonged effects of COVID-19 on store traffic and disruptions to our distribution network, supply chains and operations; our ability to maintain and enhance a strong 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due to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5" w:lineRule="exact"/>
        <w:rPr>
          <w:sz w:val="20"/>
          <w:szCs w:val="20"/>
          <w:color w:val="auto"/>
        </w:rPr>
      </w:pPr>
    </w:p>
    <w:p>
      <w:pPr>
        <w:ind w:right="1180" w:firstLine="428"/>
        <w:spacing w:after="0" w:line="438"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6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July 31, 2022, we operated 62 retail stores and three outlet stores.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3"/>
          <w:szCs w:val="23"/>
          <w:color w:val="auto"/>
          <w:vertAlign w:val="superscript"/>
        </w:rPr>
        <w:t>®</w:t>
      </w:r>
    </w:p>
    <w:p>
      <w:pPr>
        <w:ind w:right="22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880" w:right="120"/>
        <w:spacing w:after="0" w:line="266" w:lineRule="auto"/>
        <w:rPr>
          <w:sz w:val="20"/>
          <w:szCs w:val="20"/>
          <w:color w:val="auto"/>
        </w:rPr>
      </w:pPr>
      <w:r>
        <w:rPr>
          <w:rFonts w:ascii="Times New Roman" w:cs="Times New Roman" w:eastAsia="Times New Roman" w:hAnsi="Times New Roman"/>
          <w:sz w:val="18"/>
          <w:szCs w:val="18"/>
          <w:color w:val="auto"/>
        </w:rPr>
        <w:t>Net sales decreased by 5.1% over the prior year second quarter to $141.5 million, and net sales in the first six months of fiscal 2022 decreased by 6.4% over the first six months of the prior year to $264.4 million;</w:t>
      </w:r>
    </w:p>
    <w:p>
      <w:pPr>
        <w:spacing w:after="0" w:line="27" w:lineRule="exact"/>
        <w:rPr>
          <w:sz w:val="20"/>
          <w:szCs w:val="20"/>
          <w:color w:val="auto"/>
        </w:rPr>
      </w:pPr>
    </w:p>
    <w:p>
      <w:pPr>
        <w:ind w:left="880" w:right="80"/>
        <w:spacing w:after="0" w:line="282" w:lineRule="auto"/>
        <w:rPr>
          <w:sz w:val="20"/>
          <w:szCs w:val="20"/>
          <w:color w:val="auto"/>
        </w:rPr>
      </w:pPr>
      <w:r>
        <w:rPr>
          <w:rFonts w:ascii="Times New Roman" w:cs="Times New Roman" w:eastAsia="Times New Roman" w:hAnsi="Times New Roman"/>
          <w:sz w:val="18"/>
          <w:szCs w:val="18"/>
          <w:color w:val="auto"/>
        </w:rPr>
        <w:t>Net income of $2.4 million in fiscal 2022 second quarter compared to the prior year second quarter net income of $9.0 million, and net income in the first six months of fiscal 2022 of $1.1 million compared to net income in the first six months of fiscal 2021 of $9.5 million; and</w:t>
      </w:r>
    </w:p>
    <w:p>
      <w:pPr>
        <w:spacing w:after="0" w:line="13" w:lineRule="exact"/>
        <w:rPr>
          <w:sz w:val="20"/>
          <w:szCs w:val="20"/>
          <w:color w:val="auto"/>
        </w:rPr>
      </w:pPr>
    </w:p>
    <w:p>
      <w:pPr>
        <w:ind w:left="880" w:right="80"/>
        <w:spacing w:after="0" w:line="242" w:lineRule="auto"/>
        <w:rPr>
          <w:sz w:val="20"/>
          <w:szCs w:val="20"/>
          <w:color w:val="auto"/>
        </w:rPr>
      </w:pPr>
      <w:r>
        <w:rPr>
          <w:rFonts w:ascii="Times New Roman" w:cs="Times New Roman" w:eastAsia="Times New Roman" w:hAnsi="Times New Roman"/>
          <w:sz w:val="18"/>
          <w:szCs w:val="18"/>
          <w:color w:val="auto"/>
        </w:rPr>
        <w:t>Adjusted EBITDA decreased to $13.2 million in fiscal 2022 second quarter compared to the prior year second quarter Adjusted EBITDA of $21.4 million, and adjusted EBITDA in the first six months of fiscal 2022 of $21.1 million compared to $31.4 million over the first six months of the prior year.</w:t>
      </w:r>
    </w:p>
    <w:p>
      <w:pPr>
        <w:spacing w:after="0" w:line="143" w:lineRule="exact"/>
        <w:rPr>
          <w:sz w:val="20"/>
          <w:szCs w:val="20"/>
          <w:color w:val="auto"/>
        </w:rPr>
      </w:pPr>
    </w:p>
    <w:p>
      <w:pPr>
        <w:jc w:val="both"/>
        <w:ind w:firstLine="402"/>
        <w:spacing w:after="0" w:line="242" w:lineRule="auto"/>
        <w:rPr>
          <w:sz w:val="20"/>
          <w:szCs w:val="20"/>
          <w:color w:val="auto"/>
        </w:rPr>
      </w:pPr>
      <w:r>
        <w:rPr>
          <w:rFonts w:ascii="Times New Roman" w:cs="Times New Roman" w:eastAsia="Times New Roman" w:hAnsi="Times New Roman"/>
          <w:sz w:val="18"/>
          <w:szCs w:val="18"/>
          <w:color w:val="auto"/>
        </w:rPr>
        <w:t>See the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3" w:lineRule="exact"/>
        <w:rPr>
          <w:sz w:val="20"/>
          <w:szCs w:val="20"/>
          <w:color w:val="auto"/>
        </w:rPr>
      </w:pPr>
    </w:p>
    <w:p>
      <w:pPr>
        <w:ind w:right="180" w:firstLine="402"/>
        <w:spacing w:after="0" w:line="236" w:lineRule="auto"/>
        <w:rPr>
          <w:sz w:val="20"/>
          <w:szCs w:val="20"/>
          <w:color w:val="auto"/>
        </w:rPr>
      </w:pPr>
      <w:r>
        <w:rPr>
          <w:rFonts w:ascii="Times New Roman" w:cs="Times New Roman" w:eastAsia="Times New Roman" w:hAnsi="Times New Roman"/>
          <w:sz w:val="18"/>
          <w:szCs w:val="18"/>
          <w:color w:val="auto"/>
        </w:rPr>
        <w:t>The Company continues to progress on further defining and executing the “Big Dam Blueprint,” which management believes will unlock the Company’s full potential for long-term, sustainable growth. As introduced in the second quarter of 2021, the Big Dam Blueprint focuses on the following key strategic areas:</w:t>
      </w:r>
    </w:p>
    <w:p>
      <w:pPr>
        <w:spacing w:after="0" w:line="47" w:lineRule="exact"/>
        <w:rPr>
          <w:sz w:val="20"/>
          <w:szCs w:val="20"/>
          <w:color w:val="auto"/>
        </w:rPr>
      </w:pPr>
    </w:p>
    <w:p>
      <w:pPr>
        <w:ind w:left="880"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Begin with a digital-first mindset </w:t>
      </w:r>
      <w:r>
        <w:rPr>
          <w:rFonts w:ascii="Times New Roman" w:cs="Times New Roman" w:eastAsia="Times New Roman" w:hAnsi="Times New Roman"/>
          <w:sz w:val="18"/>
          <w:szCs w:val="18"/>
          <w:color w:val="auto"/>
        </w:rPr>
        <w:t>that integrates technology into all areas of the business, fundamentally changing how we operate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value to customers.</w:t>
      </w:r>
    </w:p>
    <w:p>
      <w:pPr>
        <w:spacing w:after="0" w:line="6" w:lineRule="exact"/>
        <w:rPr>
          <w:sz w:val="20"/>
          <w:szCs w:val="20"/>
          <w:color w:val="auto"/>
        </w:rPr>
      </w:pPr>
    </w:p>
    <w:p>
      <w:pPr>
        <w:ind w:left="880" w:right="2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Intensify efforts to optimize Duluth Trading’s owned retail channels </w:t>
      </w:r>
      <w:r>
        <w:rPr>
          <w:rFonts w:ascii="Times New Roman" w:cs="Times New Roman" w:eastAsia="Times New Roman" w:hAnsi="Times New Roman"/>
          <w:sz w:val="18"/>
          <w:szCs w:val="18"/>
          <w:color w:val="auto"/>
        </w:rPr>
        <w:t>by increasing focus and investments in our direct channel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growth vehicle. We are conducting strategic research that will inform decisions on future stores regarding new locations and market share potential, size and layout.</w:t>
      </w:r>
    </w:p>
    <w:p>
      <w:pPr>
        <w:spacing w:after="0" w:line="36" w:lineRule="exact"/>
        <w:rPr>
          <w:sz w:val="20"/>
          <w:szCs w:val="20"/>
          <w:color w:val="auto"/>
        </w:rPr>
      </w:pPr>
    </w:p>
    <w:p>
      <w:pPr>
        <w:ind w:left="880" w:right="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Evolve the Company’s multi-brand platform as a new pathway to grow the business. </w:t>
      </w:r>
      <w:r>
        <w:rPr>
          <w:rFonts w:ascii="Times New Roman" w:cs="Times New Roman" w:eastAsia="Times New Roman" w:hAnsi="Times New Roman"/>
          <w:sz w:val="18"/>
          <w:szCs w:val="18"/>
          <w:color w:val="auto"/>
        </w:rPr>
        <w:t>Create unique brand positions, across men’s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women’s, for Duluth, 40Grit, Alaskan Hardgear, Buck Naked, and Best Made to address customer needs for various occasions including work, outdoor recreation, casual lifestyle, and first layer. Invest in the evolution of the Duluth Trading platform to enable the integration of new brands, expand our offerings and broaden our customer base.</w:t>
      </w:r>
    </w:p>
    <w:p>
      <w:pPr>
        <w:spacing w:after="0" w:line="46" w:lineRule="exact"/>
        <w:rPr>
          <w:sz w:val="20"/>
          <w:szCs w:val="20"/>
          <w:color w:val="auto"/>
        </w:rPr>
      </w:pPr>
    </w:p>
    <w:p>
      <w:pPr>
        <w:ind w:left="880" w:right="6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Carefully test and learn to unlock long-term growth potential. </w:t>
      </w:r>
      <w:r>
        <w:rPr>
          <w:rFonts w:ascii="Times New Roman" w:cs="Times New Roman" w:eastAsia="Times New Roman" w:hAnsi="Times New Roman"/>
          <w:sz w:val="18"/>
          <w:szCs w:val="18"/>
          <w:color w:val="auto"/>
        </w:rPr>
        <w:t>Explore new opportunities to engage current and potential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products, services and touchpoints that they expect and value.</w:t>
      </w:r>
    </w:p>
    <w:p>
      <w:pPr>
        <w:spacing w:after="0" w:line="18" w:lineRule="exact"/>
        <w:rPr>
          <w:sz w:val="20"/>
          <w:szCs w:val="20"/>
          <w:color w:val="auto"/>
        </w:rPr>
      </w:pPr>
    </w:p>
    <w:p>
      <w:pPr>
        <w:ind w:left="880" w:right="22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Increase and, in some areas, accelerate investments to future proof the business. </w:t>
      </w:r>
      <w:r>
        <w:rPr>
          <w:rFonts w:ascii="Times New Roman" w:cs="Times New Roman" w:eastAsia="Times New Roman" w:hAnsi="Times New Roman"/>
          <w:sz w:val="18"/>
          <w:szCs w:val="18"/>
          <w:color w:val="auto"/>
        </w:rPr>
        <w:t>Areas under analysis include greater automation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logistics network; technology that will improve operations, generate positive impact and sustainable returns; support growth through multiple brands and seamlessly integrate new brands into the portfolio; and attract the talent, skillsets and expertise needed to scale the business.</w:t>
      </w:r>
    </w:p>
    <w:p>
      <w:pPr>
        <w:spacing w:after="0" w:line="127" w:lineRule="exact"/>
        <w:rPr>
          <w:sz w:val="20"/>
          <w:szCs w:val="20"/>
          <w:color w:val="auto"/>
        </w:rPr>
      </w:pPr>
    </w:p>
    <w:p>
      <w:pPr>
        <w:jc w:val="both"/>
        <w:ind w:right="10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62" w:lineRule="exact"/>
        <w:rPr>
          <w:sz w:val="20"/>
          <w:szCs w:val="20"/>
          <w:color w:val="auto"/>
        </w:rPr>
      </w:pPr>
    </w:p>
    <w:p>
      <w:pPr>
        <w:ind w:right="120" w:firstLine="492"/>
        <w:spacing w:after="0" w:line="242" w:lineRule="auto"/>
        <w:rPr>
          <w:sz w:val="20"/>
          <w:szCs w:val="20"/>
          <w:color w:val="auto"/>
        </w:rPr>
      </w:pPr>
      <w:r>
        <w:rPr>
          <w:rFonts w:ascii="Times New Roman" w:cs="Times New Roman" w:eastAsia="Times New Roman" w:hAnsi="Times New Roman"/>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43" w:lineRule="exact"/>
        <w:rPr>
          <w:sz w:val="20"/>
          <w:szCs w:val="20"/>
          <w:color w:val="auto"/>
        </w:rPr>
      </w:pPr>
    </w:p>
    <w:p>
      <w:pPr>
        <w:ind w:right="40" w:firstLine="492"/>
        <w:spacing w:after="0" w:line="250" w:lineRule="auto"/>
        <w:rPr>
          <w:sz w:val="20"/>
          <w:szCs w:val="20"/>
          <w:color w:val="auto"/>
        </w:rPr>
      </w:pPr>
      <w:r>
        <w:rPr>
          <w:rFonts w:ascii="Times New Roman" w:cs="Times New Roman" w:eastAsia="Times New Roman" w:hAnsi="Times New Roman"/>
          <w:sz w:val="18"/>
          <w:szCs w:val="18"/>
          <w:color w:val="auto"/>
        </w:rPr>
        <w:t>In addition to the COVID-19 pandemic, the United States economy has experienced high inflation during the first two quarters of 2022 and there are expectations in the market that inflation may remain at elevated levels.</w:t>
      </w:r>
    </w:p>
    <w:p>
      <w:pPr>
        <w:spacing w:after="0" w:line="136" w:lineRule="exact"/>
        <w:rPr>
          <w:sz w:val="20"/>
          <w:szCs w:val="20"/>
          <w:color w:val="auto"/>
        </w:rPr>
      </w:pPr>
    </w:p>
    <w:p>
      <w:pPr>
        <w:ind w:right="1020" w:firstLine="492"/>
        <w:spacing w:after="0" w:line="238" w:lineRule="auto"/>
        <w:rPr>
          <w:sz w:val="20"/>
          <w:szCs w:val="20"/>
          <w:color w:val="auto"/>
        </w:rPr>
      </w:pPr>
      <w:r>
        <w:rPr>
          <w:rFonts w:ascii="Times New Roman" w:cs="Times New Roman" w:eastAsia="Times New Roman" w:hAnsi="Times New Roman"/>
          <w:sz w:val="18"/>
          <w:szCs w:val="18"/>
          <w:color w:val="auto"/>
        </w:rPr>
        <w:t>The ultimate impact of COVID-19 and higher inflationary periods on our operational and financial performance still depends on future developments outside of our control. Given the uncertainty, we cannot reasonably estimate store traffic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760"/>
        <w:spacing w:after="0" w:line="250" w:lineRule="auto"/>
        <w:rPr>
          <w:sz w:val="20"/>
          <w:szCs w:val="20"/>
          <w:color w:val="auto"/>
        </w:rPr>
      </w:pPr>
      <w:r>
        <w:rPr>
          <w:rFonts w:ascii="Times New Roman" w:cs="Times New Roman" w:eastAsia="Times New Roman" w:hAnsi="Times New Roman"/>
          <w:sz w:val="18"/>
          <w:szCs w:val="18"/>
          <w:color w:val="auto"/>
        </w:rPr>
        <w:t>patterns and the prolonged impact on overall consumer demand. We continue to actively evaluate all federal, state and local regulations to ensure compliance by our store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right="380" w:firstLine="428"/>
        <w:spacing w:after="0" w:line="266"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300" w:firstLine="428"/>
        <w:spacing w:after="0" w:line="230"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100" w:firstLine="428"/>
        <w:spacing w:after="0" w:line="232"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bonus compensation for our employees. This non-GAAP measure may not be comparable to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141,511</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264,415</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282,546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134,577</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132,987</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2,368</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8,992</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1,074</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9,536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Three Months Ended July 31, 2022 Compared to Three Months Ended August 1, 2021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jc w:val="both"/>
        <w:ind w:right="80" w:firstLine="428"/>
        <w:spacing w:after="0" w:line="250" w:lineRule="auto"/>
        <w:rPr>
          <w:sz w:val="20"/>
          <w:szCs w:val="20"/>
          <w:color w:val="auto"/>
        </w:rPr>
      </w:pPr>
      <w:r>
        <w:rPr>
          <w:rFonts w:ascii="Times New Roman" w:cs="Times New Roman" w:eastAsia="Times New Roman" w:hAnsi="Times New Roman"/>
          <w:sz w:val="18"/>
          <w:szCs w:val="18"/>
          <w:color w:val="auto"/>
        </w:rPr>
        <w:t>Net sales decreased $7.6 million, or 5.1%, to $141.5 million in the three months ended July 31, 2022 compared to $149.1 million in the three months ended August 1, 2021. The decrease was primarily driven by slower store traffic, coupled with lower clearance sales as compared to the prior year.</w:t>
      </w:r>
    </w:p>
    <w:p>
      <w:pPr>
        <w:spacing w:after="0" w:line="136" w:lineRule="exact"/>
        <w:rPr>
          <w:sz w:val="20"/>
          <w:szCs w:val="20"/>
          <w:color w:val="auto"/>
        </w:rPr>
      </w:pPr>
    </w:p>
    <w:p>
      <w:pPr>
        <w:ind w:right="140" w:firstLine="428"/>
        <w:spacing w:after="0" w:line="236" w:lineRule="auto"/>
        <w:rPr>
          <w:sz w:val="20"/>
          <w:szCs w:val="20"/>
          <w:color w:val="auto"/>
        </w:rPr>
      </w:pPr>
      <w:r>
        <w:rPr>
          <w:rFonts w:ascii="Times New Roman" w:cs="Times New Roman" w:eastAsia="Times New Roman" w:hAnsi="Times New Roman"/>
          <w:sz w:val="18"/>
          <w:szCs w:val="18"/>
          <w:color w:val="auto"/>
        </w:rPr>
        <w:t>Store market net sales decreased $6.7 million, or 6.3%, to $100.4 million in the three months ended July 31, 2022 compared to $107.1 million in the three months ended August 1, 2021. The decrease was also driven by slower store traffic compared to the prior year second quarter. Non-store market net sales decreased by $0.8 million, or 1.9%, to $39.9 million in the three months ended July 31, 2022 compared to $40.7 million in the three months ended August 1, 2021.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18"/>
          <w:szCs w:val="18"/>
          <w:color w:val="auto"/>
        </w:rPr>
        <w:t>Gross profit decreased $5.8 million, or 7.1%, to $75.6 million in the three months ended July 31, 2022 compared to $81.4 million in the three months ended August 1, 2021. As a percentage of net sales, gross margin decreased to 53.4% of net sales in the three months ended July 31, 2022, compared to 54.6% of net sales in the three months ended August 1, 2021. The decrease in gross margin was primarily driven by a $1.3 million inventory write down, which mostly consisted of product that was damaged while in-transit. Excluding the non-recurring inventory write down, gross margin would have been 54.4%.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2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$3.4 million, or 5.0%, to $71.7 million in the three months ended July 31, 2022 compared to $68.3 million in the three months ended August 1, 2021. Selling, general and administrative expenses as a percentage of net sales increased to 50.7% in the three months ended July 31, 2022, compared to 45.8% in the three months ended August 1, 2021.</w:t>
      </w:r>
    </w:p>
    <w:p>
      <w:pPr>
        <w:spacing w:after="0" w:line="143"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primarily due to increased digital advertising to drive brand awareness and store traffic, investments in new headcount, as well as increased depreciation from continued capital investments.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80" w:firstLine="428"/>
        <w:spacing w:after="0" w:line="242" w:lineRule="auto"/>
        <w:rPr>
          <w:sz w:val="20"/>
          <w:szCs w:val="20"/>
          <w:color w:val="auto"/>
        </w:rPr>
      </w:pPr>
      <w:r>
        <w:rPr>
          <w:rFonts w:ascii="Times New Roman" w:cs="Times New Roman" w:eastAsia="Times New Roman" w:hAnsi="Times New Roman"/>
          <w:sz w:val="18"/>
          <w:szCs w:val="18"/>
          <w:color w:val="auto"/>
        </w:rPr>
        <w:t>Income tax expense was $0.7 million in the three months ended July 31, 2022, compared to income tax expense of $3.0 million in the three months ended August 1, 2021. The effective tax rate related to controlling interest was 23% for the three months ended July 31, 2022 compared to 25% for the three months ended August 1, 2021.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Controlling Interest</w:t>
      </w:r>
    </w:p>
    <w:p>
      <w:pPr>
        <w:spacing w:after="0" w:line="175" w:lineRule="exact"/>
        <w:rPr>
          <w:sz w:val="20"/>
          <w:szCs w:val="20"/>
          <w:color w:val="auto"/>
        </w:rPr>
      </w:pPr>
    </w:p>
    <w:p>
      <w:pPr>
        <w:ind w:right="200" w:firstLine="428"/>
        <w:spacing w:after="0" w:line="250" w:lineRule="auto"/>
        <w:rPr>
          <w:sz w:val="20"/>
          <w:szCs w:val="20"/>
          <w:color w:val="auto"/>
        </w:rPr>
      </w:pPr>
      <w:r>
        <w:rPr>
          <w:rFonts w:ascii="Times New Roman" w:cs="Times New Roman" w:eastAsia="Times New Roman" w:hAnsi="Times New Roman"/>
          <w:sz w:val="18"/>
          <w:szCs w:val="18"/>
          <w:color w:val="auto"/>
        </w:rPr>
        <w:t>Net income attributable to controlling interest was $2.4 million, in the three months ended July 31, 2022 compared to net income of $9.0 million in the three months ended August 1, 2021, due to the factors discussed above.</w:t>
      </w:r>
    </w:p>
    <w:p>
      <w:pPr>
        <w:spacing w:after="0" w:line="132" w:lineRule="exact"/>
        <w:rPr>
          <w:sz w:val="20"/>
          <w:szCs w:val="20"/>
          <w:color w:val="auto"/>
        </w:rPr>
      </w:pPr>
    </w:p>
    <w:p>
      <w:pPr>
        <w:ind w:right="50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Six Months Ended July 31, 2022 Compared to Six Months Ended August 1, 2021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Net sales decreased $18.1 million, or 6.4%, to $264.4 million in the six months ended July 31, 2022 compared to $282.6 million in the six months ended August 1, 2021. The decrease was primarily due to heavier promotions and clearance events in the prior year, coupled with slower store traffic in the current year.</w:t>
      </w:r>
    </w:p>
    <w:p>
      <w:pPr>
        <w:spacing w:after="0" w:line="145"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Store market net sales decreased $11.5 million, or 5.8%, to $185.5 million in the six months ended July 31, 2022 compared to $197.0 million in the six months ended August 1, 2021. The decrease was also driven by slower store traffic compared to the prior year. Non-store market net sales decreased by $6.0 million, or 7.3%, to $76.6 million in the six months ended July 31, 2022 compared to $82.7 million in the six months ended August 1, 2021. The decrease was driven by a decrease in promotional events in the current year compared to the prior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Gross profit decreased $5.3 million, or 3.6%, to $142.7 million in the six months ended July 31, 2022 compared to $148.0 million in the six months ended August 1, 2021. As a percentage of net sales, gross margin increased to 54.0% of net sales in the six months ended July 31, 2022, compared to 52.4% of net sales in the six months ended August 1, 2021. Excluding the aforementioned non-recurring inventory write down of $1.3 million during the second quarter, gross margin would have been 54.5%.</w:t>
      </w:r>
    </w:p>
    <w:p>
      <w:pPr>
        <w:spacing w:after="0" w:line="144" w:lineRule="exact"/>
        <w:rPr>
          <w:sz w:val="20"/>
          <w:szCs w:val="20"/>
          <w:color w:val="auto"/>
        </w:rPr>
      </w:pPr>
    </w:p>
    <w:p>
      <w:pPr>
        <w:ind w:right="240" w:firstLine="693"/>
        <w:spacing w:after="0" w:line="250" w:lineRule="auto"/>
        <w:rPr>
          <w:sz w:val="20"/>
          <w:szCs w:val="20"/>
          <w:color w:val="auto"/>
        </w:rPr>
      </w:pPr>
      <w:r>
        <w:rPr>
          <w:rFonts w:ascii="Times New Roman" w:cs="Times New Roman" w:eastAsia="Times New Roman" w:hAnsi="Times New Roman"/>
          <w:sz w:val="18"/>
          <w:szCs w:val="18"/>
          <w:color w:val="auto"/>
        </w:rPr>
        <w:t>The increase in gross margin was driven by a higher mix of full price sales due to successfully dialing back promotional and clearance activity, particularly during the first quarter of the current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80" w:firstLine="428"/>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expenses increased $6.7 million, or 5.1%, to $139.7 million in the six months ended July 31, 2022 compared to $133.0 million in the six months ended August 1, 2021. Selling, general and administrative expenses as a percentage of net sales increased to 52.8% in the six months ended July 31, 2022, compared to 47.1% in the six months ended August 1, 2021.</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72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primarily due to investments in new headcount, increased depreciation from continued capital investments, as well as increased digital advertising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Income tax expense was $0.3 million in the six months ended July 31, 2022, compared to income tax expense of $3.1 million in the six months ended August 1, 2021. The effective tax rate related to controlling interest was 21% for the six months ended July 31, 2022 compared to 25% for the six months ended August 1,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Controlling Interest</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Net income attributable to controlling interest was $1.1 million, in the six months ended July 31, 2022 compared to net income of $9.5 million in the six months ended August 1, 2021, due to the factors discussed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EBITDA to Adjusted EBITDA</w:t>
      </w:r>
    </w:p>
    <w:p>
      <w:pPr>
        <w:spacing w:after="0" w:line="175" w:lineRule="exact"/>
        <w:rPr>
          <w:sz w:val="20"/>
          <w:szCs w:val="20"/>
          <w:color w:val="auto"/>
        </w:rPr>
      </w:pPr>
    </w:p>
    <w:p>
      <w:pPr>
        <w:ind w:right="180" w:firstLine="428"/>
        <w:spacing w:after="0" w:line="236"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20" w:type="dxa"/>
            <w:vAlign w:val="bottom"/>
          </w:tcPr>
          <w:p>
            <w:pPr>
              <w:spacing w:after="0"/>
              <w:rPr>
                <w:sz w:val="17"/>
                <w:szCs w:val="17"/>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16"/>
        </w:trPr>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196"/>
        </w:trPr>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12,588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20,790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19,856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30,344</w:t>
            </w:r>
          </w:p>
        </w:tc>
      </w:tr>
      <w:tr>
        <w:trPr>
          <w:trHeight w:val="216"/>
        </w:trPr>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183"/>
        </w:trPr>
        <w:tc>
          <w:tcPr>
            <w:tcW w:w="46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13,244</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21,427</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21,130</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31,351</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6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$8.2 million to $13.2 million in the three months ended July 31, 2022 compared to $21.4 million in the three months ended August 1, 2021. As a percentage of net sales, Adjusted EBITDA decreased to 9.4% of net sales in the three months ended July 31, 2022 compared to 14.4% of net sales in the three months ended August 1, 2021.</w:t>
      </w:r>
    </w:p>
    <w:p>
      <w:pPr>
        <w:spacing w:after="0" w:line="143"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$10.3 million to $21.1 million in the six months ended July 31, 2022 compared to $31.4 million in the six months ended August 1, 2021. As a percentage of net sales, Adjusted EBITDA decreased to 8.0% of net sales in the six months ended July 31, 2022 compared to 11.1% of net sales in the six months ended August 1, 2021.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140" w:firstLine="428"/>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infrastructure and information technology. The most significant components of our working capital are cash, inventory, accounts payable and other current liabilities. At July 31, 2022, our net working capital was $102.4 million, including $15.4 million of cash and cash equivalents.</w:t>
      </w:r>
    </w:p>
    <w:p>
      <w:pPr>
        <w:spacing w:after="0" w:line="144"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$40.0 million in fiscal 2022 on capital expenditures, inclusive of software hosting implementation costs, primarily due to investments in logistics optimization, including the introduction of automated fulfillment centers.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3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60" w:type="dxa"/>
            <w:vAlign w:val="bottom"/>
            <w:tcBorders>
              <w:bottom w:val="single" w:sz="8" w:color="auto"/>
            </w:tcBorders>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(41,138)</w:t>
            </w:r>
          </w:p>
        </w:tc>
        <w:tc>
          <w:tcPr>
            <w:tcW w:w="4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(18,727)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(1,817)</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(49,954)</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cash equivalents</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(61,682)</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(28,300)</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75" w:lineRule="exact"/>
        <w:rPr>
          <w:sz w:val="20"/>
          <w:szCs w:val="20"/>
          <w:color w:val="auto"/>
        </w:rPr>
      </w:pPr>
    </w:p>
    <w:p>
      <w:pPr>
        <w:jc w:val="both"/>
        <w:ind w:firstLine="428"/>
        <w:spacing w:after="0" w:line="250"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36" w:lineRule="exact"/>
        <w:rPr>
          <w:sz w:val="20"/>
          <w:szCs w:val="20"/>
          <w:color w:val="auto"/>
        </w:rPr>
      </w:pPr>
    </w:p>
    <w:p>
      <w:pPr>
        <w:ind w:right="180" w:firstLine="428"/>
        <w:spacing w:after="0" w:line="242" w:lineRule="auto"/>
        <w:rPr>
          <w:sz w:val="20"/>
          <w:szCs w:val="20"/>
          <w:color w:val="auto"/>
        </w:rPr>
      </w:pPr>
      <w:r>
        <w:rPr>
          <w:rFonts w:ascii="Times New Roman" w:cs="Times New Roman" w:eastAsia="Times New Roman" w:hAnsi="Times New Roman"/>
          <w:sz w:val="18"/>
          <w:szCs w:val="18"/>
          <w:color w:val="auto"/>
        </w:rPr>
        <w:t>For the six months ended July 31, 2022, net cash used in operating activities was $41.1 million, which primarily consisted of cash used in operating assets and liabilities of $58.9 million. The cash used in operating assets and liabilities of $58.9 million was primarily due to a $41.8 million increase in inventory and a $19.0 million decrease in accrued expenses, partially offset by a $9.5 million increase in trade accounts payable.</w:t>
      </w:r>
    </w:p>
    <w:p>
      <w:pPr>
        <w:spacing w:after="0" w:line="130"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For the six months ended August 1, 2021, net cash provided by operating activities was $26.5 million, which primarily consisted of net income of $9.5 million, non-cash depreciation and amortization of $14.5 million, and cash provided by operating assets and liabilities of $1.8 million. The cash provided by operating assets and liabilities of $1.8 million primarily consisted of a $14.2 million decrease in inventory and a $2.9 million increase in trade accounts payable, partially offset by a $7.0 million decrease in income taxes payable and a $4.9 million decrease in accrued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investments in infrastructure and information technology.</w:t>
      </w:r>
    </w:p>
    <w:p>
      <w:pPr>
        <w:spacing w:after="0" w:line="171" w:lineRule="exact"/>
        <w:rPr>
          <w:sz w:val="20"/>
          <w:szCs w:val="20"/>
          <w:color w:val="auto"/>
        </w:rPr>
      </w:pPr>
    </w:p>
    <w:p>
      <w:pPr>
        <w:ind w:right="240" w:firstLine="428"/>
        <w:spacing w:after="0" w:line="250" w:lineRule="auto"/>
        <w:rPr>
          <w:sz w:val="20"/>
          <w:szCs w:val="20"/>
          <w:color w:val="auto"/>
        </w:rPr>
      </w:pPr>
      <w:r>
        <w:rPr>
          <w:rFonts w:ascii="Times New Roman" w:cs="Times New Roman" w:eastAsia="Times New Roman" w:hAnsi="Times New Roman"/>
          <w:sz w:val="18"/>
          <w:szCs w:val="18"/>
          <w:color w:val="auto"/>
        </w:rPr>
        <w:t>For the six months ended July 31, 2022, net cash used in investing activities was $18.7 million and was primarily driven by capital expenditures of $18.8 million for new investments in the distribution network and information technology.</w:t>
      </w:r>
    </w:p>
    <w:p>
      <w:pPr>
        <w:spacing w:after="0" w:line="136" w:lineRule="exact"/>
        <w:rPr>
          <w:sz w:val="20"/>
          <w:szCs w:val="20"/>
          <w:color w:val="auto"/>
        </w:rPr>
      </w:pPr>
    </w:p>
    <w:p>
      <w:pPr>
        <w:ind w:right="200" w:firstLine="428"/>
        <w:spacing w:after="0" w:line="250" w:lineRule="auto"/>
        <w:rPr>
          <w:sz w:val="20"/>
          <w:szCs w:val="20"/>
          <w:color w:val="auto"/>
        </w:rPr>
      </w:pPr>
      <w:r>
        <w:rPr>
          <w:rFonts w:ascii="Times New Roman" w:cs="Times New Roman" w:eastAsia="Times New Roman" w:hAnsi="Times New Roman"/>
          <w:sz w:val="18"/>
          <w:szCs w:val="18"/>
          <w:color w:val="auto"/>
        </w:rPr>
        <w:t>For the six months ended August 1, 2021, net cash used in investing activities was $4.9 million and was primarily driven by capital expenditures of $5.0 million for new investments in the distribution network and information technology.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75" w:lineRule="exact"/>
        <w:rPr>
          <w:sz w:val="20"/>
          <w:szCs w:val="20"/>
          <w:color w:val="auto"/>
        </w:rPr>
      </w:pPr>
    </w:p>
    <w:p>
      <w:pPr>
        <w:ind w:right="720" w:firstLine="428"/>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 as well as payments on finance lease obligations.</w:t>
      </w:r>
    </w:p>
    <w:p>
      <w:pPr>
        <w:spacing w:after="0" w:line="136"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For the six months ended July 31, 2022, net cash used in financing activities was $1.8 million, primarily consisting of payments on finance lease obligations.</w:t>
      </w:r>
    </w:p>
    <w:p>
      <w:pPr>
        <w:spacing w:after="0" w:line="136" w:lineRule="exact"/>
        <w:rPr>
          <w:sz w:val="20"/>
          <w:szCs w:val="20"/>
          <w:color w:val="auto"/>
        </w:rPr>
      </w:pPr>
    </w:p>
    <w:p>
      <w:pPr>
        <w:ind w:right="380" w:firstLine="428"/>
        <w:spacing w:after="0" w:line="250" w:lineRule="auto"/>
        <w:rPr>
          <w:sz w:val="20"/>
          <w:szCs w:val="20"/>
          <w:color w:val="auto"/>
        </w:rPr>
      </w:pPr>
      <w:r>
        <w:rPr>
          <w:rFonts w:ascii="Times New Roman" w:cs="Times New Roman" w:eastAsia="Times New Roman" w:hAnsi="Times New Roman"/>
          <w:sz w:val="18"/>
          <w:szCs w:val="18"/>
          <w:color w:val="auto"/>
        </w:rPr>
        <w:t>For the six months ended August 1, 2021, net cash used in financing activities was $50.0 million, primarily consisting of the full paydown of the Company’s bank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4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30,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2021 Form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360" w:firstLine="428"/>
        <w:spacing w:after="0" w:line="250" w:lineRule="auto"/>
        <w:rPr>
          <w:sz w:val="20"/>
          <w:szCs w:val="20"/>
          <w:color w:val="auto"/>
        </w:rPr>
      </w:pPr>
      <w:r>
        <w:rPr>
          <w:rFonts w:ascii="Times New Roman" w:cs="Times New Roman" w:eastAsia="Times New Roman" w:hAnsi="Times New Roman"/>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2021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28"/>
        <w:spacing w:after="0" w:line="235"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220" w:firstLine="428"/>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right="160" w:firstLine="428"/>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2021 Form 10-K, or other SEC filings. There have been no material changes to our risk factors as previously disclosed in our fiscal 2021 Annual Report on Form 10-K.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July 31, 2022, which were not registered under the Securities Act.</w:t>
      </w:r>
    </w:p>
    <w:p>
      <w:pPr>
        <w:spacing w:after="0" w:line="171" w:lineRule="exact"/>
        <w:rPr>
          <w:sz w:val="20"/>
          <w:szCs w:val="20"/>
          <w:color w:val="auto"/>
        </w:rPr>
      </w:pPr>
    </w:p>
    <w:p>
      <w:pPr>
        <w:ind w:right="600"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July 31, 2022.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2022 - May 29, 2022</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30, 2022 - July 3,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4, 2022 - July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940"/>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gridSpan w:val="8"/>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6"/>
        </w:trPr>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 No.</w:t>
            </w:r>
          </w:p>
        </w:tc>
        <w:tc>
          <w:tcPr>
            <w:tcW w:w="0" w:type="dxa"/>
            <w:vAlign w:val="bottom"/>
          </w:tcPr>
          <w:p>
            <w:pPr>
              <w:spacing w:after="0"/>
              <w:rPr>
                <w:sz w:val="1"/>
                <w:szCs w:val="1"/>
                <w:color w:val="auto"/>
              </w:rPr>
            </w:pPr>
          </w:p>
        </w:tc>
      </w:tr>
      <w:tr>
        <w:trPr>
          <w:trHeight w:val="180"/>
        </w:trPr>
        <w:tc>
          <w:tcPr>
            <w:tcW w:w="7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5"/>
                <w:szCs w:val="15"/>
                <w:color w:val="auto"/>
              </w:rPr>
            </w:pPr>
          </w:p>
        </w:tc>
        <w:tc>
          <w:tcPr>
            <w:tcW w:w="9740" w:type="dxa"/>
            <w:vAlign w:val="bottom"/>
            <w:tcBorders>
              <w:bottom w:val="single" w:sz="8" w:color="0000FF"/>
            </w:tcBorders>
            <w:gridSpan w:val="8"/>
          </w:tcPr>
          <w:p>
            <w:pPr>
              <w:spacing w:after="0" w:line="161"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First Amendment, dated as of July 8, 2022, among Duluth Holdings Inc., the Lenders party thereto, Bank of America, N.A., as Administrative Agent,</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40" w:type="dxa"/>
            <w:vAlign w:val="bottom"/>
            <w:gridSpan w:val="8"/>
          </w:tcPr>
          <w:p>
            <w:pPr>
              <w:spacing w:after="0" w:line="155"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Swingline Lender and L/C Issuer, BofA Securities, Inc., as a Joint Lead Arranger and Sole Bookrunner, and Keybanc Capital Markets Inc., as a Joint</w:t>
              </w:r>
            </w:hyperlink>
          </w:p>
        </w:tc>
        <w:tc>
          <w:tcPr>
            <w:tcW w:w="0" w:type="dxa"/>
            <w:vAlign w:val="bottom"/>
          </w:tcPr>
          <w:p>
            <w:pPr>
              <w:spacing w:after="0"/>
              <w:rPr>
                <w:sz w:val="1"/>
                <w:szCs w:val="1"/>
                <w:color w:val="auto"/>
              </w:rPr>
            </w:pPr>
          </w:p>
        </w:tc>
      </w:tr>
      <w:tr>
        <w:trPr>
          <w:trHeight w:val="15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3"/>
                <w:szCs w:val="13"/>
                <w:color w:val="auto"/>
              </w:rPr>
            </w:pPr>
          </w:p>
        </w:tc>
        <w:tc>
          <w:tcPr>
            <w:tcW w:w="9700" w:type="dxa"/>
            <w:vAlign w:val="bottom"/>
            <w:tcBorders>
              <w:top w:val="single" w:sz="8" w:color="0000FF"/>
            </w:tcBorders>
            <w:gridSpan w:val="7"/>
          </w:tcPr>
          <w:p>
            <w:pPr>
              <w:spacing w:after="0" w:line="155"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Lead Arranger, incorporated by reference to Exhibit 10.1 of the Company’s Current Report on Form 8-K date July 8, 2022.</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600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Offer Letter Dated July 27, 2022 by and between Albert J. Sutera and Duluth Holdings Inc.*</w:t>
            </w:r>
          </w:p>
        </w:tc>
        <w:tc>
          <w:tcPr>
            <w:tcW w:w="20" w:type="dxa"/>
            <w:vAlign w:val="bottom"/>
            <w:tcBorders>
              <w:top w:val="single" w:sz="8" w:color="0000FF"/>
              <w:bottom w:val="single" w:sz="8" w:color="0000EE"/>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31.1</w:t>
            </w:r>
          </w:p>
        </w:tc>
        <w:tc>
          <w:tcPr>
            <w:tcW w:w="580" w:type="dxa"/>
            <w:vAlign w:val="bottom"/>
          </w:tcPr>
          <w:p>
            <w:pPr>
              <w:spacing w:after="0"/>
              <w:rPr>
                <w:sz w:val="14"/>
                <w:szCs w:val="14"/>
                <w:color w:val="auto"/>
              </w:rPr>
            </w:pPr>
          </w:p>
        </w:tc>
        <w:tc>
          <w:tcPr>
            <w:tcW w:w="974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 and Rule 15d-14(a) of the Securities and Exchange Act, as 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8880" w:type="dxa"/>
            <w:vAlign w:val="bottom"/>
            <w:tcBorders>
              <w:top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 and Rule 15d-14(a) of the Securities and Exchange Act of 1934, as</w:t>
            </w: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6"/>
                <w:szCs w:val="16"/>
                <w:color w:val="0000FF"/>
              </w:rPr>
              <w:t>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line="20" w:lineRule="exact"/>
              <w:rPr>
                <w:sz w:val="1"/>
                <w:szCs w:val="1"/>
                <w:color w:val="auto"/>
              </w:rPr>
            </w:pPr>
          </w:p>
        </w:tc>
        <w:tc>
          <w:tcPr>
            <w:tcW w:w="93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74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line="20" w:lineRule="exact"/>
              <w:rPr>
                <w:sz w:val="1"/>
                <w:szCs w:val="1"/>
                <w:color w:val="auto"/>
              </w:rPr>
            </w:pPr>
          </w:p>
        </w:tc>
        <w:tc>
          <w:tcPr>
            <w:tcW w:w="9620" w:type="dxa"/>
            <w:vAlign w:val="bottom"/>
            <w:tcBorders>
              <w:right w:val="single" w:sz="8" w:color="0000EE"/>
            </w:tcBorders>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74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78"/>
        </w:trPr>
        <w:tc>
          <w:tcPr>
            <w:tcW w:w="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5"/>
                <w:szCs w:val="15"/>
                <w:color w:val="auto"/>
              </w:rPr>
            </w:pPr>
          </w:p>
        </w:tc>
        <w:tc>
          <w:tcPr>
            <w:tcW w:w="9620" w:type="dxa"/>
            <w:vAlign w:val="bottom"/>
            <w:tcBorders>
              <w:top w:val="single" w:sz="8" w:color="0000FF"/>
            </w:tcBorders>
            <w:gridSpan w:val="6"/>
          </w:tcPr>
          <w:p>
            <w:pPr>
              <w:spacing w:after="0" w:line="178" w:lineRule="exact"/>
              <w:rPr>
                <w:sz w:val="20"/>
                <w:szCs w:val="20"/>
                <w:color w:val="auto"/>
              </w:rPr>
            </w:pPr>
            <w:r>
              <w:rPr>
                <w:rFonts w:ascii="Times New Roman" w:cs="Times New Roman" w:eastAsia="Times New Roman" w:hAnsi="Times New Roman"/>
                <w:sz w:val="16"/>
                <w:szCs w:val="16"/>
                <w:color w:val="auto"/>
              </w:rPr>
              <w:t>XBRL Instance Document**</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right="200" w:hanging="1272"/>
        <w:spacing w:after="0" w:line="243"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May 1, 2022 has been formatted in Inline XBRL (Inline Extensible Business Reporting Language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28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440"/>
          </w:cols>
          <w:pgMar w:left="320" w:top="283" w:right="5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440"/>
          </w:cols>
          <w:pgMar w:left="320" w:top="283"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83" w:right="5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2, 2022</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David Loretta</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Michael Murphy</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Vice President and Chief Accounting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Accounting Officer)</w:t>
      </w:r>
    </w:p>
    <w:p>
      <w:pPr>
        <w:spacing w:after="0" w:line="1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320" w:top="283" w:right="879" w:bottom="1440" w:gutter="0" w:footer="0" w:header="0"/>
        </w:sectPr>
      </w:pPr>
    </w:p>
    <w:bookmarkStart w:id="30" w:name="page31"/>
    <w:bookmarkEnd w:id="30"/>
    <w:p>
      <w:pPr>
        <w:jc w:val="right"/>
        <w:spacing w:after="0"/>
        <w:rPr>
          <w:sz w:val="20"/>
          <w:szCs w:val="20"/>
          <w:color w:val="auto"/>
        </w:rPr>
      </w:pPr>
      <w:r>
        <w:rPr>
          <w:rFonts w:ascii="Calibri" w:cs="Calibri" w:eastAsia="Calibri" w:hAnsi="Calibri"/>
          <w:sz w:val="23"/>
          <w:szCs w:val="23"/>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374650</wp:posOffset>
            </wp:positionV>
            <wp:extent cx="2571750" cy="874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color w:val="auto"/>
        </w:rPr>
        <w:t>July 27, 2022</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Dear AJ:</w:t>
      </w:r>
    </w:p>
    <w:p>
      <w:pPr>
        <w:spacing w:after="0" w:line="184" w:lineRule="exact"/>
        <w:rPr>
          <w:sz w:val="20"/>
          <w:szCs w:val="20"/>
          <w:color w:val="auto"/>
        </w:rPr>
      </w:pPr>
    </w:p>
    <w:p>
      <w:pPr>
        <w:jc w:val="both"/>
        <w:ind w:right="20"/>
        <w:spacing w:after="0" w:line="210" w:lineRule="auto"/>
        <w:rPr>
          <w:sz w:val="20"/>
          <w:szCs w:val="20"/>
          <w:color w:val="auto"/>
        </w:rPr>
      </w:pPr>
      <w:r>
        <w:rPr>
          <w:rFonts w:ascii="Calibri" w:cs="Calibri" w:eastAsia="Calibri" w:hAnsi="Calibri"/>
          <w:sz w:val="20"/>
          <w:szCs w:val="20"/>
          <w:color w:val="auto"/>
        </w:rPr>
        <w:t xml:space="preserve">It is my pleasure to extend the following ofer of employment to you on behalf of Duluth Trading Company. This leter will highlight some of the details of your employment. If you are in agreement with the terms of this ofer, please acknowledge your acceptance verbally by end of business on </w:t>
      </w:r>
      <w:r>
        <w:rPr>
          <w:rFonts w:ascii="Calibri" w:cs="Calibri" w:eastAsia="Calibri" w:hAnsi="Calibri"/>
          <w:sz w:val="20"/>
          <w:szCs w:val="20"/>
          <w:b w:val="1"/>
          <w:bCs w:val="1"/>
          <w:color w:val="auto"/>
        </w:rPr>
        <w:t>8/1/2022</w:t>
      </w:r>
      <w:r>
        <w:rPr>
          <w:rFonts w:ascii="Calibri" w:cs="Calibri" w:eastAsia="Calibri" w:hAnsi="Calibri"/>
          <w:sz w:val="20"/>
          <w:szCs w:val="20"/>
          <w:color w:val="auto"/>
        </w:rPr>
        <w:t xml:space="preserve"> and subsequently by signing and returning a copy of this leter to me.</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Positon Title: Senior Vice President, Chief Technology Ofcer &amp; Logistcs</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Start Date: </w:t>
      </w:r>
      <w:r>
        <w:rPr>
          <w:rFonts w:ascii="Calibri" w:cs="Calibri" w:eastAsia="Calibri" w:hAnsi="Calibri"/>
          <w:sz w:val="20"/>
          <w:szCs w:val="20"/>
          <w:color w:val="auto"/>
        </w:rPr>
        <w:t>8/14/2022</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Reportng Relatonship: Sam Sato, President &amp; CEO</w:t>
      </w:r>
    </w:p>
    <w:p>
      <w:pPr>
        <w:spacing w:after="0" w:line="184" w:lineRule="exact"/>
        <w:rPr>
          <w:sz w:val="20"/>
          <w:szCs w:val="20"/>
          <w:color w:val="auto"/>
        </w:rPr>
      </w:pPr>
    </w:p>
    <w:p>
      <w:pPr>
        <w:ind w:right="60"/>
        <w:spacing w:after="0" w:line="214" w:lineRule="auto"/>
        <w:rPr>
          <w:sz w:val="20"/>
          <w:szCs w:val="20"/>
          <w:color w:val="auto"/>
        </w:rPr>
      </w:pPr>
      <w:r>
        <w:rPr>
          <w:rFonts w:ascii="Calibri" w:cs="Calibri" w:eastAsia="Calibri" w:hAnsi="Calibri"/>
          <w:sz w:val="20"/>
          <w:szCs w:val="20"/>
          <w:b w:val="1"/>
          <w:bCs w:val="1"/>
          <w:color w:val="auto"/>
        </w:rPr>
        <w:t xml:space="preserve">Base Salary: </w:t>
      </w:r>
      <w:r>
        <w:rPr>
          <w:rFonts w:ascii="Calibri" w:cs="Calibri" w:eastAsia="Calibri" w:hAnsi="Calibri"/>
          <w:sz w:val="20"/>
          <w:szCs w:val="20"/>
          <w:color w:val="auto"/>
        </w:rPr>
        <w:t>Your annual base salary will be $370,000, which is paid bi-weekly and is subject to deductons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taxes and other withholdings that are required by law. Your salary will be reviewed annually startng April 2023.</w:t>
      </w:r>
    </w:p>
    <w:p>
      <w:pPr>
        <w:spacing w:after="0" w:line="199"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b w:val="1"/>
          <w:bCs w:val="1"/>
          <w:color w:val="auto"/>
        </w:rPr>
        <w:t xml:space="preserve">Bonus Potental: </w:t>
      </w:r>
      <w:r>
        <w:rPr>
          <w:rFonts w:ascii="Calibri" w:cs="Calibri" w:eastAsia="Calibri" w:hAnsi="Calibri"/>
          <w:sz w:val="20"/>
          <w:szCs w:val="20"/>
          <w:color w:val="auto"/>
        </w:rPr>
        <w:t>You will be eligible to partcipate in the Company's bonus plan for executve level employees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then in efect. For fscal 2022, your bonus target is at 65% of your base salary and is contngent upon us meetng certain fnancial thresholds that are established annually. The maximum bonus award will be 130% of your base salary. Bonus payout is in March or April following year-end and your payout will be prorated for fscal 2022 based on your start date.</w:t>
      </w:r>
    </w:p>
    <w:p>
      <w:pPr>
        <w:spacing w:after="0" w:line="253"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b w:val="1"/>
          <w:bCs w:val="1"/>
          <w:color w:val="auto"/>
        </w:rPr>
        <w:t xml:space="preserve">Inital Stock Grant: </w:t>
      </w:r>
      <w:r>
        <w:rPr>
          <w:rFonts w:ascii="Calibri" w:cs="Calibri" w:eastAsia="Calibri" w:hAnsi="Calibri"/>
          <w:sz w:val="20"/>
          <w:szCs w:val="20"/>
          <w:color w:val="auto"/>
        </w:rPr>
        <w:t>You will receive an inital restricted stock grant with a grant date fair value of $370,000, with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number of Class B shares to be determined based on the closing market price on the date of the stock grant, which will be your frst date of employment. The grant will vest 100% on the 3</w:t>
      </w:r>
      <w:r>
        <w:rPr>
          <w:rFonts w:ascii="Calibri" w:cs="Calibri" w:eastAsia="Calibri" w:hAnsi="Calibri"/>
          <w:sz w:val="20"/>
          <w:szCs w:val="20"/>
          <w:color w:val="auto"/>
          <w:vertAlign w:val="superscript"/>
        </w:rPr>
        <w:t>rd</w:t>
      </w:r>
      <w:r>
        <w:rPr>
          <w:rFonts w:ascii="Calibri" w:cs="Calibri" w:eastAsia="Calibri" w:hAnsi="Calibri"/>
          <w:sz w:val="20"/>
          <w:szCs w:val="20"/>
          <w:color w:val="auto"/>
        </w:rPr>
        <w:t xml:space="preserve"> anniversary of the inital grant date, provided that you have been contnuously employed through the vestng date.</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LTI: </w:t>
      </w:r>
      <w:r>
        <w:rPr>
          <w:rFonts w:ascii="Calibri" w:cs="Calibri" w:eastAsia="Calibri" w:hAnsi="Calibri"/>
          <w:sz w:val="20"/>
          <w:szCs w:val="20"/>
          <w:color w:val="auto"/>
        </w:rPr>
        <w:t>In March or April of each year, you will be enttled to an annual grant of restricted stock, subject</w:t>
      </w:r>
    </w:p>
    <w:p>
      <w:pPr>
        <w:spacing w:after="0" w:line="9" w:lineRule="exact"/>
        <w:rPr>
          <w:sz w:val="20"/>
          <w:szCs w:val="20"/>
          <w:color w:val="auto"/>
        </w:rPr>
      </w:pPr>
    </w:p>
    <w:p>
      <w:pPr>
        <w:jc w:val="both"/>
        <w:ind w:right="160"/>
        <w:spacing w:after="0" w:line="236" w:lineRule="auto"/>
        <w:rPr>
          <w:sz w:val="20"/>
          <w:szCs w:val="20"/>
          <w:color w:val="auto"/>
        </w:rPr>
      </w:pPr>
      <w:r>
        <w:rPr>
          <w:rFonts w:ascii="Calibri" w:cs="Calibri" w:eastAsia="Calibri" w:hAnsi="Calibri"/>
          <w:sz w:val="20"/>
          <w:szCs w:val="20"/>
          <w:color w:val="auto"/>
        </w:rPr>
        <w:t>to Compensaton Commitee approval and Board ratfcaton. Your target grant will have a grant date fair value equal to 50% of your base salary. The grant will vest 25% each year on a 4 year schedule, provided you are stll employed on each vestng date.</w:t>
      </w:r>
    </w:p>
    <w:p>
      <w:pPr>
        <w:spacing w:after="0" w:line="252" w:lineRule="exact"/>
        <w:rPr>
          <w:sz w:val="20"/>
          <w:szCs w:val="20"/>
          <w:color w:val="auto"/>
        </w:rPr>
      </w:pPr>
    </w:p>
    <w:p>
      <w:pPr>
        <w:ind w:right="300"/>
        <w:spacing w:after="0" w:line="236" w:lineRule="auto"/>
        <w:rPr>
          <w:sz w:val="20"/>
          <w:szCs w:val="20"/>
          <w:color w:val="auto"/>
        </w:rPr>
      </w:pPr>
      <w:r>
        <w:rPr>
          <w:rFonts w:ascii="Calibri" w:cs="Calibri" w:eastAsia="Calibri" w:hAnsi="Calibri"/>
          <w:sz w:val="20"/>
          <w:szCs w:val="20"/>
          <w:b w:val="1"/>
          <w:bCs w:val="1"/>
          <w:color w:val="auto"/>
        </w:rPr>
        <w:t xml:space="preserve">Benefts: </w:t>
      </w:r>
      <w:r>
        <w:rPr>
          <w:rFonts w:ascii="Calibri" w:cs="Calibri" w:eastAsia="Calibri" w:hAnsi="Calibri"/>
          <w:sz w:val="20"/>
          <w:szCs w:val="20"/>
          <w:color w:val="auto"/>
        </w:rPr>
        <w:t>You will be eligible to partcipate in the Company’s health, dental, life, disability, 401(K), and fex</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spending plans. You are also eligible for the BeniComp Select Executve Medical Reimbursement Plan for you and your eligible dependents up to $15,000 per year. A summary of these plans is atached.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403" w:right="1359" w:bottom="1440" w:gutter="0" w:footer="0" w:header="0"/>
        </w:sectPr>
      </w:pPr>
    </w:p>
    <w:bookmarkStart w:id="31" w:name="page32"/>
    <w:bookmarkEnd w:id="31"/>
    <w:p>
      <w:pPr>
        <w:ind w:left="6" w:right="460"/>
        <w:spacing w:after="0" w:line="234" w:lineRule="auto"/>
        <w:rPr>
          <w:sz w:val="20"/>
          <w:szCs w:val="20"/>
          <w:color w:val="auto"/>
        </w:rPr>
      </w:pPr>
      <w:r>
        <w:rPr>
          <w:rFonts w:ascii="Calibri" w:cs="Calibri" w:eastAsia="Calibri" w:hAnsi="Calibri"/>
          <w:sz w:val="20"/>
          <w:szCs w:val="20"/>
          <w:b w:val="1"/>
          <w:bCs w:val="1"/>
          <w:color w:val="auto"/>
        </w:rPr>
        <w:t xml:space="preserve">Severance Benefts: </w:t>
      </w:r>
      <w:r>
        <w:rPr>
          <w:rFonts w:ascii="Calibri" w:cs="Calibri" w:eastAsia="Calibri" w:hAnsi="Calibri"/>
          <w:sz w:val="20"/>
          <w:szCs w:val="20"/>
          <w:color w:val="auto"/>
        </w:rPr>
        <w:t>As a member of the Executve team you will be a partcipant in the Executve General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Severance Plan and the Executve Change in Control Severance Plan. A summary of these plans is atached.</w:t>
      </w:r>
    </w:p>
    <w:p>
      <w:pPr>
        <w:spacing w:after="0" w:line="253" w:lineRule="exact"/>
        <w:rPr>
          <w:sz w:val="20"/>
          <w:szCs w:val="20"/>
          <w:color w:val="auto"/>
        </w:rPr>
      </w:pPr>
    </w:p>
    <w:p>
      <w:pPr>
        <w:ind w:left="6" w:right="240"/>
        <w:spacing w:after="0" w:line="236" w:lineRule="auto"/>
        <w:rPr>
          <w:sz w:val="20"/>
          <w:szCs w:val="20"/>
          <w:color w:val="auto"/>
        </w:rPr>
      </w:pPr>
      <w:r>
        <w:rPr>
          <w:rFonts w:ascii="Calibri" w:cs="Calibri" w:eastAsia="Calibri" w:hAnsi="Calibri"/>
          <w:sz w:val="20"/>
          <w:szCs w:val="20"/>
          <w:b w:val="1"/>
          <w:bCs w:val="1"/>
          <w:color w:val="auto"/>
        </w:rPr>
        <w:t xml:space="preserve">Time Of: </w:t>
      </w:r>
      <w:r>
        <w:rPr>
          <w:rFonts w:ascii="Calibri" w:cs="Calibri" w:eastAsia="Calibri" w:hAnsi="Calibri"/>
          <w:sz w:val="20"/>
          <w:szCs w:val="20"/>
          <w:color w:val="auto"/>
        </w:rPr>
        <w:t>Eligible employees are free to take leave when they require it, for vacaton tme, personal days,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sick leave, including, but not limited to, tme of required under applicable local and state sick leave laws, subject to the limitatons described in the Unlimited Time Of Policy for Exempt Employees.</w:t>
      </w:r>
    </w:p>
    <w:p>
      <w:pPr>
        <w:spacing w:after="0" w:line="252" w:lineRule="exact"/>
        <w:rPr>
          <w:sz w:val="20"/>
          <w:szCs w:val="20"/>
          <w:color w:val="auto"/>
        </w:rPr>
      </w:pPr>
    </w:p>
    <w:p>
      <w:pPr>
        <w:ind w:left="6" w:right="180"/>
        <w:spacing w:after="0" w:line="234" w:lineRule="auto"/>
        <w:rPr>
          <w:sz w:val="20"/>
          <w:szCs w:val="20"/>
          <w:color w:val="auto"/>
        </w:rPr>
      </w:pPr>
      <w:r>
        <w:rPr>
          <w:rFonts w:ascii="Calibri" w:cs="Calibri" w:eastAsia="Calibri" w:hAnsi="Calibri"/>
          <w:sz w:val="20"/>
          <w:szCs w:val="20"/>
          <w:b w:val="1"/>
          <w:bCs w:val="1"/>
          <w:color w:val="auto"/>
        </w:rPr>
        <w:t xml:space="preserve">Employee Purchase Program: </w:t>
      </w:r>
      <w:r>
        <w:rPr>
          <w:rFonts w:ascii="Calibri" w:cs="Calibri" w:eastAsia="Calibri" w:hAnsi="Calibri"/>
          <w:sz w:val="20"/>
          <w:szCs w:val="20"/>
          <w:color w:val="auto"/>
        </w:rPr>
        <w:t>The employee purchase program provides you with a 40% discount for personal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use, including gif giving and can be redeemed online or at any one of our retail locatons.</w:t>
      </w:r>
    </w:p>
    <w:p>
      <w:pPr>
        <w:spacing w:after="0" w:line="253" w:lineRule="exact"/>
        <w:rPr>
          <w:sz w:val="20"/>
          <w:szCs w:val="20"/>
          <w:color w:val="auto"/>
        </w:rPr>
      </w:pPr>
    </w:p>
    <w:p>
      <w:pPr>
        <w:jc w:val="both"/>
        <w:ind w:left="6" w:right="240"/>
        <w:spacing w:after="0" w:line="236" w:lineRule="auto"/>
        <w:rPr>
          <w:sz w:val="20"/>
          <w:szCs w:val="20"/>
          <w:color w:val="auto"/>
        </w:rPr>
      </w:pPr>
      <w:r>
        <w:rPr>
          <w:rFonts w:ascii="Calibri" w:cs="Calibri" w:eastAsia="Calibri" w:hAnsi="Calibri"/>
          <w:sz w:val="20"/>
          <w:szCs w:val="20"/>
          <w:b w:val="1"/>
          <w:bCs w:val="1"/>
          <w:color w:val="auto"/>
        </w:rPr>
        <w:t xml:space="preserve">Relocaton: </w:t>
      </w:r>
      <w:r>
        <w:rPr>
          <w:rFonts w:ascii="Calibri" w:cs="Calibri" w:eastAsia="Calibri" w:hAnsi="Calibri"/>
          <w:sz w:val="20"/>
          <w:szCs w:val="20"/>
          <w:color w:val="auto"/>
        </w:rPr>
        <w:t>Duluth Trading Company’s relocaton policy is designed to assist you and your family by providing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 with a comprehensive relocaton package that facilitates your move while minimizing personal disrupton and expense.</w:t>
      </w:r>
    </w:p>
    <w:p>
      <w:pPr>
        <w:spacing w:after="0" w:line="252" w:lineRule="exact"/>
        <w:rPr>
          <w:sz w:val="20"/>
          <w:szCs w:val="20"/>
          <w:color w:val="auto"/>
        </w:rPr>
      </w:pPr>
    </w:p>
    <w:p>
      <w:pPr>
        <w:ind w:left="6" w:right="120"/>
        <w:spacing w:after="0" w:line="236" w:lineRule="auto"/>
        <w:rPr>
          <w:sz w:val="20"/>
          <w:szCs w:val="20"/>
          <w:color w:val="auto"/>
        </w:rPr>
      </w:pPr>
      <w:r>
        <w:rPr>
          <w:rFonts w:ascii="Calibri" w:cs="Calibri" w:eastAsia="Calibri" w:hAnsi="Calibri"/>
          <w:sz w:val="20"/>
          <w:szCs w:val="20"/>
          <w:color w:val="auto"/>
        </w:rPr>
        <w:t>We have outsourced the day-to-day relocaton administraton to NEI Global Relocaton Company (“NEI”). You will work with one point of coordinaton, your NEI Account Executve, throughout the relocaton process. NEI is familiar with our policy, and the specifc benefts provided to you.</w:t>
      </w:r>
    </w:p>
    <w:p>
      <w:pPr>
        <w:spacing w:after="0" w:line="252" w:lineRule="exact"/>
        <w:rPr>
          <w:sz w:val="20"/>
          <w:szCs w:val="20"/>
          <w:color w:val="auto"/>
        </w:rPr>
      </w:pPr>
    </w:p>
    <w:p>
      <w:pPr>
        <w:ind w:left="6" w:right="80"/>
        <w:spacing w:after="0" w:line="237" w:lineRule="auto"/>
        <w:rPr>
          <w:sz w:val="20"/>
          <w:szCs w:val="20"/>
          <w:color w:val="auto"/>
        </w:rPr>
      </w:pPr>
      <w:r>
        <w:rPr>
          <w:rFonts w:ascii="Calibri" w:cs="Calibri" w:eastAsia="Calibri" w:hAnsi="Calibri"/>
          <w:sz w:val="20"/>
          <w:szCs w:val="20"/>
          <w:b w:val="1"/>
          <w:bCs w:val="1"/>
          <w:color w:val="auto"/>
        </w:rPr>
        <w:t>NEI is able to answer any relocaton-related questons you or your family may have along the way. Before listng your home for sale or purchasing a new home, you are asked to contact your NEI Account Executve to discuss the appropriate procedures to follow and the benefts for which you qualify. Using NEI selected vendors for the various aspects of your move will help make your relocaton as smooth as possible and result in cost savings for Duluth Trading Company.</w:t>
      </w:r>
    </w:p>
    <w:p>
      <w:pPr>
        <w:spacing w:after="0" w:line="253" w:lineRule="exact"/>
        <w:rPr>
          <w:sz w:val="20"/>
          <w:szCs w:val="20"/>
          <w:color w:val="auto"/>
        </w:rPr>
      </w:pPr>
    </w:p>
    <w:p>
      <w:pPr>
        <w:ind w:left="6" w:right="100"/>
        <w:spacing w:after="0" w:line="236" w:lineRule="auto"/>
        <w:rPr>
          <w:sz w:val="20"/>
          <w:szCs w:val="20"/>
          <w:color w:val="auto"/>
        </w:rPr>
      </w:pPr>
      <w:r>
        <w:rPr>
          <w:rFonts w:ascii="Calibri" w:cs="Calibri" w:eastAsia="Calibri" w:hAnsi="Calibri"/>
          <w:sz w:val="20"/>
          <w:szCs w:val="20"/>
          <w:b w:val="1"/>
          <w:bCs w:val="1"/>
          <w:color w:val="auto"/>
        </w:rPr>
        <w:t xml:space="preserve">Background Check: </w:t>
      </w:r>
      <w:r>
        <w:rPr>
          <w:rFonts w:ascii="Calibri" w:cs="Calibri" w:eastAsia="Calibri" w:hAnsi="Calibri"/>
          <w:sz w:val="20"/>
          <w:szCs w:val="20"/>
          <w:color w:val="auto"/>
        </w:rPr>
        <w:t>This ofer is contngent upon your passing a background check, reference check and signing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 confdentality and business ideas agreement. Your employment with Duluth Trading Company is at-will and either party can terminate the relatonship at any tme with or without cause and with or without notce.</w:t>
      </w:r>
    </w:p>
    <w:p>
      <w:pPr>
        <w:spacing w:after="0" w:line="242" w:lineRule="exact"/>
        <w:rPr>
          <w:sz w:val="20"/>
          <w:szCs w:val="20"/>
          <w:color w:val="auto"/>
        </w:rPr>
      </w:pPr>
    </w:p>
    <w:p>
      <w:pPr>
        <w:ind w:left="6"/>
        <w:spacing w:after="0"/>
        <w:rPr>
          <w:sz w:val="20"/>
          <w:szCs w:val="20"/>
          <w:color w:val="auto"/>
        </w:rPr>
      </w:pPr>
      <w:r>
        <w:rPr>
          <w:rFonts w:ascii="Calibri" w:cs="Calibri" w:eastAsia="Calibri" w:hAnsi="Calibri"/>
          <w:sz w:val="20"/>
          <w:szCs w:val="20"/>
          <w:i w:val="1"/>
          <w:iCs w:val="1"/>
          <w:color w:val="auto"/>
        </w:rPr>
        <w:t>Consistent with Duluth’s policy, we will commence a background check as a conditon of employment. If</w:t>
      </w:r>
    </w:p>
    <w:p>
      <w:pPr>
        <w:spacing w:after="0" w:line="9" w:lineRule="exact"/>
        <w:rPr>
          <w:sz w:val="20"/>
          <w:szCs w:val="20"/>
          <w:color w:val="auto"/>
        </w:rPr>
      </w:pPr>
    </w:p>
    <w:p>
      <w:pPr>
        <w:ind w:left="6" w:right="40"/>
        <w:spacing w:after="0" w:line="237" w:lineRule="auto"/>
        <w:rPr>
          <w:sz w:val="20"/>
          <w:szCs w:val="20"/>
          <w:color w:val="auto"/>
        </w:rPr>
      </w:pPr>
      <w:r>
        <w:rPr>
          <w:rFonts w:ascii="Calibri" w:cs="Calibri" w:eastAsia="Calibri" w:hAnsi="Calibri"/>
          <w:sz w:val="20"/>
          <w:szCs w:val="20"/>
          <w:i w:val="1"/>
          <w:iCs w:val="1"/>
          <w:color w:val="auto"/>
        </w:rPr>
        <w:t>our third-party vendor is unable to complete your background check due to ofce closures and/or the temporary inability to gather all relevant background informaton, we will wait an additonal fve (5) business days to see if we receive a complete background check. If we do not receive a complete report, we would like to move forward with your onboarding; however, we reserve the right to end your employment based on the result of the background check when it is completed.</w:t>
      </w:r>
    </w:p>
    <w:p>
      <w:pPr>
        <w:spacing w:after="0" w:line="199" w:lineRule="exact"/>
        <w:rPr>
          <w:sz w:val="20"/>
          <w:szCs w:val="20"/>
          <w:color w:val="auto"/>
        </w:rPr>
      </w:pPr>
    </w:p>
    <w:p>
      <w:pPr>
        <w:ind w:left="6" w:right="360" w:hanging="6"/>
        <w:spacing w:after="0" w:line="221" w:lineRule="auto"/>
        <w:tabs>
          <w:tab w:leader="none" w:pos="148"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trust this leter confrms your understanding of the major items related to our ofer of employment. If not, please contact me to resolve any outstanding items.</w:t>
      </w:r>
    </w:p>
    <w:p>
      <w:pPr>
        <w:spacing w:after="0" w:line="185" w:lineRule="exact"/>
        <w:rPr>
          <w:sz w:val="20"/>
          <w:szCs w:val="20"/>
          <w:color w:val="auto"/>
        </w:rPr>
      </w:pPr>
    </w:p>
    <w:p>
      <w:pPr>
        <w:ind w:left="6" w:right="140"/>
        <w:spacing w:after="0" w:line="214" w:lineRule="auto"/>
        <w:rPr>
          <w:sz w:val="20"/>
          <w:szCs w:val="20"/>
          <w:color w:val="auto"/>
        </w:rPr>
      </w:pPr>
      <w:r>
        <w:rPr>
          <w:rFonts w:ascii="Calibri" w:cs="Calibri" w:eastAsia="Calibri" w:hAnsi="Calibri"/>
          <w:sz w:val="20"/>
          <w:szCs w:val="20"/>
          <w:color w:val="auto"/>
        </w:rPr>
        <w:t>We look forward to you being a part of our growing company and antcipate wonderful contributons from you in your new role.</w:t>
      </w:r>
    </w:p>
    <w:p>
      <w:pPr>
        <w:spacing w:after="0" w:line="176"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Sincerely,</w:t>
      </w:r>
    </w:p>
    <w:p>
      <w:pPr>
        <w:spacing w:after="0" w:line="174"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 xml:space="preserve">/s/ </w:t>
      </w:r>
      <w:r>
        <w:rPr>
          <w:rFonts w:ascii="Calibri" w:cs="Calibri" w:eastAsia="Calibri" w:hAnsi="Calibri"/>
          <w:sz w:val="20"/>
          <w:szCs w:val="20"/>
          <w:i w:val="1"/>
          <w:iCs w:val="1"/>
          <w:color w:val="auto"/>
        </w:rPr>
        <w:t>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982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982980" cy="8890"/>
                    </a:xfrm>
                    <a:prstGeom prst="rect">
                      <a:avLst/>
                    </a:prstGeom>
                    <a:noFill/>
                  </pic:spPr>
                </pic:pic>
              </a:graphicData>
            </a:graphic>
          </wp:anchor>
        </w:drawing>
      </w:r>
    </w:p>
    <w:p>
      <w:pPr>
        <w:ind w:left="6"/>
        <w:spacing w:after="0" w:line="199" w:lineRule="auto"/>
        <w:rPr>
          <w:sz w:val="20"/>
          <w:szCs w:val="20"/>
          <w:color w:val="auto"/>
        </w:rPr>
      </w:pPr>
      <w:r>
        <w:rPr>
          <w:rFonts w:ascii="Calibri" w:cs="Calibri" w:eastAsia="Calibri" w:hAnsi="Calibri"/>
          <w:sz w:val="20"/>
          <w:szCs w:val="20"/>
          <w:color w:val="auto"/>
        </w:rPr>
        <w:t>Sam Sato</w:t>
      </w:r>
    </w:p>
    <w:p>
      <w:pPr>
        <w:ind w:left="6"/>
        <w:spacing w:after="0" w:line="199" w:lineRule="auto"/>
        <w:rPr>
          <w:sz w:val="20"/>
          <w:szCs w:val="20"/>
          <w:color w:val="auto"/>
        </w:rPr>
      </w:pPr>
      <w:r>
        <w:rPr>
          <w:rFonts w:ascii="Calibri" w:cs="Calibri" w:eastAsia="Calibri" w:hAnsi="Calibri"/>
          <w:sz w:val="20"/>
          <w:szCs w:val="20"/>
          <w:color w:val="auto"/>
        </w:rPr>
        <w:t>President &amp; CEO</w:t>
      </w:r>
    </w:p>
    <w:p>
      <w:pPr>
        <w:ind w:left="6"/>
        <w:spacing w:after="0" w:line="212" w:lineRule="auto"/>
        <w:rPr>
          <w:sz w:val="20"/>
          <w:szCs w:val="20"/>
          <w:color w:val="auto"/>
        </w:rPr>
      </w:pPr>
      <w:r>
        <w:rPr>
          <w:rFonts w:ascii="Calibri" w:cs="Calibri" w:eastAsia="Calibri" w:hAnsi="Calibri"/>
          <w:sz w:val="20"/>
          <w:szCs w:val="20"/>
          <w:color w:val="auto"/>
        </w:rPr>
        <w:t>Duluth Holdings Inc.</w:t>
      </w:r>
    </w:p>
    <w:p>
      <w:pPr>
        <w:spacing w:after="0" w:line="200" w:lineRule="exact"/>
        <w:rPr>
          <w:sz w:val="20"/>
          <w:szCs w:val="20"/>
          <w:color w:val="auto"/>
        </w:rPr>
      </w:pPr>
    </w:p>
    <w:p>
      <w:pPr>
        <w:spacing w:after="0" w:line="345" w:lineRule="exact"/>
        <w:rPr>
          <w:sz w:val="20"/>
          <w:szCs w:val="20"/>
          <w:color w:val="auto"/>
        </w:rPr>
      </w:pPr>
    </w:p>
    <w:tbl>
      <w:tblPr>
        <w:tblLayout w:type="fixed"/>
        <w:tblInd w:w="6" w:type="dxa"/>
        <w:tblCellMar>
          <w:top w:w="0" w:type="dxa"/>
          <w:left w:w="0" w:type="dxa"/>
          <w:bottom w:w="0" w:type="dxa"/>
          <w:right w:w="0" w:type="dxa"/>
        </w:tblCellMar>
      </w:tblPr>
      <w:tr>
        <w:trPr>
          <w:trHeight w:val="244"/>
        </w:trPr>
        <w:tc>
          <w:tcPr>
            <w:tcW w:w="278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rPr>
              <w:t xml:space="preserve">/s/ </w:t>
            </w:r>
            <w:r>
              <w:rPr>
                <w:rFonts w:ascii="Calibri" w:cs="Calibri" w:eastAsia="Calibri" w:hAnsi="Calibri"/>
                <w:sz w:val="20"/>
                <w:szCs w:val="20"/>
                <w:i w:val="1"/>
                <w:iCs w:val="1"/>
                <w:color w:val="auto"/>
              </w:rPr>
              <w:t>AJ Sutera</w:t>
            </w:r>
          </w:p>
        </w:tc>
        <w:tc>
          <w:tcPr>
            <w:tcW w:w="5980" w:type="dxa"/>
            <w:vAlign w:val="bottom"/>
            <w:tcBorders>
              <w:bottom w:val="single" w:sz="8" w:color="auto"/>
            </w:tcBorders>
          </w:tcPr>
          <w:p>
            <w:pPr>
              <w:jc w:val="right"/>
              <w:ind w:right="130"/>
              <w:spacing w:after="0"/>
              <w:rPr>
                <w:sz w:val="20"/>
                <w:szCs w:val="20"/>
                <w:color w:val="auto"/>
              </w:rPr>
            </w:pPr>
            <w:r>
              <w:rPr>
                <w:rFonts w:ascii="Calibri" w:cs="Calibri" w:eastAsia="Calibri" w:hAnsi="Calibri"/>
                <w:sz w:val="20"/>
                <w:szCs w:val="20"/>
                <w:i w:val="1"/>
                <w:iCs w:val="1"/>
                <w:color w:val="auto"/>
              </w:rPr>
              <w:t>8/1/2022</w:t>
            </w:r>
          </w:p>
        </w:tc>
        <w:tc>
          <w:tcPr>
            <w:tcW w:w="440" w:type="dxa"/>
            <w:vAlign w:val="bottom"/>
          </w:tcPr>
          <w:p>
            <w:pPr>
              <w:spacing w:after="0"/>
              <w:rPr>
                <w:sz w:val="21"/>
                <w:szCs w:val="21"/>
                <w:color w:val="auto"/>
              </w:rPr>
            </w:pPr>
          </w:p>
        </w:tc>
      </w:tr>
      <w:tr>
        <w:trPr>
          <w:trHeight w:val="230"/>
        </w:trPr>
        <w:tc>
          <w:tcPr>
            <w:tcW w:w="2780" w:type="dxa"/>
            <w:vAlign w:val="bottom"/>
          </w:tcPr>
          <w:p>
            <w:pPr>
              <w:spacing w:after="0" w:line="230" w:lineRule="exact"/>
              <w:rPr>
                <w:sz w:val="20"/>
                <w:szCs w:val="20"/>
                <w:color w:val="auto"/>
              </w:rPr>
            </w:pPr>
            <w:r>
              <w:rPr>
                <w:rFonts w:ascii="Calibri" w:cs="Calibri" w:eastAsia="Calibri" w:hAnsi="Calibri"/>
                <w:sz w:val="20"/>
                <w:szCs w:val="20"/>
                <w:color w:val="auto"/>
              </w:rPr>
              <w:t>AJ Sutera</w:t>
            </w:r>
          </w:p>
        </w:tc>
        <w:tc>
          <w:tcPr>
            <w:tcW w:w="6420" w:type="dxa"/>
            <w:vAlign w:val="bottom"/>
            <w:gridSpan w:val="2"/>
          </w:tcPr>
          <w:p>
            <w:pPr>
              <w:ind w:left="5300"/>
              <w:spacing w:after="0" w:line="230" w:lineRule="exact"/>
              <w:rPr>
                <w:sz w:val="20"/>
                <w:szCs w:val="20"/>
                <w:color w:val="auto"/>
              </w:rPr>
            </w:pPr>
            <w:r>
              <w:rPr>
                <w:rFonts w:ascii="Calibri" w:cs="Calibri" w:eastAsia="Calibri" w:hAnsi="Calibri"/>
                <w:sz w:val="20"/>
                <w:szCs w:val="20"/>
                <w:color w:val="auto"/>
              </w:rPr>
              <w:t>Date</w:t>
            </w:r>
          </w:p>
        </w:tc>
      </w:tr>
      <w:tr>
        <w:trPr>
          <w:trHeight w:val="565"/>
        </w:trPr>
        <w:tc>
          <w:tcPr>
            <w:tcW w:w="2780" w:type="dxa"/>
            <w:vAlign w:val="bottom"/>
          </w:tcPr>
          <w:p>
            <w:pPr>
              <w:spacing w:after="0"/>
              <w:rPr>
                <w:sz w:val="24"/>
                <w:szCs w:val="24"/>
                <w:color w:val="auto"/>
              </w:rPr>
            </w:pPr>
          </w:p>
        </w:tc>
        <w:tc>
          <w:tcPr>
            <w:tcW w:w="5980" w:type="dxa"/>
            <w:vAlign w:val="bottom"/>
          </w:tcPr>
          <w:p>
            <w:pPr>
              <w:jc w:val="right"/>
              <w:ind w:right="4050"/>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24"/>
                <w:szCs w:val="24"/>
                <w:color w:val="auto"/>
              </w:rPr>
            </w:pPr>
          </w:p>
        </w:tc>
      </w:tr>
      <w:tr>
        <w:trPr>
          <w:trHeight w:val="332"/>
        </w:trPr>
        <w:tc>
          <w:tcPr>
            <w:tcW w:w="278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r>
        <w:trPr>
          <w:trHeight w:val="20"/>
        </w:trPr>
        <w:tc>
          <w:tcPr>
            <w:tcW w:w="2780" w:type="dxa"/>
            <w:vAlign w:val="bottom"/>
            <w:tcBorders>
              <w:bottom w:val="single" w:sz="8" w:color="EEEEEE"/>
            </w:tcBorders>
          </w:tcPr>
          <w:p>
            <w:pPr>
              <w:spacing w:after="0" w:line="20" w:lineRule="exact"/>
              <w:rPr>
                <w:sz w:val="1"/>
                <w:szCs w:val="1"/>
                <w:color w:val="auto"/>
              </w:rPr>
            </w:pPr>
          </w:p>
        </w:tc>
        <w:tc>
          <w:tcPr>
            <w:tcW w:w="59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-37465</wp:posOffset>
            </wp:positionV>
            <wp:extent cx="3365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-37465</wp:posOffset>
            </wp:positionV>
            <wp:extent cx="3429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6"/>
          </w:cols>
          <w:pgMar w:left="1354" w:top="115" w:right="1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7379970</wp:posOffset>
            </wp:positionV>
            <wp:extent cx="602615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2022</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9440"/>
          </w:cols>
          <w:pgMar w:left="1220" w:top="117" w:right="1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7242810</wp:posOffset>
            </wp:positionV>
            <wp:extent cx="602615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2022</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31, 2022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7620" w:firstLine="7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 Sam Sato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September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31, 2022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7260" w:firstLine="760"/>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/s/ David Loretta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David Loretta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Financial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September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upperLetter"/>
      <w:start w:val="2"/>
    </w:lvl>
  </w:abstractNum>
  <w:abstractNum w:abstractNumId="4">
    <w:nsid w:val="140E0F76"/>
    <w:multiLevelType w:val="hybridMultilevel"/>
    <w:lvl w:ilvl="0">
      <w:lvlJc w:val="left"/>
      <w:lvlText w:val="%1."/>
      <w:numFmt w:val="upperLetter"/>
      <w:start w:val="3"/>
    </w:lvl>
  </w:abstractNum>
  <w:abstractNum w:abstractNumId="5">
    <w:nsid w:val="3352255A"/>
    <w:multiLevelType w:val="hybridMultilevel"/>
    <w:lvl w:ilvl="0">
      <w:lvlJc w:val="left"/>
      <w:lvlText w:val="%1."/>
      <w:numFmt w:val="upperLetter"/>
      <w:start w:val="5"/>
    </w:lvl>
  </w:abstractNum>
  <w:abstractNum w:abstractNumId="6">
    <w:nsid w:val="109CF92E"/>
    <w:multiLevelType w:val="hybridMultilevel"/>
    <w:lvl w:ilvl="0">
      <w:lvlJc w:val="left"/>
      <w:lvlText w:val="%1."/>
      <w:numFmt w:val="upperLetter"/>
      <w:start w:val="9"/>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4"/>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 "/>
      <w:numFmt w:val="bullet"/>
      <w:start w:val="1"/>
    </w:lvl>
  </w:abstractNum>
  <w:abstractNum w:abstractNumId="11">
    <w:nsid w:val="6B68079A"/>
    <w:multiLevelType w:val="hybridMultilevel"/>
    <w:lvl w:ilvl="0">
      <w:lvlJc w:val="left"/>
      <w:lvlText w:val=" "/>
      <w:numFmt w:val="bullet"/>
      <w:start w:val="1"/>
    </w:lvl>
  </w:abstractNum>
  <w:abstractNum w:abstractNumId="12">
    <w:nsid w:val="4E6AFB66"/>
    <w:multiLevelType w:val="hybridMultilevel"/>
    <w:lvl w:ilvl="0">
      <w:lvlJc w:val="left"/>
      <w:lvlText w:val="%1"/>
      <w:numFmt w:val="decimal"/>
      <w:start w:val="104"/>
    </w:lvl>
  </w:abstractNum>
  <w:abstractNum w:abstractNumId="13">
    <w:nsid w:val="25E45D32"/>
    <w:multiLevelType w:val="hybridMultilevel"/>
    <w:lvl w:ilvl="0">
      <w:lvlJc w:val="left"/>
      <w:lvlText w:val="I"/>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45" Type="http://schemas.openxmlformats.org/officeDocument/2006/relationships/hyperlink" Target="https://www.sec.gov/Archives/edgar/data/1649744/000119312522192012/d38093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2022-09-02T09:53:50Z</dcterms:created>
  <dcterms:modified xsi:type="dcterms:W3CDTF">2022-09-02T09:53:50Z</dcterms:modified>
</cp:coreProperties>
</file>