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0"/>
        <w:spacing w:after="0" w:line="228" w:lineRule="auto"/>
        <w:rPr>
          <w:sz w:val="20"/>
          <w:szCs w:val="20"/>
          <w:color w:val="auto"/>
        </w:rPr>
      </w:pPr>
      <w:r>
        <w:rPr>
          <w:rFonts w:ascii="Arial" w:cs="Arial" w:eastAsia="Arial" w:hAnsi="Arial"/>
          <w:sz w:val="22"/>
          <w:szCs w:val="22"/>
          <w:b w:val="1"/>
          <w:bCs w:val="1"/>
          <w:color w:val="auto"/>
        </w:rPr>
        <w:t>Washington, D.C. 20549</w:t>
      </w:r>
    </w:p>
    <w:p>
      <w:pPr>
        <w:ind w:left="330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20"/>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560" w:right="680" w:hanging="435"/>
        <w:spacing w:after="0" w:line="25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November 3, 2019</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60" w:right="660" w:hanging="435"/>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2940"/>
        <w:spacing w:after="0"/>
        <w:tabs>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3368040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_________________________________________</w:t>
      </w:r>
    </w:p>
    <w:p>
      <w:pPr>
        <w:jc w:val="center"/>
        <w:ind w:right="20"/>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88"/>
              </w:rPr>
              <w:t>Wisconsin</w:t>
            </w:r>
          </w:p>
        </w:tc>
        <w:tc>
          <w:tcPr>
            <w:tcW w:w="150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5180" w:type="dxa"/>
            <w:vAlign w:val="bottom"/>
          </w:tcPr>
          <w:p>
            <w:pPr>
              <w:jc w:val="center"/>
              <w:ind w:right="27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180" w:type="dxa"/>
            <w:vAlign w:val="bottom"/>
          </w:tcPr>
          <w:p>
            <w:pPr>
              <w:jc w:val="center"/>
              <w:ind w:right="2702"/>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Identification Number)</w:t>
            </w:r>
          </w:p>
        </w:tc>
      </w:tr>
      <w:tr>
        <w:trPr>
          <w:trHeight w:val="331"/>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91"/>
              </w:rPr>
              <w:t>201 East Front Street</w:t>
            </w:r>
          </w:p>
        </w:tc>
        <w:tc>
          <w:tcPr>
            <w:tcW w:w="1500" w:type="dxa"/>
            <w:vAlign w:val="bottom"/>
          </w:tcPr>
          <w:p>
            <w:pPr>
              <w:spacing w:after="0"/>
              <w:rPr>
                <w:sz w:val="24"/>
                <w:szCs w:val="24"/>
                <w:color w:val="auto"/>
              </w:rPr>
            </w:pPr>
          </w:p>
        </w:tc>
      </w:tr>
      <w:tr>
        <w:trPr>
          <w:trHeight w:val="239"/>
        </w:trPr>
        <w:tc>
          <w:tcPr>
            <w:tcW w:w="5180" w:type="dxa"/>
            <w:vAlign w:val="bottom"/>
          </w:tcPr>
          <w:p>
            <w:pPr>
              <w:jc w:val="center"/>
              <w:ind w:right="2702"/>
              <w:spacing w:after="0"/>
              <w:rPr>
                <w:sz w:val="20"/>
                <w:szCs w:val="20"/>
                <w:color w:val="auto"/>
              </w:rPr>
            </w:pPr>
            <w:r>
              <w:rPr>
                <w:rFonts w:ascii="Arial" w:cs="Arial" w:eastAsia="Arial" w:hAnsi="Arial"/>
                <w:sz w:val="18"/>
                <w:szCs w:val="18"/>
                <w:b w:val="1"/>
                <w:bCs w:val="1"/>
                <w:color w:val="auto"/>
                <w:w w:val="90"/>
              </w:rPr>
              <w:t>Mount Horeb, Wisconsin</w:t>
            </w:r>
          </w:p>
        </w:tc>
        <w:tc>
          <w:tcPr>
            <w:tcW w:w="150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180" w:type="dxa"/>
            <w:vAlign w:val="bottom"/>
          </w:tcPr>
          <w:p>
            <w:pPr>
              <w:jc w:val="center"/>
              <w:ind w:right="27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1"/>
              <w:spacing w:after="0"/>
              <w:rPr>
                <w:sz w:val="20"/>
                <w:szCs w:val="20"/>
                <w:color w:val="auto"/>
              </w:rPr>
            </w:pPr>
            <w:r>
              <w:rPr>
                <w:rFonts w:ascii="Arial" w:cs="Arial" w:eastAsia="Arial" w:hAnsi="Arial"/>
                <w:sz w:val="14"/>
                <w:szCs w:val="14"/>
                <w:b w:val="1"/>
                <w:bCs w:val="1"/>
                <w:color w:val="auto"/>
                <w:w w:val="95"/>
              </w:rPr>
              <w:t>(Zip Code)</w:t>
            </w:r>
          </w:p>
        </w:tc>
      </w:tr>
      <w:tr>
        <w:trPr>
          <w:trHeight w:val="192"/>
        </w:trPr>
        <w:tc>
          <w:tcPr>
            <w:tcW w:w="5180" w:type="dxa"/>
            <w:vAlign w:val="bottom"/>
          </w:tcPr>
          <w:p>
            <w:pPr>
              <w:jc w:val="right"/>
              <w:ind w:right="1142"/>
              <w:spacing w:after="0"/>
              <w:rPr>
                <w:sz w:val="20"/>
                <w:szCs w:val="20"/>
                <w:color w:val="auto"/>
              </w:rPr>
            </w:pPr>
            <w:r>
              <w:rPr>
                <w:rFonts w:ascii="Arial" w:cs="Arial" w:eastAsia="Arial" w:hAnsi="Arial"/>
                <w:sz w:val="14"/>
                <w:szCs w:val="14"/>
                <w:b w:val="1"/>
                <w:bCs w:val="1"/>
                <w:color w:val="auto"/>
              </w:rPr>
              <w:t>(608) 424-1544</w:t>
            </w:r>
          </w:p>
        </w:tc>
        <w:tc>
          <w:tcPr>
            <w:tcW w:w="1500" w:type="dxa"/>
            <w:vAlign w:val="bottom"/>
          </w:tcPr>
          <w:p>
            <w:pPr>
              <w:spacing w:after="0"/>
              <w:rPr>
                <w:sz w:val="16"/>
                <w:szCs w:val="16"/>
                <w:color w:val="auto"/>
              </w:rPr>
            </w:pPr>
          </w:p>
        </w:tc>
      </w:tr>
      <w:tr>
        <w:trPr>
          <w:trHeight w:val="166"/>
        </w:trPr>
        <w:tc>
          <w:tcPr>
            <w:tcW w:w="5180" w:type="dxa"/>
            <w:vAlign w:val="bottom"/>
          </w:tcPr>
          <w:p>
            <w:pPr>
              <w:jc w:val="center"/>
              <w:ind w:left="174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4"/>
                <w:szCs w:val="14"/>
                <w:color w:val="auto"/>
              </w:rPr>
            </w:pPr>
          </w:p>
        </w:tc>
      </w:tr>
      <w:tr>
        <w:trPr>
          <w:trHeight w:val="182"/>
        </w:trPr>
        <w:tc>
          <w:tcPr>
            <w:tcW w:w="5180" w:type="dxa"/>
            <w:vAlign w:val="bottom"/>
          </w:tcPr>
          <w:p>
            <w:pPr>
              <w:jc w:val="right"/>
              <w:ind w:right="42"/>
              <w:spacing w:after="0"/>
              <w:rPr>
                <w:sz w:val="20"/>
                <w:szCs w:val="20"/>
                <w:color w:val="auto"/>
              </w:rPr>
            </w:pPr>
            <w:r>
              <w:rPr>
                <w:rFonts w:ascii="Arial" w:cs="Arial" w:eastAsia="Arial" w:hAnsi="Arial"/>
                <w:sz w:val="14"/>
                <w:szCs w:val="14"/>
                <w:color w:val="auto"/>
              </w:rPr>
              <w:t>_________________________________________</w:t>
            </w:r>
          </w:p>
        </w:tc>
        <w:tc>
          <w:tcPr>
            <w:tcW w:w="1500" w:type="dxa"/>
            <w:vAlign w:val="bottom"/>
          </w:tcPr>
          <w:p>
            <w:pPr>
              <w:spacing w:after="0"/>
              <w:rPr>
                <w:sz w:val="15"/>
                <w:szCs w:val="15"/>
                <w:color w:val="auto"/>
              </w:rPr>
            </w:pPr>
          </w:p>
        </w:tc>
      </w:tr>
    </w:tbl>
    <w:p>
      <w:pPr>
        <w:spacing w:after="0" w:line="70"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46" w:lineRule="exact"/>
        <w:rPr>
          <w:sz w:val="24"/>
          <w:szCs w:val="24"/>
          <w:color w:val="auto"/>
        </w:rPr>
      </w:pPr>
    </w:p>
    <w:tbl>
      <w:tblPr>
        <w:tblLayout w:type="fixed"/>
        <w:tblInd w:w="30" w:type="dxa"/>
        <w:tblCellMar>
          <w:top w:w="0" w:type="dxa"/>
          <w:left w:w="0" w:type="dxa"/>
          <w:bottom w:w="0" w:type="dxa"/>
          <w:right w:w="0" w:type="dxa"/>
        </w:tblCellMar>
      </w:tblPr>
      <w:tr>
        <w:trPr>
          <w:trHeight w:val="216"/>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B Common Stock, No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DLTH</w:t>
            </w:r>
          </w:p>
        </w:tc>
        <w:tc>
          <w:tcPr>
            <w:tcW w:w="3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139" w:lineRule="exact"/>
        <w:rPr>
          <w:sz w:val="24"/>
          <w:szCs w:val="24"/>
          <w:color w:val="auto"/>
        </w:rPr>
      </w:pPr>
    </w:p>
    <w:p>
      <w:pPr>
        <w:ind w:right="4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jc w:val="both"/>
        <w:ind w:right="100"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22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180" w:type="dxa"/>
            <w:vAlign w:val="bottom"/>
          </w:tcPr>
          <w:p>
            <w:pPr>
              <w:ind w:left="10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60" w:firstLine="43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ind w:left="420"/>
        <w:spacing w:after="0"/>
        <w:rPr>
          <w:sz w:val="20"/>
          <w:szCs w:val="20"/>
          <w:color w:val="auto"/>
        </w:rPr>
      </w:pPr>
      <w:r>
        <w:rPr>
          <w:rFonts w:ascii="Arial" w:cs="Arial" w:eastAsia="Arial" w:hAnsi="Arial"/>
          <w:sz w:val="15"/>
          <w:szCs w:val="15"/>
          <w:color w:val="auto"/>
        </w:rPr>
        <w:t>The number of shares outstanding of the Registrant’s Class A common stock, no par value, as of December 3, 2019, was 3,364,200.</w:t>
      </w:r>
    </w:p>
    <w:p>
      <w:pPr>
        <w:spacing w:after="0" w:line="34" w:lineRule="exact"/>
        <w:rPr>
          <w:sz w:val="24"/>
          <w:szCs w:val="24"/>
          <w:color w:val="auto"/>
        </w:rPr>
      </w:pPr>
    </w:p>
    <w:p>
      <w:pPr>
        <w:ind w:left="420"/>
        <w:spacing w:after="0"/>
        <w:rPr>
          <w:sz w:val="20"/>
          <w:szCs w:val="20"/>
          <w:color w:val="auto"/>
        </w:rPr>
      </w:pPr>
      <w:r>
        <w:rPr>
          <w:rFonts w:ascii="Arial" w:cs="Arial" w:eastAsia="Arial" w:hAnsi="Arial"/>
          <w:sz w:val="15"/>
          <w:szCs w:val="15"/>
          <w:color w:val="auto"/>
        </w:rPr>
        <w:t>The number of shares outstanding of the Registrant’s Class B common stock, no par value, as of December 3, 2019, was 29,160,616.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627380</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215" w:right="11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QUARTER ENDED November 3, 2019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Borders>
              <w:bottom w:val="single" w:sz="8" w:color="0000EE"/>
            </w:tcBorders>
            <w:gridSpan w:val="7"/>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00" w:type="dxa"/>
            <w:vAlign w:val="bottom"/>
            <w:gridSpan w:val="8"/>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Page</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November 3, 2019 and February 3, 2019</w:t>
              </w:r>
            </w:hyperlink>
          </w:p>
        </w:tc>
        <w:tc>
          <w:tcPr>
            <w:tcW w:w="96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(Unaudited)</w:t>
              </w:r>
            </w:hyperlink>
          </w:p>
        </w:tc>
        <w:tc>
          <w:tcPr>
            <w:tcW w:w="6400" w:type="dxa"/>
            <w:vAlign w:val="bottom"/>
            <w:gridSpan w:val="22"/>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for the three and nine months ended</w:t>
              </w:r>
            </w:hyperlink>
          </w:p>
        </w:tc>
        <w:tc>
          <w:tcPr>
            <w:tcW w:w="98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8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November 3, 2019 and October 28, 2018 (Unaudited)</w:t>
              </w:r>
            </w:hyperlink>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Comprehensive Income for the three and nine months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ended November 3, 2019 and October 28, 2018 (Unaudited)</w:t>
              </w:r>
            </w:hyperlink>
          </w:p>
        </w:tc>
        <w:tc>
          <w:tcPr>
            <w:tcW w:w="2400" w:type="dxa"/>
            <w:vAlign w:val="bottom"/>
            <w:tcBorders>
              <w:top w:val="single" w:sz="8" w:color="0000EE"/>
            </w:tcBorders>
            <w:gridSpan w:val="10"/>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for the nine months ended</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November 3, 2019 (Unaudited)</w:t>
              </w:r>
            </w:hyperlink>
          </w:p>
        </w:tc>
        <w:tc>
          <w:tcPr>
            <w:tcW w:w="104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 of Shareholders’ Equity for the nine months ended</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October 28, 2018 (Unaudited)</w:t>
              </w:r>
            </w:hyperlink>
          </w:p>
        </w:tc>
        <w:tc>
          <w:tcPr>
            <w:tcW w:w="4060" w:type="dxa"/>
            <w:vAlign w:val="bottom"/>
            <w:tcBorders>
              <w:top w:val="single" w:sz="8" w:color="0000EE"/>
            </w:tcBorders>
            <w:gridSpan w:val="11"/>
          </w:tcPr>
          <w:p>
            <w:pPr>
              <w:spacing w:after="0"/>
              <w:rPr>
                <w:sz w:val="17"/>
                <w:szCs w:val="17"/>
                <w:color w:val="auto"/>
              </w:rPr>
            </w:pPr>
          </w:p>
        </w:tc>
        <w:tc>
          <w:tcPr>
            <w:tcW w:w="104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Condensed Consolidated Statements of Cash Flows for the nine months ended November 3,</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96"/>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2019 and October 28, 2018 (Unaudited)</w:t>
              </w:r>
            </w:hyperlink>
          </w:p>
        </w:tc>
        <w:tc>
          <w:tcPr>
            <w:tcW w:w="6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Condensed Consolidated Financial Statements (Unaudited)</w:t>
              </w:r>
            </w:hyperlink>
          </w:p>
        </w:tc>
        <w:tc>
          <w:tcPr>
            <w:tcW w:w="236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8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9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5"/>
          </w:tcPr>
          <w:p>
            <w:pPr>
              <w:jc w:val="cente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Part II—Other Information</w:t>
              </w:r>
            </w:hyperlink>
          </w:p>
        </w:tc>
        <w:tc>
          <w:tcPr>
            <w:tcW w:w="2900" w:type="dxa"/>
            <w:vAlign w:val="bottom"/>
            <w:gridSpan w:val="9"/>
          </w:tcPr>
          <w:p>
            <w:pPr>
              <w:spacing w:after="0"/>
              <w:rPr>
                <w:sz w:val="24"/>
                <w:szCs w:val="24"/>
                <w:color w:val="auto"/>
              </w:rPr>
            </w:pPr>
          </w:p>
        </w:tc>
        <w:tc>
          <w:tcPr>
            <w:tcW w:w="980" w:type="dxa"/>
            <w:vAlign w:val="bottom"/>
          </w:tcPr>
          <w:p>
            <w:pPr>
              <w:spacing w:after="0"/>
              <w:rPr>
                <w:sz w:val="24"/>
                <w:szCs w:val="24"/>
                <w:color w:val="auto"/>
              </w:rPr>
            </w:pPr>
          </w:p>
        </w:tc>
      </w:tr>
      <w:tr>
        <w:trPr>
          <w:trHeight w:val="412"/>
        </w:trPr>
        <w:tc>
          <w:tcPr>
            <w:tcW w:w="1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5940" w:type="dxa"/>
            <w:vAlign w:val="bottom"/>
            <w:gridSpan w:val="2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w:t>
              </w:r>
            </w:hyperlink>
          </w:p>
        </w:tc>
        <w:tc>
          <w:tcPr>
            <w:tcW w:w="72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940" w:type="dxa"/>
            <w:vAlign w:val="bottom"/>
            <w:gridSpan w:val="1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28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412"/>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94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98"/>
        </w:trPr>
        <w:tc>
          <w:tcPr>
            <w:tcW w:w="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860" w:type="dxa"/>
            <w:vAlign w:val="bottom"/>
            <w:gridSpan w:val="12"/>
          </w:tcPr>
          <w:p>
            <w:pPr>
              <w:ind w:left="338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6089015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20"/>
          </w:cols>
          <w:pgMar w:left="1160" w:top="121" w:right="11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3, 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February 3, 2019</w:t>
            </w: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ind w:left="2860"/>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20" w:type="dxa"/>
            <w:vAlign w:val="bottom"/>
          </w:tcPr>
          <w:p>
            <w:pPr>
              <w:spacing w:after="0"/>
              <w:rPr>
                <w:sz w:val="19"/>
                <w:szCs w:val="19"/>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r>
      <w:tr>
        <w:trPr>
          <w:trHeight w:val="242"/>
        </w:trPr>
        <w:tc>
          <w:tcPr>
            <w:tcW w:w="20" w:type="dxa"/>
            <w:vAlign w:val="bottom"/>
          </w:tcPr>
          <w:p>
            <w:pPr>
              <w:spacing w:after="0"/>
              <w:rPr>
                <w:sz w:val="21"/>
                <w:szCs w:val="21"/>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Inventory, less reserve for excess and obsolete items</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of $2,054 and $2,420, respectively</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97,685</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&amp; other current assets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12,640</w:t>
            </w:r>
          </w:p>
        </w:tc>
      </w:tr>
      <w:tr>
        <w:trPr>
          <w:trHeight w:val="230"/>
        </w:trPr>
        <w:tc>
          <w:tcPr>
            <w:tcW w:w="20" w:type="dxa"/>
            <w:vAlign w:val="bottom"/>
          </w:tcPr>
          <w:p>
            <w:pPr>
              <w:spacing w:after="0"/>
              <w:rPr>
                <w:sz w:val="19"/>
                <w:szCs w:val="19"/>
                <w:color w:val="auto"/>
              </w:rPr>
            </w:pPr>
          </w:p>
        </w:tc>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catalog costs</w:t>
            </w: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118,198</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139,134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167,109</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119,323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Finance lease right-of-use assets, net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45,313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6,499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6,295</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5280" w:type="dxa"/>
            <w:vAlign w:val="bottom"/>
            <w:gridSpan w:val="2"/>
          </w:tcPr>
          <w:p>
            <w:pPr>
              <w:spacing w:after="0"/>
              <w:rPr>
                <w:sz w:val="20"/>
                <w:szCs w:val="20"/>
                <w:color w:val="auto"/>
              </w:rPr>
            </w:pPr>
            <w:r>
              <w:rPr>
                <w:rFonts w:ascii="Arial" w:cs="Arial" w:eastAsia="Arial" w:hAnsi="Arial"/>
                <w:sz w:val="18"/>
                <w:szCs w:val="18"/>
                <w:color w:val="auto"/>
              </w:rPr>
              <w:t>Other intangible asset, net of accumulated amortization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of $294 and $280, respectively</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20" w:type="dxa"/>
            <w:vAlign w:val="bottom"/>
          </w:tcPr>
          <w:p>
            <w:pPr>
              <w:spacing w:after="0"/>
              <w:rPr>
                <w:sz w:val="19"/>
                <w:szCs w:val="19"/>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1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518,117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295,305</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Liabilities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November 3, 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7"/>
              </w:rPr>
              <w:t>February 3, 2019</w:t>
            </w: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w:t>
            </w:r>
          </w:p>
        </w:tc>
      </w:tr>
      <w:tr>
        <w:trPr>
          <w:trHeight w:val="230"/>
        </w:trPr>
        <w:tc>
          <w:tcPr>
            <w:tcW w:w="20" w:type="dxa"/>
            <w:vAlign w:val="bottom"/>
          </w:tcPr>
          <w:p>
            <w:pPr>
              <w:spacing w:after="0"/>
              <w:rPr>
                <w:sz w:val="19"/>
                <w:szCs w:val="19"/>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26,530</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20" w:type="dxa"/>
            <w:vAlign w:val="bottom"/>
          </w:tcPr>
          <w:p>
            <w:pPr>
              <w:spacing w:after="0"/>
              <w:rPr>
                <w:sz w:val="19"/>
                <w:szCs w:val="19"/>
                <w:color w:val="auto"/>
              </w:rPr>
            </w:pPr>
          </w:p>
        </w:tc>
        <w:tc>
          <w:tcPr>
            <w:tcW w:w="6320" w:type="dxa"/>
            <w:vAlign w:val="bottom"/>
          </w:tcPr>
          <w:p>
            <w:pPr>
              <w:ind w:left="10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finance lease liabilities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w:t>
            </w: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lease liabilities, less current maturities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104,352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line of credit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16,542</w:t>
            </w: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Finance lease liabilities, less current maturities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28,283</w:t>
            </w: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Long-term delayed draw term loan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Finance lease obligations under build-to-suit leases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23,034</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obligations, less current maturities</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r>
      <w:tr>
        <w:trPr>
          <w:trHeight w:val="210"/>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135,195</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2"/>
        </w:trPr>
        <w:tc>
          <w:tcPr>
            <w:tcW w:w="2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or outstanding as of November 3, 2019 and February 3, 2019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w w:val="92"/>
              </w:rPr>
              <w:t>3,364 shares issued and outstanding as of November 3, 2019 and February 3, 2019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29,180 shares issued and 29,161 shares outstanding as of November 3, 2019 and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29,215 shares issued and 29,210 shares outstanding as of February 3, 2019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6340" w:type="dxa"/>
            <w:vAlign w:val="bottom"/>
            <w:gridSpan w:val="2"/>
          </w:tcPr>
          <w:p>
            <w:pPr>
              <w:spacing w:after="0"/>
              <w:rPr>
                <w:sz w:val="20"/>
                <w:szCs w:val="20"/>
                <w:color w:val="auto"/>
              </w:rPr>
            </w:pPr>
            <w:r>
              <w:rPr>
                <w:rFonts w:ascii="Arial" w:cs="Arial" w:eastAsia="Arial" w:hAnsi="Arial"/>
                <w:sz w:val="18"/>
                <w:szCs w:val="18"/>
                <w:color w:val="auto"/>
              </w:rPr>
              <w:t>Treasury stock, at cost; 19 and 5 shares as of November 3, 2019 and</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Arial" w:cs="Arial" w:eastAsia="Arial" w:hAnsi="Arial"/>
                <w:sz w:val="18"/>
                <w:szCs w:val="18"/>
                <w:color w:val="auto"/>
              </w:rPr>
              <w:t>February 3, 2019, respectively</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89,849</w:t>
            </w: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70,592</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160,349</w:t>
            </w: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10"/>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160,110</w:t>
            </w:r>
          </w:p>
        </w:tc>
      </w:tr>
      <w:tr>
        <w:trPr>
          <w:trHeight w:val="237"/>
        </w:trPr>
        <w:tc>
          <w:tcPr>
            <w:tcW w:w="20" w:type="dxa"/>
            <w:vAlign w:val="bottom"/>
          </w:tcPr>
          <w:p>
            <w:pPr>
              <w:spacing w:after="0"/>
              <w:rPr>
                <w:sz w:val="20"/>
                <w:szCs w:val="20"/>
                <w:color w:val="auto"/>
              </w:rPr>
            </w:pPr>
          </w:p>
        </w:tc>
        <w:tc>
          <w:tcPr>
            <w:tcW w:w="6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295,305</w:t>
            </w:r>
          </w:p>
        </w:tc>
      </w:tr>
      <w:tr>
        <w:trPr>
          <w:trHeight w:val="27"/>
        </w:trPr>
        <w:tc>
          <w:tcPr>
            <w:tcW w:w="2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November 3, 2019</w:t>
            </w:r>
          </w:p>
        </w:tc>
        <w:tc>
          <w:tcPr>
            <w:tcW w:w="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October 28, 2018</w:t>
            </w:r>
          </w:p>
        </w:tc>
        <w:tc>
          <w:tcPr>
            <w:tcW w:w="4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3, 2019</w:t>
            </w:r>
          </w:p>
        </w:tc>
        <w:tc>
          <w:tcPr>
            <w:tcW w:w="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October 28, 2018</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119,768</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355,975</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317,561</w:t>
            </w: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Cost of goods sold (excluding depreciation and amortization)</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54,403</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45,730</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164,888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138,410</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60,971</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179,151</w:t>
            </w: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64,037</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63,534</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196,128</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172,075</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3,638</w:t>
            </w: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(4,143)</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Net (loss) income attributable to noncontrolling interest</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7"/>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 (loss) attributable to controlling interest</w:t>
            </w:r>
          </w:p>
        </w:tc>
        <w:tc>
          <w:tcPr>
            <w:tcW w:w="18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(3,150)</w:t>
            </w:r>
          </w:p>
        </w:tc>
        <w:tc>
          <w:tcPr>
            <w:tcW w:w="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(5,453)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2,536</w:t>
            </w:r>
          </w:p>
        </w:tc>
      </w:tr>
      <w:tr>
        <w:trPr>
          <w:trHeight w:val="216"/>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Basic earnings (loss) per share (Class A and Class B):</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32,322</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32,098</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r>
      <w:tr>
        <w:trPr>
          <w:trHeight w:val="230"/>
        </w:trPr>
        <w:tc>
          <w:tcPr>
            <w:tcW w:w="20" w:type="dxa"/>
            <w:vAlign w:val="bottom"/>
          </w:tcPr>
          <w:p>
            <w:pPr>
              <w:spacing w:after="0"/>
              <w:rPr>
                <w:sz w:val="19"/>
                <w:szCs w:val="19"/>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income (loss) per share attributable to controlling interest</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03"/>
        </w:trPr>
        <w:tc>
          <w:tcPr>
            <w:tcW w:w="20" w:type="dxa"/>
            <w:vAlign w:val="bottom"/>
          </w:tcPr>
          <w:p>
            <w:pPr>
              <w:spacing w:after="0"/>
              <w:rPr>
                <w:sz w:val="17"/>
                <w:szCs w:val="17"/>
                <w:color w:val="auto"/>
              </w:rPr>
            </w:pPr>
          </w:p>
        </w:tc>
        <w:tc>
          <w:tcPr>
            <w:tcW w:w="4620" w:type="dxa"/>
            <w:vAlign w:val="bottom"/>
          </w:tcPr>
          <w:p>
            <w:pPr>
              <w:spacing w:after="0" w:line="203" w:lineRule="exact"/>
              <w:rPr>
                <w:sz w:val="20"/>
                <w:szCs w:val="20"/>
                <w:color w:val="auto"/>
              </w:rPr>
            </w:pPr>
            <w:r>
              <w:rPr>
                <w:rFonts w:ascii="Arial" w:cs="Arial" w:eastAsia="Arial" w:hAnsi="Arial"/>
                <w:sz w:val="18"/>
                <w:szCs w:val="18"/>
                <w:b w:val="1"/>
                <w:bCs w:val="1"/>
                <w:color w:val="auto"/>
                <w:w w:val="96"/>
              </w:rPr>
              <w:t>Diluted earnings (loss) per share (Class A and Class B):</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r>
      <w:tr>
        <w:trPr>
          <w:trHeight w:val="217"/>
        </w:trPr>
        <w:tc>
          <w:tcPr>
            <w:tcW w:w="4640" w:type="dxa"/>
            <w:vAlign w:val="bottom"/>
            <w:gridSpan w:val="2"/>
          </w:tcPr>
          <w:p>
            <w:pPr>
              <w:spacing w:after="0"/>
              <w:rPr>
                <w:sz w:val="20"/>
                <w:szCs w:val="20"/>
                <w:color w:val="auto"/>
              </w:rPr>
            </w:pPr>
            <w:r>
              <w:rPr>
                <w:rFonts w:ascii="Arial" w:cs="Arial" w:eastAsia="Arial" w:hAnsi="Arial"/>
                <w:sz w:val="18"/>
                <w:szCs w:val="18"/>
                <w:color w:val="auto"/>
                <w:w w:val="95"/>
              </w:rPr>
              <w:t>Net income (loss) per share attributable to controlling interest</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5"/>
              </w:rPr>
              <w:t>November 3, 2019</w:t>
            </w:r>
          </w:p>
        </w:tc>
        <w:tc>
          <w:tcPr>
            <w:tcW w:w="1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6"/>
              </w:rPr>
              <w:t>October 28, 2018</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November 3, 2019</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October 28,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(3,076)</w:t>
            </w: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6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ind w:left="100"/>
              <w:spacing w:after="0"/>
              <w:rPr>
                <w:sz w:val="20"/>
                <w:szCs w:val="20"/>
                <w:color w:val="auto"/>
              </w:rPr>
            </w:pPr>
            <w:r>
              <w:rPr>
                <w:rFonts w:ascii="Arial" w:cs="Arial" w:eastAsia="Arial" w:hAnsi="Arial"/>
                <w:sz w:val="18"/>
                <w:szCs w:val="18"/>
                <w:color w:val="auto"/>
              </w:rPr>
              <w:t>Unrealized security gains arising during the period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289</w:t>
            </w:r>
          </w:p>
        </w:tc>
        <w:tc>
          <w:tcPr>
            <w:tcW w:w="64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6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214</w:t>
            </w:r>
          </w:p>
        </w:tc>
        <w:tc>
          <w:tcPr>
            <w:tcW w:w="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214</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6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(3,076)</w:t>
            </w:r>
          </w:p>
        </w:tc>
        <w:tc>
          <w:tcPr>
            <w:tcW w:w="3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2,693</w:t>
            </w:r>
          </w:p>
        </w:tc>
        <w:tc>
          <w:tcPr>
            <w:tcW w:w="0" w:type="dxa"/>
            <w:vAlign w:val="bottom"/>
          </w:tcPr>
          <w:p>
            <w:pPr>
              <w:spacing w:after="0"/>
              <w:rPr>
                <w:sz w:val="1"/>
                <w:szCs w:val="1"/>
                <w:color w:val="auto"/>
              </w:rPr>
            </w:pPr>
          </w:p>
        </w:tc>
      </w:tr>
      <w:tr>
        <w:trPr>
          <w:trHeight w:val="229"/>
        </w:trPr>
        <w:tc>
          <w:tcPr>
            <w:tcW w:w="4260" w:type="dxa"/>
            <w:vAlign w:val="bottom"/>
            <w:gridSpan w:val="2"/>
          </w:tcPr>
          <w:p>
            <w:pPr>
              <w:spacing w:after="0"/>
              <w:rPr>
                <w:sz w:val="20"/>
                <w:szCs w:val="20"/>
                <w:color w:val="auto"/>
              </w:rPr>
            </w:pPr>
            <w:r>
              <w:rPr>
                <w:rFonts w:ascii="Arial" w:cs="Arial" w:eastAsia="Arial" w:hAnsi="Arial"/>
                <w:sz w:val="18"/>
                <w:szCs w:val="18"/>
                <w:color w:val="auto"/>
              </w:rPr>
              <w:t>Comprehensive (loss) income attributable to</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c>
          <w:tcPr>
            <w:tcW w:w="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income (loss) attributable to</w:t>
            </w:r>
          </w:p>
        </w:tc>
        <w:tc>
          <w:tcPr>
            <w:tcW w:w="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vMerge w:val="continue"/>
            <w:shd w:val="clear" w:color="auto" w:fill="CCEEFF"/>
          </w:tcPr>
          <w:p>
            <w:pPr>
              <w:spacing w:after="0"/>
              <w:rPr>
                <w:sz w:val="18"/>
                <w:szCs w:val="18"/>
                <w:color w:val="auto"/>
              </w:rPr>
            </w:pPr>
          </w:p>
        </w:tc>
        <w:tc>
          <w:tcPr>
            <w:tcW w:w="500" w:type="dxa"/>
            <w:vAlign w:val="bottom"/>
            <w:vMerge w:val="restart"/>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640" w:type="dxa"/>
            <w:vAlign w:val="bottom"/>
            <w:vMerge w:val="restart"/>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(3,150)</w:t>
            </w:r>
          </w:p>
        </w:tc>
        <w:tc>
          <w:tcPr>
            <w:tcW w:w="320" w:type="dxa"/>
            <w:vAlign w:val="bottom"/>
            <w:vMerge w:val="restart"/>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640" w:type="dxa"/>
            <w:vAlign w:val="bottom"/>
            <w:vMerge w:val="restart"/>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2,536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5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94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80" w:type="dxa"/>
            <w:vAlign w:val="bottom"/>
            <w:tcBorders>
              <w:right w:val="single" w:sz="8" w:color="CCEEFF"/>
            </w:tcBorders>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right"/>
              <w:ind w:right="86"/>
              <w:spacing w:after="0"/>
              <w:rPr>
                <w:sz w:val="20"/>
                <w:szCs w:val="20"/>
                <w:color w:val="auto"/>
              </w:rPr>
            </w:pPr>
            <w:r>
              <w:rPr>
                <w:rFonts w:ascii="Arial" w:cs="Arial" w:eastAsia="Arial" w:hAnsi="Arial"/>
                <w:sz w:val="14"/>
                <w:szCs w:val="14"/>
                <w:b w:val="1"/>
                <w:bCs w:val="1"/>
                <w:color w:val="auto"/>
                <w:w w:val="98"/>
              </w:rPr>
              <w:t>Nine Months Ended November 3, 2019</w:t>
            </w: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Noncontrolling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Capital stock</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 in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111"/>
              <w:spacing w:after="0"/>
              <w:rPr>
                <w:sz w:val="20"/>
                <w:szCs w:val="20"/>
                <w:color w:val="auto"/>
              </w:rPr>
            </w:pPr>
            <w:r>
              <w:rPr>
                <w:rFonts w:ascii="Arial" w:cs="Arial" w:eastAsia="Arial" w:hAnsi="Arial"/>
                <w:sz w:val="14"/>
                <w:szCs w:val="14"/>
                <w:b w:val="1"/>
                <w:bCs w:val="1"/>
                <w:color w:val="auto"/>
                <w:w w:val="95"/>
              </w:rPr>
              <w:t>Total</w:t>
            </w:r>
          </w:p>
        </w:tc>
      </w:tr>
      <w:tr>
        <w:trPr>
          <w:trHeight w:val="198"/>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w w:val="87"/>
              </w:rPr>
              <w:t>Retained</w:t>
            </w:r>
          </w:p>
        </w:tc>
        <w:tc>
          <w:tcPr>
            <w:tcW w:w="6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7"/>
                <w:szCs w:val="17"/>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variable interest</w:t>
            </w:r>
          </w:p>
        </w:tc>
        <w:tc>
          <w:tcPr>
            <w:tcW w:w="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188"/>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31"/>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earnings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entity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91"/>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February 3,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160,110</w:t>
            </w:r>
          </w:p>
        </w:tc>
      </w:tr>
      <w:tr>
        <w:trPr>
          <w:trHeight w:val="242"/>
        </w:trPr>
        <w:tc>
          <w:tcPr>
            <w:tcW w:w="20" w:type="dxa"/>
            <w:vAlign w:val="bottom"/>
          </w:tcPr>
          <w:p>
            <w:pPr>
              <w:spacing w:after="0"/>
              <w:rPr>
                <w:sz w:val="21"/>
                <w:szCs w:val="21"/>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Cumulative effect from</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adoption of ASC 842</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0"/>
        </w:trPr>
        <w:tc>
          <w:tcPr>
            <w:tcW w:w="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4, 2019</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68,668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158,186</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Restricted stock forfeitures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(7,645)</w:t>
            </w: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May 5,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150,831</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Restricted stock forfeitures</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3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r>
      <w:tr>
        <w:trPr>
          <w:trHeight w:val="230"/>
        </w:trPr>
        <w:tc>
          <w:tcPr>
            <w:tcW w:w="20" w:type="dxa"/>
            <w:vAlign w:val="bottom"/>
          </w:tcPr>
          <w:p>
            <w:pPr>
              <w:spacing w:after="0"/>
              <w:rPr>
                <w:sz w:val="19"/>
                <w:szCs w:val="19"/>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August 4, 2019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63,032</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153,300</w:t>
            </w:r>
          </w:p>
        </w:tc>
      </w:tr>
      <w:tr>
        <w:trPr>
          <w:trHeight w:val="203"/>
        </w:trPr>
        <w:tc>
          <w:tcPr>
            <w:tcW w:w="20" w:type="dxa"/>
            <w:vAlign w:val="bottom"/>
          </w:tcPr>
          <w:p>
            <w:pPr>
              <w:spacing w:after="0"/>
              <w:rPr>
                <w:sz w:val="17"/>
                <w:szCs w:val="17"/>
                <w:color w:val="auto"/>
              </w:rPr>
            </w:pPr>
          </w:p>
        </w:tc>
        <w:tc>
          <w:tcPr>
            <w:tcW w:w="31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Issuance of common stock</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Restricted stock forfeitures</w:t>
            </w:r>
          </w:p>
        </w:tc>
        <w:tc>
          <w:tcPr>
            <w:tcW w:w="82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180" w:type="dxa"/>
            <w:vAlign w:val="bottom"/>
            <w:gridSpan w:val="2"/>
          </w:tcPr>
          <w:p>
            <w:pPr>
              <w:ind w:left="100"/>
              <w:spacing w:after="0"/>
              <w:rPr>
                <w:sz w:val="20"/>
                <w:szCs w:val="20"/>
                <w:color w:val="auto"/>
              </w:rPr>
            </w:pPr>
            <w:r>
              <w:rPr>
                <w:rFonts w:ascii="Arial" w:cs="Arial" w:eastAsia="Arial" w:hAnsi="Arial"/>
                <w:sz w:val="18"/>
                <w:szCs w:val="18"/>
                <w:color w:val="auto"/>
              </w:rPr>
              <w:t>Other comprehensive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7"/>
        </w:trPr>
        <w:tc>
          <w:tcPr>
            <w:tcW w:w="3200" w:type="dxa"/>
            <w:vAlign w:val="bottom"/>
            <w:gridSpan w:val="3"/>
          </w:tcPr>
          <w:p>
            <w:pPr>
              <w:spacing w:after="0"/>
              <w:rPr>
                <w:sz w:val="20"/>
                <w:szCs w:val="20"/>
                <w:color w:val="auto"/>
              </w:rPr>
            </w:pPr>
            <w:r>
              <w:rPr>
                <w:rFonts w:ascii="Arial" w:cs="Arial" w:eastAsia="Arial" w:hAnsi="Arial"/>
                <w:sz w:val="18"/>
                <w:szCs w:val="18"/>
                <w:color w:val="auto"/>
              </w:rPr>
              <w:t>Balance at November 3,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32,525</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90,451</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63,214</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152,978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Nine Months Ended October 28,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Capital stock</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Total</w:t>
            </w:r>
          </w:p>
        </w:tc>
      </w:tr>
      <w:tr>
        <w:trPr>
          <w:trHeight w:val="211"/>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variable interest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earnings</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entity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28,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139,349</w:t>
            </w:r>
          </w:p>
        </w:tc>
      </w:tr>
      <w:tr>
        <w:trPr>
          <w:trHeight w:val="242"/>
        </w:trPr>
        <w:tc>
          <w:tcPr>
            <w:tcW w:w="2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Cumulative effect from</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adoption of ASC 606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29, 2018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138,701</w:t>
            </w: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stock surrendered for taxes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Balance at April 29, 2018</w:t>
            </w:r>
          </w:p>
        </w:tc>
        <w:tc>
          <w:tcPr>
            <w:tcW w:w="880" w:type="dxa"/>
            <w:vAlign w:val="bottom"/>
          </w:tcPr>
          <w:p>
            <w:pPr>
              <w:jc w:val="right"/>
              <w:spacing w:after="0"/>
              <w:rPr>
                <w:sz w:val="20"/>
                <w:szCs w:val="20"/>
                <w:color w:val="auto"/>
              </w:rPr>
            </w:pPr>
            <w:r>
              <w:rPr>
                <w:rFonts w:ascii="Arial" w:cs="Arial" w:eastAsia="Arial" w:hAnsi="Arial"/>
                <w:sz w:val="18"/>
                <w:szCs w:val="18"/>
                <w:color w:val="auto"/>
              </w:rPr>
              <w:t>32,566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88,452</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46,745</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138,392</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17"/>
        </w:trPr>
        <w:tc>
          <w:tcPr>
            <w:tcW w:w="3540" w:type="dxa"/>
            <w:vAlign w:val="bottom"/>
            <w:gridSpan w:val="2"/>
          </w:tcPr>
          <w:p>
            <w:pPr>
              <w:spacing w:after="0"/>
              <w:rPr>
                <w:sz w:val="20"/>
                <w:szCs w:val="20"/>
                <w:color w:val="auto"/>
              </w:rPr>
            </w:pPr>
            <w:r>
              <w:rPr>
                <w:rFonts w:ascii="Arial" w:cs="Arial" w:eastAsia="Arial" w:hAnsi="Arial"/>
                <w:sz w:val="18"/>
                <w:szCs w:val="18"/>
                <w:color w:val="auto"/>
              </w:rPr>
              <w:t>Balance at July 29, 2018</w:t>
            </w:r>
          </w:p>
        </w:tc>
        <w:tc>
          <w:tcPr>
            <w:tcW w:w="880" w:type="dxa"/>
            <w:vAlign w:val="bottom"/>
          </w:tcPr>
          <w:p>
            <w:pPr>
              <w:jc w:val="right"/>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88,901</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53,122</w:t>
            </w:r>
          </w:p>
        </w:tc>
        <w:tc>
          <w:tcPr>
            <w:tcW w:w="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145,293</w:t>
            </w: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Restricted stock forfeitures</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 income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r>
      <w:tr>
        <w:trPr>
          <w:trHeight w:val="217"/>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October 28,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20" w:type="dxa"/>
            <w:vAlign w:val="bottom"/>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November 3, 2019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9"/>
              </w:rPr>
              <w:t>October 28, 2018</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(loss) income</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(5,709)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2,693</w:t>
            </w: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used in operating activities: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15,934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8,187</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(85,430)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(44,776)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 &amp; other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w:t>
            </w:r>
          </w:p>
        </w:tc>
      </w:tr>
      <w:tr>
        <w:trPr>
          <w:trHeight w:val="216"/>
        </w:trPr>
        <w:tc>
          <w:tcPr>
            <w:tcW w:w="2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(23,502)</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(45,878)</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towards build-to-suit stores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(46,317)</w:t>
            </w: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225,079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100,982</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(35,982)</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Proceeds from other borrowings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 term debt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Payments on finance lease obligations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finance lease obligations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Shares withheld for tax payments on vested restricted shares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65,929</w:t>
            </w: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restricted cash</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r>
      <w:tr>
        <w:trPr>
          <w:trHeight w:val="216"/>
        </w:trPr>
        <w:tc>
          <w:tcPr>
            <w:tcW w:w="20" w:type="dxa"/>
            <w:vAlign w:val="bottom"/>
          </w:tcPr>
          <w:p>
            <w:pPr>
              <w:spacing w:after="0"/>
              <w:rPr>
                <w:sz w:val="18"/>
                <w:szCs w:val="18"/>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restricted cash at beginning of period</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7,083</w:t>
            </w: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restricted cash at end of period</w:t>
            </w:r>
          </w:p>
        </w:tc>
        <w:tc>
          <w:tcPr>
            <w:tcW w:w="3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r>
      <w:tr>
        <w:trPr>
          <w:trHeight w:val="203"/>
        </w:trPr>
        <w:tc>
          <w:tcPr>
            <w:tcW w:w="20" w:type="dxa"/>
            <w:vAlign w:val="bottom"/>
          </w:tcPr>
          <w:p>
            <w:pPr>
              <w:spacing w:after="0"/>
              <w:rPr>
                <w:sz w:val="17"/>
                <w:szCs w:val="17"/>
                <w:color w:val="auto"/>
              </w:rPr>
            </w:pPr>
          </w:p>
        </w:tc>
        <w:tc>
          <w:tcPr>
            <w:tcW w:w="5840" w:type="dxa"/>
            <w:vAlign w:val="bottom"/>
          </w:tcPr>
          <w:p>
            <w:pPr>
              <w:spacing w:after="0" w:line="20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taxes paid</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10,055</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Property and equipment acquired under build-to-suit leases</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3,583</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Unpaid liability to acquire property and equipment</w:t>
            </w: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30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140" w:firstLine="428"/>
        <w:spacing w:after="0" w:line="293" w:lineRule="auto"/>
        <w:rPr>
          <w:sz w:val="20"/>
          <w:szCs w:val="20"/>
          <w:color w:val="auto"/>
        </w:rPr>
      </w:pPr>
      <w:r>
        <w:rPr>
          <w:rFonts w:ascii="Arial" w:cs="Arial" w:eastAsia="Arial" w:hAnsi="Arial"/>
          <w:sz w:val="16"/>
          <w:szCs w:val="16"/>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November 3, 2019, the Company operated 55 retail stores and three outlet stores.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85" w:lineRule="exact"/>
        <w:rPr>
          <w:sz w:val="20"/>
          <w:szCs w:val="20"/>
          <w:color w:val="auto"/>
        </w:rPr>
      </w:pPr>
    </w:p>
    <w:p>
      <w:pPr>
        <w:ind w:right="20" w:firstLine="428"/>
        <w:spacing w:after="0" w:line="286" w:lineRule="auto"/>
        <w:rPr>
          <w:sz w:val="20"/>
          <w:szCs w:val="20"/>
          <w:color w:val="auto"/>
        </w:rPr>
      </w:pPr>
      <w:r>
        <w:rPr>
          <w:rFonts w:ascii="Arial" w:cs="Arial" w:eastAsia="Arial" w:hAnsi="Arial"/>
          <w:sz w:val="17"/>
          <w:szCs w:val="17"/>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intercompany balances and transactions have been eliminated.</w:t>
      </w:r>
    </w:p>
    <w:p>
      <w:pPr>
        <w:spacing w:after="0" w:line="139" w:lineRule="exact"/>
        <w:rPr>
          <w:sz w:val="20"/>
          <w:szCs w:val="20"/>
          <w:color w:val="auto"/>
        </w:rPr>
      </w:pPr>
    </w:p>
    <w:p>
      <w:pPr>
        <w:ind w:firstLine="428"/>
        <w:spacing w:after="0" w:line="312" w:lineRule="auto"/>
        <w:rPr>
          <w:sz w:val="20"/>
          <w:szCs w:val="20"/>
          <w:color w:val="auto"/>
        </w:rPr>
      </w:pPr>
      <w:r>
        <w:rPr>
          <w:rFonts w:ascii="Arial" w:cs="Arial" w:eastAsia="Arial" w:hAnsi="Arial"/>
          <w:sz w:val="16"/>
          <w:szCs w:val="16"/>
          <w:color w:val="auto"/>
        </w:rPr>
        <w:t>The Company’s fiscal year ends on the Sunday nearest to January 31 of the following year. Fiscal 2019 is a 52-week period and ends on February 2, 2020. Fiscal 2018 was a 53-week period and ended on February 3, 2019. The three and nine months of fiscal 2019 and fiscal 2018 represent the Company’s 13 and 39-week periods ended November 3, 2019 and October 28, 2018, respectively.</w:t>
      </w:r>
    </w:p>
    <w:p>
      <w:pPr>
        <w:spacing w:after="0" w:line="106" w:lineRule="exact"/>
        <w:rPr>
          <w:sz w:val="20"/>
          <w:szCs w:val="20"/>
          <w:color w:val="auto"/>
        </w:rPr>
      </w:pPr>
    </w:p>
    <w:p>
      <w:pPr>
        <w:ind w:right="20" w:firstLine="428"/>
        <w:spacing w:after="0" w:line="270" w:lineRule="auto"/>
        <w:rPr>
          <w:sz w:val="20"/>
          <w:szCs w:val="20"/>
          <w:color w:val="auto"/>
        </w:rPr>
      </w:pPr>
      <w:r>
        <w:rPr>
          <w:rFonts w:ascii="Arial" w:cs="Arial" w:eastAsia="Arial" w:hAnsi="Arial"/>
          <w:sz w:val="17"/>
          <w:szCs w:val="17"/>
          <w:color w:val="auto"/>
        </w:rPr>
        <w:t>The accompanying condensed consolidated financial statements as of and for the three and nine months ended November 3, 2019 and October 28, 2018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November 3, 2019 and October 28, 2018. These interim condensed consolidated financial statements should be read in conjunction with the consolidated financial statements and notes included in the Company’s annual report on Form 10-K for the fiscal year ended February 3, 2019.</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98" w:lineRule="exact"/>
        <w:rPr>
          <w:sz w:val="20"/>
          <w:szCs w:val="20"/>
          <w:color w:val="auto"/>
        </w:rPr>
      </w:pPr>
    </w:p>
    <w:p>
      <w:pPr>
        <w:jc w:val="both"/>
        <w:ind w:right="18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Restricted Cash</w:t>
      </w:r>
    </w:p>
    <w:p>
      <w:pPr>
        <w:spacing w:after="0" w:line="185" w:lineRule="exact"/>
        <w:rPr>
          <w:sz w:val="20"/>
          <w:szCs w:val="20"/>
          <w:color w:val="auto"/>
        </w:rPr>
      </w:pPr>
    </w:p>
    <w:p>
      <w:pPr>
        <w:ind w:right="60" w:firstLine="428"/>
        <w:spacing w:after="0" w:line="286" w:lineRule="auto"/>
        <w:rPr>
          <w:sz w:val="20"/>
          <w:szCs w:val="20"/>
          <w:color w:val="auto"/>
        </w:rPr>
      </w:pPr>
      <w:r>
        <w:rPr>
          <w:rFonts w:ascii="Arial" w:cs="Arial" w:eastAsia="Arial" w:hAnsi="Arial"/>
          <w:sz w:val="17"/>
          <w:szCs w:val="17"/>
          <w:color w:val="auto"/>
        </w:rPr>
        <w:t>The Company’s restricted cash is held in escrow accounts and is used to pay a portion of the construction loans entered into by third party landlords (the “Landlords”) in connection with the Company’s retail store leases. The restricted cash is disbursed based on the escrow agreements entered into by and among the Landlords, the Company and the escrow agent.</w:t>
      </w:r>
    </w:p>
    <w:p>
      <w:pPr>
        <w:spacing w:after="0" w:line="1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85" w:lineRule="exact"/>
        <w:rPr>
          <w:sz w:val="20"/>
          <w:szCs w:val="20"/>
          <w:color w:val="auto"/>
        </w:rPr>
      </w:pPr>
    </w:p>
    <w:p>
      <w:pPr>
        <w:ind w:right="680" w:firstLine="428"/>
        <w:spacing w:after="0" w:line="308" w:lineRule="auto"/>
        <w:rPr>
          <w:sz w:val="20"/>
          <w:szCs w:val="20"/>
          <w:color w:val="auto"/>
        </w:rPr>
      </w:pPr>
      <w:r>
        <w:rPr>
          <w:rFonts w:ascii="Arial" w:cs="Arial" w:eastAsia="Arial" w:hAnsi="Arial"/>
          <w:sz w:val="17"/>
          <w:szCs w:val="17"/>
          <w:color w:val="auto"/>
        </w:rPr>
        <w:t>Except as disclosed below, there have been no significant changes to the Company’s significant accounting policies as described in the Company’s Annual Report on Form 10-K for the year ended February 3, 2019.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Reclassifications</w:t>
      </w:r>
    </w:p>
    <w:p>
      <w:pPr>
        <w:spacing w:after="0" w:line="185"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Certain reclassifications have been made to the 2018 financial statements in order to conform to the 2019 presentation. There were no changes to previously reported shareholders’ equity or net income as a result of the reclassifications.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8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 xml:space="preserve">On February 4,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and related amendments. ASC 842 requires lessees to (i) recognize a right-of-use asset and a lease liability that is initially measured at the present value of the remaining lease payments, on the consolidated balance sheets, (ii) recognize a single lease cost, calculated over the lease term on a straight-line basis and (iii) classify lease related cash payments within operating and financing activities.</w:t>
      </w:r>
    </w:p>
    <w:p>
      <w:pPr>
        <w:spacing w:after="0" w:line="14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The Company adopted ASC 842 utilizing the optional transition method, which allows guidance to be initially applied at the adoption date with a cumulative-effect adjustment to the opening balance of retained earnings. The Company elected the package of practical expedients, which allows the Company to forgo reassessing prior conclusions on lease definition, classification and initial direct costs related to existing leases as of the adoption date. The Company elected not to recognize short-term leases on the consolidated balance sheets and all non-lease components, such as common area maintenance, were excluded.</w:t>
      </w:r>
    </w:p>
    <w:p>
      <w:pPr>
        <w:spacing w:after="0" w:line="13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Company’s existing lease arrangements consist of both operating leases and build-to-suit leases. Under ASC 842, the Company is still required to evaluate whether it is deemed to be the owner of the leased property for accounting purposes during the store construction period, however, the prescriptive rules under ASC 840 have been removed. The Company evaluated its existing build-to-suit leases as of the adoption date and determined that the Company is not the owner of the leased premises during the construction period, which resulted in the derecognition of its build-to-suit assets and liabilities that were previously reported on the Company’s consolidated balance sheets. As of February 4, 2019, substantially all of the previous build-to-suit leases are classified as operating leases.</w:t>
      </w:r>
    </w:p>
    <w:p>
      <w:pPr>
        <w:spacing w:after="0" w:line="14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impact of the adoption was a $121.8 million right-of-use asset (“ROU asset”) with an offsetting $115.5 million lease liability, which is net of $4.9 million of previously recognized straight-line operating lease adjustments on existing leases and $11.2 million of unamortized initial direct costs. The lease liabilities at February 4, 2019 reflect remaining lease payments discounted using an incremental borrowing rate based on the remaining lease term (the “Discount”), as an implicit rate was not readily determinable for any of the Company’s existing leases. See Note 2 “Leases,” for further information.</w:t>
      </w:r>
    </w:p>
    <w:p>
      <w:pPr>
        <w:spacing w:after="0" w:line="3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202"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Effective February 4, 2019, the Company adopted ASC 842, which resulted in a recognition of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7" w:lineRule="exact"/>
        <w:rPr>
          <w:sz w:val="20"/>
          <w:szCs w:val="20"/>
          <w:color w:val="auto"/>
        </w:rPr>
      </w:pPr>
    </w:p>
    <w:p>
      <w:pPr>
        <w:ind w:right="200" w:firstLine="492"/>
        <w:spacing w:after="0" w:line="276" w:lineRule="auto"/>
        <w:rPr>
          <w:sz w:val="20"/>
          <w:szCs w:val="20"/>
          <w:color w:val="auto"/>
        </w:rPr>
      </w:pPr>
      <w:r>
        <w:rPr>
          <w:rFonts w:ascii="Arial" w:cs="Arial" w:eastAsia="Arial" w:hAnsi="Arial"/>
          <w:sz w:val="17"/>
          <w:szCs w:val="17"/>
          <w:color w:val="auto"/>
        </w:rPr>
        <w:t>The Company leases retail space under non-cancelable lease agreements, which expire on various dates through 2036. Substantially all of these arrangements are store leases. Store leases generally have initial lease terms ranging from five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2"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97" w:lineRule="exact"/>
        <w:rPr>
          <w:sz w:val="20"/>
          <w:szCs w:val="20"/>
          <w:color w:val="auto"/>
        </w:rPr>
      </w:pPr>
    </w:p>
    <w:p>
      <w:pPr>
        <w:ind w:right="180" w:firstLine="492"/>
        <w:spacing w:after="0" w:line="264" w:lineRule="auto"/>
        <w:rPr>
          <w:sz w:val="20"/>
          <w:szCs w:val="20"/>
          <w:color w:val="auto"/>
        </w:rPr>
      </w:pPr>
      <w:r>
        <w:rPr>
          <w:rFonts w:ascii="Arial" w:cs="Arial" w:eastAsia="Arial" w:hAnsi="Arial"/>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ectPr>
          <w:pgSz w:w="11900" w:h="16838" w:orient="portrait"/>
          <w:cols w:equalWidth="0" w:num="1">
            <w:col w:w="9640"/>
          </w:cols>
          <w:pgMar w:left="1140" w:top="30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Finance lease</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Amortization of right-of-use assets</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Interest on lease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finance lease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w:t>
      </w:r>
    </w:p>
    <w:p>
      <w:pPr>
        <w:spacing w:after="0" w:line="25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Amortization of build-to-suit leases capital contribution</w:t>
      </w:r>
    </w:p>
    <w:p>
      <w:pPr>
        <w:spacing w:after="0"/>
        <w:rPr>
          <w:sz w:val="20"/>
          <w:szCs w:val="20"/>
          <w:color w:val="auto"/>
        </w:rPr>
      </w:pPr>
      <w:r>
        <w:rPr>
          <w:rFonts w:ascii="Arial" w:cs="Arial" w:eastAsia="Arial" w:hAnsi="Arial"/>
          <w:sz w:val="18"/>
          <w:szCs w:val="18"/>
          <w:color w:val="auto"/>
        </w:rPr>
        <w:t>Variable lease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6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3"/>
              </w:rPr>
              <w:t>Consolidated Statement of Operations</w:t>
            </w:r>
          </w:p>
        </w:tc>
        <w:tc>
          <w:tcPr>
            <w:tcW w:w="160" w:type="dxa"/>
            <w:vAlign w:val="bottom"/>
          </w:tcPr>
          <w:p>
            <w:pPr>
              <w:spacing w:after="0"/>
              <w:rPr>
                <w:sz w:val="16"/>
                <w:szCs w:val="16"/>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November 3, 2019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November 3, 2019</w:t>
            </w:r>
          </w:p>
        </w:tc>
        <w:tc>
          <w:tcPr>
            <w:tcW w:w="0" w:type="dxa"/>
            <w:vAlign w:val="bottom"/>
          </w:tcPr>
          <w:p>
            <w:pPr>
              <w:spacing w:after="0"/>
              <w:rPr>
                <w:sz w:val="1"/>
                <w:szCs w:val="1"/>
                <w:color w:val="auto"/>
              </w:rPr>
            </w:pPr>
          </w:p>
        </w:tc>
      </w:tr>
      <w:tr>
        <w:trPr>
          <w:trHeight w:val="641"/>
        </w:trPr>
        <w:tc>
          <w:tcPr>
            <w:tcW w:w="32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3,935</w:t>
            </w:r>
          </w:p>
        </w:tc>
        <w:tc>
          <w:tcPr>
            <w:tcW w:w="14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11,094</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-1997710</wp:posOffset>
            </wp:positionH>
            <wp:positionV relativeFrom="paragraph">
              <wp:posOffset>-1757680</wp:posOffset>
            </wp:positionV>
            <wp:extent cx="609727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7270" cy="13716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-1328420</wp:posOffset>
            </wp:positionV>
            <wp:extent cx="609727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7270" cy="146050"/>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-1036955</wp:posOffset>
            </wp:positionV>
            <wp:extent cx="609727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7270" cy="29146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-454025</wp:posOffset>
            </wp:positionV>
            <wp:extent cx="609727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97270" cy="29146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2600" w:space="560"/>
            <w:col w:w="6480"/>
          </w:cols>
          <w:pgMar w:left="1140" w:top="301" w:right="1119" w:bottom="1440" w:gutter="0" w:footer="0" w:header="0"/>
          <w:type w:val="continuous"/>
        </w:sect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371"/>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2"/>
              </w:rPr>
              <w:t>November 3,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paid for amounts included in the measurement of lease liabilities: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Financing cash flows from finance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9600" w:type="dxa"/>
            <w:vAlign w:val="bottom"/>
            <w:gridSpan w:val="8"/>
          </w:tcPr>
          <w:p>
            <w:pPr>
              <w:ind w:left="480"/>
              <w:spacing w:after="0"/>
              <w:rPr>
                <w:sz w:val="20"/>
                <w:szCs w:val="20"/>
                <w:color w:val="auto"/>
              </w:rPr>
            </w:pPr>
            <w:r>
              <w:rPr>
                <w:rFonts w:ascii="Arial" w:cs="Arial" w:eastAsia="Arial" w:hAnsi="Arial"/>
                <w:sz w:val="18"/>
                <w:szCs w:val="18"/>
                <w:color w:val="auto"/>
              </w:rPr>
              <w:t>Future minimum lease payments under the non-cancellable leases are as follows as of November 3, 2019: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jc w:val="right"/>
              <w:ind w:right="391"/>
              <w:spacing w:after="0"/>
              <w:rPr>
                <w:sz w:val="20"/>
                <w:szCs w:val="20"/>
                <w:color w:val="auto"/>
              </w:rPr>
            </w:pPr>
            <w:r>
              <w:rPr>
                <w:rFonts w:ascii="Arial" w:cs="Arial" w:eastAsia="Arial" w:hAnsi="Arial"/>
                <w:sz w:val="18"/>
                <w:szCs w:val="18"/>
                <w:b w:val="1"/>
                <w:bCs w:val="1"/>
                <w:color w:val="auto"/>
              </w:rPr>
              <w:t>Operating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2019 (remainder of fiscal year)</w:t>
            </w:r>
          </w:p>
        </w:tc>
        <w:tc>
          <w:tcPr>
            <w:tcW w:w="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3,342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3,342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41,078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55,290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 Discount</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15,523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39,767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5840" w:type="dxa"/>
            <w:vAlign w:val="bottom"/>
            <w:gridSpan w:val="2"/>
          </w:tcPr>
          <w:p>
            <w:pPr>
              <w:jc w:val="right"/>
              <w:ind w:right="85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the adoption of ASC 842, the minimum lease payments under non-cancellable operating leases were as follows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3,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Operating Leases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5"/>
              <w:spacing w:after="0"/>
              <w:rPr>
                <w:sz w:val="20"/>
                <w:szCs w:val="20"/>
                <w:color w:val="auto"/>
              </w:rPr>
            </w:pPr>
            <w:r>
              <w:rPr>
                <w:rFonts w:ascii="Arial" w:cs="Arial" w:eastAsia="Arial" w:hAnsi="Arial"/>
                <w:sz w:val="14"/>
                <w:szCs w:val="14"/>
                <w:b w:val="1"/>
                <w:bCs w:val="1"/>
                <w:color w:val="auto"/>
              </w:rPr>
              <w:t>Related</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5"/>
              <w:spacing w:after="0"/>
              <w:rPr>
                <w:sz w:val="20"/>
                <w:szCs w:val="20"/>
                <w:color w:val="auto"/>
              </w:rPr>
            </w:pPr>
            <w:r>
              <w:rPr>
                <w:rFonts w:ascii="Arial" w:cs="Arial" w:eastAsia="Arial" w:hAnsi="Arial"/>
                <w:sz w:val="14"/>
                <w:szCs w:val="14"/>
                <w:b w:val="1"/>
                <w:bCs w:val="1"/>
                <w:color w:val="auto"/>
              </w:rPr>
              <w:t>party</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16,157</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r>
      <w:tr>
        <w:trPr>
          <w:trHeight w:val="230"/>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15,444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15,593</w:t>
            </w: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15,784</w:t>
            </w: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112,098</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190,851</w:t>
            </w:r>
          </w:p>
        </w:tc>
      </w:tr>
    </w:tbl>
    <w:p>
      <w:pPr>
        <w:spacing w:after="0" w:line="400" w:lineRule="exact"/>
        <w:rPr>
          <w:sz w:val="20"/>
          <w:szCs w:val="20"/>
          <w:color w:val="auto"/>
        </w:rPr>
      </w:pPr>
    </w:p>
    <w:p>
      <w:pPr>
        <w:jc w:val="center"/>
        <w:ind w:left="440" w:right="6840" w:hanging="432"/>
        <w:spacing w:after="0" w:line="545" w:lineRule="auto"/>
        <w:tabs>
          <w:tab w:leader="none" w:pos="32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DEBT AND LINE OF CREDIT </w:t>
      </w:r>
      <w:r>
        <w:rPr>
          <w:rFonts w:ascii="Arial" w:cs="Arial" w:eastAsia="Arial" w:hAnsi="Arial"/>
          <w:sz w:val="17"/>
          <w:szCs w:val="17"/>
          <w:color w:val="auto"/>
        </w:rPr>
        <w:t>Debt consists of the following:</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November 3, 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February 3, 2019</w:t>
            </w: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TRI Note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28,421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7"/>
        </w:trPr>
        <w:tc>
          <w:tcPr>
            <w:tcW w:w="41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27,880</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28,283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Line of credit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70,470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loan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85"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54"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1" w:lineRule="exact"/>
        <w:rPr>
          <w:sz w:val="20"/>
          <w:szCs w:val="20"/>
          <w:color w:val="auto"/>
        </w:rPr>
      </w:pPr>
    </w:p>
    <w:p>
      <w:pPr>
        <w:ind w:right="140" w:firstLine="428"/>
        <w:spacing w:after="0" w:line="277" w:lineRule="auto"/>
        <w:rPr>
          <w:sz w:val="20"/>
          <w:szCs w:val="20"/>
          <w:color w:val="auto"/>
        </w:rPr>
      </w:pPr>
      <w:r>
        <w:rPr>
          <w:rFonts w:ascii="Arial" w:cs="Arial" w:eastAsia="Arial" w:hAnsi="Arial"/>
          <w:sz w:val="18"/>
          <w:szCs w:val="18"/>
          <w:color w:val="auto"/>
        </w:rPr>
        <w:t xml:space="preserve">While the above notes are consolidated in accordance with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is not the guarantor nor obligor of these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On May 17, 2018, the Company entered into a credit agreement (the “Credit Agreement”) which provides for borrowing availability of up to $80.0 million in revolving credit (the “Revolver”), and borrowing availability of up to $50.0 million in a delayed draw term loan (“DDTL”), for a total credit facility of $130.0 million. The $80.0 million revolving credit matures on May 17, 2023. The $50.0 million DDTL is available to draw upon in differing amounts through May 17, 2020, and matures on May 17, 2023. The Credit Agreement is secured by essentially all Company assets and requires the Company to maintain compliance with certain financial and non-financial covenants, including a maximum rent adjusted leverage ratio and a minimum fixed charge coverage ratio as defined in the Credit Agreement. At the Company’s option, the interest rate applicable to the Revolver or DDTL will be a floating rate equal to: (i) the base rate plus a margin of 25 to 100 basis points (“bps”), based upon the Company’s rent adjusted leverage ratio, or (ii) a fixed rate for a one-, two-, three- or six-month interest period equal to LIBOR for such interest period plus a margin of 125 to 200 bps, based upon the Company’s rent adjusted leverage ratio (effective rate of 3.8% for the Revolver and 4% for the DDTL at November 3, 2019). In addition, outstanding balances under the DDTL require quarterly principal payments with a final balloon payment at maturity.</w:t>
      </w:r>
    </w:p>
    <w:p>
      <w:pPr>
        <w:spacing w:after="0" w:line="153" w:lineRule="exact"/>
        <w:rPr>
          <w:sz w:val="20"/>
          <w:szCs w:val="20"/>
          <w:color w:val="auto"/>
        </w:rPr>
      </w:pPr>
    </w:p>
    <w:p>
      <w:pPr>
        <w:ind w:right="440" w:firstLine="428"/>
        <w:spacing w:after="0" w:line="277" w:lineRule="auto"/>
        <w:rPr>
          <w:sz w:val="20"/>
          <w:szCs w:val="20"/>
          <w:color w:val="auto"/>
        </w:rPr>
      </w:pPr>
      <w:r>
        <w:rPr>
          <w:rFonts w:ascii="Arial" w:cs="Arial" w:eastAsia="Arial" w:hAnsi="Arial"/>
          <w:sz w:val="18"/>
          <w:szCs w:val="18"/>
          <w:color w:val="auto"/>
        </w:rPr>
        <w:t>As of November 3, 2019 and for the nine months then ended, the Company was in compliance with all financial and non-financial covenants for all debts discussed above.</w:t>
      </w:r>
    </w:p>
    <w:p>
      <w:pPr>
        <w:spacing w:after="0" w:line="126" w:lineRule="exact"/>
        <w:rPr>
          <w:sz w:val="20"/>
          <w:szCs w:val="20"/>
          <w:color w:val="auto"/>
        </w:rPr>
      </w:pPr>
    </w:p>
    <w:p>
      <w:pPr>
        <w:ind w:left="440" w:right="4100" w:hanging="432"/>
        <w:spacing w:after="0" w:line="576" w:lineRule="auto"/>
        <w:tabs>
          <w:tab w:leader="none" w:pos="31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November 3, 2019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February 3, 2019</w:t>
            </w:r>
          </w:p>
        </w:tc>
      </w:tr>
      <w:tr>
        <w:trPr>
          <w:trHeight w:val="196"/>
        </w:trPr>
        <w:tc>
          <w:tcPr>
            <w:tcW w:w="5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8,493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Product returns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Catalog costs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Unpaid purchases of property &amp;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advertising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w:t>
            </w: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26,530</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INVESTMENT</w:t>
      </w:r>
    </w:p>
    <w:p>
      <w:pPr>
        <w:spacing w:after="0" w:line="189"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w:t>
      </w:r>
      <w:r>
        <w:rPr>
          <w:rFonts w:ascii="Arial" w:cs="Arial" w:eastAsia="Arial" w:hAnsi="Arial"/>
          <w:sz w:val="18"/>
          <w:szCs w:val="18"/>
          <w:i w:val="1"/>
          <w:iCs w:val="1"/>
          <w:color w:val="auto"/>
        </w:rPr>
        <w:t>,</w:t>
      </w:r>
      <w:r>
        <w:rPr>
          <w:rFonts w:ascii="Arial" w:cs="Arial" w:eastAsia="Arial" w:hAnsi="Arial"/>
          <w:sz w:val="18"/>
          <w:szCs w:val="18"/>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98"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360" w:firstLine="441"/>
        <w:spacing w:after="0" w:line="279" w:lineRule="auto"/>
        <w:rPr>
          <w:sz w:val="20"/>
          <w:szCs w:val="20"/>
          <w:color w:val="auto"/>
        </w:rPr>
      </w:pPr>
      <w:r>
        <w:rPr>
          <w:rFonts w:ascii="Arial" w:cs="Arial" w:eastAsia="Arial" w:hAnsi="Arial"/>
          <w:sz w:val="17"/>
          <w:szCs w:val="17"/>
          <w:color w:val="auto"/>
        </w:rPr>
        <w:t>The fair value of the Company’s available-for-sale security was valued based on a discounted cash flow method (Level 3), which incorporates the U.S. Treasury yield curve, credit information and an estimate of future cash flows. The following table presents the amortized cost, fair value, and the corresponding amount of gross unrealized gains recognized in accumulated other comprehensive income of the Company’s available-for-sale security as of November 3,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November 3, 2019</w:t>
            </w: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22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center"/>
              <w:ind w:right="224"/>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44"/>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center"/>
              <w:ind w:right="22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center"/>
              <w:ind w:right="224"/>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182"/>
        </w:trPr>
        <w:tc>
          <w:tcPr>
            <w:tcW w:w="2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Level 3 security:</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trust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r>
    </w:tbl>
    <w:p>
      <w:pPr>
        <w:spacing w:after="0" w:line="161" w:lineRule="exact"/>
        <w:rPr>
          <w:sz w:val="20"/>
          <w:szCs w:val="20"/>
          <w:color w:val="auto"/>
        </w:rPr>
      </w:pPr>
    </w:p>
    <w:p>
      <w:pPr>
        <w:ind w:right="400" w:firstLine="428"/>
        <w:spacing w:after="0" w:line="277" w:lineRule="auto"/>
        <w:rPr>
          <w:sz w:val="20"/>
          <w:szCs w:val="20"/>
          <w:color w:val="auto"/>
        </w:rPr>
      </w:pPr>
      <w:r>
        <w:rPr>
          <w:rFonts w:ascii="Arial" w:cs="Arial" w:eastAsia="Arial" w:hAnsi="Arial"/>
          <w:sz w:val="18"/>
          <w:szCs w:val="18"/>
          <w:color w:val="auto"/>
        </w:rPr>
        <w:t>As of February 3, 2019, the $6.3 million amortized cost of the Company’s available-for-sale security approximated its fair value.</w:t>
      </w:r>
    </w:p>
    <w:p>
      <w:pPr>
        <w:spacing w:after="0" w:line="143" w:lineRule="exact"/>
        <w:rPr>
          <w:sz w:val="20"/>
          <w:szCs w:val="20"/>
          <w:color w:val="auto"/>
        </w:rPr>
      </w:pPr>
    </w:p>
    <w:p>
      <w:pPr>
        <w:ind w:right="540" w:firstLine="428"/>
        <w:spacing w:after="0" w:line="277" w:lineRule="auto"/>
        <w:rPr>
          <w:sz w:val="20"/>
          <w:szCs w:val="20"/>
          <w:color w:val="auto"/>
        </w:rPr>
      </w:pPr>
      <w:r>
        <w:rPr>
          <w:rFonts w:ascii="Arial" w:cs="Arial" w:eastAsia="Arial" w:hAnsi="Arial"/>
          <w:sz w:val="18"/>
          <w:szCs w:val="18"/>
          <w:color w:val="auto"/>
        </w:rPr>
        <w:t>The following table presents future principal receipts related to the Company’s available-for-sale security by contractual maturity as of November 3,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jc w:val="right"/>
              <w:ind w:right="655"/>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Cost</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00" w:type="dxa"/>
            <w:vAlign w:val="bottom"/>
            <w:gridSpan w:val="2"/>
            <w:shd w:val="clear" w:color="auto" w:fill="CCEEFF"/>
          </w:tcPr>
          <w:p>
            <w:pPr>
              <w:jc w:val="right"/>
              <w:ind w:right="112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5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3,787</w:t>
            </w: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w:t>
            </w: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6,210</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89"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 xml:space="preserve">Based upon the criteria set forth in ASC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November 3, 2019 and February 3, 2019.</w:t>
      </w:r>
    </w:p>
    <w:p>
      <w:pPr>
        <w:spacing w:after="0" w:line="131" w:lineRule="exact"/>
        <w:rPr>
          <w:sz w:val="20"/>
          <w:szCs w:val="20"/>
          <w:color w:val="auto"/>
        </w:rPr>
      </w:pPr>
    </w:p>
    <w:p>
      <w:pPr>
        <w:ind w:right="80" w:firstLine="428"/>
        <w:spacing w:after="0" w:line="255"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TRI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 2019 and February 3, 2019:</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November 3, 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February 3, 2019</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VIE</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1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202" w:lineRule="exact"/>
        <w:rPr>
          <w:sz w:val="20"/>
          <w:szCs w:val="20"/>
          <w:color w:val="auto"/>
        </w:rPr>
      </w:pPr>
    </w:p>
    <w:p>
      <w:pPr>
        <w:ind w:right="100" w:firstLine="428"/>
        <w:spacing w:after="0" w:line="297" w:lineRule="auto"/>
        <w:rPr>
          <w:sz w:val="20"/>
          <w:szCs w:val="20"/>
          <w:color w:val="auto"/>
        </w:rPr>
      </w:pPr>
      <w:r>
        <w:rPr>
          <w:rFonts w:ascii="Arial" w:cs="Arial" w:eastAsia="Arial" w:hAnsi="Arial"/>
          <w:sz w:val="16"/>
          <w:szCs w:val="16"/>
          <w:color w:val="auto"/>
        </w:rPr>
        <w:t>Earnings (loss) per share is computed under the provisions of ASC 260</w:t>
      </w:r>
      <w:r>
        <w:rPr>
          <w:rFonts w:ascii="Arial" w:cs="Arial" w:eastAsia="Arial" w:hAnsi="Arial"/>
          <w:sz w:val="16"/>
          <w:szCs w:val="16"/>
          <w:i w:val="1"/>
          <w:iCs w:val="1"/>
          <w:color w:val="auto"/>
        </w:rPr>
        <w:t>, Earnings Per Share</w:t>
      </w:r>
      <w:r>
        <w:rPr>
          <w:rFonts w:ascii="Arial" w:cs="Arial" w:eastAsia="Arial" w:hAnsi="Arial"/>
          <w:sz w:val="16"/>
          <w:szCs w:val="16"/>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(loss) per share calculation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November 3, 2019</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October 28, 2018</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2"/>
              </w:rPr>
              <w:t>November 3, 2019</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October 28, 2018</w:t>
            </w:r>
          </w:p>
        </w:tc>
      </w:tr>
      <w:tr>
        <w:trPr>
          <w:trHeight w:val="196"/>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Denominator - weighted average shares</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(Class A and Class B)</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32,065</w:t>
            </w:r>
          </w:p>
        </w:tc>
      </w:tr>
      <w:tr>
        <w:trPr>
          <w:trHeight w:val="216"/>
        </w:trPr>
        <w:tc>
          <w:tcPr>
            <w:tcW w:w="20" w:type="dxa"/>
            <w:vAlign w:val="bottom"/>
          </w:tcPr>
          <w:p>
            <w:pPr>
              <w:spacing w:after="0"/>
              <w:rPr>
                <w:sz w:val="18"/>
                <w:szCs w:val="18"/>
                <w:color w:val="auto"/>
              </w:rPr>
            </w:pPr>
          </w:p>
        </w:tc>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4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32,322</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32,098</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32,299</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32,402</w:t>
            </w:r>
          </w:p>
        </w:tc>
      </w:tr>
      <w:tr>
        <w:trPr>
          <w:trHeight w:val="244"/>
        </w:trPr>
        <w:tc>
          <w:tcPr>
            <w:tcW w:w="3820" w:type="dxa"/>
            <w:vAlign w:val="bottom"/>
            <w:gridSpan w:val="2"/>
          </w:tcPr>
          <w:p>
            <w:pPr>
              <w:spacing w:after="0"/>
              <w:rPr>
                <w:sz w:val="20"/>
                <w:szCs w:val="20"/>
                <w:color w:val="auto"/>
              </w:rPr>
            </w:pPr>
            <w:r>
              <w:rPr>
                <w:rFonts w:ascii="Arial" w:cs="Arial" w:eastAsia="Arial" w:hAnsi="Arial"/>
                <w:sz w:val="18"/>
                <w:szCs w:val="18"/>
                <w:color w:val="auto"/>
              </w:rPr>
              <w:t>Income (loss) per share (Class A and Class B)</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20" w:type="dxa"/>
            <w:vAlign w:val="bottom"/>
          </w:tcPr>
          <w:p>
            <w:pPr>
              <w:spacing w:after="0"/>
              <w:rPr>
                <w:sz w:val="20"/>
                <w:szCs w:val="20"/>
                <w:color w:val="auto"/>
              </w:rPr>
            </w:pPr>
          </w:p>
        </w:tc>
        <w:tc>
          <w:tcPr>
            <w:tcW w:w="3800" w:type="dxa"/>
            <w:vAlign w:val="bottom"/>
          </w:tcPr>
          <w:p>
            <w:pPr>
              <w:ind w:left="100"/>
              <w:spacing w:after="0"/>
              <w:rPr>
                <w:sz w:val="20"/>
                <w:szCs w:val="20"/>
                <w:color w:val="auto"/>
              </w:rPr>
            </w:pPr>
            <w:r>
              <w:rPr>
                <w:rFonts w:ascii="Arial" w:cs="Arial" w:eastAsia="Arial" w:hAnsi="Arial"/>
                <w:sz w:val="18"/>
                <w:szCs w:val="18"/>
                <w:color w:val="auto"/>
              </w:rPr>
              <w:t>Diluted</w:t>
            </w: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r>
    </w:tbl>
    <w:p>
      <w:pPr>
        <w:spacing w:after="0" w:line="160" w:lineRule="exact"/>
        <w:rPr>
          <w:sz w:val="20"/>
          <w:szCs w:val="20"/>
          <w:color w:val="auto"/>
        </w:rPr>
      </w:pPr>
    </w:p>
    <w:p>
      <w:pPr>
        <w:ind w:right="160" w:firstLine="492"/>
        <w:spacing w:after="0" w:line="257" w:lineRule="auto"/>
        <w:rPr>
          <w:sz w:val="20"/>
          <w:szCs w:val="20"/>
          <w:color w:val="auto"/>
        </w:rPr>
      </w:pPr>
      <w:r>
        <w:rPr>
          <w:rFonts w:ascii="Arial" w:cs="Arial" w:eastAsia="Arial" w:hAnsi="Arial"/>
          <w:sz w:val="18"/>
          <w:szCs w:val="18"/>
          <w:color w:val="auto"/>
        </w:rPr>
        <w:t>The computation of diluted earnings (loss) per share excluded (0.1) million shares of unvested restricted stock for the three months ended November 3, 2019, because their inclusion would be anti-dilutive due to the amount of forfeitures. The computation of diluted earnings (loss) per share excluded 0.3 million shares of unvested restricted stock for the three months ended October 28, 2018 and 55.6 thousand shares of unvested restricted stock for the nine months ended November 3, 2019, because their inclusion would be anti-dilutive due to a net loss.</w:t>
      </w:r>
    </w:p>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202"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4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Total stock compensation expense (benefit) associated with restricted stock recognized by the Company was $(0.8) million and $0.2 million for the three and nine months ended November 3, 2019, respectively, and $0.4 million and $1.3 million for the three and nine months ended October 28, 2018, respectively. The Company’s total stock compensation expense (benefit) is included in selling, general and administrative expenses on the Condensed Consolidated 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220" w:firstLine="428"/>
        <w:spacing w:after="0" w:line="277" w:lineRule="auto"/>
        <w:rPr>
          <w:sz w:val="20"/>
          <w:szCs w:val="20"/>
          <w:color w:val="auto"/>
        </w:rPr>
      </w:pPr>
      <w:r>
        <w:rPr>
          <w:rFonts w:ascii="Arial" w:cs="Arial" w:eastAsia="Arial" w:hAnsi="Arial"/>
          <w:sz w:val="18"/>
          <w:szCs w:val="18"/>
          <w:color w:val="auto"/>
        </w:rPr>
        <w:t>A summary of the activity in the Company’s unvested restricted stock during the nine months ended November 3, 2019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February 3,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20" w:type="dxa"/>
            <w:vAlign w:val="bottom"/>
          </w:tcPr>
          <w:p>
            <w:pPr>
              <w:spacing w:after="0"/>
              <w:rPr>
                <w:sz w:val="19"/>
                <w:szCs w:val="19"/>
                <w:color w:val="auto"/>
              </w:rPr>
            </w:pPr>
          </w:p>
        </w:tc>
        <w:tc>
          <w:tcPr>
            <w:tcW w:w="7160" w:type="dxa"/>
            <w:vAlign w:val="bottom"/>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165,730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(232,145)</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November 3,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r>
    </w:tbl>
    <w:p>
      <w:pPr>
        <w:spacing w:after="0" w:line="161"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At November 3, 2019, the Company had unrecognized compensation expense of $2.3 million related to the restricted stock awards, which is expected to be recognized over a weighted average period of 2.8 years.</w:t>
      </w:r>
    </w:p>
    <w:p>
      <w:pPr>
        <w:spacing w:after="0" w:line="3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November 3, 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9"/>
              </w:rPr>
              <w:t>February 3, 2019</w:t>
            </w:r>
          </w:p>
        </w:tc>
      </w:tr>
      <w:tr>
        <w:trPr>
          <w:trHeight w:val="196"/>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32,765</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71,469</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36,473</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188,416</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(34,203)</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154,213</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12,896</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139,134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167,109</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SEGMENT REPORTING</w:t>
      </w:r>
    </w:p>
    <w:p>
      <w:pPr>
        <w:spacing w:after="0" w:line="202"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48"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Income tax expense, and corporate expenses, which include but are not limited to: human resources, legal, finance, information technology, design and other corporate-related expenses are included in the Company’s direct segment. Interest expense,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Net sales outside of the United States were insignificant. Variable allocations of assets are not made for segment reporting. The Company does not have any assets outside of the United States.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November 3, 2019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October 28, 2018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November 3, 2019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October 28, 2018</w:t>
            </w:r>
          </w:p>
        </w:tc>
      </w:tr>
      <w:tr>
        <w:trPr>
          <w:trHeight w:val="210"/>
        </w:trPr>
        <w:tc>
          <w:tcPr>
            <w:tcW w:w="2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Direct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61,581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59,827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187,549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186,872</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130,689</w:t>
            </w:r>
          </w:p>
        </w:tc>
      </w:tr>
      <w:tr>
        <w:trPr>
          <w:trHeight w:val="217"/>
        </w:trPr>
        <w:tc>
          <w:tcPr>
            <w:tcW w:w="20" w:type="dxa"/>
            <w:vAlign w:val="bottom"/>
          </w:tcPr>
          <w:p>
            <w:pPr>
              <w:spacing w:after="0"/>
              <w:rPr>
                <w:sz w:val="18"/>
                <w:szCs w:val="18"/>
                <w:color w:val="auto"/>
              </w:rPr>
            </w:pPr>
          </w:p>
        </w:tc>
        <w:tc>
          <w:tcPr>
            <w:tcW w:w="2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317,561</w:t>
            </w:r>
          </w:p>
        </w:tc>
      </w:tr>
      <w:tr>
        <w:trPr>
          <w:trHeight w:val="203"/>
        </w:trPr>
        <w:tc>
          <w:tcPr>
            <w:tcW w:w="2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 (loss)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Direct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(5,229)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(22,054)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(9,362)</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r>
      <w:tr>
        <w:trPr>
          <w:trHeight w:val="210"/>
        </w:trPr>
        <w:tc>
          <w:tcPr>
            <w:tcW w:w="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Total operating income (loss)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7,076</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16"/>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17"/>
        </w:trPr>
        <w:tc>
          <w:tcPr>
            <w:tcW w:w="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(Loss) income before income taxes</w:t>
            </w: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by business is presented in the following table: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732"/>
              <w:spacing w:after="0"/>
              <w:rPr>
                <w:sz w:val="20"/>
                <w:szCs w:val="20"/>
                <w:color w:val="auto"/>
              </w:rPr>
            </w:pPr>
            <w:r>
              <w:rPr>
                <w:rFonts w:ascii="Arial" w:cs="Arial" w:eastAsia="Arial" w:hAnsi="Arial"/>
                <w:sz w:val="14"/>
                <w:szCs w:val="14"/>
                <w:b w:val="1"/>
                <w:bCs w:val="1"/>
                <w:color w:val="auto"/>
              </w:rPr>
              <w:t>Nine Months Ended</w:t>
            </w: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November 3, 2019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w w:val="92"/>
              </w:rPr>
              <w:t>October 28, 2018</w:t>
            </w:r>
          </w:p>
        </w:tc>
        <w:tc>
          <w:tcPr>
            <w:tcW w:w="16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November 3, 2019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October 28, 2018</w:t>
            </w:r>
          </w:p>
        </w:tc>
      </w:tr>
      <w:tr>
        <w:trPr>
          <w:trHeight w:val="196"/>
        </w:trPr>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Men's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72,789</w:t>
            </w:r>
          </w:p>
        </w:tc>
        <w:tc>
          <w:tcPr>
            <w:tcW w:w="8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235,939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216,143</w:t>
            </w: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Women's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w:t>
            </w:r>
          </w:p>
        </w:tc>
      </w:tr>
      <w:tr>
        <w:trPr>
          <w:trHeight w:val="216"/>
        </w:trPr>
        <w:tc>
          <w:tcPr>
            <w:tcW w:w="20" w:type="dxa"/>
            <w:vAlign w:val="bottom"/>
          </w:tcPr>
          <w:p>
            <w:pPr>
              <w:spacing w:after="0"/>
              <w:rPr>
                <w:sz w:val="18"/>
                <w:szCs w:val="18"/>
                <w:color w:val="auto"/>
              </w:rPr>
            </w:pPr>
          </w:p>
        </w:tc>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Hard goods/other</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16,174</w:t>
            </w:r>
          </w:p>
        </w:tc>
      </w:tr>
      <w:tr>
        <w:trPr>
          <w:trHeight w:val="217"/>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net sales</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355,975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317,561</w:t>
            </w:r>
          </w:p>
        </w:tc>
      </w:tr>
      <w:tr>
        <w:trPr>
          <w:trHeight w:val="405"/>
        </w:trPr>
        <w:tc>
          <w:tcPr>
            <w:tcW w:w="20" w:type="dxa"/>
            <w:vAlign w:val="bottom"/>
          </w:tcPr>
          <w:p>
            <w:pPr>
              <w:spacing w:after="0"/>
              <w:rPr>
                <w:sz w:val="24"/>
                <w:szCs w:val="24"/>
                <w:color w:val="auto"/>
              </w:rPr>
            </w:pPr>
          </w:p>
        </w:tc>
        <w:tc>
          <w:tcPr>
            <w:tcW w:w="5100" w:type="dxa"/>
            <w:vAlign w:val="bottom"/>
            <w:gridSpan w:val="4"/>
          </w:tcPr>
          <w:p>
            <w:pPr>
              <w:ind w:left="420"/>
              <w:spacing w:after="0"/>
              <w:rPr>
                <w:sz w:val="20"/>
                <w:szCs w:val="20"/>
                <w:color w:val="auto"/>
              </w:rPr>
            </w:pPr>
            <w:r>
              <w:rPr>
                <w:rFonts w:ascii="Arial" w:cs="Arial" w:eastAsia="Arial" w:hAnsi="Arial"/>
                <w:sz w:val="18"/>
                <w:szCs w:val="18"/>
                <w:color w:val="auto"/>
              </w:rPr>
              <w:t>Segment total assets is presented in the following table: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4"/>
                <w:szCs w:val="14"/>
                <w:b w:val="1"/>
                <w:bCs w:val="1"/>
                <w:color w:val="auto"/>
              </w:rPr>
              <w:t>November 3, 2019</w:t>
            </w:r>
          </w:p>
        </w:tc>
        <w:tc>
          <w:tcPr>
            <w:tcW w:w="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4"/>
                <w:szCs w:val="14"/>
                <w:b w:val="1"/>
                <w:bCs w:val="1"/>
                <w:color w:val="auto"/>
                <w:w w:val="94"/>
              </w:rPr>
              <w:t>February 3, 2019</w:t>
            </w:r>
          </w:p>
        </w:tc>
      </w:tr>
      <w:tr>
        <w:trPr>
          <w:trHeight w:val="183"/>
        </w:trPr>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97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286,288</w:t>
            </w:r>
          </w:p>
        </w:tc>
        <w:tc>
          <w:tcPr>
            <w:tcW w:w="66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181,429</w:t>
            </w:r>
          </w:p>
        </w:tc>
      </w:tr>
      <w:tr>
        <w:trPr>
          <w:trHeight w:val="216"/>
        </w:trPr>
        <w:tc>
          <w:tcPr>
            <w:tcW w:w="20" w:type="dxa"/>
            <w:vAlign w:val="bottom"/>
          </w:tcPr>
          <w:p>
            <w:pPr>
              <w:spacing w:after="0"/>
              <w:rPr>
                <w:sz w:val="18"/>
                <w:szCs w:val="18"/>
                <w:color w:val="auto"/>
              </w:rPr>
            </w:pPr>
          </w:p>
        </w:tc>
        <w:tc>
          <w:tcPr>
            <w:tcW w:w="2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231,829</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113,876</w:t>
            </w:r>
          </w:p>
        </w:tc>
      </w:tr>
      <w:tr>
        <w:trPr>
          <w:trHeight w:val="217"/>
        </w:trPr>
        <w:tc>
          <w:tcPr>
            <w:tcW w:w="2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518,117</w:t>
            </w: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295,305</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CONTRACT ASSETS AND LIABILITIES</w:t>
      </w:r>
    </w:p>
    <w:p>
      <w:pPr>
        <w:spacing w:after="0" w:line="18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 Based on historical redemption patterns, gift cards are generally redeemed within one year and gift card breakage is not material.</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November 3, 2019</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February 3, 2019</w:t>
            </w:r>
          </w:p>
        </w:tc>
      </w:tr>
      <w:tr>
        <w:trPr>
          <w:trHeight w:val="196"/>
        </w:trPr>
        <w:tc>
          <w:tcPr>
            <w:tcW w:w="3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 liabilities</w:t>
            </w:r>
          </w:p>
        </w:tc>
        <w:tc>
          <w:tcPr>
            <w:tcW w:w="2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6,963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8,508</w:t>
            </w:r>
          </w:p>
        </w:tc>
      </w:tr>
    </w:tbl>
    <w:p>
      <w:pPr>
        <w:spacing w:after="0" w:line="147"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The amount of revenue recognized from our beginning contract liability balance was $1.9 million and $7.0 million in the three and nine months ended November 3, 2019,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189" w:lineRule="exact"/>
        <w:rPr>
          <w:sz w:val="20"/>
          <w:szCs w:val="20"/>
          <w:color w:val="auto"/>
        </w:rPr>
      </w:pPr>
    </w:p>
    <w:p>
      <w:pPr>
        <w:ind w:firstLine="428"/>
        <w:spacing w:after="0" w:line="286" w:lineRule="auto"/>
        <w:rPr>
          <w:sz w:val="20"/>
          <w:szCs w:val="20"/>
          <w:color w:val="auto"/>
        </w:rPr>
      </w:pPr>
      <w:r>
        <w:rPr>
          <w:rFonts w:ascii="Arial" w:cs="Arial" w:eastAsia="Arial" w:hAnsi="Arial"/>
          <w:sz w:val="16"/>
          <w:szCs w:val="16"/>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for the three months ended November 3, 2019 was impacted by discrete items related to stock compensation activity. The effective tax rate was 29% for the nine months ended November 3,</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2019. The effective tax rate related to controlling interest for the three and nine months ended October 28, 2018 was 25% and 27%, respectively. The income from TRI was excluded from the calculation of the Company’s effective tax rate, as TRI is a limited liability company and not subject to income taxes.</w:t>
      </w:r>
    </w:p>
    <w:p>
      <w:pPr>
        <w:spacing w:after="0" w:line="1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RECENT ACCOUNTING PRONOUNCEMENTS</w:t>
      </w:r>
    </w:p>
    <w:p>
      <w:pPr>
        <w:spacing w:after="0" w:line="189"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During the nine months ended November 3, 2019, there have been no new recent accounting pronouncements that are of significance, or potential significance, to the Company.</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SUBSEQUENT EVENTS</w:t>
      </w:r>
    </w:p>
    <w:p>
      <w:pPr>
        <w:spacing w:after="0" w:line="202"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The Company has evaluated subsequent events through the date which these condensed consolidated financial statements were available to be issued and has determined that it does not have any material subsequent events to disclose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12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February 3, 2019 (“2018 Form 10-K”).</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The three and nine months of fiscal 2019 and fiscal 2018 represent our 13 and 39-week periods ended November 3, 2019 and October 28, 2018,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w:t>
      </w:r>
    </w:p>
    <w:p>
      <w:pPr>
        <w:spacing w:after="0"/>
        <w:rPr>
          <w:sz w:val="20"/>
          <w:szCs w:val="20"/>
          <w:color w:val="auto"/>
        </w:rPr>
      </w:pPr>
      <w:r>
        <w:rPr>
          <w:rFonts w:ascii="Arial" w:cs="Arial" w:eastAsia="Arial" w:hAnsi="Arial"/>
          <w:sz w:val="14"/>
          <w:szCs w:val="14"/>
          <w:i w:val="1"/>
          <w:iCs w:val="1"/>
          <w:color w:val="auto"/>
        </w:rPr>
        <w:t>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428"/>
        <w:spacing w:after="0" w:line="284"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2018 Form 10-K and other SEC filings, which factors are incorporated by reference herein. These risks and uncertainties include, but are not limited to, the following: our ability to maintain and enhance a strong brand image; our ability to successfully open new stores; effectively adapting to new challenges associated with our expansion into new geographic markets; generating adequate cash from our existing stores to support our growth;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45" w:lineRule="exact"/>
        <w:rPr>
          <w:sz w:val="20"/>
          <w:szCs w:val="20"/>
          <w:color w:val="auto"/>
        </w:rPr>
      </w:pPr>
    </w:p>
    <w:p>
      <w:pPr>
        <w:ind w:right="70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firstLine="428"/>
        <w:spacing w:after="0" w:line="288" w:lineRule="auto"/>
        <w:rPr>
          <w:sz w:val="20"/>
          <w:szCs w:val="20"/>
          <w:color w:val="auto"/>
        </w:rPr>
      </w:pPr>
      <w:r>
        <w:rPr>
          <w:rFonts w:ascii="Arial" w:cs="Arial" w:eastAsia="Arial" w:hAnsi="Arial"/>
          <w:sz w:val="16"/>
          <w:szCs w:val="16"/>
          <w:color w:val="auto"/>
        </w:rPr>
        <w:t>We are a growing lifestyle brand of men’s and women’s casual wear, workwear and accessories sold exclusively through our own omni-channel platform. The direct segment, consisting of our website and catalogs, offers products nationwide and represented 51.4% and 52.7% of our consolidated net sales for the three and nine months ended November 3, 2019, respectively, and 56.1% and</w:t>
      </w:r>
    </w:p>
    <w:p>
      <w:pPr>
        <w:ind w:right="20"/>
        <w:spacing w:after="0" w:line="271" w:lineRule="auto"/>
        <w:rPr>
          <w:sz w:val="20"/>
          <w:szCs w:val="20"/>
          <w:color w:val="auto"/>
        </w:rPr>
      </w:pPr>
      <w:r>
        <w:rPr>
          <w:rFonts w:ascii="Arial" w:cs="Arial" w:eastAsia="Arial" w:hAnsi="Arial"/>
          <w:sz w:val="17"/>
          <w:szCs w:val="17"/>
          <w:color w:val="auto"/>
        </w:rPr>
        <w:t>58.8% of our consolidated net sales for the three and nine months ended October 28, 2018, respectively. In 2010, we added retail to our omni-channel platform with the opening of our first store. Since then, we have expanded our retail presence, and as of November 3, 2019, we operated 55 retail stores and three outlet stores. Net sales for our retail segment represented 48.6% and 47.3% of our consolidated net sales for the three and nine months ended November 3, 2019, respectively and 43.9% and 41.2% of our consolidated net sales for the three and nine months ended October 28, 2018, respectively.</w:t>
      </w:r>
    </w:p>
    <w:p>
      <w:pPr>
        <w:spacing w:after="0" w:line="152"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We offer a comprehensive line of innovative, durable and functional products, such as our Longtail T</w:t>
      </w:r>
      <w:r>
        <w:rPr>
          <w:rFonts w:ascii="Arial" w:cs="Arial" w:eastAsia="Arial" w:hAnsi="Arial"/>
          <w:sz w:val="7"/>
          <w:szCs w:val="7"/>
          <w:color w:val="auto"/>
        </w:rPr>
        <w:t>®</w:t>
      </w:r>
      <w:r>
        <w:rPr>
          <w:rFonts w:ascii="Arial" w:cs="Arial" w:eastAsia="Arial" w:hAnsi="Arial"/>
          <w:sz w:val="18"/>
          <w:szCs w:val="18"/>
          <w:color w:val="auto"/>
        </w:rPr>
        <w:t xml:space="preserve"> shirts, Buck Naked</w:t>
      </w:r>
      <w:r>
        <w:rPr>
          <w:rFonts w:ascii="Arial" w:cs="Arial" w:eastAsia="Arial" w:hAnsi="Arial"/>
          <w:sz w:val="7"/>
          <w:szCs w:val="7"/>
          <w:color w:val="auto"/>
        </w:rPr>
        <w:t>TM</w:t>
      </w:r>
      <w:r>
        <w:rPr>
          <w:rFonts w:ascii="Arial" w:cs="Arial" w:eastAsia="Arial" w:hAnsi="Arial"/>
          <w:sz w:val="18"/>
          <w:szCs w:val="18"/>
          <w:color w:val="auto"/>
        </w:rPr>
        <w:t xml:space="preserve"> underwear, Fire Hose</w:t>
      </w:r>
      <w:r>
        <w:rPr>
          <w:rFonts w:ascii="Arial" w:cs="Arial" w:eastAsia="Arial" w:hAnsi="Arial"/>
          <w:sz w:val="7"/>
          <w:szCs w:val="7"/>
          <w:color w:val="auto"/>
        </w:rPr>
        <w:t>®</w:t>
      </w:r>
      <w:r>
        <w:rPr>
          <w:rFonts w:ascii="Arial" w:cs="Arial" w:eastAsia="Arial" w:hAnsi="Arial"/>
          <w:sz w:val="18"/>
          <w:szCs w:val="18"/>
          <w:color w:val="auto"/>
        </w:rPr>
        <w:t xml:space="preserve"> work pants, and No-Yank</w:t>
      </w:r>
      <w:r>
        <w:rPr>
          <w:rFonts w:ascii="Arial" w:cs="Arial" w:eastAsia="Arial" w:hAnsi="Arial"/>
          <w:sz w:val="7"/>
          <w:szCs w:val="7"/>
          <w:color w:val="auto"/>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40"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1" w:lineRule="exact"/>
        <w:rPr>
          <w:sz w:val="20"/>
          <w:szCs w:val="20"/>
          <w:color w:val="auto"/>
        </w:rPr>
      </w:pPr>
    </w:p>
    <w:p>
      <w:pPr>
        <w:ind w:left="860" w:hanging="420"/>
        <w:spacing w:after="0"/>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39 consecutive quarters through November 3, 2019;</w:t>
      </w:r>
    </w:p>
    <w:p>
      <w:pPr>
        <w:spacing w:after="0" w:line="96" w:lineRule="exact"/>
        <w:rPr>
          <w:rFonts w:ascii="Arial" w:cs="Arial" w:eastAsia="Arial" w:hAnsi="Arial"/>
          <w:sz w:val="29"/>
          <w:szCs w:val="29"/>
          <w:color w:val="auto"/>
          <w:vertAlign w:val="superscript"/>
        </w:rPr>
      </w:pPr>
    </w:p>
    <w:p>
      <w:pPr>
        <w:ind w:left="860" w:right="40" w:hanging="420"/>
        <w:spacing w:after="0" w:line="213" w:lineRule="auto"/>
        <w:tabs>
          <w:tab w:leader="none" w:pos="86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Net sales in fiscal 2019 third quarter increased by 12.2% over the prior year third quarter to $119.8 million, and net sales in the first nine months of fiscal 2019 increased by 12.1% over the first nine months of the prior year to $356.0 million;</w:t>
      </w:r>
    </w:p>
    <w:p>
      <w:pPr>
        <w:spacing w:after="0" w:line="82" w:lineRule="exact"/>
        <w:rPr>
          <w:rFonts w:ascii="Arial" w:cs="Arial" w:eastAsia="Arial" w:hAnsi="Arial"/>
          <w:sz w:val="26"/>
          <w:szCs w:val="26"/>
          <w:color w:val="auto"/>
          <w:vertAlign w:val="superscript"/>
        </w:rPr>
      </w:pPr>
    </w:p>
    <w:p>
      <w:pPr>
        <w:ind w:left="860" w:right="180" w:hanging="420"/>
        <w:spacing w:after="0" w:line="212" w:lineRule="auto"/>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Net income of $0.2 million in fiscal 2019 third quarter compared to the prior year third quarter net loss of $3.2 million and net loss in the first nine months of fiscal 2019 of $5.5 million compared to the prior year first nine months net income of $2.5 million.</w:t>
      </w:r>
    </w:p>
    <w:p>
      <w:pPr>
        <w:spacing w:after="0" w:line="82" w:lineRule="exact"/>
        <w:rPr>
          <w:rFonts w:ascii="Arial" w:cs="Arial" w:eastAsia="Arial" w:hAnsi="Arial"/>
          <w:sz w:val="29"/>
          <w:szCs w:val="29"/>
          <w:color w:val="auto"/>
          <w:vertAlign w:val="superscript"/>
        </w:rPr>
      </w:pPr>
    </w:p>
    <w:p>
      <w:pPr>
        <w:ind w:left="860" w:hanging="420"/>
        <w:spacing w:after="0" w:line="212" w:lineRule="auto"/>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Adjusted EBITDA of $7.3 million in fiscal 2019 third quarter compared to the prior year third quarter Adjusted EBITDA of $1.0 million and adjusted EBITDA in the first nine months of fiscal 2019 decreased by 4.7% over the first nine months of the prior year to $12.0 million;</w:t>
      </w:r>
    </w:p>
    <w:p>
      <w:pPr>
        <w:spacing w:after="0" w:line="2" w:lineRule="exact"/>
        <w:rPr>
          <w:rFonts w:ascii="Arial" w:cs="Arial" w:eastAsia="Arial" w:hAnsi="Arial"/>
          <w:sz w:val="29"/>
          <w:szCs w:val="29"/>
          <w:color w:val="auto"/>
          <w:vertAlign w:val="superscript"/>
        </w:rPr>
      </w:pPr>
    </w:p>
    <w:p>
      <w:pPr>
        <w:ind w:left="860" w:hanging="420"/>
        <w:spacing w:after="0" w:line="231" w:lineRule="auto"/>
        <w:tabs>
          <w:tab w:leader="none" w:pos="8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We opened three new stores in fiscal 2019 third quarter, adding approximately 47,000 of gross square footage; and</w:t>
      </w:r>
    </w:p>
    <w:p>
      <w:pPr>
        <w:spacing w:after="0" w:line="96" w:lineRule="exact"/>
        <w:rPr>
          <w:rFonts w:ascii="Arial" w:cs="Arial" w:eastAsia="Arial" w:hAnsi="Arial"/>
          <w:sz w:val="28"/>
          <w:szCs w:val="28"/>
          <w:color w:val="auto"/>
          <w:vertAlign w:val="superscript"/>
        </w:rPr>
      </w:pPr>
    </w:p>
    <w:p>
      <w:pPr>
        <w:ind w:left="860" w:hanging="420"/>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and are expected to continue to achieve an average payback of less than two years.</w:t>
      </w:r>
    </w:p>
    <w:p>
      <w:pPr>
        <w:spacing w:after="0" w:line="202"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We expect that the pace of capital outlays will moderate going forward and into 2020 as we rebalance our business model to focus on driving greater returns on the capital invested and growing our operating earnings and positive free cash flow. We plan to continue opening stores in new markets, but will likely plan for expanding square footage by 30% to 40% less than we have over the last 3 years. We believe the capital deployed for systems and infrastructure will also moderate as much of the investments needed to scale and support our growing business is in place now. As such, the expense associated with these investments is fixed and should allow for greater operating leverage in net earnings.</w:t>
      </w:r>
    </w:p>
    <w:p>
      <w:pPr>
        <w:spacing w:after="0" w:line="138"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60"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41"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With a focus on profitability we are pursuing several strategies to continue our growth, including building brand awareness to continue customer acquisition, continuing retail expansion at the pace described above,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02"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80" w:firstLine="428"/>
        <w:spacing w:after="0" w:line="31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shipment of the product and retail sales are recognized at the point of sale. We also use net sales as one of the key financial metrics in determining our annual bonus compensation for our employees.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20" w:firstLine="428"/>
        <w:spacing w:after="0" w:line="268" w:lineRule="auto"/>
        <w:rPr>
          <w:sz w:val="20"/>
          <w:szCs w:val="20"/>
          <w:color w:val="auto"/>
        </w:rPr>
      </w:pPr>
      <w:r>
        <w:rPr>
          <w:rFonts w:ascii="Arial" w:cs="Arial" w:eastAsia="Arial" w:hAnsi="Arial"/>
          <w:sz w:val="17"/>
          <w:szCs w:val="17"/>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18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49" w:lineRule="exact"/>
        <w:rPr>
          <w:sz w:val="20"/>
          <w:szCs w:val="20"/>
          <w:color w:val="auto"/>
        </w:rPr>
      </w:pPr>
    </w:p>
    <w:p>
      <w:pPr>
        <w:ind w:right="80" w:firstLine="428"/>
        <w:spacing w:after="0" w:line="279" w:lineRule="auto"/>
        <w:rPr>
          <w:sz w:val="20"/>
          <w:szCs w:val="20"/>
          <w:color w:val="auto"/>
        </w:rPr>
      </w:pPr>
      <w:r>
        <w:rPr>
          <w:rFonts w:ascii="Arial" w:cs="Arial" w:eastAsia="Arial" w:hAnsi="Arial"/>
          <w:sz w:val="17"/>
          <w:szCs w:val="17"/>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0"/>
              </w:rPr>
              <w:t>November 3, 2019</w:t>
            </w:r>
          </w:p>
        </w:tc>
        <w:tc>
          <w:tcPr>
            <w:tcW w:w="100" w:type="dxa"/>
            <w:vAlign w:val="bottom"/>
          </w:tcPr>
          <w:p>
            <w:pPr>
              <w:spacing w:after="0"/>
              <w:rPr>
                <w:sz w:val="15"/>
                <w:szCs w:val="15"/>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2"/>
              </w:rPr>
              <w:t>October 28, 2018</w:t>
            </w:r>
          </w:p>
        </w:tc>
        <w:tc>
          <w:tcPr>
            <w:tcW w:w="80" w:type="dxa"/>
            <w:vAlign w:val="bottom"/>
          </w:tcPr>
          <w:p>
            <w:pPr>
              <w:spacing w:after="0"/>
              <w:rPr>
                <w:sz w:val="15"/>
                <w:szCs w:val="15"/>
                <w:color w:val="auto"/>
              </w:rPr>
            </w:pPr>
          </w:p>
        </w:tc>
        <w:tc>
          <w:tcPr>
            <w:tcW w:w="13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2"/>
              </w:rPr>
              <w:t>November 3, 2019</w:t>
            </w:r>
          </w:p>
        </w:tc>
        <w:tc>
          <w:tcPr>
            <w:tcW w:w="100" w:type="dxa"/>
            <w:vAlign w:val="bottom"/>
          </w:tcPr>
          <w:p>
            <w:pPr>
              <w:spacing w:after="0"/>
              <w:rPr>
                <w:sz w:val="15"/>
                <w:szCs w:val="15"/>
                <w:color w:val="auto"/>
              </w:rPr>
            </w:pPr>
          </w:p>
        </w:tc>
        <w:tc>
          <w:tcPr>
            <w:tcW w:w="14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2"/>
              </w:rPr>
              <w:t>October 28, 2018</w:t>
            </w: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186,872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168,426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130,689</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00" w:type="dxa"/>
            <w:vAlign w:val="bottom"/>
            <w:gridSpan w:val="2"/>
          </w:tcPr>
          <w:p>
            <w:pPr>
              <w:spacing w:after="0"/>
              <w:rPr>
                <w:sz w:val="20"/>
                <w:szCs w:val="20"/>
                <w:color w:val="auto"/>
              </w:rPr>
            </w:pPr>
            <w:r>
              <w:rPr>
                <w:rFonts w:ascii="Arial" w:cs="Arial" w:eastAsia="Arial" w:hAnsi="Arial"/>
                <w:sz w:val="18"/>
                <w:szCs w:val="18"/>
                <w:color w:val="auto"/>
              </w:rPr>
              <w:t>Cost of goods sold (excluding depreciation</w:t>
            </w: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and amortization)</w:t>
            </w: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45,730</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164,888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138,410</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6"/>
              </w:rPr>
              <w:t>Selling, general and administrative expenses</w:t>
            </w:r>
          </w:p>
        </w:tc>
        <w:tc>
          <w:tcPr>
            <w:tcW w:w="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196,128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172,075</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tcPr>
          <w:p>
            <w:pPr>
              <w:spacing w:after="0" w:line="182" w:lineRule="exact"/>
              <w:rPr>
                <w:sz w:val="20"/>
                <w:szCs w:val="20"/>
                <w:color w:val="auto"/>
              </w:rPr>
            </w:pPr>
            <w:r>
              <w:rPr>
                <w:rFonts w:ascii="Arial" w:cs="Arial" w:eastAsia="Arial" w:hAnsi="Arial"/>
                <w:sz w:val="18"/>
                <w:szCs w:val="18"/>
                <w:color w:val="auto"/>
              </w:rPr>
              <w:t>Net income (loss) attributable to controlling</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(3,150)</w:t>
            </w:r>
          </w:p>
        </w:tc>
        <w:tc>
          <w:tcPr>
            <w:tcW w:w="16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(5,453)</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2,536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3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3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Direct net sales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51.4 %</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56.1 %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and amortization)</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45.4 %</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Gross margin</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6"/>
              </w:rPr>
              <w:t>Selling, general and administrative expenses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53.5 %</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Less: Net (loss) income attributable to</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controlling</w:t>
            </w: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8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2460"/>
        <w:spacing w:after="0" w:line="464" w:lineRule="auto"/>
        <w:rPr>
          <w:sz w:val="20"/>
          <w:szCs w:val="20"/>
          <w:color w:val="auto"/>
        </w:rPr>
      </w:pPr>
      <w:r>
        <w:rPr>
          <w:rFonts w:ascii="Arial" w:cs="Arial" w:eastAsia="Arial" w:hAnsi="Arial"/>
          <w:sz w:val="18"/>
          <w:szCs w:val="18"/>
          <w:b w:val="1"/>
          <w:bCs w:val="1"/>
          <w:color w:val="auto"/>
        </w:rPr>
        <w:t xml:space="preserve">Three Months Ended November 3, 2019 Compared to Three Months Ended October 28, 2018 </w:t>
      </w:r>
      <w:r>
        <w:rPr>
          <w:rFonts w:ascii="Arial" w:cs="Arial" w:eastAsia="Arial" w:hAnsi="Arial"/>
          <w:sz w:val="18"/>
          <w:szCs w:val="18"/>
          <w:b w:val="1"/>
          <w:bCs w:val="1"/>
          <w:i w:val="1"/>
          <w:iCs w:val="1"/>
          <w:color w:val="auto"/>
        </w:rPr>
        <w:t>Net Sales</w:t>
      </w:r>
    </w:p>
    <w:p>
      <w:pPr>
        <w:ind w:right="420" w:firstLine="428"/>
        <w:spacing w:after="0" w:line="291" w:lineRule="auto"/>
        <w:rPr>
          <w:sz w:val="20"/>
          <w:szCs w:val="20"/>
          <w:color w:val="auto"/>
        </w:rPr>
      </w:pPr>
      <w:r>
        <w:rPr>
          <w:rFonts w:ascii="Arial" w:cs="Arial" w:eastAsia="Arial" w:hAnsi="Arial"/>
          <w:sz w:val="16"/>
          <w:szCs w:val="16"/>
          <w:color w:val="auto"/>
        </w:rPr>
        <w:t>Net sales increased $13.1 million, or 12.2%, to $119.8 million in the three months ended November 3, 2019 compared to $106.7 million in the three months ended October 28, 2018, driven by gains in both direct and retail segment of $1.8 million, or</w:t>
      </w:r>
    </w:p>
    <w:p>
      <w:pPr>
        <w:spacing w:after="0" w:line="253" w:lineRule="auto"/>
        <w:rPr>
          <w:sz w:val="20"/>
          <w:szCs w:val="20"/>
          <w:color w:val="auto"/>
        </w:rPr>
      </w:pPr>
      <w:r>
        <w:rPr>
          <w:rFonts w:ascii="Arial" w:cs="Arial" w:eastAsia="Arial" w:hAnsi="Arial"/>
          <w:sz w:val="18"/>
          <w:szCs w:val="18"/>
          <w:color w:val="auto"/>
        </w:rPr>
        <w:t>2.9% and $11.3 million, or 24.1%, with gains across the majority of product categories and in both our men’s and women’s business. Our website visits increased 5% in the three months ended November 3, 2019 compared to the three months ended October 28, 2018. Direct net sales growth continues to remain strong in our store markets, outpacing the growth achieved in markets without a store presence. The increase in retail net sales was driven by new stores with 58 stores as of November 3, 2019 compared to 43 stores as of October 28, 2018, partially offset by existing stores.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Gross profit increased $4.4 million, or 7.2%, to $65.4 million in the three months ended November 3, 2019 compared to $61.0 million in the three months ended October 28, 2018. As a percentage of net sales, gross margin decreased 250 basis points to 54.6% of net sales in the three months ended November 3, 2019, compared to 57.1% of net sales in the three months ended October 28, 2018. The decrease in gross margin rate was primarily attributable to a decrease in product margins due to additional global promotions, coupled with recent clearance activity.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8"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Selling, general and administrative expenses increased $0.5 million, or 0.8%, to $64.0 million in the three months ended November 3, 2019 compared to $63.5 million in the three months ended October 28, 2018. Selling, general and administrative expenses as a percentage of net sales decreased 600 basis points to 53.5% in the three months ended November 3, 2019, compared to 59.5% in the three months ended October 28, 2018. The increase in selling, general and administrative expenses was attributable to an increase of $2.2 million in general and administrative expenses, an increase of $0.9 million in selling expenses and a decrease of $2.6 million in advertising and marketing costs.</w:t>
      </w:r>
    </w:p>
    <w:p>
      <w:pPr>
        <w:spacing w:after="0" w:line="153"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As a percentage of net sales, general and administrative expenses decreased 50 basis points to 22.1% in the three months ended November 3, 2019, compared to 22.6% in the three months ended October 28, 2018. The 50 basis point decrease was primarily attributable to leverage gained from a higher mix of retail sales.</w:t>
      </w:r>
    </w:p>
    <w:p>
      <w:pPr>
        <w:spacing w:after="0" w:line="141" w:lineRule="exact"/>
        <w:rPr>
          <w:sz w:val="20"/>
          <w:szCs w:val="20"/>
          <w:color w:val="auto"/>
        </w:rPr>
      </w:pPr>
    </w:p>
    <w:p>
      <w:pPr>
        <w:ind w:right="200" w:firstLine="428"/>
        <w:spacing w:after="0" w:line="264" w:lineRule="auto"/>
        <w:rPr>
          <w:sz w:val="20"/>
          <w:szCs w:val="20"/>
          <w:color w:val="auto"/>
        </w:rPr>
      </w:pPr>
      <w:r>
        <w:rPr>
          <w:rFonts w:ascii="Arial" w:cs="Arial" w:eastAsia="Arial" w:hAnsi="Arial"/>
          <w:sz w:val="18"/>
          <w:szCs w:val="18"/>
          <w:color w:val="auto"/>
        </w:rPr>
        <w:t>As a percentage of net sales, selling expenses decreased 110 basis points to 15.4% in the three months ended November 3, 2019, compared to 16.5% in the three months ended October 28, 2018, primarily due to gained efficiencies at both the distribution center and call center.</w:t>
      </w:r>
    </w:p>
    <w:p>
      <w:pPr>
        <w:spacing w:after="0" w:line="154" w:lineRule="exact"/>
        <w:rPr>
          <w:sz w:val="20"/>
          <w:szCs w:val="20"/>
          <w:color w:val="auto"/>
        </w:rPr>
      </w:pPr>
    </w:p>
    <w:p>
      <w:pPr>
        <w:ind w:right="40" w:firstLine="428"/>
        <w:spacing w:after="0" w:line="259" w:lineRule="auto"/>
        <w:rPr>
          <w:sz w:val="20"/>
          <w:szCs w:val="20"/>
          <w:color w:val="auto"/>
        </w:rPr>
      </w:pPr>
      <w:r>
        <w:rPr>
          <w:rFonts w:ascii="Arial" w:cs="Arial" w:eastAsia="Arial" w:hAnsi="Arial"/>
          <w:sz w:val="18"/>
          <w:szCs w:val="18"/>
          <w:color w:val="auto"/>
        </w:rPr>
        <w:t>As a percentage of net sales, advertising and marketing costs decreased 440 basis points to 16.0% in the three months ended November 3, 2019, compared to 20.4% in the three months ended October 28, 2018. The 440 basis point decrease in advertising and marketing costs as a percentage of net sales was primarily attributable to lower catalog circulation and advertising leverage gained from a higher mix of retail sales.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85"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Income tax benefit was $0.2 million in the three months ended November 3, 2019, compared to $1.1 million in the three months ended October 28, 2018. Our effective tax rate related to controlling interest for the three months ended November 3, 2019 was impacted by discrete items related to stock-compensation activity. Our effective tax rate related to controlling interest was 25% for the three months ended October 28,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185"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Net income was $0.2 million, in the three months ended November 3, 2019 compared to a net loss of $3.2 million in the three months ended October 28, 2018, primarily due to the factors discussed above.</w:t>
      </w:r>
    </w:p>
    <w:p>
      <w:pPr>
        <w:spacing w:after="0" w:line="200" w:lineRule="exact"/>
        <w:rPr>
          <w:sz w:val="20"/>
          <w:szCs w:val="20"/>
          <w:color w:val="auto"/>
        </w:rPr>
      </w:pPr>
    </w:p>
    <w:p>
      <w:pPr>
        <w:spacing w:after="0" w:line="331" w:lineRule="exact"/>
        <w:rPr>
          <w:sz w:val="20"/>
          <w:szCs w:val="20"/>
          <w:color w:val="auto"/>
        </w:rPr>
      </w:pPr>
    </w:p>
    <w:p>
      <w:pPr>
        <w:ind w:right="2640"/>
        <w:spacing w:after="0" w:line="456" w:lineRule="auto"/>
        <w:rPr>
          <w:sz w:val="20"/>
          <w:szCs w:val="20"/>
          <w:color w:val="auto"/>
        </w:rPr>
      </w:pPr>
      <w:r>
        <w:rPr>
          <w:rFonts w:ascii="Arial" w:cs="Arial" w:eastAsia="Arial" w:hAnsi="Arial"/>
          <w:sz w:val="18"/>
          <w:szCs w:val="18"/>
          <w:b w:val="1"/>
          <w:bCs w:val="1"/>
          <w:color w:val="auto"/>
        </w:rPr>
        <w:t xml:space="preserve">Nine Months Ended November 3, 2019 Compared to Nine Months Ended October 28, 2018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sales increased $38.4 million, or 12.1%, to $356.0 million in the nine months ended November 3, 2019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$317.6 million in the nine months ended October 28, 2018, driven by an increase in both direct and retail segment of $0.7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and $37.7 million, or 28.9%, with gains across the majority of product categories and in both our men’s and women’s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website visits increased 10% in the nine months ended November 3, 2019 compared to the nine months ended October 28,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retail net sales was primarily attributable to the same factors discussed above for the three months ended November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 2019 compared to the three months ended October 28,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Gross profit increased $11.9 million, or 6.7%, to $191.1 million in the nine months ended November 3, 2019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$179.2 million in the nine months ended October 28, 2018. As a percentage of net sales, gross margin decreased 270 basis points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53.7% of net sales in the nine months ended November 3, 2019, compared to 56.4% of net sales in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28, 2018. The decrease in gross margin rate was primarily attributable to a decrease in product margins due to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clearance activity and global promotions, coupled with a slight decrease in shipping revenues.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200" w:firstLine="428"/>
        <w:spacing w:after="0" w:line="297" w:lineRule="auto"/>
        <w:rPr>
          <w:sz w:val="20"/>
          <w:szCs w:val="20"/>
          <w:color w:val="auto"/>
        </w:rPr>
      </w:pPr>
      <w:r>
        <w:rPr>
          <w:rFonts w:ascii="Arial" w:cs="Arial" w:eastAsia="Arial" w:hAnsi="Arial"/>
          <w:sz w:val="16"/>
          <w:szCs w:val="16"/>
          <w:color w:val="auto"/>
        </w:rPr>
        <w:t>Selling, general and administrative expenses increased $24.1 million, or 14.0%, to $196.1 million in the nine months ended November 3, 2019 compared to $172.1 million in the nine months ended October 28, 2018. Selling, general and administrative expenses as a percentage of net sales increased 90 basis points to 55.1% in the nine months ended November 3, 2019, compared to 54.2% in the nine months ended October 28, 2018. The increase in selling, general and administrative expenses was attributable to an increase of $18.8 million in general and administrative expenses and $5.1 million in selling expenses.</w:t>
      </w:r>
    </w:p>
    <w:p>
      <w:pPr>
        <w:spacing w:after="0" w:line="118"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As a percentage of net sales, general and administrative expenses increased 310 basis points to 22.9% in the nine months ended November 3, 2019, compared to 19.8% in the nine months ended October 28, 2018. The 130 basis point increase was primarily attributable to an increase in occupancy and equipment cost due to growth in the number of retail stores and an increase in depreciation expense due to investments in technology and corporate facilities.</w:t>
      </w:r>
    </w:p>
    <w:p>
      <w:pPr>
        <w:spacing w:after="0" w:line="160"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As a percentage of net sales, selling expenses decreased 20 basis points to 15.5% in the nine months ended November 3, 2019, compared to 15.7% in the nine months ended October 28, 2018, primarily due to leverage gained from a higher mix of retail sales.</w:t>
      </w:r>
    </w:p>
    <w:p>
      <w:pPr>
        <w:spacing w:after="0" w:line="83" w:lineRule="exact"/>
        <w:rPr>
          <w:sz w:val="20"/>
          <w:szCs w:val="20"/>
          <w:color w:val="auto"/>
        </w:rPr>
      </w:pPr>
    </w:p>
    <w:p>
      <w:pPr>
        <w:ind w:right="120" w:firstLine="428"/>
        <w:spacing w:after="0" w:line="259" w:lineRule="auto"/>
        <w:rPr>
          <w:sz w:val="20"/>
          <w:szCs w:val="20"/>
          <w:color w:val="auto"/>
        </w:rPr>
      </w:pPr>
      <w:r>
        <w:rPr>
          <w:rFonts w:ascii="Arial" w:cs="Arial" w:eastAsia="Arial" w:hAnsi="Arial"/>
          <w:sz w:val="18"/>
          <w:szCs w:val="18"/>
          <w:color w:val="auto"/>
        </w:rPr>
        <w:t>As a percentage of net sales, advertising and marketing costs decreased 200 basis points to 16.7% in the nine months ended November 3, 2019, compared to 18.7% in the nine months ended October 28, 2018. The 200 basis point decrease in advertising and marketing costs as a percentage of net sales was primarily attributable to lower catalog circulation and advertising leverage gained from a higher mix of retail sales.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98" w:lineRule="exact"/>
        <w:rPr>
          <w:sz w:val="20"/>
          <w:szCs w:val="20"/>
          <w:color w:val="auto"/>
        </w:rPr>
      </w:pPr>
    </w:p>
    <w:p>
      <w:pPr>
        <w:ind w:right="40" w:firstLine="428"/>
        <w:spacing w:after="0" w:line="259" w:lineRule="auto"/>
        <w:rPr>
          <w:sz w:val="20"/>
          <w:szCs w:val="20"/>
          <w:color w:val="auto"/>
        </w:rPr>
      </w:pPr>
      <w:r>
        <w:rPr>
          <w:rFonts w:ascii="Arial" w:cs="Arial" w:eastAsia="Arial" w:hAnsi="Arial"/>
          <w:sz w:val="18"/>
          <w:szCs w:val="18"/>
          <w:color w:val="auto"/>
        </w:rPr>
        <w:t>Income tax benefit was $2.2 million for the nine months ended November 3, 2019, compared to income tax expense of $0.9 million in the nine months ended October 28, 2018. Our effective tax rate related to controlling interest was 29% for the nine months ended November 3, 2019, which benefited from current quarter discrete items, compared to 27% for the nine months ended October 28,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185" w:lineRule="exact"/>
        <w:rPr>
          <w:sz w:val="20"/>
          <w:szCs w:val="20"/>
          <w:color w:val="auto"/>
        </w:rPr>
      </w:pPr>
    </w:p>
    <w:p>
      <w:pPr>
        <w:ind w:right="360" w:firstLine="428"/>
        <w:spacing w:after="0" w:line="277" w:lineRule="auto"/>
        <w:rPr>
          <w:sz w:val="20"/>
          <w:szCs w:val="20"/>
          <w:color w:val="auto"/>
        </w:rPr>
      </w:pPr>
      <w:r>
        <w:rPr>
          <w:rFonts w:ascii="Arial" w:cs="Arial" w:eastAsia="Arial" w:hAnsi="Arial"/>
          <w:sz w:val="18"/>
          <w:szCs w:val="18"/>
          <w:color w:val="auto"/>
        </w:rPr>
        <w:t>Net loss was $5.5 million, in the nine months ended November 3, 2019 compared to net income of $2.5 million in the nine months ended October 28, 2018, primarily due to the factors discussed above.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189" w:lineRule="exact"/>
        <w:rPr>
          <w:sz w:val="20"/>
          <w:szCs w:val="20"/>
          <w:color w:val="auto"/>
        </w:rPr>
      </w:pPr>
    </w:p>
    <w:p>
      <w:pPr>
        <w:jc w:val="both"/>
        <w:ind w:right="14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41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November 3,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October 28, 2018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November 3, 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October 28, 2018</w:t>
            </w:r>
          </w:p>
        </w:tc>
      </w:tr>
      <w:tr>
        <w:trPr>
          <w:trHeight w:val="196"/>
        </w:trPr>
        <w:tc>
          <w:tcPr>
            <w:tcW w:w="3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8,187</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r>
      <w:tr>
        <w:trPr>
          <w:trHeight w:val="229"/>
        </w:trPr>
        <w:tc>
          <w:tcPr>
            <w:tcW w:w="20" w:type="dxa"/>
            <w:vAlign w:val="bottom"/>
          </w:tcPr>
          <w:p>
            <w:pPr>
              <w:spacing w:after="0"/>
              <w:rPr>
                <w:sz w:val="19"/>
                <w:szCs w:val="19"/>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Amortization of build-to-suit operating leases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capital contribution</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 (benefit) expense</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EBITDA</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8,009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15,431</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17"/>
        </w:trPr>
        <w:tc>
          <w:tcPr>
            <w:tcW w:w="37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16,736</w:t>
            </w:r>
          </w:p>
        </w:tc>
      </w:tr>
    </w:tbl>
    <w:p>
      <w:pPr>
        <w:spacing w:after="0" w:line="161" w:lineRule="exact"/>
        <w:rPr>
          <w:sz w:val="20"/>
          <w:szCs w:val="20"/>
          <w:color w:val="auto"/>
        </w:rPr>
      </w:pPr>
    </w:p>
    <w:p>
      <w:pPr>
        <w:jc w:val="both"/>
        <w:ind w:right="8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increased $6.3 million to $7.3 million in the three months ended November 3, 2019 compared to $1.0 million in the three months ended October 28, 2018. As a percentage of net sales, Adjusted EBITDA increased 520 basis points to 6.1% of net sales in the three months ended November 3, 2019 compared to 0.9% of net sales in the three months ended October 28,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140" w:firstLine="428"/>
        <w:spacing w:after="0" w:line="279" w:lineRule="auto"/>
        <w:rPr>
          <w:sz w:val="20"/>
          <w:szCs w:val="20"/>
          <w:color w:val="auto"/>
        </w:rPr>
      </w:pPr>
      <w:r>
        <w:rPr>
          <w:rFonts w:ascii="Arial" w:cs="Arial" w:eastAsia="Arial" w:hAnsi="Arial"/>
          <w:sz w:val="17"/>
          <w:szCs w:val="17"/>
          <w:color w:val="auto"/>
        </w:rPr>
        <w:t>As a result of the factors discussed above in the “Results of Operations” section, Adjusted EBITDA decreased $4.7 million to $12.0 million in the nine months ended November 3, 2019 compared to $16.7 million in the nine months ended October 28, 2018. As a percentage of net sales, Adjusted EBITDA decreased 190 basis points to 3.4% of net sales in the nine months ended November 3, 2019 compared to 5.3% of net sales in the nine months ended October 28, 2018.</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5" w:lineRule="exact"/>
        <w:rPr>
          <w:sz w:val="20"/>
          <w:szCs w:val="20"/>
          <w:color w:val="auto"/>
        </w:rPr>
      </w:pPr>
    </w:p>
    <w:p>
      <w:pPr>
        <w:ind w:right="40" w:firstLine="428"/>
        <w:spacing w:after="0" w:line="272" w:lineRule="auto"/>
        <w:rPr>
          <w:sz w:val="20"/>
          <w:szCs w:val="20"/>
          <w:color w:val="auto"/>
        </w:rPr>
      </w:pPr>
      <w:r>
        <w:rPr>
          <w:rFonts w:ascii="Arial" w:cs="Arial" w:eastAsia="Arial" w:hAnsi="Arial"/>
          <w:sz w:val="17"/>
          <w:szCs w:val="17"/>
          <w:color w:val="auto"/>
        </w:rPr>
        <w:t>Our business relies on cash from operating activities and a credit facility as our primary sources of liquidity. On May 17, 2018, we entered into a new credit facility which provides for borrowings of up to $80.0 million on a revolving line of credit and an additional $50.0 million in a delayed draw term loan. The $80.0 million revolving line of credit matures on May 17, 2023 and we have the option to draw in various amounts on the $50.0 million term loan through May 17, 2020, with a maturity on May 17, 2023.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37" w:lineRule="exact"/>
        <w:rPr>
          <w:sz w:val="20"/>
          <w:szCs w:val="20"/>
          <w:color w:val="auto"/>
        </w:rPr>
      </w:pPr>
    </w:p>
    <w:p>
      <w:pPr>
        <w:ind w:firstLine="428"/>
        <w:spacing w:after="0" w:line="291" w:lineRule="auto"/>
        <w:rPr>
          <w:sz w:val="20"/>
          <w:szCs w:val="20"/>
          <w:color w:val="auto"/>
        </w:rPr>
      </w:pPr>
      <w:r>
        <w:rPr>
          <w:rFonts w:ascii="Arial" w:cs="Arial" w:eastAsia="Arial" w:hAnsi="Arial"/>
          <w:sz w:val="16"/>
          <w:szCs w:val="16"/>
          <w:color w:val="auto"/>
        </w:rPr>
        <w:t>We expect to spend approximately $38.0 million in fiscal 2019 on capital expenditures, including a total of approximately $30.0 million to $32.0 million for new retail store expansion and remodels. We expect capital expenditures of approximately $2.0 million and starting inventory of $0.5 million to open a new store. At November 3, 2019, our net working capital was $108.7 million, including $2.2 million of cash.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40" w:lineRule="exact"/>
        <w:rPr>
          <w:sz w:val="20"/>
          <w:szCs w:val="20"/>
          <w:color w:val="auto"/>
        </w:rPr>
      </w:pPr>
    </w:p>
    <w:p>
      <w:pPr>
        <w:ind w:right="260" w:firstLine="428"/>
        <w:spacing w:after="0" w:line="264" w:lineRule="auto"/>
        <w:rPr>
          <w:sz w:val="20"/>
          <w:szCs w:val="20"/>
          <w:color w:val="auto"/>
        </w:rPr>
      </w:pPr>
      <w:r>
        <w:rPr>
          <w:rFonts w:ascii="Arial" w:cs="Arial" w:eastAsia="Arial" w:hAnsi="Arial"/>
          <w:sz w:val="18"/>
          <w:szCs w:val="18"/>
          <w:color w:val="auto"/>
        </w:rPr>
        <w:t>We believe that our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5"/>
          </w:tcPr>
          <w:p>
            <w:pPr>
              <w:jc w:val="right"/>
              <w:ind w:right="1334"/>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November 3, 2019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rPr>
              <w:t>October 28, 2018</w:t>
            </w:r>
          </w:p>
        </w:tc>
      </w:tr>
      <w:tr>
        <w:trPr>
          <w:trHeight w:val="250"/>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(47,624)</w:t>
            </w:r>
          </w:p>
        </w:tc>
        <w:tc>
          <w:tcPr>
            <w:tcW w:w="2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(24,541)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(46,317)</w:t>
            </w:r>
          </w:p>
        </w:tc>
      </w:tr>
      <w:tr>
        <w:trPr>
          <w:trHeight w:val="230"/>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73,043</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65,929</w:t>
            </w:r>
          </w:p>
        </w:tc>
      </w:tr>
      <w:tr>
        <w:trPr>
          <w:trHeight w:val="217"/>
        </w:trPr>
        <w:tc>
          <w:tcPr>
            <w:tcW w:w="4440" w:type="dxa"/>
            <w:vAlign w:val="bottom"/>
            <w:gridSpan w:val="2"/>
          </w:tcPr>
          <w:p>
            <w:pPr>
              <w:spacing w:after="0"/>
              <w:rPr>
                <w:sz w:val="20"/>
                <w:szCs w:val="20"/>
                <w:color w:val="auto"/>
              </w:rPr>
            </w:pPr>
            <w:r>
              <w:rPr>
                <w:rFonts w:ascii="Arial" w:cs="Arial" w:eastAsia="Arial" w:hAnsi="Arial"/>
                <w:sz w:val="18"/>
                <w:szCs w:val="18"/>
                <w:color w:val="auto"/>
              </w:rPr>
              <w:t>Increase (decrease) in cash and restricted cash</w:t>
            </w:r>
          </w:p>
        </w:tc>
        <w:tc>
          <w:tcPr>
            <w:tcW w:w="1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320" w:firstLine="428"/>
        <w:spacing w:after="0" w:line="277"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assets and liabilities.</w:t>
      </w:r>
    </w:p>
    <w:p>
      <w:pPr>
        <w:spacing w:after="0" w:line="143"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While our cash flows from operations for the nine months ended November 3, 2019 is negative, primarily driven by the seasonal nature of our business, we expect cash flows from operations for the full year fiscal 2019 to be positive from operating performance and seasonal reductions in working capital during the fourth quarter of our fiscal year, which is consistent with previous full fiscal years.</w:t>
      </w:r>
    </w:p>
    <w:p>
      <w:pPr>
        <w:spacing w:after="0" w:line="146" w:lineRule="exact"/>
        <w:rPr>
          <w:sz w:val="20"/>
          <w:szCs w:val="20"/>
          <w:color w:val="auto"/>
        </w:rPr>
      </w:pPr>
    </w:p>
    <w:p>
      <w:pPr>
        <w:ind w:right="320" w:firstLine="428"/>
        <w:spacing w:after="0" w:line="255" w:lineRule="auto"/>
        <w:rPr>
          <w:sz w:val="20"/>
          <w:szCs w:val="20"/>
          <w:color w:val="auto"/>
        </w:rPr>
      </w:pPr>
      <w:r>
        <w:rPr>
          <w:rFonts w:ascii="Arial" w:cs="Arial" w:eastAsia="Arial" w:hAnsi="Arial"/>
          <w:sz w:val="18"/>
          <w:szCs w:val="18"/>
          <w:color w:val="auto"/>
        </w:rPr>
        <w:t>For the nine months ended November 3, 2019, net cash used in operating activities was $47.6 million, which primarily consisted of cash used in operating assets and liabilities of $57.2 million, net loss of $5.7 million, non-cash depreciation and amortization of $15.9 million and stock based compensation of $0.3 million. The cash used in operating assets and liabilities of $57.2 million primarily consisted of a $85.4 million increase in inventory, primarily due to the building of inventory for our peak season and an increase in the number of retail stores, partially offset by a $29.9 million increase in trade accounts payable due to timing of payments.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60" w:firstLine="428"/>
        <w:spacing w:after="0" w:line="293" w:lineRule="auto"/>
        <w:rPr>
          <w:sz w:val="20"/>
          <w:szCs w:val="20"/>
          <w:color w:val="auto"/>
        </w:rPr>
      </w:pPr>
      <w:r>
        <w:rPr>
          <w:rFonts w:ascii="Arial" w:cs="Arial" w:eastAsia="Arial" w:hAnsi="Arial"/>
          <w:sz w:val="16"/>
          <w:szCs w:val="16"/>
          <w:color w:val="auto"/>
        </w:rPr>
        <w:t>For the nine months ended October 28, 2018, net cash used in operating activities was $23.5 million, which consisted of net income of $2.7 million, non-cash depreciation and amortization of $8.2 million and stock based compensation of $1.3 million, offset by cash used in operating assets and liabilities of $35.5 million. The cash used in operating assets and liabilities of $35.5 million primarily consisted of a $44.8 million increase in inventory, primarily due to our sales increase and inventory for the opening of new retail stores during fiscal 2018 and our peak season, which was partially offset by an increase of $19.1 million in trade accounts payable primarily due to timing of payments and an increase of $7.1 million in accrued expenses and deferred rent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43"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For the nine months ended November 3, 2019, net cash used in investing activities was $24.5 million and was primarily driven by capital expenditures of $20.9 million for new retail stores and retail store build-out, as well as investments in information technology, and $3.7 million of capital contributions towards our build-to-suit stores.</w:t>
      </w:r>
    </w:p>
    <w:p>
      <w:pPr>
        <w:spacing w:after="0" w:line="141" w:lineRule="exact"/>
        <w:rPr>
          <w:sz w:val="20"/>
          <w:szCs w:val="20"/>
          <w:color w:val="auto"/>
        </w:rPr>
      </w:pPr>
    </w:p>
    <w:p>
      <w:pPr>
        <w:ind w:right="140" w:firstLine="428"/>
        <w:spacing w:after="0" w:line="308" w:lineRule="auto"/>
        <w:rPr>
          <w:sz w:val="20"/>
          <w:szCs w:val="20"/>
          <w:color w:val="auto"/>
        </w:rPr>
      </w:pPr>
      <w:r>
        <w:rPr>
          <w:rFonts w:ascii="Arial" w:cs="Arial" w:eastAsia="Arial" w:hAnsi="Arial"/>
          <w:sz w:val="17"/>
          <w:szCs w:val="17"/>
          <w:color w:val="auto"/>
        </w:rPr>
        <w:t>For the nine months ended October 28, 2018, net cash used in investing activities was $46.3 million and was primarily driven by capital expenditures of $45.9 million for new retail store build-out, as well as investments in information technology.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8" w:lineRule="exact"/>
        <w:rPr>
          <w:sz w:val="20"/>
          <w:szCs w:val="20"/>
          <w:color w:val="auto"/>
        </w:rPr>
      </w:pPr>
    </w:p>
    <w:p>
      <w:pPr>
        <w:ind w:right="240"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proceeds from finance lease obligations and principal payments on long term debt by our consolidated variable interest entity TRI Holdings, LLC (“TRI”).</w:t>
      </w:r>
    </w:p>
    <w:p>
      <w:pPr>
        <w:spacing w:after="0" w:line="141" w:lineRule="exact"/>
        <w:rPr>
          <w:sz w:val="20"/>
          <w:szCs w:val="20"/>
          <w:color w:val="auto"/>
        </w:rPr>
      </w:pPr>
    </w:p>
    <w:p>
      <w:pPr>
        <w:ind w:right="300" w:firstLine="428"/>
        <w:spacing w:after="0" w:line="264" w:lineRule="auto"/>
        <w:rPr>
          <w:sz w:val="20"/>
          <w:szCs w:val="20"/>
          <w:color w:val="auto"/>
        </w:rPr>
      </w:pPr>
      <w:r>
        <w:rPr>
          <w:rFonts w:ascii="Arial" w:cs="Arial" w:eastAsia="Arial" w:hAnsi="Arial"/>
          <w:sz w:val="18"/>
          <w:szCs w:val="18"/>
          <w:color w:val="auto"/>
        </w:rPr>
        <w:t>For the nine months ended November 3, 2019, net cash provided by financing activities was $73.0 million, primarily consisting of proceeds of $53.9 million, net from our revolving line of credit and proceeds of $20.0 million from our term loan to fund working capital.</w:t>
      </w:r>
    </w:p>
    <w:p>
      <w:pPr>
        <w:spacing w:after="0" w:line="141" w:lineRule="exact"/>
        <w:rPr>
          <w:sz w:val="20"/>
          <w:szCs w:val="20"/>
          <w:color w:val="auto"/>
        </w:rPr>
      </w:pPr>
    </w:p>
    <w:p>
      <w:pPr>
        <w:jc w:val="both"/>
        <w:ind w:right="80" w:firstLine="428"/>
        <w:spacing w:after="0" w:line="264" w:lineRule="auto"/>
        <w:rPr>
          <w:sz w:val="20"/>
          <w:szCs w:val="20"/>
          <w:color w:val="auto"/>
        </w:rPr>
      </w:pPr>
      <w:r>
        <w:rPr>
          <w:rFonts w:ascii="Arial" w:cs="Arial" w:eastAsia="Arial" w:hAnsi="Arial"/>
          <w:sz w:val="18"/>
          <w:szCs w:val="18"/>
          <w:color w:val="auto"/>
        </w:rPr>
        <w:t>For the nine months ended October 28, 2018, net cash provided by financing activities was $65.9 million, primarily consisting of proceeds of $65.0 million, net from our revolving line of credit to fund working capital and capital expenditures, and $1.0 million from finance lease obligations in connection with our build-to-suit lease transactions.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On May 17, 2018, we entered into a new credit agreement and subsequently terminated our Amended and Restated Agreement. The outstanding balance of $27.5 million under the Amended and Restated Agreement was paid off with borrowings under the new credit agreement. The credit agreement is secured by essentially all Company assets and requires that we maintain compliance with certain financial and non-financial covenants, including a trailing twelve month maximum rent adjusted leverage ratio and minimum fixed charge coverage ratio. See Note 3 “Debt and Line of Credit,” in the Notes to Condensed Consolidated Financial Statements for further information.</w:t>
      </w:r>
    </w:p>
    <w:p>
      <w:pPr>
        <w:spacing w:after="0" w:line="153" w:lineRule="exact"/>
        <w:rPr>
          <w:sz w:val="20"/>
          <w:szCs w:val="20"/>
          <w:color w:val="auto"/>
        </w:rPr>
      </w:pPr>
    </w:p>
    <w:p>
      <w:pPr>
        <w:ind w:right="440" w:firstLine="428"/>
        <w:spacing w:after="0" w:line="308" w:lineRule="auto"/>
        <w:rPr>
          <w:sz w:val="20"/>
          <w:szCs w:val="20"/>
          <w:color w:val="auto"/>
        </w:rPr>
      </w:pPr>
      <w:r>
        <w:rPr>
          <w:rFonts w:ascii="Arial" w:cs="Arial" w:eastAsia="Arial" w:hAnsi="Arial"/>
          <w:sz w:val="17"/>
          <w:szCs w:val="17"/>
          <w:color w:val="auto"/>
        </w:rPr>
        <w:t>As of November 3, 2019 and for the nine months then ended, the Company was in compliance with all financial and non-financial covenants for all debts discussed above and expects to be in compliance for the remainder of fiscal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February 3,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89"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2018 Form 10-K, except as discussed below.</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185"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On February 4, 2019, we adopted authoritative guidance related to leases using the optional transition method and elected the package of practical expedients. As such, the comparative prior period information has not been restated and continues to be reported under the accounting standards in effect for those periods. Beginning with the first quarter of fiscal 2019, our financial results reflect adoption of the standard.</w:t>
      </w:r>
    </w:p>
    <w:p>
      <w:pPr>
        <w:spacing w:after="0" w:line="160" w:lineRule="exact"/>
        <w:rPr>
          <w:sz w:val="20"/>
          <w:szCs w:val="20"/>
          <w:color w:val="auto"/>
        </w:rPr>
      </w:pPr>
    </w:p>
    <w:p>
      <w:pPr>
        <w:jc w:val="both"/>
        <w:ind w:right="500" w:firstLine="428"/>
        <w:spacing w:after="0" w:line="264" w:lineRule="auto"/>
        <w:rPr>
          <w:sz w:val="20"/>
          <w:szCs w:val="20"/>
          <w:color w:val="auto"/>
        </w:rPr>
      </w:pPr>
      <w:r>
        <w:rPr>
          <w:rFonts w:ascii="Arial" w:cs="Arial" w:eastAsia="Arial" w:hAnsi="Arial"/>
          <w:sz w:val="18"/>
          <w:szCs w:val="18"/>
          <w:color w:val="auto"/>
        </w:rPr>
        <w:t>See Note 1 “Nature of Operations and Basis of Presentation,” of Notes to Condensed Consolidated Financial Statements included in Part 1, Item 1, of this quarterly report on Form 10-Q for further information regarding recently adopted accounting pronouncements.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See Note 13 “Recent Accounting Pronouncements,” of Notes to Condensed Consolidated Financial Statements included in Part 1, Item 1, of this quarterly report on Form 10-Q for information regarding recent accounting pronouncements.</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There have been no significant changes in the market risks described in our 2018 Form 10-K. See Note 3 “Debt and Line of Credit,” of Notes to Condensed Consolidated Financial Statements included in Part 1, Item 1, of this quarterly report on Form 10-Q, for disclosure on our interest rate related to borrowings under our credit agreement.</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right="18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185"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As disclosed in our 2018 Form 10-K, management concluded that a material weakness existed in our internal control over financial reporting. Specifically we determined that due to the lack of sufficient resources throughout the year, we did not design and implement effective internal control activities to timely detect and resolve issues resulting from converting to a new order management system, nor did we consistently execute certain account reconciliations and analyses timely during fiscal 2018.</w:t>
      </w:r>
    </w:p>
    <w:p>
      <w:pPr>
        <w:spacing w:after="0" w:line="127" w:lineRule="exact"/>
        <w:rPr>
          <w:sz w:val="20"/>
          <w:szCs w:val="20"/>
          <w:color w:val="auto"/>
        </w:rPr>
      </w:pPr>
    </w:p>
    <w:p>
      <w:pPr>
        <w:ind w:firstLine="428"/>
        <w:spacing w:after="0" w:line="308" w:lineRule="auto"/>
        <w:rPr>
          <w:sz w:val="20"/>
          <w:szCs w:val="20"/>
          <w:color w:val="auto"/>
        </w:rPr>
      </w:pPr>
      <w:r>
        <w:rPr>
          <w:rFonts w:ascii="Arial" w:cs="Arial" w:eastAsia="Arial" w:hAnsi="Arial"/>
          <w:sz w:val="17"/>
          <w:szCs w:val="17"/>
          <w:color w:val="auto"/>
        </w:rPr>
        <w:t>During the nine months ended November 3, 2019, management has evaluated the design and operating effectiveness of internal controls over financial reporting and has taken the following steps to remediate the identified material weakness:</w:t>
      </w:r>
    </w:p>
    <w:p>
      <w:pPr>
        <w:spacing w:after="0" w:line="106" w:lineRule="exact"/>
        <w:rPr>
          <w:sz w:val="20"/>
          <w:szCs w:val="20"/>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Hired additional resources and reallocated existing resources to help ensure proper designing and implementing of effective internal control activities; and</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automated and enhanced the reconciliation process controls and procedures to help ensure accounts were reconciled and reviewed timely.</w:t>
      </w:r>
    </w:p>
    <w:p>
      <w:pPr>
        <w:spacing w:after="0" w:line="130" w:lineRule="exact"/>
        <w:rPr>
          <w:sz w:val="20"/>
          <w:szCs w:val="20"/>
          <w:color w:val="auto"/>
        </w:rPr>
      </w:pPr>
    </w:p>
    <w:p>
      <w:pPr>
        <w:ind w:right="60" w:firstLine="428"/>
        <w:spacing w:after="0" w:line="302" w:lineRule="auto"/>
        <w:rPr>
          <w:sz w:val="20"/>
          <w:szCs w:val="20"/>
          <w:color w:val="auto"/>
        </w:rPr>
      </w:pPr>
      <w:r>
        <w:rPr>
          <w:rFonts w:ascii="Arial" w:cs="Arial" w:eastAsia="Arial" w:hAnsi="Arial"/>
          <w:sz w:val="16"/>
          <w:szCs w:val="16"/>
          <w:color w:val="auto"/>
        </w:rPr>
        <w:t>During the nine months ended November 3, 2019, management tested the remediated controls related to the material weakness described above for a sufficient period of time, and management has concluded, through testing, that as of the nine months ended November 3, 2019, these controls were operating effectively. Therefore, management has concluded that the material weakness previously identified in the Company’s internal control over financial reporting has been remediated at November 3, 2019.</w:t>
      </w:r>
    </w:p>
    <w:p>
      <w:pPr>
        <w:spacing w:after="0" w:line="114" w:lineRule="exact"/>
        <w:rPr>
          <w:sz w:val="20"/>
          <w:szCs w:val="20"/>
          <w:color w:val="auto"/>
        </w:rPr>
      </w:pPr>
    </w:p>
    <w:p>
      <w:pPr>
        <w:ind w:right="100" w:firstLine="428"/>
        <w:spacing w:after="0" w:line="259" w:lineRule="auto"/>
        <w:rPr>
          <w:sz w:val="20"/>
          <w:szCs w:val="20"/>
          <w:color w:val="auto"/>
        </w:rPr>
      </w:pPr>
      <w:r>
        <w:rPr>
          <w:rFonts w:ascii="Arial" w:cs="Arial" w:eastAsia="Arial" w:hAnsi="Arial"/>
          <w:sz w:val="18"/>
          <w:szCs w:val="18"/>
          <w:color w:val="auto"/>
        </w:rPr>
        <w:t>Regardless of the previously identified and now remediated material weakness, management has concluded that the Company’s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There were no other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4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2018 Form 10-K or other SEC filings. There have been no material changes to our risk factors as previously disclosed in our Annual Report on Form 10-K.</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720" w:firstLine="428"/>
        <w:spacing w:after="0" w:line="277" w:lineRule="auto"/>
        <w:rPr>
          <w:sz w:val="20"/>
          <w:szCs w:val="20"/>
          <w:color w:val="auto"/>
        </w:rPr>
      </w:pPr>
      <w:r>
        <w:rPr>
          <w:rFonts w:ascii="Arial" w:cs="Arial" w:eastAsia="Arial" w:hAnsi="Arial"/>
          <w:sz w:val="18"/>
          <w:szCs w:val="18"/>
          <w:color w:val="auto"/>
        </w:rPr>
        <w:t>We did not sell any equity securities during the quarter ended November 3, 2019, which were not registered under the Securities Act.</w:t>
      </w:r>
    </w:p>
    <w:p>
      <w:pPr>
        <w:spacing w:after="0" w:line="143"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The following table contains information of shares acquired from employees in lieu of amounts required to satisfy minimum tax withholding requirements upon the vesting of the employees’ restricted stock during the quarter ended November 3, 2019.</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Approximate dollar</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value of shares that</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60"/>
              <w:spacing w:after="0"/>
              <w:rPr>
                <w:sz w:val="20"/>
                <w:szCs w:val="20"/>
                <w:color w:val="auto"/>
              </w:rPr>
            </w:pPr>
            <w:r>
              <w:rPr>
                <w:rFonts w:ascii="Arial" w:cs="Arial" w:eastAsia="Arial" w:hAnsi="Arial"/>
                <w:sz w:val="14"/>
                <w:szCs w:val="14"/>
                <w:b w:val="1"/>
                <w:bCs w:val="1"/>
                <w:color w:val="auto"/>
                <w:w w:val="91"/>
              </w:rPr>
              <w:t>may yet to be</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purchased under the</w:t>
            </w:r>
          </w:p>
        </w:tc>
        <w:tc>
          <w:tcPr>
            <w:tcW w:w="20" w:type="dxa"/>
            <w:vAlign w:val="bottom"/>
          </w:tcPr>
          <w:p>
            <w:pPr>
              <w:spacing w:after="0"/>
              <w:rPr>
                <w:sz w:val="17"/>
                <w:szCs w:val="17"/>
                <w:color w:val="auto"/>
              </w:rPr>
            </w:pPr>
          </w:p>
        </w:tc>
      </w:tr>
      <w:tr>
        <w:trPr>
          <w:trHeight w:val="188"/>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or programs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plans or programs</w:t>
            </w: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5 - September 1, 2019</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September 2 - October 6, 2019</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7 - November 3,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2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9"/>
                <w:szCs w:val="19"/>
                <w:color w:val="auto"/>
              </w:rPr>
            </w:pP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695"/>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w:t>
      </w:r>
    </w:p>
    <w:tbl>
      <w:tblPr>
        <w:tblLayout w:type="fixed"/>
        <w:tblInd w:w="20" w:type="dxa"/>
        <w:tblCellMar>
          <w:top w:w="0" w:type="dxa"/>
          <w:left w:w="0" w:type="dxa"/>
          <w:bottom w:w="0" w:type="dxa"/>
          <w:right w:w="0" w:type="dxa"/>
        </w:tblCellMar>
      </w:tblPr>
      <w:tr>
        <w:trPr>
          <w:trHeight w:val="171"/>
        </w:trPr>
        <w:tc>
          <w:tcPr>
            <w:tcW w:w="1200" w:type="dxa"/>
            <w:vAlign w:val="bottom"/>
          </w:tcPr>
          <w:p>
            <w:pPr>
              <w:ind w:left="120"/>
              <w:spacing w:after="0" w:line="151" w:lineRule="exact"/>
              <w:rPr>
                <w:sz w:val="20"/>
                <w:szCs w:val="20"/>
                <w:color w:val="auto"/>
              </w:rPr>
            </w:pPr>
            <w:r>
              <w:rPr>
                <w:rFonts w:ascii="Arial" w:cs="Arial" w:eastAsia="Arial" w:hAnsi="Arial"/>
                <w:sz w:val="17"/>
                <w:szCs w:val="17"/>
                <w:color w:val="auto"/>
              </w:rPr>
              <w:t>31.1</w:t>
            </w:r>
          </w:p>
        </w:tc>
        <w:tc>
          <w:tcPr>
            <w:tcW w:w="8400" w:type="dxa"/>
            <w:vAlign w:val="bottom"/>
            <w:gridSpan w:val="8"/>
          </w:tcPr>
          <w:p>
            <w:pPr>
              <w:spacing w:after="0" w:line="152" w:lineRule="exact"/>
              <w:rPr>
                <w:rFonts w:ascii="Arial" w:cs="Arial" w:eastAsia="Arial" w:hAnsi="Arial"/>
                <w:sz w:val="16"/>
                <w:szCs w:val="16"/>
                <w:color w:val="0000EE"/>
                <w:w w:val="94"/>
              </w:rPr>
            </w:pPr>
            <w:hyperlink w:anchor="page32">
              <w:r>
                <w:rPr>
                  <w:rFonts w:ascii="Arial" w:cs="Arial" w:eastAsia="Arial" w:hAnsi="Arial"/>
                  <w:sz w:val="16"/>
                  <w:szCs w:val="16"/>
                  <w:color w:val="0000EE"/>
                  <w:w w:val="94"/>
                </w:rPr>
                <w:t>Certification of Chief Executive Officer pursuant to Rule 13a-14(a) and Rule 15d-14(a) of the Securities and Exchange Act, as</w:t>
              </w:r>
            </w:hyperlink>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31.2</w:t>
            </w:r>
          </w:p>
        </w:tc>
        <w:tc>
          <w:tcPr>
            <w:tcW w:w="8200" w:type="dxa"/>
            <w:vAlign w:val="bottom"/>
            <w:tcBorders>
              <w:top w:val="single" w:sz="8" w:color="0000EE"/>
            </w:tcBorders>
            <w:gridSpan w:val="7"/>
          </w:tcPr>
          <w:p>
            <w:pPr>
              <w:spacing w:after="0" w:line="183" w:lineRule="exact"/>
              <w:rPr>
                <w:rFonts w:ascii="Arial" w:cs="Arial" w:eastAsia="Arial" w:hAnsi="Arial"/>
                <w:sz w:val="16"/>
                <w:szCs w:val="16"/>
                <w:color w:val="0000EE"/>
              </w:rPr>
            </w:pPr>
            <w:hyperlink w:anchor="page32">
              <w:r>
                <w:rPr>
                  <w:rFonts w:ascii="Arial" w:cs="Arial" w:eastAsia="Arial" w:hAnsi="Arial"/>
                  <w:sz w:val="16"/>
                  <w:szCs w:val="16"/>
                  <w:color w:val="0000EE"/>
                </w:rPr>
                <w:t>amended.</w:t>
              </w:r>
              <w:r>
                <w:rPr>
                  <w:rFonts w:ascii="Arial" w:cs="Arial" w:eastAsia="Arial" w:hAnsi="Arial"/>
                  <w:sz w:val="16"/>
                  <w:szCs w:val="16"/>
                  <w:color w:val="000000"/>
                </w:rPr>
                <w:t>*</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8120" w:type="dxa"/>
            <w:vAlign w:val="bottom"/>
            <w:tcBorders>
              <w:bottom w:val="single" w:sz="8" w:color="0000EE"/>
            </w:tcBorders>
            <w:gridSpan w:val="6"/>
          </w:tcPr>
          <w:p>
            <w:pPr>
              <w:spacing w:after="0" w:line="169" w:lineRule="exact"/>
              <w:rPr>
                <w:rFonts w:ascii="Arial" w:cs="Arial" w:eastAsia="Arial" w:hAnsi="Arial"/>
                <w:sz w:val="16"/>
                <w:szCs w:val="16"/>
                <w:color w:val="0000EE"/>
                <w:w w:val="92"/>
              </w:rPr>
            </w:pPr>
            <w:hyperlink w:anchor="page33">
              <w:r>
                <w:rPr>
                  <w:rFonts w:ascii="Arial" w:cs="Arial" w:eastAsia="Arial" w:hAnsi="Arial"/>
                  <w:sz w:val="16"/>
                  <w:szCs w:val="16"/>
                  <w:color w:val="0000EE"/>
                  <w:w w:val="92"/>
                </w:rPr>
                <w:t>Certification of Chief Financial Officer pursuant to Rule 13a-14(a) and Rule 15d-14(a) of the Securities and Exchange Act of</w:t>
              </w:r>
            </w:hyperlink>
          </w:p>
        </w:tc>
        <w:tc>
          <w:tcPr>
            <w:tcW w:w="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32.1</w:t>
            </w:r>
          </w:p>
        </w:tc>
        <w:tc>
          <w:tcPr>
            <w:tcW w:w="8400" w:type="dxa"/>
            <w:vAlign w:val="bottom"/>
            <w:gridSpan w:val="8"/>
          </w:tcPr>
          <w:p>
            <w:pPr>
              <w:spacing w:after="0" w:line="183" w:lineRule="exact"/>
              <w:rPr>
                <w:rFonts w:ascii="Arial" w:cs="Arial" w:eastAsia="Arial" w:hAnsi="Arial"/>
                <w:sz w:val="16"/>
                <w:szCs w:val="16"/>
                <w:color w:val="0000EE"/>
              </w:rPr>
            </w:pPr>
            <w:hyperlink w:anchor="page33">
              <w:r>
                <w:rPr>
                  <w:rFonts w:ascii="Arial" w:cs="Arial" w:eastAsia="Arial" w:hAnsi="Arial"/>
                  <w:sz w:val="16"/>
                  <w:szCs w:val="16"/>
                  <w:color w:val="0000EE"/>
                </w:rPr>
                <w:t>1934, as amended.</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80" w:type="dxa"/>
            <w:vAlign w:val="bottom"/>
            <w:tcBorders>
              <w:bottom w:val="single" w:sz="8" w:color="0000EE"/>
            </w:tcBorders>
            <w:gridSpan w:val="5"/>
          </w:tcPr>
          <w:p>
            <w:pPr>
              <w:spacing w:after="0" w:line="169" w:lineRule="exact"/>
              <w:rPr>
                <w:rFonts w:ascii="Arial" w:cs="Arial" w:eastAsia="Arial" w:hAnsi="Arial"/>
                <w:sz w:val="16"/>
                <w:szCs w:val="16"/>
                <w:color w:val="0000EE"/>
                <w:w w:val="92"/>
              </w:rPr>
            </w:pPr>
            <w:hyperlink w:anchor="page34">
              <w:r>
                <w:rPr>
                  <w:rFonts w:ascii="Arial" w:cs="Arial" w:eastAsia="Arial" w:hAnsi="Arial"/>
                  <w:sz w:val="16"/>
                  <w:szCs w:val="16"/>
                  <w:color w:val="0000EE"/>
                  <w:w w:val="92"/>
                </w:rPr>
                <w:t>Certification of Chief Executive Officer pursuant to 18 U.S.C. Section 1350, as adopted pursuant to Section 906 of the</w:t>
              </w:r>
            </w:hyperlink>
          </w:p>
        </w:tc>
        <w:tc>
          <w:tcPr>
            <w:tcW w:w="7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32.2</w:t>
            </w:r>
          </w:p>
        </w:tc>
        <w:tc>
          <w:tcPr>
            <w:tcW w:w="8400" w:type="dxa"/>
            <w:vAlign w:val="bottom"/>
            <w:gridSpan w:val="8"/>
          </w:tcPr>
          <w:p>
            <w:pPr>
              <w:spacing w:after="0" w:line="183" w:lineRule="exact"/>
              <w:rPr>
                <w:rFonts w:ascii="Arial" w:cs="Arial" w:eastAsia="Arial" w:hAnsi="Arial"/>
                <w:sz w:val="16"/>
                <w:szCs w:val="16"/>
                <w:color w:val="0000EE"/>
              </w:rPr>
            </w:pPr>
            <w:hyperlink w:anchor="page34">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vMerge w:val="continue"/>
          </w:tcPr>
          <w:p>
            <w:pPr>
              <w:spacing w:after="0"/>
              <w:rPr>
                <w:sz w:val="15"/>
                <w:szCs w:val="15"/>
                <w:color w:val="auto"/>
              </w:rPr>
            </w:pPr>
          </w:p>
        </w:tc>
        <w:tc>
          <w:tcPr>
            <w:tcW w:w="7640" w:type="dxa"/>
            <w:vAlign w:val="bottom"/>
            <w:tcBorders>
              <w:bottom w:val="single" w:sz="8" w:color="0000EE"/>
            </w:tcBorders>
            <w:gridSpan w:val="4"/>
          </w:tcPr>
          <w:p>
            <w:pPr>
              <w:spacing w:after="0" w:line="169" w:lineRule="exact"/>
              <w:rPr>
                <w:rFonts w:ascii="Arial" w:cs="Arial" w:eastAsia="Arial" w:hAnsi="Arial"/>
                <w:sz w:val="16"/>
                <w:szCs w:val="16"/>
                <w:color w:val="0000EE"/>
                <w:w w:val="92"/>
              </w:rPr>
            </w:pPr>
            <w:hyperlink w:anchor="page35">
              <w:r>
                <w:rPr>
                  <w:rFonts w:ascii="Arial" w:cs="Arial" w:eastAsia="Arial" w:hAnsi="Arial"/>
                  <w:sz w:val="16"/>
                  <w:szCs w:val="16"/>
                  <w:color w:val="0000EE"/>
                  <w:w w:val="92"/>
                </w:rPr>
                <w:t>Certification of Chief Financial Officer pursuant to 18 U.S.C. Section 1350, as adopted pursuant to Section 906 of the</w:t>
              </w:r>
            </w:hyperlink>
          </w:p>
        </w:tc>
        <w:tc>
          <w:tcPr>
            <w:tcW w:w="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0" w:type="dxa"/>
            <w:vAlign w:val="bottom"/>
            <w:vMerge w:val="restart"/>
          </w:tcPr>
          <w:p>
            <w:pPr>
              <w:ind w:left="120"/>
              <w:spacing w:after="0"/>
              <w:rPr>
                <w:sz w:val="20"/>
                <w:szCs w:val="20"/>
                <w:color w:val="auto"/>
              </w:rPr>
            </w:pPr>
            <w:r>
              <w:rPr>
                <w:rFonts w:ascii="Arial" w:cs="Arial" w:eastAsia="Arial" w:hAnsi="Arial"/>
                <w:sz w:val="18"/>
                <w:szCs w:val="18"/>
                <w:color w:val="auto"/>
              </w:rPr>
              <w:t>101.INS</w:t>
            </w:r>
          </w:p>
        </w:tc>
        <w:tc>
          <w:tcPr>
            <w:tcW w:w="8400" w:type="dxa"/>
            <w:vAlign w:val="bottom"/>
            <w:gridSpan w:val="8"/>
          </w:tcPr>
          <w:p>
            <w:pPr>
              <w:spacing w:after="0" w:line="183" w:lineRule="exact"/>
              <w:rPr>
                <w:rFonts w:ascii="Arial" w:cs="Arial" w:eastAsia="Arial" w:hAnsi="Arial"/>
                <w:sz w:val="16"/>
                <w:szCs w:val="16"/>
                <w:color w:val="0000EE"/>
              </w:rPr>
            </w:pPr>
            <w:hyperlink w:anchor="page35">
              <w:r>
                <w:rPr>
                  <w:rFonts w:ascii="Arial" w:cs="Arial" w:eastAsia="Arial" w:hAnsi="Arial"/>
                  <w:sz w:val="16"/>
                  <w:szCs w:val="16"/>
                  <w:color w:val="0000EE"/>
                </w:rPr>
                <w:t>Sarbanes-Oxley Act of 2002.</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200" w:type="dxa"/>
            <w:vAlign w:val="bottom"/>
            <w:vMerge w:val="continue"/>
          </w:tcPr>
          <w:p>
            <w:pPr>
              <w:spacing w:after="0"/>
              <w:rPr>
                <w:sz w:val="19"/>
                <w:szCs w:val="19"/>
                <w:color w:val="auto"/>
              </w:rPr>
            </w:pPr>
          </w:p>
        </w:tc>
        <w:tc>
          <w:tcPr>
            <w:tcW w:w="8400" w:type="dxa"/>
            <w:vAlign w:val="bottom"/>
            <w:gridSpan w:val="8"/>
          </w:tcPr>
          <w:p>
            <w:pPr>
              <w:spacing w:after="0"/>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101.SCH</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101.CAL</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101.DEF</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Arial" w:cs="Arial" w:eastAsia="Arial" w:hAnsi="Arial"/>
                <w:sz w:val="18"/>
                <w:szCs w:val="18"/>
                <w:color w:val="auto"/>
              </w:rPr>
              <w:t>101.LAB</w:t>
            </w:r>
          </w:p>
        </w:tc>
        <w:tc>
          <w:tcPr>
            <w:tcW w:w="84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101.PRE</w:t>
            </w:r>
          </w:p>
        </w:tc>
        <w:tc>
          <w:tcPr>
            <w:tcW w:w="840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1480" w:hanging="1355"/>
        <w:spacing w:after="0"/>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December 6, 2019</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-130810</wp:posOffset>
            </wp:positionV>
            <wp:extent cx="3464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7"/>
          <w:szCs w:val="17"/>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 MICHAEL MURPHY</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-130810</wp:posOffset>
            </wp:positionV>
            <wp:extent cx="3464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Vice President and Chief Accounting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7"/>
          <w:szCs w:val="17"/>
          <w:b w:val="1"/>
          <w:bCs w:val="1"/>
          <w:i w:val="1"/>
          <w:iCs w:val="1"/>
          <w:color w:val="auto"/>
        </w:rPr>
        <w:t>(On behalf of the Registrant and as Principal Accounting Officer)</w:t>
      </w: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L. Schlecht,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Stephen L. Schlecht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jc w:val="both"/>
        <w:ind w:left="660" w:right="320" w:hanging="328"/>
        <w:spacing w:after="0" w:line="286" w:lineRule="auto"/>
        <w:tabs>
          <w:tab w:leader="none" w:pos="68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120" w:hanging="323"/>
        <w:spacing w:after="0" w:line="312" w:lineRule="auto"/>
        <w:tabs>
          <w:tab w:leader="none" w:pos="10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980" w:right="300" w:hanging="323"/>
        <w:spacing w:after="0" w:line="264"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36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November 3, 2019 as filed with the Securities and Exchange Commission on the date hereof (the “Report”), I, Stephen L. Schlecht,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660" w:right="5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Stephen L. Schlecht</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Stephen L. Schlecht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6,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November 3, 2019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180" w:hanging="323"/>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220" w:hanging="323"/>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December 6, 2019</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2019-12-28T01:08:47Z</dcterms:created>
  <dcterms:modified xsi:type="dcterms:W3CDTF">2019-12-28T01:08:47Z</dcterms:modified>
</cp:coreProperties>
</file>