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36" w:lineRule="exact"/>
        <w:rPr>
          <w:sz w:val="24"/>
          <w:szCs w:val="24"/>
          <w:color w:val="auto"/>
        </w:rPr>
      </w:pPr>
    </w:p>
    <w:p>
      <w:pPr>
        <w:ind w:left="500" w:hanging="43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wp:posOffset>
            </wp:positionH>
            <wp:positionV relativeFrom="paragraph">
              <wp:posOffset>-104140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February 2, 2020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500" w:hanging="439"/>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wp:posOffset>
            </wp:positionH>
            <wp:positionV relativeFrom="paragraph">
              <wp:posOffset>-104140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300" w:type="dxa"/>
            <w:vAlign w:val="bottom"/>
          </w:tcPr>
          <w:p>
            <w:pPr>
              <w:ind w:left="46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1100" w:type="dxa"/>
            <w:vAlign w:val="bottom"/>
          </w:tcPr>
          <w:p>
            <w:pPr>
              <w:spacing w:after="0"/>
              <w:rPr>
                <w:sz w:val="18"/>
                <w:szCs w:val="18"/>
                <w:color w:val="auto"/>
              </w:rPr>
            </w:pPr>
          </w:p>
        </w:tc>
      </w:tr>
      <w:tr>
        <w:trPr>
          <w:trHeight w:val="196"/>
        </w:trPr>
        <w:tc>
          <w:tcPr>
            <w:tcW w:w="2960" w:type="dxa"/>
            <w:vAlign w:val="bottom"/>
          </w:tcPr>
          <w:p>
            <w:pPr>
              <w:spacing w:after="0"/>
              <w:rPr>
                <w:sz w:val="17"/>
                <w:szCs w:val="17"/>
                <w:color w:val="auto"/>
              </w:rPr>
            </w:pPr>
          </w:p>
        </w:tc>
        <w:tc>
          <w:tcPr>
            <w:tcW w:w="3300" w:type="dxa"/>
            <w:vAlign w:val="bottom"/>
          </w:tcPr>
          <w:p>
            <w:pPr>
              <w:jc w:val="center"/>
              <w:ind w:left="619"/>
              <w:spacing w:after="0" w:line="195" w:lineRule="exact"/>
              <w:rPr>
                <w:sz w:val="20"/>
                <w:szCs w:val="20"/>
                <w:color w:val="auto"/>
              </w:rPr>
            </w:pPr>
            <w:r>
              <w:rPr>
                <w:rFonts w:ascii="Arial" w:cs="Arial" w:eastAsia="Arial" w:hAnsi="Arial"/>
                <w:sz w:val="18"/>
                <w:szCs w:val="18"/>
                <w:b w:val="1"/>
                <w:bCs w:val="1"/>
                <w:color w:val="auto"/>
                <w:w w:val="89"/>
              </w:rPr>
              <w:t>Commission file No. 001-37641</w:t>
            </w:r>
          </w:p>
        </w:tc>
        <w:tc>
          <w:tcPr>
            <w:tcW w:w="2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34"/>
        </w:trPr>
        <w:tc>
          <w:tcPr>
            <w:tcW w:w="8480" w:type="dxa"/>
            <w:vAlign w:val="bottom"/>
            <w:gridSpan w:val="3"/>
          </w:tcPr>
          <w:p>
            <w:pPr>
              <w:jc w:val="center"/>
              <w:ind w:left="1353"/>
              <w:spacing w:after="0"/>
              <w:rPr>
                <w:sz w:val="20"/>
                <w:szCs w:val="20"/>
                <w:color w:val="auto"/>
              </w:rPr>
            </w:pPr>
            <w:r>
              <w:rPr>
                <w:rFonts w:ascii="Arial" w:cs="Arial" w:eastAsia="Arial" w:hAnsi="Arial"/>
                <w:sz w:val="36"/>
                <w:szCs w:val="36"/>
                <w:b w:val="1"/>
                <w:bCs w:val="1"/>
                <w:color w:val="auto"/>
              </w:rPr>
              <w:t>DULUTH HOLDINGS INC.</w:t>
            </w:r>
          </w:p>
        </w:tc>
        <w:tc>
          <w:tcPr>
            <w:tcW w:w="1100" w:type="dxa"/>
            <w:vAlign w:val="bottom"/>
          </w:tcPr>
          <w:p>
            <w:pPr>
              <w:spacing w:after="0"/>
              <w:rPr>
                <w:sz w:val="24"/>
                <w:szCs w:val="24"/>
                <w:color w:val="auto"/>
              </w:rPr>
            </w:pPr>
          </w:p>
        </w:tc>
      </w:tr>
      <w:tr>
        <w:trPr>
          <w:trHeight w:val="186"/>
        </w:trPr>
        <w:tc>
          <w:tcPr>
            <w:tcW w:w="2960" w:type="dxa"/>
            <w:vAlign w:val="bottom"/>
          </w:tcPr>
          <w:p>
            <w:pPr>
              <w:spacing w:after="0"/>
              <w:rPr>
                <w:sz w:val="16"/>
                <w:szCs w:val="16"/>
                <w:color w:val="auto"/>
              </w:rPr>
            </w:pPr>
          </w:p>
        </w:tc>
        <w:tc>
          <w:tcPr>
            <w:tcW w:w="5520" w:type="dxa"/>
            <w:vAlign w:val="bottom"/>
            <w:gridSpan w:val="2"/>
          </w:tcPr>
          <w:p>
            <w:pPr>
              <w:jc w:val="center"/>
              <w:ind w:right="142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100" w:type="dxa"/>
            <w:vAlign w:val="bottom"/>
          </w:tcPr>
          <w:p>
            <w:pPr>
              <w:spacing w:after="0"/>
              <w:rPr>
                <w:sz w:val="16"/>
                <w:szCs w:val="16"/>
                <w:color w:val="auto"/>
              </w:rPr>
            </w:pPr>
          </w:p>
        </w:tc>
      </w:tr>
      <w:tr>
        <w:trPr>
          <w:trHeight w:val="452"/>
        </w:trPr>
        <w:tc>
          <w:tcPr>
            <w:tcW w:w="2960" w:type="dxa"/>
            <w:vAlign w:val="bottom"/>
          </w:tcPr>
          <w:p>
            <w:pPr>
              <w:jc w:val="center"/>
              <w:ind w:left="1813"/>
              <w:spacing w:after="0"/>
              <w:rPr>
                <w:sz w:val="20"/>
                <w:szCs w:val="20"/>
                <w:color w:val="auto"/>
              </w:rPr>
            </w:pPr>
            <w:r>
              <w:rPr>
                <w:rFonts w:ascii="Arial" w:cs="Arial" w:eastAsia="Arial" w:hAnsi="Arial"/>
                <w:sz w:val="16"/>
                <w:szCs w:val="16"/>
                <w:b w:val="1"/>
                <w:bCs w:val="1"/>
                <w:color w:val="auto"/>
                <w:w w:val="87"/>
              </w:rPr>
              <w:t>Wisconsin</w:t>
            </w:r>
          </w:p>
        </w:tc>
        <w:tc>
          <w:tcPr>
            <w:tcW w:w="3300" w:type="dxa"/>
            <w:vAlign w:val="bottom"/>
          </w:tcPr>
          <w:p>
            <w:pPr>
              <w:spacing w:after="0"/>
              <w:rPr>
                <w:sz w:val="24"/>
                <w:szCs w:val="24"/>
                <w:color w:val="auto"/>
              </w:rPr>
            </w:pPr>
          </w:p>
        </w:tc>
        <w:tc>
          <w:tcPr>
            <w:tcW w:w="2220" w:type="dxa"/>
            <w:vAlign w:val="bottom"/>
          </w:tcPr>
          <w:p>
            <w:pPr>
              <w:jc w:val="right"/>
              <w:ind w:right="422"/>
              <w:spacing w:after="0"/>
              <w:rPr>
                <w:sz w:val="20"/>
                <w:szCs w:val="20"/>
                <w:color w:val="auto"/>
              </w:rPr>
            </w:pPr>
            <w:r>
              <w:rPr>
                <w:rFonts w:ascii="Arial" w:cs="Arial" w:eastAsia="Arial" w:hAnsi="Arial"/>
                <w:sz w:val="16"/>
                <w:szCs w:val="16"/>
                <w:b w:val="1"/>
                <w:bCs w:val="1"/>
                <w:color w:val="auto"/>
              </w:rPr>
              <w:t>39-1564801</w:t>
            </w:r>
          </w:p>
        </w:tc>
        <w:tc>
          <w:tcPr>
            <w:tcW w:w="1100" w:type="dxa"/>
            <w:vAlign w:val="bottom"/>
          </w:tcPr>
          <w:p>
            <w:pPr>
              <w:spacing w:after="0"/>
              <w:rPr>
                <w:sz w:val="24"/>
                <w:szCs w:val="24"/>
                <w:color w:val="auto"/>
              </w:rPr>
            </w:pPr>
          </w:p>
        </w:tc>
      </w:tr>
      <w:tr>
        <w:trPr>
          <w:trHeight w:val="213"/>
        </w:trPr>
        <w:tc>
          <w:tcPr>
            <w:tcW w:w="6260" w:type="dxa"/>
            <w:vAlign w:val="bottom"/>
            <w:gridSpan w:val="2"/>
          </w:tcPr>
          <w:p>
            <w:pPr>
              <w:jc w:val="center"/>
              <w:ind w:right="1299"/>
              <w:spacing w:after="0"/>
              <w:rPr>
                <w:sz w:val="20"/>
                <w:szCs w:val="20"/>
                <w:color w:val="auto"/>
              </w:rPr>
            </w:pPr>
            <w:r>
              <w:rPr>
                <w:rFonts w:ascii="Arial" w:cs="Arial" w:eastAsia="Arial" w:hAnsi="Arial"/>
                <w:sz w:val="14"/>
                <w:szCs w:val="14"/>
                <w:b w:val="1"/>
                <w:bCs w:val="1"/>
                <w:color w:val="auto"/>
                <w:w w:val="93"/>
              </w:rPr>
              <w:t>(State or other jurisdiction of</w:t>
            </w:r>
          </w:p>
        </w:tc>
        <w:tc>
          <w:tcPr>
            <w:tcW w:w="222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(I.R.S. Employer</w:t>
            </w:r>
          </w:p>
        </w:tc>
        <w:tc>
          <w:tcPr>
            <w:tcW w:w="1100" w:type="dxa"/>
            <w:vAlign w:val="bottom"/>
          </w:tcPr>
          <w:p>
            <w:pPr>
              <w:spacing w:after="0"/>
              <w:rPr>
                <w:sz w:val="18"/>
                <w:szCs w:val="18"/>
                <w:color w:val="auto"/>
              </w:rPr>
            </w:pPr>
          </w:p>
        </w:tc>
      </w:tr>
      <w:tr>
        <w:trPr>
          <w:trHeight w:val="186"/>
        </w:trPr>
        <w:tc>
          <w:tcPr>
            <w:tcW w:w="6260" w:type="dxa"/>
            <w:vAlign w:val="bottom"/>
            <w:gridSpan w:val="2"/>
          </w:tcPr>
          <w:p>
            <w:pPr>
              <w:jc w:val="center"/>
              <w:ind w:right="1299"/>
              <w:spacing w:after="0"/>
              <w:rPr>
                <w:sz w:val="20"/>
                <w:szCs w:val="20"/>
                <w:color w:val="auto"/>
              </w:rPr>
            </w:pPr>
            <w:r>
              <w:rPr>
                <w:rFonts w:ascii="Arial" w:cs="Arial" w:eastAsia="Arial" w:hAnsi="Arial"/>
                <w:sz w:val="14"/>
                <w:szCs w:val="14"/>
                <w:b w:val="1"/>
                <w:bCs w:val="1"/>
                <w:color w:val="auto"/>
                <w:w w:val="94"/>
              </w:rPr>
              <w:t>incorporation or organization)</w:t>
            </w:r>
          </w:p>
        </w:tc>
        <w:tc>
          <w:tcPr>
            <w:tcW w:w="222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Identification Number)</w:t>
            </w:r>
          </w:p>
        </w:tc>
        <w:tc>
          <w:tcPr>
            <w:tcW w:w="1100" w:type="dxa"/>
            <w:vAlign w:val="bottom"/>
          </w:tcPr>
          <w:p>
            <w:pPr>
              <w:spacing w:after="0"/>
              <w:rPr>
                <w:sz w:val="16"/>
                <w:szCs w:val="16"/>
                <w:color w:val="auto"/>
              </w:rPr>
            </w:pPr>
          </w:p>
        </w:tc>
      </w:tr>
      <w:tr>
        <w:trPr>
          <w:trHeight w:val="290"/>
        </w:trPr>
        <w:tc>
          <w:tcPr>
            <w:tcW w:w="6260" w:type="dxa"/>
            <w:vAlign w:val="bottom"/>
            <w:gridSpan w:val="2"/>
          </w:tcPr>
          <w:p>
            <w:pPr>
              <w:jc w:val="center"/>
              <w:ind w:right="1319"/>
              <w:spacing w:after="0"/>
              <w:rPr>
                <w:sz w:val="20"/>
                <w:szCs w:val="20"/>
                <w:color w:val="auto"/>
              </w:rPr>
            </w:pPr>
            <w:r>
              <w:rPr>
                <w:rFonts w:ascii="Arial" w:cs="Arial" w:eastAsia="Arial" w:hAnsi="Arial"/>
                <w:sz w:val="16"/>
                <w:szCs w:val="16"/>
                <w:b w:val="1"/>
                <w:bCs w:val="1"/>
                <w:color w:val="auto"/>
                <w:w w:val="94"/>
              </w:rPr>
              <w:t>201 East Front Street, Mount Horeb, Wisconsin</w:t>
            </w:r>
          </w:p>
        </w:tc>
        <w:tc>
          <w:tcPr>
            <w:tcW w:w="2220" w:type="dxa"/>
            <w:vAlign w:val="bottom"/>
          </w:tcPr>
          <w:p>
            <w:pPr>
              <w:jc w:val="right"/>
              <w:ind w:right="602"/>
              <w:spacing w:after="0"/>
              <w:rPr>
                <w:sz w:val="20"/>
                <w:szCs w:val="20"/>
                <w:color w:val="auto"/>
              </w:rPr>
            </w:pPr>
            <w:r>
              <w:rPr>
                <w:rFonts w:ascii="Arial" w:cs="Arial" w:eastAsia="Arial" w:hAnsi="Arial"/>
                <w:sz w:val="16"/>
                <w:szCs w:val="16"/>
                <w:b w:val="1"/>
                <w:bCs w:val="1"/>
                <w:color w:val="auto"/>
              </w:rPr>
              <w:t>53572</w:t>
            </w:r>
          </w:p>
        </w:tc>
        <w:tc>
          <w:tcPr>
            <w:tcW w:w="1100" w:type="dxa"/>
            <w:vAlign w:val="bottom"/>
          </w:tcPr>
          <w:p>
            <w:pPr>
              <w:spacing w:after="0"/>
              <w:rPr>
                <w:sz w:val="24"/>
                <w:szCs w:val="24"/>
                <w:color w:val="auto"/>
              </w:rPr>
            </w:pPr>
          </w:p>
        </w:tc>
      </w:tr>
      <w:tr>
        <w:trPr>
          <w:trHeight w:val="210"/>
        </w:trPr>
        <w:tc>
          <w:tcPr>
            <w:tcW w:w="6260" w:type="dxa"/>
            <w:vAlign w:val="bottom"/>
            <w:gridSpan w:val="2"/>
          </w:tcPr>
          <w:p>
            <w:pPr>
              <w:jc w:val="center"/>
              <w:ind w:right="13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2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(Zip Code)</w:t>
            </w:r>
          </w:p>
        </w:tc>
        <w:tc>
          <w:tcPr>
            <w:tcW w:w="1100" w:type="dxa"/>
            <w:vAlign w:val="bottom"/>
          </w:tcPr>
          <w:p>
            <w:pPr>
              <w:spacing w:after="0"/>
              <w:rPr>
                <w:sz w:val="18"/>
                <w:szCs w:val="18"/>
                <w:color w:val="auto"/>
              </w:rPr>
            </w:pPr>
          </w:p>
        </w:tc>
      </w:tr>
      <w:tr>
        <w:trPr>
          <w:trHeight w:val="363"/>
        </w:trPr>
        <w:tc>
          <w:tcPr>
            <w:tcW w:w="8480" w:type="dxa"/>
            <w:vAlign w:val="bottom"/>
            <w:gridSpan w:val="3"/>
          </w:tcPr>
          <w:p>
            <w:pPr>
              <w:jc w:val="center"/>
              <w:ind w:left="1373"/>
              <w:spacing w:after="0"/>
              <w:rPr>
                <w:sz w:val="20"/>
                <w:szCs w:val="20"/>
                <w:color w:val="auto"/>
              </w:rPr>
            </w:pPr>
            <w:r>
              <w:rPr>
                <w:rFonts w:ascii="Arial" w:cs="Arial" w:eastAsia="Arial" w:hAnsi="Arial"/>
                <w:sz w:val="16"/>
                <w:szCs w:val="16"/>
                <w:b w:val="1"/>
                <w:bCs w:val="1"/>
                <w:color w:val="auto"/>
                <w:w w:val="90"/>
              </w:rPr>
              <w:t>Registrant’s telephone number, including area code: (608) 424-1544</w:t>
            </w:r>
          </w:p>
        </w:tc>
        <w:tc>
          <w:tcPr>
            <w:tcW w:w="1100" w:type="dxa"/>
            <w:vAlign w:val="bottom"/>
          </w:tcPr>
          <w:p>
            <w:pPr>
              <w:spacing w:after="0"/>
              <w:rPr>
                <w:sz w:val="24"/>
                <w:szCs w:val="24"/>
                <w:color w:val="auto"/>
              </w:rPr>
            </w:pPr>
          </w:p>
        </w:tc>
      </w:tr>
      <w:tr>
        <w:trPr>
          <w:trHeight w:val="210"/>
        </w:trPr>
        <w:tc>
          <w:tcPr>
            <w:tcW w:w="2960" w:type="dxa"/>
            <w:vAlign w:val="bottom"/>
          </w:tcPr>
          <w:p>
            <w:pPr>
              <w:spacing w:after="0"/>
              <w:rPr>
                <w:sz w:val="18"/>
                <w:szCs w:val="18"/>
                <w:color w:val="auto"/>
              </w:rPr>
            </w:pPr>
          </w:p>
        </w:tc>
        <w:tc>
          <w:tcPr>
            <w:tcW w:w="5520" w:type="dxa"/>
            <w:vAlign w:val="bottom"/>
            <w:gridSpan w:val="2"/>
          </w:tcPr>
          <w:p>
            <w:pPr>
              <w:jc w:val="center"/>
              <w:ind w:right="144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100" w:type="dxa"/>
            <w:vAlign w:val="bottom"/>
          </w:tcPr>
          <w:p>
            <w:pPr>
              <w:spacing w:after="0"/>
              <w:rPr>
                <w:sz w:val="18"/>
                <w:szCs w:val="18"/>
                <w:color w:val="auto"/>
              </w:rPr>
            </w:pPr>
          </w:p>
        </w:tc>
      </w:tr>
      <w:tr>
        <w:trPr>
          <w:trHeight w:val="235"/>
        </w:trPr>
        <w:tc>
          <w:tcPr>
            <w:tcW w:w="2960" w:type="dxa"/>
            <w:vAlign w:val="bottom"/>
            <w:tcBorders>
              <w:bottom w:val="single" w:sz="8" w:color="auto"/>
            </w:tcBorders>
          </w:tcPr>
          <w:p>
            <w:pPr>
              <w:jc w:val="center"/>
              <w:ind w:left="313"/>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94"/>
              </w:rPr>
              <w:t>Trading Symbol</w:t>
            </w:r>
          </w:p>
        </w:tc>
        <w:tc>
          <w:tcPr>
            <w:tcW w:w="3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4"/>
        </w:trPr>
        <w:tc>
          <w:tcPr>
            <w:tcW w:w="2960" w:type="dxa"/>
            <w:vAlign w:val="bottom"/>
          </w:tcPr>
          <w:p>
            <w:pPr>
              <w:jc w:val="center"/>
              <w:ind w:left="333"/>
              <w:spacing w:after="0"/>
              <w:rPr>
                <w:sz w:val="20"/>
                <w:szCs w:val="20"/>
                <w:color w:val="auto"/>
              </w:rPr>
            </w:pPr>
            <w:r>
              <w:rPr>
                <w:rFonts w:ascii="Arial" w:cs="Arial" w:eastAsia="Arial" w:hAnsi="Arial"/>
                <w:sz w:val="16"/>
                <w:szCs w:val="16"/>
                <w:color w:val="auto"/>
                <w:w w:val="91"/>
              </w:rPr>
              <w:t>Class B Common Stock, No Par Value</w:t>
            </w:r>
          </w:p>
        </w:tc>
        <w:tc>
          <w:tcPr>
            <w:tcW w:w="3300" w:type="dxa"/>
            <w:vAlign w:val="bottom"/>
          </w:tcPr>
          <w:p>
            <w:pPr>
              <w:jc w:val="center"/>
              <w:ind w:left="279"/>
              <w:spacing w:after="0"/>
              <w:rPr>
                <w:sz w:val="20"/>
                <w:szCs w:val="20"/>
                <w:color w:val="auto"/>
              </w:rPr>
            </w:pPr>
            <w:r>
              <w:rPr>
                <w:rFonts w:ascii="Arial" w:cs="Arial" w:eastAsia="Arial" w:hAnsi="Arial"/>
                <w:sz w:val="16"/>
                <w:szCs w:val="16"/>
                <w:color w:val="auto"/>
              </w:rPr>
              <w:t>DLTH</w:t>
            </w:r>
          </w:p>
        </w:tc>
        <w:tc>
          <w:tcPr>
            <w:tcW w:w="3320" w:type="dxa"/>
            <w:vAlign w:val="bottom"/>
            <w:gridSpan w:val="2"/>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303"/>
        </w:trPr>
        <w:tc>
          <w:tcPr>
            <w:tcW w:w="2960" w:type="dxa"/>
            <w:vAlign w:val="bottom"/>
          </w:tcPr>
          <w:p>
            <w:pPr>
              <w:spacing w:after="0"/>
              <w:rPr>
                <w:sz w:val="24"/>
                <w:szCs w:val="24"/>
                <w:color w:val="auto"/>
              </w:rPr>
            </w:pPr>
          </w:p>
        </w:tc>
        <w:tc>
          <w:tcPr>
            <w:tcW w:w="5520" w:type="dxa"/>
            <w:vAlign w:val="bottom"/>
            <w:gridSpan w:val="2"/>
          </w:tcPr>
          <w:p>
            <w:pPr>
              <w:jc w:val="center"/>
              <w:ind w:right="1442"/>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100" w:type="dxa"/>
            <w:vAlign w:val="bottom"/>
          </w:tcPr>
          <w:p>
            <w:pPr>
              <w:spacing w:after="0"/>
              <w:rPr>
                <w:sz w:val="24"/>
                <w:szCs w:val="24"/>
                <w:color w:val="auto"/>
              </w:rPr>
            </w:pPr>
          </w:p>
        </w:tc>
      </w:tr>
      <w:tr>
        <w:trPr>
          <w:trHeight w:val="210"/>
        </w:trPr>
        <w:tc>
          <w:tcPr>
            <w:tcW w:w="2960" w:type="dxa"/>
            <w:vAlign w:val="bottom"/>
          </w:tcPr>
          <w:p>
            <w:pPr>
              <w:spacing w:after="0"/>
              <w:rPr>
                <w:sz w:val="18"/>
                <w:szCs w:val="18"/>
                <w:color w:val="auto"/>
              </w:rPr>
            </w:pPr>
          </w:p>
        </w:tc>
        <w:tc>
          <w:tcPr>
            <w:tcW w:w="3300" w:type="dxa"/>
            <w:vAlign w:val="bottom"/>
          </w:tcPr>
          <w:p>
            <w:pPr>
              <w:jc w:val="center"/>
              <w:ind w:left="619"/>
              <w:spacing w:after="0"/>
              <w:rPr>
                <w:sz w:val="20"/>
                <w:szCs w:val="20"/>
                <w:color w:val="auto"/>
              </w:rPr>
            </w:pPr>
            <w:r>
              <w:rPr>
                <w:rFonts w:ascii="Arial" w:cs="Arial" w:eastAsia="Arial" w:hAnsi="Arial"/>
                <w:sz w:val="16"/>
                <w:szCs w:val="16"/>
                <w:b w:val="1"/>
                <w:bCs w:val="1"/>
                <w:color w:val="auto"/>
                <w:w w:val="89"/>
              </w:rPr>
              <w:t>None</w:t>
            </w:r>
          </w:p>
        </w:tc>
        <w:tc>
          <w:tcPr>
            <w:tcW w:w="2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4"/>
        </w:trPr>
        <w:tc>
          <w:tcPr>
            <w:tcW w:w="8480" w:type="dxa"/>
            <w:vAlign w:val="bottom"/>
            <w:gridSpan w:val="3"/>
          </w:tcPr>
          <w:p>
            <w:pPr>
              <w:ind w:left="320"/>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10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7"/>
        </w:trPr>
        <w:tc>
          <w:tcPr>
            <w:tcW w:w="8480" w:type="dxa"/>
            <w:vAlign w:val="bottom"/>
            <w:gridSpan w:val="3"/>
          </w:tcPr>
          <w:p>
            <w:pPr>
              <w:ind w:left="320"/>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10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3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w:t>
      </w:r>
    </w:p>
    <w:p>
      <w:pPr>
        <w:spacing w:after="0" w:line="45" w:lineRule="exact"/>
        <w:rPr>
          <w:sz w:val="24"/>
          <w:szCs w:val="24"/>
          <w:color w:val="auto"/>
        </w:rPr>
      </w:pPr>
    </w:p>
    <w:p>
      <w:pPr>
        <w:ind w:right="260"/>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w:t>
      </w:r>
    </w:p>
    <w:p>
      <w:pPr>
        <w:spacing w:after="0" w:line="34" w:lineRule="exact"/>
        <w:rPr>
          <w:sz w:val="24"/>
          <w:szCs w:val="24"/>
          <w:color w:val="auto"/>
        </w:rPr>
      </w:pPr>
    </w:p>
    <w:p>
      <w:pPr>
        <w:ind w:right="200"/>
        <w:spacing w:after="0" w:line="211" w:lineRule="exact"/>
        <w:rPr>
          <w:sz w:val="20"/>
          <w:szCs w:val="20"/>
          <w:color w:val="auto"/>
        </w:rPr>
      </w:pPr>
      <w:r>
        <w:rPr>
          <w:rFonts w:ascii="Arial" w:cs="Arial" w:eastAsia="Arial" w:hAnsi="Arial"/>
          <w:sz w:val="16"/>
          <w:szCs w:val="16"/>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255"/>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22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22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9" w:lineRule="exact"/>
        <w:rPr>
          <w:sz w:val="24"/>
          <w:szCs w:val="24"/>
          <w:color w:val="auto"/>
        </w:rPr>
      </w:pPr>
    </w:p>
    <w:p>
      <w:pPr>
        <w:ind w:right="22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20"/>
        <w:spacing w:after="0" w:line="184" w:lineRule="exact"/>
        <w:tabs>
          <w:tab w:leader="none" w:pos="7820" w:val="left"/>
          <w:tab w:leader="none" w:pos="84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100" w:firstLine="324"/>
        <w:spacing w:after="0" w:line="293"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$129.6 million based upon the closing price on the last business day of the registrant’s most recently completed second fiscal quarter (August 4, 2019).</w:t>
      </w:r>
    </w:p>
    <w:p>
      <w:pPr>
        <w:spacing w:after="0" w:line="10" w:lineRule="exact"/>
        <w:rPr>
          <w:sz w:val="24"/>
          <w:szCs w:val="24"/>
          <w:color w:val="auto"/>
        </w:rPr>
      </w:pPr>
    </w:p>
    <w:p>
      <w:pPr>
        <w:ind w:right="180" w:firstLine="324"/>
        <w:spacing w:after="0" w:line="293" w:lineRule="auto"/>
        <w:rPr>
          <w:sz w:val="20"/>
          <w:szCs w:val="20"/>
          <w:color w:val="auto"/>
        </w:rPr>
      </w:pPr>
      <w:r>
        <w:rPr>
          <w:rFonts w:ascii="Arial" w:cs="Arial" w:eastAsia="Arial" w:hAnsi="Arial"/>
          <w:sz w:val="16"/>
          <w:szCs w:val="16"/>
          <w:color w:val="auto"/>
        </w:rPr>
        <w:t>The number of shares outstanding of the Registrant’s Class A common stock, no par value, as of March 16, 2020, was 3,364,200. The number of shares outstanding of the Registrant’s Class B common stock, no par value, as of March 16, 2020 was 29,359,910.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140" w:firstLine="324"/>
        <w:spacing w:after="0" w:line="293" w:lineRule="auto"/>
        <w:rPr>
          <w:sz w:val="20"/>
          <w:szCs w:val="20"/>
          <w:color w:val="auto"/>
        </w:rPr>
      </w:pPr>
      <w:r>
        <w:rPr>
          <w:rFonts w:ascii="Arial" w:cs="Arial" w:eastAsia="Arial" w:hAnsi="Arial"/>
          <w:sz w:val="16"/>
          <w:szCs w:val="16"/>
          <w:color w:val="auto"/>
        </w:rPr>
        <w:t>Portions of the registrant’s definitive proxy statement to be filed within 120 days of February 2, 2020 are incorporated by reference in this Annual Report on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wp:posOffset>
            </wp:positionH>
            <wp:positionV relativeFrom="paragraph">
              <wp:posOffset>826770</wp:posOffset>
            </wp:positionV>
            <wp:extent cx="60350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80" w:type="dxa"/>
            <w:vAlign w:val="bottom"/>
            <w:gridSpan w:val="12"/>
            <w:vMerge w:val="restart"/>
          </w:tcPr>
          <w:p>
            <w:pPr>
              <w:jc w:val="center"/>
              <w:ind w:right="3080"/>
              <w:spacing w:after="0"/>
              <w:rPr>
                <w:sz w:val="20"/>
                <w:szCs w:val="20"/>
                <w:color w:val="auto"/>
              </w:rPr>
            </w:pPr>
            <w:r>
              <w:rPr>
                <w:rFonts w:ascii="Arial" w:cs="Arial" w:eastAsia="Arial" w:hAnsi="Arial"/>
                <w:sz w:val="18"/>
                <w:szCs w:val="18"/>
                <w:b w:val="1"/>
                <w:bCs w:val="1"/>
                <w:color w:val="auto"/>
              </w:rPr>
              <w:t>PART I</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gridSpan w:val="12"/>
            <w:vMerge w:val="continue"/>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gridSpan w:val="5"/>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300" w:type="dxa"/>
            <w:vAlign w:val="bottom"/>
            <w:gridSpan w:val="25"/>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ITEM 1A.</w:t>
              </w:r>
            </w:hyperlink>
          </w:p>
        </w:tc>
        <w:tc>
          <w:tcPr>
            <w:tcW w:w="240" w:type="dxa"/>
            <w:vAlign w:val="bottom"/>
          </w:tcPr>
          <w:p>
            <w:pPr>
              <w:spacing w:after="0"/>
              <w:rPr>
                <w:sz w:val="24"/>
                <w:szCs w:val="24"/>
                <w:color w:val="auto"/>
              </w:rPr>
            </w:pPr>
          </w:p>
        </w:tc>
        <w:tc>
          <w:tcPr>
            <w:tcW w:w="7300" w:type="dxa"/>
            <w:vAlign w:val="bottom"/>
            <w:gridSpan w:val="2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ITEM 1B.</w:t>
              </w:r>
            </w:hyperlink>
          </w:p>
        </w:tc>
        <w:tc>
          <w:tcPr>
            <w:tcW w:w="240" w:type="dxa"/>
            <w:vAlign w:val="bottom"/>
          </w:tcPr>
          <w:p>
            <w:pPr>
              <w:spacing w:after="0"/>
              <w:rPr>
                <w:sz w:val="24"/>
                <w:szCs w:val="24"/>
                <w:color w:val="auto"/>
              </w:rPr>
            </w:pPr>
          </w:p>
        </w:tc>
        <w:tc>
          <w:tcPr>
            <w:tcW w:w="7300" w:type="dxa"/>
            <w:vAlign w:val="bottom"/>
            <w:gridSpan w:val="2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2820" w:type="dxa"/>
            <w:vAlign w:val="bottom"/>
            <w:tcBorders>
              <w:top w:val="single" w:sz="8" w:color="0000EE"/>
            </w:tcBorders>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4480" w:type="dxa"/>
            <w:vAlign w:val="bottom"/>
            <w:gridSpan w:val="1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30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30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00" w:type="dxa"/>
            <w:vAlign w:val="bottom"/>
            <w:gridSpan w:val="2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INFORMATION ABOUT OUR EXECUTIVE OFFICERS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gridSpan w:val="2"/>
          </w:tcPr>
          <w:p>
            <w:pPr>
              <w:jc w:val="center"/>
              <w:ind w:right="40"/>
              <w:spacing w:after="0"/>
              <w:rPr>
                <w:sz w:val="20"/>
                <w:szCs w:val="20"/>
                <w:color w:val="auto"/>
              </w:rPr>
            </w:pPr>
            <w:r>
              <w:rPr>
                <w:rFonts w:ascii="Arial" w:cs="Arial" w:eastAsia="Arial" w:hAnsi="Arial"/>
                <w:sz w:val="18"/>
                <w:szCs w:val="18"/>
                <w:b w:val="1"/>
                <w:bCs w:val="1"/>
                <w:color w:val="auto"/>
                <w:w w:val="99"/>
              </w:rPr>
              <w:t>PART II</w:t>
            </w:r>
          </w:p>
        </w:tc>
        <w:tc>
          <w:tcPr>
            <w:tcW w:w="3040" w:type="dxa"/>
            <w:vAlign w:val="bottom"/>
            <w:gridSpan w:val="10"/>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gridSpan w:val="5"/>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7300" w:type="dxa"/>
            <w:vAlign w:val="bottom"/>
            <w:gridSpan w:val="25"/>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MARKET FOR THE REGISTRANT’S COMMON EQUITY, RELATED SHAREHOLDER</w:t>
              </w:r>
            </w:hyperlink>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MATTERS AND ISSUER PURCHASES OF EQUITY SECURITIES</w:t>
              </w:r>
            </w:hyperlink>
          </w:p>
        </w:tc>
        <w:tc>
          <w:tcPr>
            <w:tcW w:w="1640" w:type="dxa"/>
            <w:vAlign w:val="bottom"/>
            <w:tcBorders>
              <w:top w:val="single" w:sz="8" w:color="0000EE"/>
            </w:tcBorders>
            <w:gridSpan w:val="4"/>
          </w:tcPr>
          <w:p>
            <w:pPr>
              <w:spacing w:after="0"/>
              <w:rPr>
                <w:sz w:val="17"/>
                <w:szCs w:val="17"/>
                <w:color w:val="auto"/>
              </w:rPr>
            </w:pPr>
          </w:p>
        </w:tc>
        <w:tc>
          <w:tcPr>
            <w:tcW w:w="6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7.</w:t>
              </w:r>
            </w:hyperlink>
          </w:p>
        </w:tc>
        <w:tc>
          <w:tcPr>
            <w:tcW w:w="730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RESULTS OF OPERATIONS</w:t>
              </w:r>
            </w:hyperlink>
          </w:p>
        </w:tc>
        <w:tc>
          <w:tcPr>
            <w:tcW w:w="4500" w:type="dxa"/>
            <w:vAlign w:val="bottom"/>
            <w:tcBorders>
              <w:top w:val="single" w:sz="8" w:color="0000EE"/>
            </w:tcBorders>
            <w:gridSpan w:val="12"/>
          </w:tcPr>
          <w:p>
            <w:pPr>
              <w:spacing w:after="0"/>
              <w:rPr>
                <w:sz w:val="17"/>
                <w:szCs w:val="17"/>
                <w:color w:val="auto"/>
              </w:rPr>
            </w:pPr>
          </w:p>
        </w:tc>
        <w:tc>
          <w:tcPr>
            <w:tcW w:w="6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8.</w:t>
              </w:r>
            </w:hyperlink>
          </w:p>
        </w:tc>
        <w:tc>
          <w:tcPr>
            <w:tcW w:w="7300" w:type="dxa"/>
            <w:vAlign w:val="bottom"/>
            <w:gridSpan w:val="2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9.</w:t>
              </w:r>
            </w:hyperlink>
          </w:p>
        </w:tc>
        <w:tc>
          <w:tcPr>
            <w:tcW w:w="7300" w:type="dxa"/>
            <w:vAlign w:val="bottom"/>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5"/>
          </w:tcPr>
          <w:p>
            <w:pPr>
              <w:spacing w:after="0"/>
              <w:rPr>
                <w:sz w:val="17"/>
                <w:szCs w:val="17"/>
                <w:color w:val="auto"/>
              </w:rPr>
            </w:pPr>
          </w:p>
        </w:tc>
        <w:tc>
          <w:tcPr>
            <w:tcW w:w="3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9A.</w:t>
              </w:r>
            </w:hyperlink>
          </w:p>
        </w:tc>
        <w:tc>
          <w:tcPr>
            <w:tcW w:w="240" w:type="dxa"/>
            <w:vAlign w:val="bottom"/>
          </w:tcPr>
          <w:p>
            <w:pPr>
              <w:spacing w:after="0"/>
              <w:rPr>
                <w:sz w:val="24"/>
                <w:szCs w:val="24"/>
                <w:color w:val="auto"/>
              </w:rPr>
            </w:pPr>
          </w:p>
        </w:tc>
        <w:tc>
          <w:tcPr>
            <w:tcW w:w="26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CONTROLS AND PROCEDURES</w:t>
              </w:r>
            </w:hyperlink>
          </w:p>
        </w:tc>
        <w:tc>
          <w:tcPr>
            <w:tcW w:w="4700" w:type="dxa"/>
            <w:vAlign w:val="bottom"/>
            <w:gridSpan w:val="1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9B.</w:t>
              </w:r>
            </w:hyperlink>
          </w:p>
        </w:tc>
        <w:tc>
          <w:tcPr>
            <w:tcW w:w="7300" w:type="dxa"/>
            <w:vAlign w:val="bottom"/>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gridSpan w:val="12"/>
          </w:tcPr>
          <w:p>
            <w:pPr>
              <w:jc w:val="center"/>
              <w:ind w:right="3080"/>
              <w:spacing w:after="0"/>
              <w:rPr>
                <w:sz w:val="20"/>
                <w:szCs w:val="20"/>
                <w:color w:val="auto"/>
              </w:rPr>
            </w:pPr>
            <w:r>
              <w:rPr>
                <w:rFonts w:ascii="Arial" w:cs="Arial" w:eastAsia="Arial" w:hAnsi="Arial"/>
                <w:sz w:val="18"/>
                <w:szCs w:val="18"/>
                <w:b w:val="1"/>
                <w:bCs w:val="1"/>
                <w:color w:val="auto"/>
              </w:rPr>
              <w:t>PART III</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20" w:type="dxa"/>
            <w:vAlign w:val="bottom"/>
            <w:gridSpan w:val="3"/>
          </w:tcPr>
          <w:p>
            <w:pPr>
              <w:spacing w:after="0" w:line="190"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ITEM 10.</w:t>
              </w:r>
            </w:hyperlink>
          </w:p>
        </w:tc>
        <w:tc>
          <w:tcPr>
            <w:tcW w:w="280" w:type="dxa"/>
            <w:vAlign w:val="bottom"/>
            <w:gridSpan w:val="2"/>
          </w:tcPr>
          <w:p>
            <w:pPr>
              <w:spacing w:after="0"/>
              <w:rPr>
                <w:sz w:val="16"/>
                <w:szCs w:val="16"/>
                <w:color w:val="auto"/>
              </w:rPr>
            </w:pPr>
          </w:p>
        </w:tc>
        <w:tc>
          <w:tcPr>
            <w:tcW w:w="7300" w:type="dxa"/>
            <w:vAlign w:val="bottom"/>
            <w:gridSpan w:val="25"/>
          </w:tcPr>
          <w:p>
            <w:pPr>
              <w:spacing w:after="0" w:line="190"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ITEM 11.</w:t>
              </w:r>
            </w:hyperlink>
          </w:p>
        </w:tc>
        <w:tc>
          <w:tcPr>
            <w:tcW w:w="280" w:type="dxa"/>
            <w:vAlign w:val="bottom"/>
            <w:gridSpan w:val="2"/>
          </w:tcPr>
          <w:p>
            <w:pPr>
              <w:spacing w:after="0"/>
              <w:rPr>
                <w:sz w:val="24"/>
                <w:szCs w:val="24"/>
                <w:color w:val="auto"/>
              </w:rPr>
            </w:pPr>
          </w:p>
        </w:tc>
        <w:tc>
          <w:tcPr>
            <w:tcW w:w="5780" w:type="dxa"/>
            <w:vAlign w:val="bottom"/>
            <w:tcBorders>
              <w:top w:val="single" w:sz="8" w:color="0000EE"/>
            </w:tcBorders>
            <w:gridSpan w:val="1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152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ITEM 12.</w:t>
              </w:r>
            </w:hyperlink>
          </w:p>
        </w:tc>
        <w:tc>
          <w:tcPr>
            <w:tcW w:w="280" w:type="dxa"/>
            <w:vAlign w:val="bottom"/>
            <w:gridSpan w:val="2"/>
          </w:tcPr>
          <w:p>
            <w:pPr>
              <w:spacing w:after="0"/>
              <w:rPr>
                <w:sz w:val="24"/>
                <w:szCs w:val="24"/>
                <w:color w:val="auto"/>
              </w:rPr>
            </w:pPr>
          </w:p>
        </w:tc>
        <w:tc>
          <w:tcPr>
            <w:tcW w:w="716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SECURITY OWNERSHIP OF CERTAIN BENEFICIAL OWNERS AND MANAGEMENT AND</w:t>
              </w:r>
            </w:hyperlink>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00" w:type="dxa"/>
            <w:vAlign w:val="bottom"/>
            <w:gridSpan w:val="2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RELATED SHAREHOLDER MATTERS</w:t>
              </w:r>
            </w:hyperlink>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ITEM 13.</w:t>
              </w:r>
            </w:hyperlink>
          </w:p>
        </w:tc>
        <w:tc>
          <w:tcPr>
            <w:tcW w:w="280" w:type="dxa"/>
            <w:vAlign w:val="bottom"/>
            <w:gridSpan w:val="2"/>
          </w:tcPr>
          <w:p>
            <w:pPr>
              <w:spacing w:after="0"/>
              <w:rPr>
                <w:sz w:val="24"/>
                <w:szCs w:val="24"/>
                <w:color w:val="auto"/>
              </w:rPr>
            </w:pPr>
          </w:p>
        </w:tc>
        <w:tc>
          <w:tcPr>
            <w:tcW w:w="624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CERTAIN RELATIONSHIPS AND RELATED TRANSACTIONS AND DIRECTOR</w:t>
              </w:r>
            </w:hyperlink>
          </w:p>
        </w:tc>
        <w:tc>
          <w:tcPr>
            <w:tcW w:w="1060" w:type="dxa"/>
            <w:vAlign w:val="bottom"/>
            <w:gridSpan w:val="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00" w:type="dxa"/>
            <w:vAlign w:val="bottom"/>
            <w:gridSpan w:val="2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INDEPENDENCE</w:t>
              </w:r>
            </w:hyperlink>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ITEM 14.</w:t>
              </w:r>
            </w:hyperlink>
          </w:p>
        </w:tc>
        <w:tc>
          <w:tcPr>
            <w:tcW w:w="280" w:type="dxa"/>
            <w:vAlign w:val="bottom"/>
            <w:gridSpan w:val="2"/>
          </w:tcPr>
          <w:p>
            <w:pPr>
              <w:spacing w:after="0"/>
              <w:rPr>
                <w:sz w:val="24"/>
                <w:szCs w:val="24"/>
                <w:color w:val="auto"/>
              </w:rPr>
            </w:pPr>
          </w:p>
        </w:tc>
        <w:tc>
          <w:tcPr>
            <w:tcW w:w="39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PRINCIPAL ACCOUNTANT FEES AND SERVICES</w:t>
              </w:r>
            </w:hyperlink>
          </w:p>
        </w:tc>
        <w:tc>
          <w:tcPr>
            <w:tcW w:w="334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gridSpan w:val="12"/>
          </w:tcPr>
          <w:p>
            <w:pPr>
              <w:jc w:val="center"/>
              <w:ind w:right="3080"/>
              <w:spacing w:after="0"/>
              <w:rPr>
                <w:sz w:val="20"/>
                <w:szCs w:val="20"/>
                <w:color w:val="auto"/>
              </w:rPr>
            </w:pPr>
            <w:r>
              <w:rPr>
                <w:rFonts w:ascii="Arial" w:cs="Arial" w:eastAsia="Arial" w:hAnsi="Arial"/>
                <w:sz w:val="18"/>
                <w:szCs w:val="18"/>
                <w:b w:val="1"/>
                <w:bCs w:val="1"/>
                <w:color w:val="auto"/>
              </w:rPr>
              <w:t>PART IV</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20" w:type="dxa"/>
            <w:vAlign w:val="bottom"/>
            <w:tcBorders>
              <w:bottom w:val="single" w:sz="8" w:color="0000EE"/>
            </w:tcBorders>
            <w:gridSpan w:val="3"/>
          </w:tcPr>
          <w:p>
            <w:pPr>
              <w:spacing w:after="0" w:line="190"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ITEM 15.</w:t>
              </w:r>
            </w:hyperlink>
          </w:p>
        </w:tc>
        <w:tc>
          <w:tcPr>
            <w:tcW w:w="280" w:type="dxa"/>
            <w:vAlign w:val="bottom"/>
            <w:gridSpan w:val="2"/>
          </w:tcPr>
          <w:p>
            <w:pPr>
              <w:spacing w:after="0"/>
              <w:rPr>
                <w:sz w:val="16"/>
                <w:szCs w:val="16"/>
                <w:color w:val="auto"/>
              </w:rPr>
            </w:pPr>
          </w:p>
        </w:tc>
        <w:tc>
          <w:tcPr>
            <w:tcW w:w="4480" w:type="dxa"/>
            <w:vAlign w:val="bottom"/>
            <w:tcBorders>
              <w:bottom w:val="single" w:sz="8" w:color="0000EE"/>
            </w:tcBorders>
            <w:gridSpan w:val="16"/>
          </w:tcPr>
          <w:p>
            <w:pPr>
              <w:spacing w:after="0" w:line="190"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EXHIBITS, FINANCIAL STATEMENTS AND SCHEDULE</w:t>
              </w:r>
            </w:hyperlink>
          </w:p>
        </w:tc>
        <w:tc>
          <w:tcPr>
            <w:tcW w:w="2820" w:type="dxa"/>
            <w:vAlign w:val="bottom"/>
            <w:gridSpan w:val="9"/>
          </w:tcPr>
          <w:p>
            <w:pPr>
              <w:spacing w:after="0"/>
              <w:rPr>
                <w:sz w:val="16"/>
                <w:szCs w:val="16"/>
                <w:color w:val="auto"/>
              </w:rPr>
            </w:pP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gridSpan w:val="3"/>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ITEM 16.</w:t>
              </w:r>
            </w:hyperlink>
          </w:p>
        </w:tc>
        <w:tc>
          <w:tcPr>
            <w:tcW w:w="280" w:type="dxa"/>
            <w:vAlign w:val="bottom"/>
            <w:gridSpan w:val="2"/>
          </w:tcPr>
          <w:p>
            <w:pPr>
              <w:spacing w:after="0"/>
              <w:rPr>
                <w:sz w:val="24"/>
                <w:szCs w:val="24"/>
                <w:color w:val="auto"/>
              </w:rPr>
            </w:pPr>
          </w:p>
        </w:tc>
        <w:tc>
          <w:tcPr>
            <w:tcW w:w="7300" w:type="dxa"/>
            <w:vAlign w:val="bottom"/>
            <w:gridSpan w:val="2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FORM 10-K SUMMARY</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SIGNATURES</w:t>
              </w:r>
            </w:hyperlink>
          </w:p>
        </w:tc>
        <w:tc>
          <w:tcPr>
            <w:tcW w:w="780" w:type="dxa"/>
            <w:vAlign w:val="bottom"/>
            <w:tcBorders>
              <w:top w:val="single" w:sz="8" w:color="0000EE"/>
            </w:tcBorders>
            <w:gridSpan w:val="4"/>
          </w:tcPr>
          <w:p>
            <w:pPr>
              <w:spacing w:after="0"/>
              <w:rPr>
                <w:sz w:val="24"/>
                <w:szCs w:val="24"/>
                <w:color w:val="auto"/>
              </w:rPr>
            </w:pPr>
          </w:p>
        </w:tc>
        <w:tc>
          <w:tcPr>
            <w:tcW w:w="5420" w:type="dxa"/>
            <w:vAlign w:val="bottom"/>
            <w:gridSpan w:val="1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bottom w:val="single" w:sz="8" w:color="0000EE"/>
            </w:tcBorders>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 INDEX</w:t>
              </w:r>
            </w:hyperlink>
          </w:p>
        </w:tc>
        <w:tc>
          <w:tcPr>
            <w:tcW w:w="5940" w:type="dxa"/>
            <w:vAlign w:val="bottom"/>
            <w:gridSpan w:val="20"/>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14"/>
          </w:tcPr>
          <w:p>
            <w:pPr>
              <w:jc w:val="center"/>
              <w:ind w:left="3191"/>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8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500"/>
          </w:cols>
          <w:pgMar w:left="1200" w:top="648" w:right="1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ind w:left="840" w:hanging="418"/>
        <w:spacing w:after="0" w:line="208"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ability to maintain and enhance a strong brand image;</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successfully open new stores;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effectively adapting to new challenges associated with our expansion into new geographic markets;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generating adequate cash from our existing stores to support our growth;</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changes in corporate tax regulations and sales tax;</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identifying and responding to new and changing customer preferences;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containing the increase in the cost of mailing catalogs, paper and printing;</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success of the locations in which our stores are located;</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customers in the various retail venues and locations in which our stores are located;</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adapting to declines in consumer confidence and decreases in consumer spending;</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competing effectively in an environment of intense competition;</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adapt to significant changes in sales due to the seasonality of our business;</w:t>
      </w:r>
    </w:p>
    <w:p>
      <w:pPr>
        <w:spacing w:after="0" w:line="110" w:lineRule="exact"/>
        <w:rPr>
          <w:rFonts w:ascii="Arial" w:cs="Arial" w:eastAsia="Arial" w:hAnsi="Arial"/>
          <w:sz w:val="24"/>
          <w:szCs w:val="24"/>
          <w:color w:val="auto"/>
          <w:vertAlign w:val="superscript"/>
        </w:rPr>
      </w:pPr>
    </w:p>
    <w:p>
      <w:pPr>
        <w:ind w:left="840" w:right="520" w:hanging="418"/>
        <w:spacing w:after="0" w:line="191"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price reductions or inventory shortages resulting from failure to purchase the appropriate amount of inventory in advance of the season in which it will be sold;</w:t>
      </w:r>
    </w:p>
    <w:p>
      <w:pPr>
        <w:spacing w:after="0" w:line="93" w:lineRule="exact"/>
        <w:rPr>
          <w:rFonts w:ascii="Arial" w:cs="Arial" w:eastAsia="Arial" w:hAnsi="Arial"/>
          <w:sz w:val="29"/>
          <w:szCs w:val="29"/>
          <w:color w:val="auto"/>
          <w:vertAlign w:val="superscript"/>
        </w:rPr>
      </w:pPr>
    </w:p>
    <w:p>
      <w:pPr>
        <w:ind w:left="840" w:right="680" w:hanging="418"/>
        <w:spacing w:after="0" w:line="198"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natural disasters, unusually adverse weather conditions, boycotts, prolonged public health crises, epidemics or pandemics and unanticipated events;</w:t>
      </w:r>
    </w:p>
    <w:p>
      <w:pPr>
        <w:spacing w:after="0" w:line="25" w:lineRule="exact"/>
        <w:rPr>
          <w:rFonts w:ascii="Arial" w:cs="Arial" w:eastAsia="Arial" w:hAnsi="Arial"/>
          <w:sz w:val="29"/>
          <w:szCs w:val="29"/>
          <w:color w:val="auto"/>
          <w:vertAlign w:val="superscript"/>
        </w:rPr>
      </w:pPr>
    </w:p>
    <w:p>
      <w:pPr>
        <w:ind w:left="840" w:hanging="418"/>
        <w:spacing w:after="0"/>
        <w:tabs>
          <w:tab w:leader="none" w:pos="8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our dependence on third-party vendors to provide us with sufficient quantities of merchandise at acceptable prices;</w:t>
      </w:r>
    </w:p>
    <w:p>
      <w:pPr>
        <w:spacing w:after="0" w:line="109" w:lineRule="exact"/>
        <w:rPr>
          <w:rFonts w:ascii="Arial" w:cs="Arial" w:eastAsia="Arial" w:hAnsi="Arial"/>
          <w:sz w:val="26"/>
          <w:szCs w:val="26"/>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increases in costs of fuel or other energy, transportation or utility costs and in the costs of labor and employment;</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susceptibility of the price and availability of our merchandise to international trade conditions;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failure of our vendors and their manufacturing sources to use acceptable labor or other practices;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upon key executive management or our inability to hire or retain the talent required for our business;</w:t>
      </w:r>
    </w:p>
    <w:p>
      <w:pPr>
        <w:spacing w:after="0" w:line="110" w:lineRule="exact"/>
        <w:rPr>
          <w:rFonts w:ascii="Arial" w:cs="Arial" w:eastAsia="Arial" w:hAnsi="Arial"/>
          <w:sz w:val="24"/>
          <w:szCs w:val="24"/>
          <w:color w:val="auto"/>
          <w:vertAlign w:val="superscript"/>
        </w:rPr>
      </w:pPr>
    </w:p>
    <w:p>
      <w:pPr>
        <w:ind w:left="840" w:right="560" w:hanging="418"/>
        <w:spacing w:after="0" w:line="191"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failure of our information technology systems to support our current and growing business, before and after our planned upgrades;</w:t>
      </w:r>
    </w:p>
    <w:p>
      <w:pPr>
        <w:ind w:left="840" w:hanging="418"/>
        <w:spacing w:after="0" w:line="233"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disruptions in our supply chain and distribution centers;</w:t>
      </w:r>
    </w:p>
    <w:p>
      <w:pPr>
        <w:spacing w:after="0" w:line="109"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inability to protect our trademarks or other intellectual property rights;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infringement on the intellectual property of third parties;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acts of war, terrorism or civil unrest;</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governmental laws and regulations and the outcomes of legal proceedings;</w:t>
      </w:r>
    </w:p>
    <w:p>
      <w:pPr>
        <w:spacing w:after="0" w:line="110" w:lineRule="exact"/>
        <w:rPr>
          <w:rFonts w:ascii="Arial" w:cs="Arial" w:eastAsia="Arial" w:hAnsi="Arial"/>
          <w:sz w:val="24"/>
          <w:szCs w:val="24"/>
          <w:color w:val="auto"/>
          <w:vertAlign w:val="superscript"/>
        </w:rPr>
      </w:pPr>
    </w:p>
    <w:p>
      <w:pPr>
        <w:ind w:left="840" w:right="160" w:hanging="418"/>
        <w:spacing w:after="0" w:line="191"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changes in U.S. and non-U.S. laws affecting the importation and taxation of goods, including imposition of unilateral tariffs on imported goods;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40" w:right="60" w:hanging="418"/>
        <w:spacing w:after="0" w:line="198" w:lineRule="auto"/>
        <w:tabs>
          <w:tab w:leader="none" w:pos="8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our ability to secure the personal and/or financial information of our customers and comply with the security standards for the credit card industry; and</w:t>
      </w:r>
    </w:p>
    <w:p>
      <w:pPr>
        <w:ind w:left="840" w:hanging="418"/>
        <w:spacing w:after="0" w:line="233" w:lineRule="auto"/>
        <w:tabs>
          <w:tab w:leader="none" w:pos="8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our failure to maintain adequate internal controls over our financial and management systems.</w:t>
      </w:r>
    </w:p>
    <w:p>
      <w:pPr>
        <w:spacing w:after="0" w:line="161" w:lineRule="exact"/>
        <w:rPr>
          <w:sz w:val="20"/>
          <w:szCs w:val="20"/>
          <w:color w:val="auto"/>
        </w:rPr>
      </w:pPr>
    </w:p>
    <w:p>
      <w:pPr>
        <w:jc w:val="both"/>
        <w:ind w:right="440" w:firstLine="441"/>
        <w:spacing w:after="0" w:line="311" w:lineRule="auto"/>
        <w:rPr>
          <w:sz w:val="20"/>
          <w:szCs w:val="20"/>
          <w:color w:val="auto"/>
        </w:rPr>
      </w:pPr>
      <w:r>
        <w:rPr>
          <w:rFonts w:ascii="Arial" w:cs="Arial" w:eastAsia="Arial" w:hAnsi="Arial"/>
          <w:sz w:val="16"/>
          <w:szCs w:val="16"/>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2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7"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i w:val="1"/>
          <w:iCs w:val="1"/>
          <w:color w:val="auto"/>
        </w:rPr>
        <w:t>Unless the context indicates otherwise, the terms the “Company,” “Duluth,” “Duluth Trading,” “Duluth Holdings,” “we,” “our” or “us” are used to refer to Duluth Holdings Inc.</w:t>
      </w:r>
    </w:p>
    <w:p>
      <w:pPr>
        <w:spacing w:after="0" w:line="143" w:lineRule="exact"/>
        <w:rPr>
          <w:sz w:val="20"/>
          <w:szCs w:val="20"/>
          <w:color w:val="auto"/>
        </w:rPr>
      </w:pPr>
    </w:p>
    <w:p>
      <w:pPr>
        <w:ind w:right="300" w:firstLine="441"/>
        <w:spacing w:after="0" w:line="263" w:lineRule="auto"/>
        <w:rPr>
          <w:sz w:val="20"/>
          <w:szCs w:val="20"/>
          <w:color w:val="auto"/>
        </w:rPr>
      </w:pPr>
      <w:r>
        <w:rPr>
          <w:rFonts w:ascii="Arial" w:cs="Arial" w:eastAsia="Arial" w:hAnsi="Arial"/>
          <w:sz w:val="18"/>
          <w:szCs w:val="18"/>
          <w:i w:val="1"/>
          <w:iCs w:val="1"/>
          <w:color w:val="auto"/>
        </w:rPr>
        <w:t>The following discussion contains references to fiscal years 2019, 2018 and 2017, which refer to our fiscal years ended February 2, 2020, February 3, 2019, and January 28, 2018, respectively. Fiscal years 2019, 2018, and 2017 were 52-week, 53-week, and 52-week periods, respectively.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fiscal 2019, we opened a total of 15 retail stores adding approximately 215,000 gross square feet to our stores.</w:t>
      </w:r>
    </w:p>
    <w:p>
      <w:pPr>
        <w:spacing w:after="0" w:line="185"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Duluth Trading is a lifestyle brand of men’s and women’s casual wear, workwear and accessories sold exclusively through our own channels. We offer a comprehensive line of innovative, durable and functional products, such as our Longtail T® shirts, Buck Naked</w:t>
      </w:r>
      <w:r>
        <w:rPr>
          <w:rFonts w:ascii="Arial" w:cs="Arial" w:eastAsia="Arial" w:hAnsi="Arial"/>
          <w:sz w:val="8"/>
          <w:szCs w:val="8"/>
          <w:color w:val="auto"/>
        </w:rPr>
        <w:t>TM</w:t>
      </w:r>
      <w:r>
        <w:rPr>
          <w:rFonts w:ascii="Arial" w:cs="Arial" w:eastAsia="Arial" w:hAnsi="Arial"/>
          <w:sz w:val="18"/>
          <w:szCs w:val="18"/>
          <w:color w:val="auto"/>
        </w:rPr>
        <w:t xml:space="preserve"> underwear and Fire Hose® work pants, which reflect our position as the Modern, Self-Reliant American Lifestyle brand. Our brand has a heritage in workwear that transcends tradesmen and appeals to a broad demographic of men and women for everyday and on-the-job use. We believe the foundation of our success is our culture of “poking average in the eye” </w:t>
      </w:r>
      <w:r>
        <w:rPr>
          <w:rFonts w:ascii="Arial" w:cs="Arial" w:eastAsia="Arial" w:hAnsi="Arial"/>
          <w:sz w:val="18"/>
          <w:szCs w:val="18"/>
          <w:i w:val="1"/>
          <w:iCs w:val="1"/>
          <w:color w:val="auto"/>
        </w:rPr>
        <w:t>by seeing</w:t>
      </w:r>
      <w:r>
        <w:rPr>
          <w:rFonts w:ascii="Arial" w:cs="Arial" w:eastAsia="Arial" w:hAnsi="Arial"/>
          <w:sz w:val="18"/>
          <w:szCs w:val="18"/>
          <w:color w:val="auto"/>
        </w:rPr>
        <w:t xml:space="preserve"> </w:t>
      </w:r>
      <w:r>
        <w:rPr>
          <w:rFonts w:ascii="Arial" w:cs="Arial" w:eastAsia="Arial" w:hAnsi="Arial"/>
          <w:sz w:val="18"/>
          <w:szCs w:val="18"/>
          <w:i w:val="1"/>
          <w:iCs w:val="1"/>
          <w:color w:val="auto"/>
        </w:rPr>
        <w:t>things for what they could be and should be and finding a way to make them exactly that, and we like to do it all with a big, toothy grin.</w:t>
      </w:r>
    </w:p>
    <w:p>
      <w:pPr>
        <w:spacing w:after="0" w:line="168"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products solve the problems our customers experience with the limitations of commonly available apparel and gear. Our design process reflects a “there’s gotta be a better way” attitude, resulting in differentiated products with unique features that appeal to a broad array of customers. Our products represent enduring styles that go beyond short-lived fashion trends. We strive to make shopping for our products fun by using attention-grabbing advertisements that are humorous, irreverent and quirky and serve to reinforce our brand identity. We also use storytelling to differentiate our products in the marketplace and create emotional connections with our customers. We provide our customers with a unique and entertaining experience across all channels through our content-rich website, catalogs and “store like no other” retail environment. We treat our customers like next-door neighbors, as exemplified by our exceptional customer service and unconditional “No Bull Guarantee” on all purchases.</w:t>
      </w:r>
    </w:p>
    <w:p>
      <w:pPr>
        <w:spacing w:after="0" w:line="1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To protect the integrity of the Duluth Trading brand, we offer our products exclusively through our omnichannel distribution network, consisting of our website, catalogs and retail stores. This model creates multiple touch points with our customers and enables us to control both our Duluth Trading brand expression and the pricing of our products. Our distribution strategy eliminates the need to sell through third-party retailers, allowing us to focus on our core competencies of product development, storytelling and serving customers. Our direct segment, consisting of our website and catalogs, offers products nationwide. In 2010, we added retail to our omnichannel platform with the opening of our first store. Since then, we have expanded our retail presence, and, as of February 2, 2020, we operated 58 retail stores and three outlet stores.</w:t>
      </w:r>
    </w:p>
    <w:p>
      <w:pPr>
        <w:spacing w:after="0" w:line="13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4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From what began as an idea aimed at those working in the building trades, Duluth Trading has become a widely recognized brand and proprietary line of innovative and functional apparel and gear. We have created strong brand awareness, built a loyal customer base and generated robust sales momentum. We have done so by sticking to our roots of “there’s gotta be a better way” and through our relentless focus on providing our customer with quality, functional products.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goal is to expand the reach of the Duluth Trading brand, using strategies that will further drive growth and profitability:</w:t>
      </w:r>
    </w:p>
    <w:p>
      <w:pPr>
        <w:spacing w:after="0" w:line="140" w:lineRule="exact"/>
        <w:rPr>
          <w:sz w:val="20"/>
          <w:szCs w:val="20"/>
          <w:color w:val="auto"/>
        </w:rPr>
      </w:pPr>
    </w:p>
    <w:p>
      <w:pPr>
        <w:ind w:left="840" w:right="20" w:hanging="418"/>
        <w:spacing w:after="0" w:line="242" w:lineRule="auto"/>
        <w:tabs>
          <w:tab w:leader="none" w:pos="8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Building Brand Awareness to Continue Customer Acquisition</w:t>
      </w:r>
      <w:r>
        <w:rPr>
          <w:rFonts w:ascii="Arial" w:cs="Arial" w:eastAsia="Arial" w:hAnsi="Arial"/>
          <w:sz w:val="17"/>
          <w:szCs w:val="17"/>
          <w:color w:val="auto"/>
        </w:rPr>
        <w:t>. We are a growing lifestyle brand and have built strong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awareness and successfully acquired customers over multiple years. As a relatively young brand, we believe that we have a significant opportunity to build even greater brand awareness. We plan to introduce potential customers to our brand through our national television and digital advertising campaigns, retail stores and catalogs. We have made significant investments in marketing to build brand awareness among our potential customers and expect to achieve leverage from these investments as our business continues to grow.</w:t>
      </w:r>
    </w:p>
    <w:p>
      <w:pPr>
        <w:spacing w:after="0" w:line="93" w:lineRule="exact"/>
        <w:rPr>
          <w:rFonts w:ascii="Arial" w:cs="Arial" w:eastAsia="Arial" w:hAnsi="Arial"/>
          <w:sz w:val="28"/>
          <w:szCs w:val="28"/>
          <w:color w:val="auto"/>
          <w:vertAlign w:val="superscript"/>
        </w:rPr>
      </w:pPr>
    </w:p>
    <w:p>
      <w:pPr>
        <w:ind w:left="840" w:hanging="418"/>
        <w:spacing w:after="0" w:line="273" w:lineRule="auto"/>
        <w:tabs>
          <w:tab w:leader="none" w:pos="8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 xml:space="preserve">Growing Sales in New and Existing Store Markets. </w:t>
      </w:r>
      <w:r>
        <w:rPr>
          <w:rFonts w:ascii="Arial" w:cs="Arial" w:eastAsia="Arial" w:hAnsi="Arial"/>
          <w:sz w:val="16"/>
          <w:szCs w:val="16"/>
          <w:color w:val="auto"/>
        </w:rPr>
        <w:t>Based on our experience to date, we believe the combination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direct and retail channels in an individual geographic market substantially increases the net sales and customer acquisition potential in that market. For example, since opening our retail stores in the Minneapolis-St. Paul metropolitan area, our direct segment net sales in that area have continued to grow. Additionally, we believe our retail stores provide ancillary marketing benefits by giving new and existing customers a destination to experience our brand. We believe that our customers’ desire to shop in stores, combined with the number of potential markets for our retail stores and the compelling unit economics of our existing retail stores, provide us with the opportunity to selectively grow our U.S. retail presence. We have executed six new store leases four of which are for stores to be opened in fiscal 2020 and will assess additional opportunities for new stores as presented. Our existing retail stores have been profitable in both metropolitan and rural locations across multiple markets and have achieved an average payback of less than two years. Once we begin to return to normal retail operations our top priority efforts will be to drive awareness of and traffic to our stores with total market growth being our key success. Key drivers of our retail stores will include fresh assortments each season, targeted marketing and a more personalized web and store experience. We plan to continue building our organization and investing in software systems and operational infrastructure to support the growth in our retail segment.</w:t>
      </w:r>
    </w:p>
    <w:p>
      <w:pPr>
        <w:spacing w:after="0" w:line="287" w:lineRule="exact"/>
        <w:rPr>
          <w:rFonts w:ascii="Arial" w:cs="Arial" w:eastAsia="Arial" w:hAnsi="Arial"/>
          <w:sz w:val="26"/>
          <w:szCs w:val="26"/>
          <w:color w:val="auto"/>
          <w:vertAlign w:val="superscript"/>
        </w:rPr>
      </w:pPr>
    </w:p>
    <w:p>
      <w:pPr>
        <w:ind w:left="840" w:right="80" w:hanging="418"/>
        <w:spacing w:after="0" w:line="237" w:lineRule="auto"/>
        <w:tabs>
          <w:tab w:leader="none" w:pos="8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Broadening Assortments in Certain Men’s Product Categories</w:t>
      </w:r>
      <w:r>
        <w:rPr>
          <w:rFonts w:ascii="Arial" w:cs="Arial" w:eastAsia="Arial" w:hAnsi="Arial"/>
          <w:sz w:val="17"/>
          <w:szCs w:val="17"/>
          <w:color w:val="auto"/>
        </w:rPr>
        <w:t>. We believe there is an opportunity to grow our men’s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by selectively broadening our assortment in certain product categories that exhibit high growth potential and resonate with the lifestyle of our core men’s customers, such as our Duluth-built business wear, outerwear and footwear. Through product introductions that expand seasonality, occasions for wear and opening price points, we believe we can grow our share of closet with new and existing men’s customers.</w:t>
      </w:r>
    </w:p>
    <w:p>
      <w:pPr>
        <w:spacing w:after="0" w:line="97" w:lineRule="exact"/>
        <w:rPr>
          <w:rFonts w:ascii="Arial" w:cs="Arial" w:eastAsia="Arial" w:hAnsi="Arial"/>
          <w:sz w:val="28"/>
          <w:szCs w:val="28"/>
          <w:color w:val="auto"/>
          <w:vertAlign w:val="superscript"/>
        </w:rPr>
      </w:pPr>
    </w:p>
    <w:p>
      <w:pPr>
        <w:ind w:left="840" w:hanging="418"/>
        <w:spacing w:after="0" w:line="251" w:lineRule="auto"/>
        <w:tabs>
          <w:tab w:leader="none" w:pos="8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Growing Our Women’s Business</w:t>
      </w:r>
      <w:r>
        <w:rPr>
          <w:rFonts w:ascii="Arial" w:cs="Arial" w:eastAsia="Arial" w:hAnsi="Arial"/>
          <w:sz w:val="17"/>
          <w:szCs w:val="17"/>
          <w:color w:val="auto"/>
        </w:rPr>
        <w:t>. Since launching in 2005, our women’s business has grown significantly to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26% of our net sales in fiscal 2019. We believe that we have a significant opportunity to continue to grow our women’s business through customer acquisition, and we plan to continue to leverage all of our marketing channels, including national television and digital advertising, retail stores and our catalogs to do so. We expect that our women’s business will continue to represent an increasing portion of our net sales, and accordingly, we are allocating a higher percentage of our total advertising budget to the women’s business. We believe that as our retail footprint expands, our women’s business will continue to grow based on our current customers’ shopping patterns. While the core of our women’s product assortment will continue to consist of solution-based apparel that fits the Modern, Self-Reliant American Lifestyle, we plan to selectively expand our product offering to appeal to a wider range of female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Channels</w:t>
      </w:r>
    </w:p>
    <w:p>
      <w:pPr>
        <w:spacing w:after="0" w:line="18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marketing campaigns and technology advancements are designed to generate demand for our omnichannel business rather than separate sales channels. Store sales are primarily fulfilled from that store’s inventory, but may also be shipped from any of our fulfillment centers or from a different store location if an item is not available at the original store. Website and catalog orders are primarily shipped to our customer through our fulfillment centers, but may also be shipped from a different store location if an item is not available in a distribution center or customers can view in-store inventory from our website and can choose store pick up through our Buy-Online-Pickup-In-Store program. In addition, website orders can be returned at store locations. As customers continue to utilize multiple sales channels, we have and will continue to adapt our approach to meet that demand. We sell our products exclusively through our direct and retail channels, giving us complete control of our brand presentation as well as direct interaction with the customer.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6" w:name="page7"/>
    <w:bookmarkEnd w:id="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Direct Segment</w:t>
      </w:r>
    </w:p>
    <w:p>
      <w:pPr>
        <w:spacing w:after="0" w:line="198" w:lineRule="exact"/>
        <w:rPr>
          <w:sz w:val="20"/>
          <w:szCs w:val="20"/>
          <w:color w:val="auto"/>
        </w:rPr>
      </w:pPr>
    </w:p>
    <w:p>
      <w:pPr>
        <w:ind w:left="20" w:right="60" w:firstLine="441"/>
        <w:spacing w:after="0" w:line="277" w:lineRule="auto"/>
        <w:rPr>
          <w:sz w:val="20"/>
          <w:szCs w:val="20"/>
          <w:color w:val="auto"/>
        </w:rPr>
      </w:pPr>
      <w:r>
        <w:rPr>
          <w:rFonts w:ascii="Arial" w:cs="Arial" w:eastAsia="Arial" w:hAnsi="Arial"/>
          <w:sz w:val="18"/>
          <w:szCs w:val="18"/>
          <w:color w:val="auto"/>
        </w:rPr>
        <w:t>Our direct channel, which comprised approximately 57% of our fiscal 2019 net sales, reaches customers nationwide through our website and catalogs.</w:t>
      </w:r>
    </w:p>
    <w:p>
      <w:pPr>
        <w:spacing w:after="0" w:line="62" w:lineRule="exact"/>
        <w:rPr>
          <w:sz w:val="20"/>
          <w:szCs w:val="20"/>
          <w:color w:val="auto"/>
        </w:rPr>
      </w:pPr>
    </w:p>
    <w:p>
      <w:pPr>
        <w:ind w:left="860" w:right="120" w:hanging="418"/>
        <w:spacing w:after="0" w:line="251" w:lineRule="auto"/>
        <w:tabs>
          <w:tab w:leader="none" w:pos="86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i w:val="1"/>
          <w:iCs w:val="1"/>
          <w:color w:val="auto"/>
        </w:rPr>
        <w:t>e-Commerce</w:t>
      </w:r>
      <w:r>
        <w:rPr>
          <w:rFonts w:ascii="Arial" w:cs="Arial" w:eastAsia="Arial" w:hAnsi="Arial"/>
          <w:sz w:val="17"/>
          <w:szCs w:val="17"/>
          <w:color w:val="auto"/>
        </w:rPr>
        <w:t>. Our website, www.duluthtrading.com, serves as a storefront for our product assortment and provides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interactive, user-friendly, content-rich customer experience. Our website’s homepage and category content, including pricing, seasonal promotions and products, are updated frequently in order to keep them current and seasonally appropriate, which coincides with updates to our catalogs and retail store displays. Our entire product offering is available on our website with certain new products offered exclusively online during their initial introduction, as well as out-of-season but in-stock products. Our website features humorous product videos and customer testimonials that educate our customers on the features and benefits of our products, which we believe enhances our visitors’ shopping experience. We believe our e-commerce experience has been successful in converting website visitors into customers. We offer our new and existing customers the ability to shop across multiple platforms and devices, including mobile devices, tablets and desktop computers.</w:t>
      </w:r>
    </w:p>
    <w:p>
      <w:pPr>
        <w:spacing w:after="0" w:line="91" w:lineRule="exact"/>
        <w:rPr>
          <w:rFonts w:ascii="Arial" w:cs="Arial" w:eastAsia="Arial" w:hAnsi="Arial"/>
          <w:sz w:val="28"/>
          <w:szCs w:val="28"/>
          <w:color w:val="auto"/>
          <w:vertAlign w:val="superscript"/>
        </w:rPr>
      </w:pPr>
    </w:p>
    <w:p>
      <w:pPr>
        <w:ind w:left="860" w:right="140" w:hanging="418"/>
        <w:spacing w:after="0" w:line="245" w:lineRule="auto"/>
        <w:tabs>
          <w:tab w:leader="none" w:pos="86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i w:val="1"/>
          <w:iCs w:val="1"/>
          <w:color w:val="auto"/>
        </w:rPr>
        <w:t>Catalog</w:t>
      </w:r>
      <w:r>
        <w:rPr>
          <w:rFonts w:ascii="Arial" w:cs="Arial" w:eastAsia="Arial" w:hAnsi="Arial"/>
          <w:sz w:val="17"/>
          <w:szCs w:val="17"/>
          <w:color w:val="auto"/>
        </w:rPr>
        <w:t>. Our catalog business is an important part of our heritage and a key differentiator in our market. Our catalogs</w:t>
      </w:r>
      <w:r>
        <w:rPr>
          <w:rFonts w:ascii="Arial" w:cs="Arial" w:eastAsia="Arial" w:hAnsi="Arial"/>
          <w:sz w:val="17"/>
          <w:szCs w:val="17"/>
          <w:i w:val="1"/>
          <w:iCs w:val="1"/>
          <w:color w:val="auto"/>
        </w:rPr>
        <w:t xml:space="preserve"> </w:t>
      </w:r>
      <w:r>
        <w:rPr>
          <w:rFonts w:ascii="Arial" w:cs="Arial" w:eastAsia="Arial" w:hAnsi="Arial"/>
          <w:sz w:val="17"/>
          <w:szCs w:val="17"/>
          <w:color w:val="auto"/>
        </w:rPr>
        <w:t>serve as a tangible vehicle for our authentic and humorous storytelling and drive customers to visit our website and retail stores. Our catalogs reflect our tailored approach to marketing and include particular expressions of our brand that resonate with our target customers. We produce separate catalogs for our men’s and women’s product offerings, showcasing illustrations in our men’s catalogs and featuring women of “grit and substance” in our women’s catalogs. In addition to generating a portion of our direct net sales, we believe our catalogs are clever, informative and eye catching and are a vital part of building the Duluth Trading brand.</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Retail Segment</w:t>
      </w:r>
    </w:p>
    <w:p>
      <w:pPr>
        <w:spacing w:after="0" w:line="185" w:lineRule="exact"/>
        <w:rPr>
          <w:sz w:val="20"/>
          <w:szCs w:val="20"/>
          <w:color w:val="auto"/>
        </w:rPr>
      </w:pPr>
    </w:p>
    <w:p>
      <w:pPr>
        <w:ind w:left="20" w:right="40" w:firstLine="441"/>
        <w:spacing w:after="0" w:line="273" w:lineRule="auto"/>
        <w:rPr>
          <w:sz w:val="20"/>
          <w:szCs w:val="20"/>
          <w:color w:val="auto"/>
        </w:rPr>
      </w:pPr>
      <w:r>
        <w:rPr>
          <w:rFonts w:ascii="Arial" w:cs="Arial" w:eastAsia="Arial" w:hAnsi="Arial"/>
          <w:sz w:val="17"/>
          <w:szCs w:val="17"/>
          <w:color w:val="auto"/>
        </w:rPr>
        <w:t>As of February 2, 2020 we operated 58 retail stores and three outlet stores. Our existing stores have been profitable in both metropolitan and rural locations. Our retail stores allow us to reach customers who prefer to shop in a brick and mortar setting and give new and existing customers the opportunity to touch and feel our innovative products before making a purchase decision. Our product offering includes men’s and women’s apparel, intimates, footwear, accessories and hardgoods. Our stores typically range in size from approximately 6,000 to 15,000 square feet of selling space. Our retail stores also provide ancillary marketing benefits, such as brand visibility in high traffic areas.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Retail Store Environment</w:t>
      </w:r>
    </w:p>
    <w:p>
      <w:pPr>
        <w:spacing w:after="0" w:line="189" w:lineRule="exact"/>
        <w:rPr>
          <w:sz w:val="20"/>
          <w:szCs w:val="20"/>
          <w:color w:val="auto"/>
        </w:rPr>
      </w:pPr>
    </w:p>
    <w:p>
      <w:pPr>
        <w:ind w:left="20" w:right="60" w:firstLine="441"/>
        <w:spacing w:after="0" w:line="296" w:lineRule="auto"/>
        <w:rPr>
          <w:sz w:val="20"/>
          <w:szCs w:val="20"/>
          <w:color w:val="auto"/>
        </w:rPr>
      </w:pPr>
      <w:r>
        <w:rPr>
          <w:rFonts w:ascii="Arial" w:cs="Arial" w:eastAsia="Arial" w:hAnsi="Arial"/>
          <w:sz w:val="16"/>
          <w:szCs w:val="16"/>
          <w:color w:val="auto"/>
        </w:rPr>
        <w:t>Our retail stores are designed to bring our brand to life by creating a unique and entertaining experience, including engaging sales associates, a compelling and complete product assortment, custom made fixtures to fit our brand, free wireless Internet and complimentary coffee and water.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Products</w:t>
      </w:r>
    </w:p>
    <w:p>
      <w:pPr>
        <w:spacing w:after="0" w:line="202" w:lineRule="exact"/>
        <w:rPr>
          <w:sz w:val="20"/>
          <w:szCs w:val="20"/>
          <w:color w:val="auto"/>
        </w:rPr>
      </w:pPr>
    </w:p>
    <w:p>
      <w:pPr>
        <w:ind w:left="20" w:right="280" w:firstLine="441"/>
        <w:spacing w:after="0" w:line="301" w:lineRule="auto"/>
        <w:rPr>
          <w:sz w:val="20"/>
          <w:szCs w:val="20"/>
          <w:color w:val="auto"/>
        </w:rPr>
      </w:pPr>
      <w:r>
        <w:rPr>
          <w:rFonts w:ascii="Arial" w:cs="Arial" w:eastAsia="Arial" w:hAnsi="Arial"/>
          <w:sz w:val="16"/>
          <w:szCs w:val="16"/>
          <w:color w:val="auto"/>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 such as our Longtail T®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Fire Hose® work pants and No-Yank</w:t>
      </w:r>
      <w:r>
        <w:rPr>
          <w:rFonts w:ascii="Arial" w:cs="Arial" w:eastAsia="Arial" w:hAnsi="Arial"/>
          <w:sz w:val="7"/>
          <w:szCs w:val="7"/>
          <w:color w:val="auto"/>
        </w:rPr>
        <w:t>TM</w:t>
      </w:r>
      <w:r>
        <w:rPr>
          <w:rFonts w:ascii="Arial" w:cs="Arial" w:eastAsia="Arial" w:hAnsi="Arial"/>
          <w:sz w:val="16"/>
          <w:szCs w:val="16"/>
          <w:color w:val="auto"/>
        </w:rPr>
        <w:t xml:space="preserve"> Tank. The table below presents net sales by business for the last two fiscal years.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83"/>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2, 2020</w:t>
            </w:r>
          </w:p>
        </w:tc>
        <w:tc>
          <w:tcPr>
            <w:tcW w:w="16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3, 2019</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395,536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Women's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162,816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141,244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21,572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Hard goods/other</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615,624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47,522</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bl>
    <w:p>
      <w:pPr>
        <w:spacing w:after="0" w:line="161" w:lineRule="exact"/>
        <w:rPr>
          <w:sz w:val="20"/>
          <w:szCs w:val="20"/>
          <w:color w:val="auto"/>
        </w:rPr>
      </w:pPr>
    </w:p>
    <w:p>
      <w:pPr>
        <w:jc w:val="both"/>
        <w:ind w:left="20" w:right="40" w:firstLine="441"/>
        <w:spacing w:after="0" w:line="259" w:lineRule="auto"/>
        <w:rPr>
          <w:sz w:val="20"/>
          <w:szCs w:val="20"/>
          <w:color w:val="auto"/>
        </w:rPr>
      </w:pPr>
      <w:r>
        <w:rPr>
          <w:rFonts w:ascii="Arial" w:cs="Arial" w:eastAsia="Arial" w:hAnsi="Arial"/>
          <w:sz w:val="18"/>
          <w:szCs w:val="18"/>
          <w:color w:val="auto"/>
        </w:rPr>
        <w:t>We offer a stable product assortment, which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Arial" w:cs="Arial" w:eastAsia="Arial" w:hAnsi="Arial"/>
          <w:sz w:val="6"/>
          <w:szCs w:val="6"/>
          <w:color w:val="auto"/>
        </w:rPr>
        <w:t>®</w:t>
      </w:r>
      <w:r>
        <w:rPr>
          <w:rFonts w:ascii="Arial" w:cs="Arial" w:eastAsia="Arial" w:hAnsi="Arial"/>
          <w:sz w:val="16"/>
          <w:szCs w:val="16"/>
          <w:color w:val="auto"/>
        </w:rPr>
        <w:t xml:space="preserve"> Fire Hose</w:t>
      </w:r>
      <w:r>
        <w:rPr>
          <w:rFonts w:ascii="Arial" w:cs="Arial" w:eastAsia="Arial" w:hAnsi="Arial"/>
          <w:sz w:val="6"/>
          <w:szCs w:val="6"/>
          <w:color w:val="auto"/>
        </w:rPr>
        <w:t>®</w:t>
      </w:r>
      <w:r>
        <w:rPr>
          <w:rFonts w:ascii="Arial" w:cs="Arial" w:eastAsia="Arial" w:hAnsi="Arial"/>
          <w:sz w:val="16"/>
          <w:szCs w:val="16"/>
          <w:color w:val="auto"/>
        </w:rPr>
        <w:t xml:space="preserve"> cotton canvas into products to provide strength and abrasion resistance with stretch for freedom of movement.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89"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are focused on developing apparel and gear that builds upon the Duluth Trading brand’s product heritage of “there’s gotta be a better way,” resulting in distinctive products with enhanced features. We primarily use an innovative feedback-based design process through which we actively seek the input of our customers, including a group of more than 100 products testers with expertise in the trades industry. These trades panel members have become an integral part of our product development process, as they test and evaluate select products in intense conditions, providing real-time feedback on performance and functionality.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5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We pursue our marketing strategy through multiple forms of media, which gives our products an identity and enhances our brand:</w:t>
      </w:r>
    </w:p>
    <w:p>
      <w:pPr>
        <w:spacing w:after="0" w:line="62" w:lineRule="exact"/>
        <w:rPr>
          <w:sz w:val="20"/>
          <w:szCs w:val="20"/>
          <w:color w:val="auto"/>
        </w:rPr>
      </w:pPr>
    </w:p>
    <w:p>
      <w:pPr>
        <w:ind w:left="840" w:right="180" w:hanging="418"/>
        <w:spacing w:after="0" w:line="226" w:lineRule="auto"/>
        <w:tabs>
          <w:tab w:leader="none" w:pos="8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i w:val="1"/>
          <w:iCs w:val="1"/>
          <w:color w:val="auto"/>
        </w:rPr>
        <w:t>Television</w:t>
      </w:r>
      <w:r>
        <w:rPr>
          <w:rFonts w:ascii="Arial" w:cs="Arial" w:eastAsia="Arial" w:hAnsi="Arial"/>
          <w:sz w:val="18"/>
          <w:szCs w:val="18"/>
          <w:color w:val="auto"/>
        </w:rPr>
        <w:t>. We advertise on cable and broadcast television networks to build brand awareness for both men’s and</w:t>
      </w:r>
      <w:r>
        <w:rPr>
          <w:rFonts w:ascii="Arial" w:cs="Arial" w:eastAsia="Arial" w:hAnsi="Arial"/>
          <w:sz w:val="18"/>
          <w:szCs w:val="18"/>
          <w:i w:val="1"/>
          <w:iCs w:val="1"/>
          <w:color w:val="auto"/>
        </w:rPr>
        <w:t xml:space="preserve"> </w:t>
      </w:r>
      <w:r>
        <w:rPr>
          <w:rFonts w:ascii="Arial" w:cs="Arial" w:eastAsia="Arial" w:hAnsi="Arial"/>
          <w:sz w:val="18"/>
          <w:szCs w:val="18"/>
          <w:color w:val="auto"/>
        </w:rPr>
        <w:t>women’s products and to reach a large, national audience. These advertisements feature both our 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94" w:lineRule="exact"/>
        <w:rPr>
          <w:rFonts w:ascii="Arial" w:cs="Arial" w:eastAsia="Arial" w:hAnsi="Arial"/>
          <w:sz w:val="29"/>
          <w:szCs w:val="29"/>
          <w:color w:val="auto"/>
          <w:vertAlign w:val="superscript"/>
        </w:rPr>
      </w:pPr>
    </w:p>
    <w:p>
      <w:pPr>
        <w:ind w:left="840" w:right="160" w:hanging="418"/>
        <w:spacing w:after="0" w:line="222" w:lineRule="auto"/>
        <w:tabs>
          <w:tab w:leader="none" w:pos="8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i w:val="1"/>
          <w:iCs w:val="1"/>
          <w:color w:val="auto"/>
        </w:rPr>
        <w:t>Digital and Email Marketing</w:t>
      </w:r>
      <w:r>
        <w:rPr>
          <w:rFonts w:ascii="Arial" w:cs="Arial" w:eastAsia="Arial" w:hAnsi="Arial"/>
          <w:sz w:val="17"/>
          <w:szCs w:val="17"/>
          <w:color w:val="auto"/>
        </w:rPr>
        <w:t>. We employ a variety of digital and online advertising strategies. These efforts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display advertising, digital video advertising, search engine marketing and optimization and targeted email, which we send to customers to introduce new products and offer promotions on select merchandise.</w:t>
      </w:r>
    </w:p>
    <w:p>
      <w:pPr>
        <w:spacing w:after="0" w:line="96" w:lineRule="exact"/>
        <w:rPr>
          <w:rFonts w:ascii="Arial" w:cs="Arial" w:eastAsia="Arial" w:hAnsi="Arial"/>
          <w:sz w:val="28"/>
          <w:szCs w:val="28"/>
          <w:color w:val="auto"/>
          <w:vertAlign w:val="superscript"/>
        </w:rPr>
      </w:pPr>
    </w:p>
    <w:p>
      <w:pPr>
        <w:ind w:left="840" w:right="440" w:hanging="418"/>
        <w:spacing w:after="0" w:line="212" w:lineRule="auto"/>
        <w:tabs>
          <w:tab w:leader="none" w:pos="8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i w:val="1"/>
          <w:iCs w:val="1"/>
          <w:color w:val="auto"/>
        </w:rPr>
        <w:t>Catalogs</w:t>
      </w:r>
      <w:r>
        <w:rPr>
          <w:rFonts w:ascii="Arial" w:cs="Arial" w:eastAsia="Arial" w:hAnsi="Arial"/>
          <w:sz w:val="18"/>
          <w:szCs w:val="18"/>
          <w:color w:val="auto"/>
        </w:rPr>
        <w:t>. Our catalogs are an important part of our heritage and represent a tangible vehicle for our authentic and</w:t>
      </w:r>
      <w:r>
        <w:rPr>
          <w:rFonts w:ascii="Arial" w:cs="Arial" w:eastAsia="Arial" w:hAnsi="Arial"/>
          <w:sz w:val="18"/>
          <w:szCs w:val="18"/>
          <w:i w:val="1"/>
          <w:iCs w:val="1"/>
          <w:color w:val="auto"/>
        </w:rPr>
        <w:t xml:space="preserve"> </w:t>
      </w:r>
      <w:r>
        <w:rPr>
          <w:rFonts w:ascii="Arial" w:cs="Arial" w:eastAsia="Arial" w:hAnsi="Arial"/>
          <w:sz w:val="18"/>
          <w:szCs w:val="18"/>
          <w:color w:val="auto"/>
        </w:rPr>
        <w:t>humorous storytelling. Our catalogs support both sales channels, and we believe serve as an important customer acquisition tool by driving visits to our website and retail stores.</w:t>
      </w:r>
    </w:p>
    <w:p>
      <w:pPr>
        <w:spacing w:after="0" w:line="190" w:lineRule="exact"/>
        <w:rPr>
          <w:rFonts w:ascii="Arial" w:cs="Arial" w:eastAsia="Arial" w:hAnsi="Arial"/>
          <w:sz w:val="29"/>
          <w:szCs w:val="29"/>
          <w:color w:val="auto"/>
          <w:vertAlign w:val="superscript"/>
        </w:rPr>
      </w:pPr>
    </w:p>
    <w:p>
      <w:pPr>
        <w:ind w:left="840" w:right="40" w:hanging="418"/>
        <w:spacing w:after="0" w:line="212" w:lineRule="auto"/>
        <w:tabs>
          <w:tab w:leader="none" w:pos="8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i w:val="1"/>
          <w:iCs w:val="1"/>
          <w:color w:val="auto"/>
        </w:rPr>
        <w:t>Social Media</w:t>
      </w:r>
      <w:r>
        <w:rPr>
          <w:rFonts w:ascii="Arial" w:cs="Arial" w:eastAsia="Arial" w:hAnsi="Arial"/>
          <w:sz w:val="18"/>
          <w:szCs w:val="18"/>
          <w:color w:val="auto"/>
        </w:rPr>
        <w:t>. We have an engaged social media community, which allows us to personally connect with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and we believe further raises brand awareness. We maintain a social media presence on Facebook, Pinterest, YouTube and Twitter.</w:t>
      </w:r>
    </w:p>
    <w:p>
      <w:pPr>
        <w:spacing w:after="0" w:line="95" w:lineRule="exact"/>
        <w:rPr>
          <w:rFonts w:ascii="Arial" w:cs="Arial" w:eastAsia="Arial" w:hAnsi="Arial"/>
          <w:sz w:val="29"/>
          <w:szCs w:val="29"/>
          <w:color w:val="auto"/>
          <w:vertAlign w:val="superscript"/>
        </w:rPr>
      </w:pPr>
    </w:p>
    <w:p>
      <w:pPr>
        <w:ind w:left="840" w:right="360" w:hanging="418"/>
        <w:spacing w:after="0" w:line="238" w:lineRule="auto"/>
        <w:tabs>
          <w:tab w:leader="none" w:pos="8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i w:val="1"/>
          <w:iCs w:val="1"/>
          <w:color w:val="auto"/>
        </w:rPr>
        <w:t>Radio, Collateral Print and Outdoor Marketing</w:t>
      </w:r>
      <w:r>
        <w:rPr>
          <w:rFonts w:ascii="Arial" w:cs="Arial" w:eastAsia="Arial" w:hAnsi="Arial"/>
          <w:sz w:val="16"/>
          <w:szCs w:val="16"/>
          <w:color w:val="auto"/>
        </w:rPr>
        <w:t>. We use traditional radio and collateral print advertising,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newspaper inserts and postcards, and billboards in the areas surrounding our retail stores to build brand awareness, drive traffic to our website and stores, highlight certain promotions and events and support new store openings.</w:t>
      </w:r>
    </w:p>
    <w:p>
      <w:pPr>
        <w:spacing w:after="0" w:line="94" w:lineRule="exact"/>
        <w:rPr>
          <w:rFonts w:ascii="Arial" w:cs="Arial" w:eastAsia="Arial" w:hAnsi="Arial"/>
          <w:sz w:val="26"/>
          <w:szCs w:val="26"/>
          <w:color w:val="auto"/>
          <w:vertAlign w:val="superscript"/>
        </w:rPr>
      </w:pPr>
    </w:p>
    <w:p>
      <w:pPr>
        <w:ind w:left="840" w:right="140" w:hanging="418"/>
        <w:spacing w:after="0" w:line="249" w:lineRule="auto"/>
        <w:tabs>
          <w:tab w:leader="none" w:pos="8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i w:val="1"/>
          <w:iCs w:val="1"/>
          <w:color w:val="auto"/>
        </w:rPr>
        <w:t>Event Sponsorship</w:t>
      </w:r>
      <w:r>
        <w:rPr>
          <w:rFonts w:ascii="Arial" w:cs="Arial" w:eastAsia="Arial" w:hAnsi="Arial"/>
          <w:sz w:val="16"/>
          <w:szCs w:val="16"/>
          <w:color w:val="auto"/>
        </w:rPr>
        <w:t>. We sponsor both national and local events, including the STIHL TIMBERSPORTS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of the world’s top lumberjack athletes, with a national airing on the ABC television network. In 2017, we secured a five-year partnership as the “Official Off-Sled Outfitter” of USA Luge, providing vests, pants, socks, boots and other cold-weather gear and were featured at the 2018 Winter Olympic Games in Pyeongchang, South Korea.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02"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unconditional “No Bull Guarantee.” Our call center is open 24 hours a day,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We do not own or operate any manufacturing facilities. Instead, we arrange with third-party vendors for the manufacturing of our merchandise. We have built strong, long-term relationships with our vendors. In fiscal 2019, 54% of our purchases came from our largest supplier, an agent partner in Hong Kong who manages multiple factories across Asia, including Cambodia, China, Indonesia and Vietnam. Approximately 12% of our purchases in fiscal 2019 came from our second largest supplier, which is based in Thailand. We believe sourcing inventory through these agents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spacing w:after="0" w:line="139"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distribution centers.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18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Our distribution centers are currently located across the United States in order to minimize transit times to our customers. We operate two distribution centers located in Belleville, Wisconsin and Dubuque, Iowa. The approximate square footage of each facility is included in Item 2 of Part I of this report. We also contract with two third-party logistics (“3PLs”) centers in Sparks, Nevada and Carlisle, Pennsylvania. Orders are generally assigned to the distribution center closest to the customer’s ship-to location. We believe our current distribution network will allow us to substantially improve delivery times to key customer concentrations in the Eastern and Western United States and is well-positioned to provide sufficient capacity to support our planned continued growth for the foreseeable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Returns Center</w:t>
      </w:r>
    </w:p>
    <w:p>
      <w:pPr>
        <w:spacing w:after="0" w:line="18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We currently lease a warehouse space located in Verona, Wisconsin. The approximate square footage is included in Item 2 of Part I of this report. Our returns center handles the majority of direct sales returns.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02"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 and also process direct orders from our retail stores.</w:t>
      </w:r>
    </w:p>
    <w:p>
      <w:pPr>
        <w:spacing w:after="0" w:line="146"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recently implemented a new order management system and E-commerce website. Our new order management system allows us to manage inventory cost and pricing, and seamlessly process customer orders across all channels. It will also provide us with flexible pricing and promotions to satisfy our customers’ needs. The new E-commerce website allows us to provide our customers with a reliable and secure channel to shop our products. This allows us to comfortably scale to meet our anticipated customer demands.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right="200" w:firstLine="441"/>
        <w:spacing w:after="0" w:line="301" w:lineRule="auto"/>
        <w:rPr>
          <w:sz w:val="20"/>
          <w:szCs w:val="20"/>
          <w:color w:val="auto"/>
        </w:rPr>
      </w:pPr>
      <w:r>
        <w:rPr>
          <w:rFonts w:ascii="Arial" w:cs="Arial" w:eastAsia="Arial" w:hAnsi="Arial"/>
          <w:sz w:val="16"/>
          <w:szCs w:val="16"/>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9" w:name="page10"/>
    <w:bookmarkEnd w:id="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continue to develop innovative solution-based products for which we create unique selling propositions that incorporate humor and storytelling.</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left="20" w:firstLine="441"/>
        <w:spacing w:after="0" w:line="291" w:lineRule="auto"/>
        <w:rPr>
          <w:sz w:val="20"/>
          <w:szCs w:val="20"/>
          <w:color w:val="auto"/>
        </w:rPr>
      </w:pPr>
      <w:r>
        <w:rPr>
          <w:rFonts w:ascii="Arial" w:cs="Arial" w:eastAsia="Arial" w:hAnsi="Arial"/>
          <w:sz w:val="16"/>
          <w:szCs w:val="16"/>
          <w:color w:val="auto"/>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 Alaskan Hardgear</w:t>
      </w:r>
      <w:r>
        <w:rPr>
          <w:rFonts w:ascii="Arial" w:cs="Arial" w:eastAsia="Arial" w:hAnsi="Arial"/>
          <w:sz w:val="6"/>
          <w:szCs w:val="6"/>
          <w:color w:val="auto"/>
        </w:rPr>
        <w:t>®</w:t>
      </w:r>
      <w:r>
        <w:rPr>
          <w:rFonts w:ascii="Arial" w:cs="Arial" w:eastAsia="Arial" w:hAnsi="Arial"/>
          <w:sz w:val="16"/>
          <w:szCs w:val="16"/>
          <w:color w:val="auto"/>
        </w:rPr>
        <w:t>, Armachillo</w:t>
      </w:r>
      <w:r>
        <w:rPr>
          <w:rFonts w:ascii="Arial" w:cs="Arial" w:eastAsia="Arial" w:hAnsi="Arial"/>
          <w:sz w:val="6"/>
          <w:szCs w:val="6"/>
          <w:color w:val="auto"/>
        </w:rPr>
        <w:t>®</w:t>
      </w:r>
      <w:r>
        <w:rPr>
          <w:rFonts w:ascii="Arial" w:cs="Arial" w:eastAsia="Arial" w:hAnsi="Arial"/>
          <w:sz w:val="16"/>
          <w:szCs w:val="16"/>
          <w:color w:val="auto"/>
        </w:rPr>
        <w:t>, Ballroom</w:t>
      </w:r>
      <w:r>
        <w:rPr>
          <w:rFonts w:ascii="Arial" w:cs="Arial" w:eastAsia="Arial" w:hAnsi="Arial"/>
          <w:sz w:val="6"/>
          <w:szCs w:val="6"/>
          <w:color w:val="auto"/>
        </w:rPr>
        <w:t>®</w:t>
      </w:r>
      <w:r>
        <w:rPr>
          <w:rFonts w:ascii="Arial" w:cs="Arial" w:eastAsia="Arial" w:hAnsi="Arial"/>
          <w:sz w:val="16"/>
          <w:szCs w:val="16"/>
          <w:color w:val="auto"/>
        </w:rPr>
        <w:t>, Cab Commander</w:t>
      </w:r>
      <w:r>
        <w:rPr>
          <w:rFonts w:ascii="Arial" w:cs="Arial" w:eastAsia="Arial" w:hAnsi="Arial"/>
          <w:sz w:val="6"/>
          <w:szCs w:val="6"/>
          <w:color w:val="auto"/>
        </w:rPr>
        <w:t>®</w:t>
      </w:r>
      <w:r>
        <w:rPr>
          <w:rFonts w:ascii="Arial" w:cs="Arial" w:eastAsia="Arial" w:hAnsi="Arial"/>
          <w:sz w:val="16"/>
          <w:szCs w:val="16"/>
          <w:color w:val="auto"/>
        </w:rPr>
        <w:t>, Crouch Gusset</w:t>
      </w:r>
      <w:r>
        <w:rPr>
          <w:rFonts w:ascii="Arial" w:cs="Arial" w:eastAsia="Arial" w:hAnsi="Arial"/>
          <w:sz w:val="6"/>
          <w:szCs w:val="6"/>
          <w:color w:val="auto"/>
        </w:rPr>
        <w:t>®</w:t>
      </w:r>
      <w:r>
        <w:rPr>
          <w:rFonts w:ascii="Arial" w:cs="Arial" w:eastAsia="Arial" w:hAnsi="Arial"/>
          <w:sz w:val="16"/>
          <w:szCs w:val="16"/>
          <w:color w:val="auto"/>
        </w:rPr>
        <w:t>, Dry on the Fly</w:t>
      </w:r>
      <w:r>
        <w:rPr>
          <w:rFonts w:ascii="Arial" w:cs="Arial" w:eastAsia="Arial" w:hAnsi="Arial"/>
          <w:sz w:val="6"/>
          <w:szCs w:val="6"/>
          <w:color w:val="auto"/>
        </w:rPr>
        <w:t>®</w:t>
      </w:r>
      <w:r>
        <w:rPr>
          <w:rFonts w:ascii="Arial" w:cs="Arial" w:eastAsia="Arial" w:hAnsi="Arial"/>
          <w:sz w:val="16"/>
          <w:szCs w:val="16"/>
          <w:color w:val="auto"/>
        </w:rPr>
        <w:t>, Duluth Trading Co</w:t>
      </w:r>
      <w:r>
        <w:rPr>
          <w:rFonts w:ascii="Arial" w:cs="Arial" w:eastAsia="Arial" w:hAnsi="Arial"/>
          <w:sz w:val="6"/>
          <w:szCs w:val="6"/>
          <w:color w:val="auto"/>
        </w:rPr>
        <w:t>®</w:t>
      </w:r>
      <w:r>
        <w:rPr>
          <w:rFonts w:ascii="Arial" w:cs="Arial" w:eastAsia="Arial" w:hAnsi="Arial"/>
          <w:sz w:val="16"/>
          <w:szCs w:val="16"/>
          <w:color w:val="auto"/>
        </w:rPr>
        <w:t>, Duluthflex</w:t>
      </w:r>
      <w:r>
        <w:rPr>
          <w:rFonts w:ascii="Arial" w:cs="Arial" w:eastAsia="Arial" w:hAnsi="Arial"/>
          <w:sz w:val="6"/>
          <w:szCs w:val="6"/>
          <w:color w:val="auto"/>
        </w:rPr>
        <w:t>®</w:t>
      </w:r>
      <w:r>
        <w:rPr>
          <w:rFonts w:ascii="Arial" w:cs="Arial" w:eastAsia="Arial" w:hAnsi="Arial"/>
          <w:sz w:val="16"/>
          <w:szCs w:val="16"/>
          <w:color w:val="auto"/>
        </w:rPr>
        <w:t>, Fire Hose</w:t>
      </w:r>
      <w:r>
        <w:rPr>
          <w:rFonts w:ascii="Arial" w:cs="Arial" w:eastAsia="Arial" w:hAnsi="Arial"/>
          <w:sz w:val="6"/>
          <w:szCs w:val="6"/>
          <w:color w:val="auto"/>
        </w:rPr>
        <w:t>®</w:t>
      </w:r>
      <w:r>
        <w:rPr>
          <w:rFonts w:ascii="Arial" w:cs="Arial" w:eastAsia="Arial" w:hAnsi="Arial"/>
          <w:sz w:val="16"/>
          <w:szCs w:val="16"/>
          <w:color w:val="auto"/>
        </w:rPr>
        <w:t>, Longtail T</w:t>
      </w:r>
      <w:r>
        <w:rPr>
          <w:rFonts w:ascii="Arial" w:cs="Arial" w:eastAsia="Arial" w:hAnsi="Arial"/>
          <w:sz w:val="6"/>
          <w:szCs w:val="6"/>
          <w:color w:val="auto"/>
        </w:rPr>
        <w:t>®</w:t>
      </w:r>
      <w:r>
        <w:rPr>
          <w:rFonts w:ascii="Arial" w:cs="Arial" w:eastAsia="Arial" w:hAnsi="Arial"/>
          <w:sz w:val="16"/>
          <w:szCs w:val="16"/>
          <w:color w:val="auto"/>
        </w:rPr>
        <w:t>, No Polo Shirt</w:t>
      </w:r>
      <w:r>
        <w:rPr>
          <w:rFonts w:ascii="Arial" w:cs="Arial" w:eastAsia="Arial" w:hAnsi="Arial"/>
          <w:sz w:val="6"/>
          <w:szCs w:val="6"/>
          <w:color w:val="auto"/>
        </w:rPr>
        <w:t>®</w:t>
      </w:r>
      <w:r>
        <w:rPr>
          <w:rFonts w:ascii="Arial" w:cs="Arial" w:eastAsia="Arial" w:hAnsi="Arial"/>
          <w:sz w:val="16"/>
          <w:szCs w:val="16"/>
          <w:color w:val="auto"/>
        </w:rPr>
        <w:t>, No Yank</w:t>
      </w:r>
      <w:r>
        <w:rPr>
          <w:rFonts w:ascii="Arial" w:cs="Arial" w:eastAsia="Arial" w:hAnsi="Arial"/>
          <w:sz w:val="6"/>
          <w:szCs w:val="6"/>
          <w:color w:val="auto"/>
        </w:rPr>
        <w:t>®</w:t>
      </w:r>
      <w:r>
        <w:rPr>
          <w:rFonts w:ascii="Arial" w:cs="Arial" w:eastAsia="Arial" w:hAnsi="Arial"/>
          <w:sz w:val="16"/>
          <w:szCs w:val="16"/>
          <w:color w:val="auto"/>
        </w:rPr>
        <w:t xml:space="preserve"> and Wild Boar Mocs</w:t>
      </w:r>
      <w:r>
        <w:rPr>
          <w:rFonts w:ascii="Arial" w:cs="Arial" w:eastAsia="Arial" w:hAnsi="Arial"/>
          <w:sz w:val="6"/>
          <w:szCs w:val="6"/>
          <w:color w:val="auto"/>
        </w:rPr>
        <w:t>®</w:t>
      </w:r>
      <w:r>
        <w:rPr>
          <w:rFonts w:ascii="Arial" w:cs="Arial" w:eastAsia="Arial" w:hAnsi="Arial"/>
          <w:sz w:val="16"/>
          <w:szCs w:val="16"/>
          <w:color w:val="auto"/>
        </w:rPr>
        <w:t>. Our rights to some of these trademarks may be limited to select markets. We also own domain names, including “duluthtrading.com.”</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left="20" w:right="240" w:firstLine="441"/>
        <w:spacing w:after="0" w:line="259" w:lineRule="auto"/>
        <w:rPr>
          <w:sz w:val="20"/>
          <w:szCs w:val="20"/>
          <w:color w:val="auto"/>
        </w:rPr>
      </w:pPr>
      <w:r>
        <w:rPr>
          <w:rFonts w:ascii="Arial" w:cs="Arial" w:eastAsia="Arial" w:hAnsi="Arial"/>
          <w:sz w:val="18"/>
          <w:szCs w:val="18"/>
          <w:color w:val="auto"/>
        </w:rPr>
        <w:t>As of February 2, 2020, we employed 941 full-time and 2,063 part-time and flexible part-time employees, 1,810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20" w:right="200" w:firstLine="441"/>
        <w:spacing w:after="0" w:line="263" w:lineRule="auto"/>
        <w:rPr>
          <w:sz w:val="20"/>
          <w:szCs w:val="20"/>
          <w:color w:val="auto"/>
        </w:rPr>
      </w:pPr>
      <w:r>
        <w:rPr>
          <w:rFonts w:ascii="Arial" w:cs="Arial" w:eastAsia="Arial" w:hAnsi="Arial"/>
          <w:sz w:val="18"/>
          <w:szCs w:val="18"/>
          <w:color w:val="auto"/>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4Q</w:t>
            </w: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4Q Net Sales</w:t>
            </w:r>
          </w:p>
        </w:tc>
        <w:tc>
          <w:tcPr>
            <w:tcW w:w="240" w:type="dxa"/>
            <w:vAlign w:val="bottom"/>
          </w:tcPr>
          <w:p>
            <w:pPr>
              <w:spacing w:after="0"/>
              <w:rPr>
                <w:sz w:val="16"/>
                <w:szCs w:val="16"/>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4Q</w:t>
            </w:r>
          </w:p>
        </w:tc>
        <w:tc>
          <w:tcPr>
            <w:tcW w:w="1860" w:type="dxa"/>
            <w:vAlign w:val="bottom"/>
          </w:tcPr>
          <w:p>
            <w:pPr>
              <w:jc w:val="right"/>
              <w:ind w:right="377"/>
              <w:spacing w:after="0"/>
              <w:rPr>
                <w:sz w:val="20"/>
                <w:szCs w:val="20"/>
                <w:color w:val="auto"/>
              </w:rPr>
            </w:pPr>
            <w:r>
              <w:rPr>
                <w:rFonts w:ascii="Arial" w:cs="Arial" w:eastAsia="Arial" w:hAnsi="Arial"/>
                <w:sz w:val="14"/>
                <w:szCs w:val="14"/>
                <w:b w:val="1"/>
                <w:bCs w:val="1"/>
                <w:color w:val="auto"/>
              </w:rPr>
              <w:t>4Q Net Income</w:t>
            </w:r>
          </w:p>
        </w:tc>
      </w:tr>
      <w:tr>
        <w:trPr>
          <w:trHeight w:val="188"/>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8"/>
              </w:rPr>
              <w:t>Net Sales</w:t>
            </w:r>
          </w:p>
        </w:tc>
        <w:tc>
          <w:tcPr>
            <w:tcW w:w="340" w:type="dxa"/>
            <w:vAlign w:val="bottom"/>
          </w:tcPr>
          <w:p>
            <w:pPr>
              <w:spacing w:after="0"/>
              <w:rPr>
                <w:sz w:val="16"/>
                <w:szCs w:val="16"/>
                <w:color w:val="auto"/>
              </w:rPr>
            </w:pPr>
          </w:p>
        </w:tc>
        <w:tc>
          <w:tcPr>
            <w:tcW w:w="17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of Fiscal year</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Net Income</w:t>
            </w:r>
          </w:p>
        </w:tc>
        <w:tc>
          <w:tcPr>
            <w:tcW w:w="320" w:type="dxa"/>
            <w:vAlign w:val="bottom"/>
          </w:tcPr>
          <w:p>
            <w:pPr>
              <w:spacing w:after="0"/>
              <w:rPr>
                <w:sz w:val="16"/>
                <w:szCs w:val="16"/>
                <w:color w:val="auto"/>
              </w:rPr>
            </w:pPr>
          </w:p>
        </w:tc>
        <w:tc>
          <w:tcPr>
            <w:tcW w:w="1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 of Fiscal Year</w:t>
            </w:r>
          </w:p>
        </w:tc>
      </w:tr>
      <w:tr>
        <w:trPr>
          <w:trHeight w:val="183"/>
        </w:trPr>
        <w:tc>
          <w:tcPr>
            <w:tcW w:w="19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259,649</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42.2 %</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128.8 %</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250,541</w:t>
            </w:r>
          </w:p>
        </w:tc>
        <w:tc>
          <w:tcPr>
            <w:tcW w:w="340" w:type="dxa"/>
            <w:vAlign w:val="bottom"/>
          </w:tcPr>
          <w:p>
            <w:pPr>
              <w:spacing w:after="0"/>
              <w:rPr>
                <w:sz w:val="18"/>
                <w:szCs w:val="18"/>
                <w:color w:val="auto"/>
              </w:rPr>
            </w:pPr>
          </w:p>
        </w:tc>
        <w:tc>
          <w:tcPr>
            <w:tcW w:w="1720" w:type="dxa"/>
            <w:vAlign w:val="bottom"/>
          </w:tcPr>
          <w:p>
            <w:pPr>
              <w:jc w:val="right"/>
              <w:ind w:right="137"/>
              <w:spacing w:after="0"/>
              <w:rPr>
                <w:sz w:val="20"/>
                <w:szCs w:val="20"/>
                <w:color w:val="auto"/>
              </w:rPr>
            </w:pPr>
            <w:r>
              <w:rPr>
                <w:rFonts w:ascii="Arial" w:cs="Arial" w:eastAsia="Arial" w:hAnsi="Arial"/>
                <w:sz w:val="18"/>
                <w:szCs w:val="18"/>
                <w:color w:val="auto"/>
              </w:rPr>
              <w:t>44.1 %</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20,620</w:t>
            </w:r>
          </w:p>
        </w:tc>
        <w:tc>
          <w:tcPr>
            <w:tcW w:w="320" w:type="dxa"/>
            <w:vAlign w:val="bottom"/>
          </w:tcPr>
          <w:p>
            <w:pPr>
              <w:spacing w:after="0"/>
              <w:rPr>
                <w:sz w:val="18"/>
                <w:szCs w:val="18"/>
                <w:color w:val="auto"/>
              </w:rPr>
            </w:pPr>
          </w:p>
        </w:tc>
        <w:tc>
          <w:tcPr>
            <w:tcW w:w="1860" w:type="dxa"/>
            <w:vAlign w:val="bottom"/>
          </w:tcPr>
          <w:p>
            <w:pPr>
              <w:jc w:val="right"/>
              <w:ind w:right="137"/>
              <w:spacing w:after="0"/>
              <w:rPr>
                <w:sz w:val="20"/>
                <w:szCs w:val="20"/>
                <w:color w:val="auto"/>
              </w:rPr>
            </w:pPr>
            <w:r>
              <w:rPr>
                <w:rFonts w:ascii="Arial" w:cs="Arial" w:eastAsia="Arial" w:hAnsi="Arial"/>
                <w:sz w:val="18"/>
                <w:szCs w:val="18"/>
                <w:color w:val="auto"/>
              </w:rPr>
              <w:t>89.0 %</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217,805</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46.2 %</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19,528</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83.6 %</w:t>
            </w: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Legislation</w:t>
      </w:r>
    </w:p>
    <w:p>
      <w:pPr>
        <w:spacing w:after="0" w:line="189" w:lineRule="exact"/>
        <w:rPr>
          <w:sz w:val="20"/>
          <w:szCs w:val="20"/>
          <w:color w:val="auto"/>
        </w:rPr>
      </w:pPr>
    </w:p>
    <w:p>
      <w:pPr>
        <w:ind w:left="20" w:right="40" w:firstLine="441"/>
        <w:spacing w:after="0" w:line="259" w:lineRule="auto"/>
        <w:rPr>
          <w:sz w:val="20"/>
          <w:szCs w:val="20"/>
          <w:color w:val="auto"/>
        </w:rPr>
      </w:pPr>
      <w:r>
        <w:rPr>
          <w:rFonts w:ascii="Arial" w:cs="Arial" w:eastAsia="Arial" w:hAnsi="Arial"/>
          <w:sz w:val="18"/>
          <w:szCs w:val="18"/>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left="20" w:firstLine="441"/>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left="20" w:right="40" w:firstLine="441"/>
        <w:spacing w:after="0" w:line="290" w:lineRule="auto"/>
        <w:rPr>
          <w:sz w:val="20"/>
          <w:szCs w:val="20"/>
          <w:color w:val="auto"/>
        </w:rPr>
      </w:pPr>
      <w:r>
        <w:rPr>
          <w:rFonts w:ascii="Arial" w:cs="Arial" w:eastAsia="Arial" w:hAnsi="Arial"/>
          <w:sz w:val="16"/>
          <w:szCs w:val="16"/>
          <w:color w:val="auto"/>
        </w:rPr>
        <w:t>The outbreak of the coronavirus (“COVID-19”) continues to grow both in the U.S. and globally, and related government and private sector responsive actions are adversely affecting our business operations. As of March 19, 2020, we have closed eight stores and are actively evaluating additional closures and will fully comply with all federal, state and local regulations. In response to this impact on our business and potential of prolonged declines in consumer spending, the Company is currently evaluating and executing strategies to curtail expenses and capital spending, including, but not limited to restricting 2020 new stores to those with previously executed leases, extending capacity in the Company’s bank line of credit, if needed, have drawn an additional $30 million on our delayed draw term loan and have delayed certain non-essential technology projects. It is impossible to predict the effect and ultimate impact of the COVID-19 pandemic as the situation is rapidly evolving.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200" w:lineRule="exact"/>
        <w:rPr>
          <w:sz w:val="20"/>
          <w:szCs w:val="20"/>
          <w:color w:val="auto"/>
        </w:rPr>
      </w:pPr>
    </w:p>
    <w:p>
      <w:pPr>
        <w:spacing w:after="0" w:line="24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recent Coronavirus outbreak has been declared a pandemic by the World Health Organization and recently has spread to the United States and many other parts of the world and may continue to adversely affect our business operations, store traffic, employee availability, financial condition, liquidity and cash flow for an extended period of time.</w:t>
      </w:r>
    </w:p>
    <w:p>
      <w:pPr>
        <w:spacing w:after="0" w:line="371"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The outbreak of the Coronavirus (“COVID-19”) continues to grow both in the U.S. and globally, and related government and private sector responsive actions may continue to adversely affect our business operations. It is impossible to predict the effect and ultimate impact of the COVID-19 pandemic as the situation is rapidly evolving.</w:t>
      </w:r>
    </w:p>
    <w:p>
      <w:pPr>
        <w:spacing w:after="0" w:line="143"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As the pandemic continues to grow, consumer fear about becoming ill with the virus and recommendations and/or mandates from federal, state and local authorities to avoid large gatherings of people or self-quarantine may continue to increase, which may continue to adversely affect traffic to our stores, results in further reduced store hours or result in store closures. Ongoing significant reductions in customer visits to, and spending at, our stores caused by COVID-19 would result in further loss of sales and profits and other material adverse effects. 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w:t>
      </w:r>
    </w:p>
    <w:p>
      <w:pPr>
        <w:spacing w:after="0" w:line="138"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If the COVID-19 outbreak continues and persists for an extended period of time, we expect there will be significant and material disruptions to our supply chain and operations, and delays in the manufacturing and shipment of our products, which may then have a material adverse effect on our business and results of operations.</w:t>
      </w:r>
    </w:p>
    <w:p>
      <w:pPr>
        <w:spacing w:after="0" w:line="15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These and other potential impacts of COVID-19, could therefore materially and adversely affect our business, financial condition and results of operations.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If we fail to offer products that customers want to purchase, our business and results of operations could be adversely affected.</w:t>
      </w:r>
    </w:p>
    <w:p>
      <w:pPr>
        <w:spacing w:after="0" w:line="21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60"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ability to accurately forecast consumer demand for our products include:</w:t>
      </w:r>
    </w:p>
    <w:p>
      <w:pPr>
        <w:spacing w:after="0" w:line="117" w:lineRule="exact"/>
        <w:rPr>
          <w:sz w:val="20"/>
          <w:szCs w:val="20"/>
          <w:color w:val="auto"/>
        </w:rPr>
      </w:pPr>
    </w:p>
    <w:p>
      <w:pPr>
        <w:jc w:val="both"/>
        <w:ind w:left="840" w:right="100" w:hanging="418"/>
        <w:spacing w:after="0" w:line="221" w:lineRule="auto"/>
        <w:tabs>
          <w:tab w:leader="none" w:pos="8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95" w:lineRule="exact"/>
        <w:rPr>
          <w:rFonts w:ascii="Arial" w:cs="Arial" w:eastAsia="Arial" w:hAnsi="Arial"/>
          <w:sz w:val="26"/>
          <w:szCs w:val="26"/>
          <w:color w:val="auto"/>
          <w:vertAlign w:val="superscript"/>
        </w:rPr>
      </w:pPr>
    </w:p>
    <w:p>
      <w:pPr>
        <w:ind w:left="840" w:right="260" w:hanging="418"/>
        <w:spacing w:after="0" w:line="198" w:lineRule="auto"/>
        <w:tabs>
          <w:tab w:leader="none" w:pos="8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customer unwillingness to attribute premium value to our new products or product features we design relative to the commonly available apparel and gear they were intended to replace;</w:t>
      </w:r>
    </w:p>
    <w:p>
      <w:pPr>
        <w:ind w:left="840" w:hanging="418"/>
        <w:spacing w:after="0" w:line="233" w:lineRule="auto"/>
        <w:tabs>
          <w:tab w:leader="none" w:pos="8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new, well-received product introductions by competitors;</w:t>
      </w:r>
    </w:p>
    <w:p>
      <w:pPr>
        <w:spacing w:after="0" w:line="109"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weak economic conditions or consumer confidence, which reduce demand for our products;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40" w:right="240" w:hanging="418"/>
        <w:spacing w:after="0" w:line="198" w:lineRule="auto"/>
        <w:tabs>
          <w:tab w:leader="none" w:pos="8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terrorism, civil unrest or acts of war, or the threat thereof, which adversely affect consumer confidence and spending and/or interrupt production and distribution of products and raw materials.</w:t>
      </w:r>
    </w:p>
    <w:p>
      <w:pPr>
        <w:spacing w:after="0" w:line="162"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There can be no assurance that we will be able to successfully anticipate or identify our customers’ needs and preferences and design products and product features in response.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 and negatively impact profitability. On the other hand, if we underestimate demand for our products, our third-party manufacturers may not be able to produce sufficient quantities of our products to meet consumer requirements, and this could result in delays in the shipment of products and lost revenue, as well as damage to the image and reputation of our brand and our relationship with our customers. These risks could have a material adverse effect on our brand as well as our results of operations and financial condition.</w:t>
      </w:r>
    </w:p>
    <w:p>
      <w:pPr>
        <w:spacing w:after="0" w:line="15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business depends on our ability to maintain a strong brand. We may not be able to maintain and enhance the Duluth Trading brand if we receive unfavorable complaints, negative publicity or otherwise fail to live up to consumers’ expectations, which could materially adversely affect our business, results of operations and growth prospects.</w:t>
      </w:r>
    </w:p>
    <w:p>
      <w:pPr>
        <w:spacing w:after="0" w:line="108"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3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1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marketing strategy of associating our brand and products with the Modern, Self-Reliant American Lifestyle may not be successful with future customers.</w:t>
      </w:r>
    </w:p>
    <w:p>
      <w:pPr>
        <w:spacing w:after="0" w:line="130" w:lineRule="exact"/>
        <w:rPr>
          <w:sz w:val="20"/>
          <w:szCs w:val="20"/>
          <w:color w:val="auto"/>
        </w:rPr>
      </w:pPr>
    </w:p>
    <w:p>
      <w:pPr>
        <w:ind w:right="60" w:firstLine="441"/>
        <w:spacing w:after="0" w:line="275" w:lineRule="auto"/>
        <w:rPr>
          <w:sz w:val="20"/>
          <w:szCs w:val="20"/>
          <w:color w:val="auto"/>
        </w:rPr>
      </w:pPr>
      <w:r>
        <w:rPr>
          <w:rFonts w:ascii="Arial" w:cs="Arial" w:eastAsia="Arial" w:hAnsi="Arial"/>
          <w:sz w:val="17"/>
          <w:szCs w:val="17"/>
          <w:color w:val="auto"/>
        </w:rPr>
        <w:t>We have been successful in marketing our products by associating our brand and products with a heritage of workwear and the Modern, Self-Reliant American Lifestyle. To sustain long-term growth, we must continue to be successful in promoting our products to customers who identify with this lifestyle. If our customer base declines through natural attrition and is not replaced by new customers due to, for example, a lack of personal identification with this lifestyle, our net sales could decline, which could adversely affect our business, results of operations and financial condition.</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5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Retail store expansion could reduce the revenue of our direct channel and adversely affect the operating results of our retail channel.</w:t>
      </w:r>
    </w:p>
    <w:p>
      <w:pPr>
        <w:spacing w:after="0" w:line="130"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The growth in the number of our retail stores may draw customers away from our website and catalogs, which could materially adversely affect net sales from our direct channel. As we increase the number of our retail stores, our stores may become more highly concentrated in the geographic regions we serve. As a result, the number of customers and related net sales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individual stores may decline and the payback period may be increased. In addition, as we open more retail stores, and if our competitors open stores with similar formats, our retail store format may become less unique and may be less attractive to customers as a shopping destination. If either of these events occurs, the operating results of our retail channel could be materially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successfully implement future retail store expansion, our growth and profitability could be adversely impacted.</w:t>
      </w:r>
    </w:p>
    <w:p>
      <w:pPr>
        <w:spacing w:after="0" w:line="20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Our ability to open new retail stores in a timely manner and operate them profitably depends on a number of factors, many of which are beyond our control, including:</w:t>
      </w:r>
    </w:p>
    <w:p>
      <w:pPr>
        <w:spacing w:after="0" w:line="62" w:lineRule="exact"/>
        <w:rPr>
          <w:sz w:val="20"/>
          <w:szCs w:val="20"/>
          <w:color w:val="auto"/>
        </w:rPr>
      </w:pPr>
    </w:p>
    <w:p>
      <w:pPr>
        <w:ind w:left="840" w:right="16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manage the financial and operational aspects of our retail growth strategy, including making appropriate investments in our software systems, information technology and operational infrastructure;</w:t>
      </w:r>
    </w:p>
    <w:p>
      <w:pPr>
        <w:spacing w:after="0" w:line="94" w:lineRule="exact"/>
        <w:rPr>
          <w:rFonts w:ascii="Arial" w:cs="Arial" w:eastAsia="Arial" w:hAnsi="Arial"/>
          <w:sz w:val="29"/>
          <w:szCs w:val="29"/>
          <w:color w:val="auto"/>
          <w:vertAlign w:val="superscript"/>
        </w:rPr>
      </w:pPr>
    </w:p>
    <w:p>
      <w:pPr>
        <w:ind w:left="840" w:right="16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suitable locations, including our ability to gather and assess demographic and marketing data to accurately determine consumer demand for our products in the locations we select;</w:t>
      </w:r>
    </w:p>
    <w:p>
      <w:pPr>
        <w:ind w:left="840" w:hanging="418"/>
        <w:spacing w:after="0" w:line="233"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negotiate favorable lease agreements;</w:t>
      </w:r>
    </w:p>
    <w:p>
      <w:pPr>
        <w:spacing w:after="0" w:line="109"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our ability to properly assess the profitability and payback period of potential new retail store locations;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availability of financing on favorable terms;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our ability to secure required governmental permits and approvals;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our ability to hire and train skilled store operating personnel, especially management personnel;</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availability of construction materials and labor and the absence of significant construction delays or cost overruns;</w:t>
      </w:r>
    </w:p>
    <w:p>
      <w:pPr>
        <w:spacing w:after="0" w:line="110" w:lineRule="exact"/>
        <w:rPr>
          <w:rFonts w:ascii="Arial" w:cs="Arial" w:eastAsia="Arial" w:hAnsi="Arial"/>
          <w:sz w:val="24"/>
          <w:szCs w:val="24"/>
          <w:color w:val="auto"/>
          <w:vertAlign w:val="superscript"/>
        </w:rPr>
      </w:pPr>
    </w:p>
    <w:p>
      <w:pPr>
        <w:ind w:left="840" w:right="260" w:hanging="418"/>
        <w:spacing w:after="0" w:line="191"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 satisfactory mix of merchandise that is responsive to the needs of our customers living in the areas where new retail stores are built;</w:t>
      </w:r>
    </w:p>
    <w:p>
      <w:pPr>
        <w:spacing w:after="0" w:line="93" w:lineRule="exact"/>
        <w:rPr>
          <w:rFonts w:ascii="Arial" w:cs="Arial" w:eastAsia="Arial" w:hAnsi="Arial"/>
          <w:sz w:val="29"/>
          <w:szCs w:val="29"/>
          <w:color w:val="auto"/>
          <w:vertAlign w:val="superscript"/>
        </w:rPr>
      </w:pPr>
    </w:p>
    <w:p>
      <w:pPr>
        <w:ind w:left="840" w:right="26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establish a supplier and distribution network able to supply new retail stores with inventory in a timely manner;</w:t>
      </w:r>
    </w:p>
    <w:p>
      <w:pPr>
        <w:spacing w:after="0" w:line="94" w:lineRule="exact"/>
        <w:rPr>
          <w:rFonts w:ascii="Arial" w:cs="Arial" w:eastAsia="Arial" w:hAnsi="Arial"/>
          <w:sz w:val="29"/>
          <w:szCs w:val="29"/>
          <w:color w:val="auto"/>
          <w:vertAlign w:val="superscript"/>
        </w:rPr>
      </w:pPr>
    </w:p>
    <w:p>
      <w:pPr>
        <w:ind w:left="840" w:right="22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competitors building or leasing stores near our retail stores or in locations we have identified as targets for a new retail store;</w:t>
      </w:r>
    </w:p>
    <w:p>
      <w:pPr>
        <w:ind w:left="840" w:hanging="418"/>
        <w:spacing w:after="0" w:line="233"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consumer demand for our products, which drives traffic to our retail stores; and</w:t>
      </w:r>
    </w:p>
    <w:p>
      <w:pPr>
        <w:spacing w:after="0" w:line="109" w:lineRule="exact"/>
        <w:rPr>
          <w:rFonts w:ascii="Arial" w:cs="Arial" w:eastAsia="Arial" w:hAnsi="Arial"/>
          <w:sz w:val="29"/>
          <w:szCs w:val="29"/>
          <w:color w:val="auto"/>
          <w:vertAlign w:val="superscript"/>
        </w:rPr>
      </w:pPr>
    </w:p>
    <w:p>
      <w:pPr>
        <w:ind w:left="840" w:right="120" w:hanging="418"/>
        <w:spacing w:after="0" w:line="191"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general economic and business conditions affecting consumer confidence and spending and the overall strength of our business.</w:t>
      </w:r>
    </w:p>
    <w:p>
      <w:pPr>
        <w:spacing w:after="0" w:line="161" w:lineRule="exact"/>
        <w:rPr>
          <w:sz w:val="20"/>
          <w:szCs w:val="20"/>
          <w:color w:val="auto"/>
        </w:rPr>
      </w:pPr>
    </w:p>
    <w:p>
      <w:pPr>
        <w:ind w:right="20" w:firstLine="441"/>
        <w:spacing w:after="0" w:line="275" w:lineRule="auto"/>
        <w:rPr>
          <w:sz w:val="20"/>
          <w:szCs w:val="20"/>
          <w:color w:val="auto"/>
        </w:rPr>
      </w:pPr>
      <w:r>
        <w:rPr>
          <w:rFonts w:ascii="Arial" w:cs="Arial" w:eastAsia="Arial" w:hAnsi="Arial"/>
          <w:sz w:val="17"/>
          <w:szCs w:val="17"/>
          <w:color w:val="auto"/>
        </w:rPr>
        <w:t>We may not be able to grow the number of our retail stores, achieve the net sales growth and payback periods historically achieved by our retail stores or maintain consistent levels of profitability in our retail stores, particularly as we expand into markets now served by other apparel chains, outdoor specialty stores, apparel catalog businesses and online apparel businesses. In addition, the substantial management time and resources which our retail store expansion strategy requires may result in disruption to our existing business operations which may decrease our profitability.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and new challenges associated with our geographic expansion.</w:t>
      </w:r>
    </w:p>
    <w:p>
      <w:pPr>
        <w:spacing w:after="0" w:line="18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As we expand our retail store locations, we may face new challenges that are different from those we currently encounter. Our expansion into new geographic markets could result in increased competitive, merchandising, distribution and other challenges. We may encounter difficulties in attracting customers in our new retail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31" w:lineRule="exact"/>
        <w:rPr>
          <w:sz w:val="20"/>
          <w:szCs w:val="20"/>
          <w:color w:val="auto"/>
        </w:rPr>
      </w:pPr>
    </w:p>
    <w:p>
      <w:pPr>
        <w:jc w:val="both"/>
        <w:ind w:right="80" w:firstLine="441"/>
        <w:spacing w:after="0" w:line="311" w:lineRule="auto"/>
        <w:rPr>
          <w:sz w:val="20"/>
          <w:szCs w:val="20"/>
          <w:color w:val="auto"/>
        </w:rPr>
      </w:pPr>
      <w:r>
        <w:rPr>
          <w:rFonts w:ascii="Arial" w:cs="Arial" w:eastAsia="Arial" w:hAnsi="Arial"/>
          <w:sz w:val="16"/>
          <w:szCs w:val="16"/>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unable to keep existing retail store locations or open new retail locations in desirable places, which could materially adversely affect our sales and profitability.</w:t>
      </w:r>
    </w:p>
    <w:p>
      <w:pPr>
        <w:spacing w:after="0" w:line="143"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We may be unable to keep existing retail locations or open new retail locations in desirable places in the future. We compete with other retailers and businesses for suitable retail locations. Local land use, local zoning issues, environmental regulations and other regulations may affect our ability to find suitable retail locations and also influence the cost of leasing or buying them. We also may have difficulty negotiating real estate leases for new stores, renewing real estate leases for existing stores or negotiating purchase agreements for new sites on acceptable terms. In addition, construction, environmental, zoning and real estate delays may negatively affect retail location openings and increase costs and capital expenditures. If we are unable to keep up our existing retail store locations or open new retail store locations in desirable places and on favorable terms, our net sales and profits could be materially adversely affected.</w:t>
      </w:r>
    </w:p>
    <w:p>
      <w:pPr>
        <w:spacing w:after="0" w:line="1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pricing pressures with respect to shipping our products to our customers may harm our business and results of operations.</w:t>
      </w:r>
    </w:p>
    <w:p>
      <w:pPr>
        <w:spacing w:after="0" w:line="13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Given the size of our direct segment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3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reliance on suppliers in foreign markets creates risks inherent in doing business in foreign jurisdictions, including:</w:t>
      </w:r>
    </w:p>
    <w:p>
      <w:pPr>
        <w:spacing w:after="0" w:line="104" w:lineRule="exact"/>
        <w:rPr>
          <w:sz w:val="20"/>
          <w:szCs w:val="20"/>
          <w:color w:val="auto"/>
        </w:rPr>
      </w:pPr>
    </w:p>
    <w:p>
      <w:pPr>
        <w:ind w:left="840" w:right="680" w:hanging="418"/>
        <w:spacing w:after="0" w:line="221" w:lineRule="auto"/>
        <w:tabs>
          <w:tab w:leader="none" w:pos="8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the burdens of complying with a variety of foreign laws and regulations, including trade and labor restrictions, import/export laws and regulations, and local intellectual property laws and rights owned by third parties;</w:t>
      </w:r>
    </w:p>
    <w:p>
      <w:pPr>
        <w:spacing w:after="0" w:line="81" w:lineRule="exact"/>
        <w:rPr>
          <w:rFonts w:ascii="Arial" w:cs="Arial" w:eastAsia="Arial" w:hAnsi="Arial"/>
          <w:sz w:val="26"/>
          <w:szCs w:val="26"/>
          <w:color w:val="auto"/>
          <w:vertAlign w:val="superscript"/>
        </w:rPr>
      </w:pPr>
    </w:p>
    <w:p>
      <w:pPr>
        <w:ind w:left="840" w:right="20" w:hanging="418"/>
        <w:spacing w:after="0" w:line="220"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3" w:lineRule="exact"/>
        <w:rPr>
          <w:rFonts w:ascii="Arial" w:cs="Arial" w:eastAsia="Arial" w:hAnsi="Arial"/>
          <w:sz w:val="29"/>
          <w:szCs w:val="29"/>
          <w:color w:val="auto"/>
          <w:vertAlign w:val="superscript"/>
        </w:rPr>
      </w:pPr>
    </w:p>
    <w:p>
      <w:pPr>
        <w:ind w:left="840" w:hanging="418"/>
        <w:spacing w:after="0" w:line="223"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economic and political instability in the countries and regions where our suppliers are located;</w:t>
      </w:r>
    </w:p>
    <w:p>
      <w:pPr>
        <w:spacing w:after="0" w:line="96" w:lineRule="exact"/>
        <w:rPr>
          <w:rFonts w:ascii="Arial" w:cs="Arial" w:eastAsia="Arial" w:hAnsi="Arial"/>
          <w:sz w:val="29"/>
          <w:szCs w:val="29"/>
          <w:color w:val="auto"/>
          <w:vertAlign w:val="superscript"/>
        </w:rPr>
      </w:pPr>
    </w:p>
    <w:p>
      <w:pPr>
        <w:ind w:left="840" w:right="120" w:hanging="418"/>
        <w:spacing w:after="0" w:line="207"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Arial" w:cs="Arial" w:eastAsia="Arial" w:hAnsi="Arial"/>
          <w:sz w:val="29"/>
          <w:szCs w:val="29"/>
          <w:color w:val="auto"/>
          <w:vertAlign w:val="superscript"/>
        </w:rPr>
      </w:pPr>
    </w:p>
    <w:p>
      <w:pPr>
        <w:ind w:left="840" w:hanging="418"/>
        <w:spacing w:after="0" w:line="223"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increases in shipping, labor, fuel, travel and other transportation costs;</w:t>
      </w:r>
    </w:p>
    <w:p>
      <w:pPr>
        <w:spacing w:after="0" w:line="96" w:lineRule="exact"/>
        <w:rPr>
          <w:rFonts w:ascii="Arial" w:cs="Arial" w:eastAsia="Arial" w:hAnsi="Arial"/>
          <w:sz w:val="29"/>
          <w:szCs w:val="29"/>
          <w:color w:val="auto"/>
          <w:vertAlign w:val="superscript"/>
        </w:rPr>
      </w:pPr>
    </w:p>
    <w:p>
      <w:pPr>
        <w:ind w:left="840" w:right="60" w:hanging="418"/>
        <w:spacing w:after="0" w:line="191"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imposition of anti-dumping or countervailing duty proceedings resulting in the potential assessment of special anti-dumping or countervailing duties;</w:t>
      </w:r>
    </w:p>
    <w:p>
      <w:pPr>
        <w:spacing w:after="0" w:line="80" w:lineRule="exact"/>
        <w:rPr>
          <w:rFonts w:ascii="Arial" w:cs="Arial" w:eastAsia="Arial" w:hAnsi="Arial"/>
          <w:sz w:val="29"/>
          <w:szCs w:val="29"/>
          <w:color w:val="auto"/>
          <w:vertAlign w:val="superscript"/>
        </w:rPr>
      </w:pPr>
    </w:p>
    <w:p>
      <w:pPr>
        <w:ind w:left="840" w:right="200" w:hanging="418"/>
        <w:spacing w:after="0" w:line="198"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transportation delays and interruptions, including due to the failure of suppliers or distributors to comply with import regulations;</w:t>
      </w:r>
    </w:p>
    <w:p>
      <w:pPr>
        <w:ind w:left="840" w:hanging="418"/>
        <w:spacing w:after="0" w:line="223"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political instability and acts of terrorism; and</w:t>
      </w:r>
    </w:p>
    <w:p>
      <w:pPr>
        <w:spacing w:after="0" w:line="96" w:lineRule="exact"/>
        <w:rPr>
          <w:rFonts w:ascii="Arial" w:cs="Arial" w:eastAsia="Arial" w:hAnsi="Arial"/>
          <w:sz w:val="29"/>
          <w:szCs w:val="29"/>
          <w:color w:val="auto"/>
          <w:vertAlign w:val="superscript"/>
        </w:rPr>
      </w:pPr>
    </w:p>
    <w:p>
      <w:pPr>
        <w:ind w:left="840" w:right="600" w:hanging="418"/>
        <w:spacing w:after="0" w:line="191"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occurrence of a natural disaster, unusual weather conditions, or prolonged public health crises, epidemics or pandemics in foreign countries from which we source our products.</w:t>
      </w:r>
    </w:p>
    <w:p>
      <w:pPr>
        <w:spacing w:after="0" w:line="161"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The occurrence of one or more of these events could result in disruptions to our operations, which in turn could increase our cost of goods sold, decrease our gross profit, or impact our ability to deliver to our customers. For example, the recent outbreak of COVID-19 has led to work and travel restrictions as well as temporary closure of production and logistics constraints due to workforce availability. If the COVID-19 outbreak continues and persists for an extended period of time, there may be significant and material disruptions to our supply chain and operations, and delays in the manufacture and shipment of our products, which may then have a material adverse effect on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Manufacturers in China have experienced increased costs in recent years due to shortages of labor and the fluctuation of the Chinese Yuan in relation to the U.S. dollar. If we are unable to successfully mitigate a significant portion of such product cost increases, our results of operations could be adversely affected.</w:t>
      </w:r>
    </w:p>
    <w:p>
      <w:pPr>
        <w:spacing w:after="0" w:line="157" w:lineRule="exact"/>
        <w:rPr>
          <w:sz w:val="20"/>
          <w:szCs w:val="20"/>
          <w:color w:val="auto"/>
        </w:rPr>
      </w:pPr>
    </w:p>
    <w:p>
      <w:pPr>
        <w:ind w:firstLine="441"/>
        <w:spacing w:after="0" w:line="301" w:lineRule="auto"/>
        <w:rPr>
          <w:sz w:val="20"/>
          <w:szCs w:val="20"/>
          <w:color w:val="auto"/>
        </w:rPr>
      </w:pPr>
      <w:r>
        <w:rPr>
          <w:rFonts w:ascii="Arial" w:cs="Arial" w:eastAsia="Arial" w:hAnsi="Arial"/>
          <w:sz w:val="16"/>
          <w:szCs w:val="16"/>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The success of our direct channel depends on customers’ use of our digital platform, including our website, and response to catalogs and digital marketing; if our overall marketing strategies, including our maintenance of a robust customer list, is not successful, our business and results of operations could be materially adversely affected.</w:t>
      </w:r>
    </w:p>
    <w:p>
      <w:pPr>
        <w:spacing w:after="0" w:line="10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level of customer traffic and volume of customer purchases through our direct channel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6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Customer response to our catalogs and digital marketing is substantially dependent on merchandise assortment, merchandise availability and creative presentation, as well as the selection of customers to whom our catalogs are sent and to whom our digital marketing is directed, changes in mailing strategies and the size of our mailings.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results of operations and stock price could be adversely affected.</w:t>
      </w:r>
    </w:p>
    <w:p>
      <w:pPr>
        <w:spacing w:after="0" w:line="1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30"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ind w:left="840" w:hanging="418"/>
        <w:spacing w:after="0" w:line="220" w:lineRule="auto"/>
        <w:tabs>
          <w:tab w:leader="none" w:pos="8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diversion of traffic from our stores;</w:t>
      </w:r>
    </w:p>
    <w:p>
      <w:pPr>
        <w:spacing w:after="0" w:line="109"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liability for online content;</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need to keep pace with rapid technological change;</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government regulation of the Internet, including taxation; and</w:t>
      </w:r>
    </w:p>
    <w:p>
      <w:pPr>
        <w:spacing w:after="0" w:line="110" w:lineRule="exact"/>
        <w:rPr>
          <w:rFonts w:ascii="Arial" w:cs="Arial" w:eastAsia="Arial" w:hAnsi="Arial"/>
          <w:sz w:val="24"/>
          <w:szCs w:val="24"/>
          <w:color w:val="auto"/>
          <w:vertAlign w:val="superscript"/>
        </w:rPr>
      </w:pPr>
    </w:p>
    <w:p>
      <w:pPr>
        <w:ind w:left="840" w:right="40" w:hanging="418"/>
        <w:spacing w:after="0" w:line="207" w:lineRule="auto"/>
        <w:tabs>
          <w:tab w:leader="none" w:pos="8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76"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8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We accept payments using a variety of methods, including credit cards, debit cards,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process electronic funds transfers or facilitate other types of payments, and our business and operating results could be adversely affected.</w:t>
      </w:r>
    </w:p>
    <w:p>
      <w:pPr>
        <w:spacing w:after="0" w:line="14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rely on third-party service providers, such as UPS and the United States Postal Service (“USPS”), to deliver products purchased through our direct channel to our customers and our business could be negatively impacted by disruptions in the operations of these third-party service providers.</w:t>
      </w:r>
    </w:p>
    <w:p>
      <w:pPr>
        <w:spacing w:after="0" w:line="143"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Relying on third-party service providers puts us at risk from disruptions in their operations, such as employee strikes, inclement weather and their inability to meet our shipping demands. If we are forced to use other delivery service providers,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during the peak holiday shopping season, which may have a negative impact on our earnings. These factors may negatively impact our financial condition and results of operations.</w:t>
      </w:r>
    </w:p>
    <w:p>
      <w:pPr>
        <w:spacing w:after="0" w:line="12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Increases in postage, paper and printing costs could adversely affect the costs of producing and distributing our catalogs and promotional mailings, which could have an adverse effect on our business and results of operations.</w:t>
      </w:r>
    </w:p>
    <w:p>
      <w:pPr>
        <w:spacing w:after="0" w:line="97" w:lineRule="exact"/>
        <w:rPr>
          <w:sz w:val="20"/>
          <w:szCs w:val="20"/>
          <w:color w:val="auto"/>
        </w:rPr>
      </w:pPr>
    </w:p>
    <w:p>
      <w:pPr>
        <w:jc w:val="both"/>
        <w:ind w:right="160" w:firstLine="441"/>
        <w:spacing w:after="0" w:line="259" w:lineRule="auto"/>
        <w:rPr>
          <w:sz w:val="20"/>
          <w:szCs w:val="20"/>
          <w:color w:val="auto"/>
        </w:rPr>
      </w:pPr>
      <w:r>
        <w:rPr>
          <w:rFonts w:ascii="Arial" w:cs="Arial" w:eastAsia="Arial" w:hAnsi="Arial"/>
          <w:sz w:val="18"/>
          <w:szCs w:val="18"/>
          <w:color w:val="auto"/>
        </w:rPr>
        <w:t>Catalog mailings and promotional mailings are key aspects of our business and increases in costs relating to postage, paper and printing would increase these costs and could reduce our profitability to the extent that we are unable to offset such increases by raising prices, by implementing more efficient printing, mailing, delivery and order fulfillment systems or by using alternative direct-mail formats.</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acquire new customers, or fail to do so in a cost-effective manner, we may not be able to increase net revenue or profit per active customer.</w:t>
      </w:r>
    </w:p>
    <w:p>
      <w:pPr>
        <w:spacing w:after="0" w:line="13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165" w:lineRule="exact"/>
        <w:rPr>
          <w:sz w:val="20"/>
          <w:szCs w:val="20"/>
          <w:color w:val="auto"/>
        </w:rPr>
      </w:pPr>
    </w:p>
    <w:p>
      <w:pPr>
        <w:ind w:right="40" w:firstLine="441"/>
        <w:spacing w:after="0" w:line="296" w:lineRule="auto"/>
        <w:rPr>
          <w:sz w:val="20"/>
          <w:szCs w:val="20"/>
          <w:color w:val="auto"/>
        </w:rPr>
      </w:pPr>
      <w:r>
        <w:rPr>
          <w:rFonts w:ascii="Arial" w:cs="Arial" w:eastAsia="Arial" w:hAnsi="Arial"/>
          <w:sz w:val="16"/>
          <w:szCs w:val="16"/>
          <w:color w:val="auto"/>
        </w:rPr>
        <w:t>We believe that many of our new customers originate from word-of-mouth and other non-paid referrals from existing customers. Therefore, we must ensure that our existing customers remain loyal in order for us to continue receiving those referrals. If our efforts to satisfy our existing customers are not successful, we may not be able to acquire sufficient numbers of new customers through word-of-mouth and other non-paid referrals so as to continue to grow our business in a cost-effective manner, and we may be required to incur significantly higher marketing expenses in order to acquire new customers.</w:t>
      </w:r>
    </w:p>
    <w:p>
      <w:pPr>
        <w:spacing w:after="0" w:line="121" w:lineRule="exact"/>
        <w:rPr>
          <w:sz w:val="20"/>
          <w:szCs w:val="20"/>
          <w:color w:val="auto"/>
        </w:rPr>
      </w:pPr>
    </w:p>
    <w:p>
      <w:pPr>
        <w:jc w:val="both"/>
        <w:ind w:right="100" w:firstLine="441"/>
        <w:spacing w:after="0" w:line="287" w:lineRule="auto"/>
        <w:rPr>
          <w:sz w:val="20"/>
          <w:szCs w:val="20"/>
          <w:color w:val="auto"/>
        </w:rPr>
      </w:pPr>
      <w:r>
        <w:rPr>
          <w:rFonts w:ascii="Arial" w:cs="Arial" w:eastAsia="Arial" w:hAnsi="Arial"/>
          <w:sz w:val="16"/>
          <w:szCs w:val="16"/>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w:t>
      </w:r>
    </w:p>
    <w:p>
      <w:pPr>
        <w:spacing w:after="0" w:line="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31"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financial condition and operating results could be harmed.</w:t>
      </w:r>
    </w:p>
    <w:p>
      <w:pPr>
        <w:spacing w:after="0" w:line="210" w:lineRule="exact"/>
        <w:rPr>
          <w:sz w:val="20"/>
          <w:szCs w:val="20"/>
          <w:color w:val="auto"/>
        </w:rPr>
      </w:pPr>
    </w:p>
    <w:p>
      <w:pPr>
        <w:jc w:val="both"/>
        <w:ind w:right="80" w:firstLine="441"/>
        <w:spacing w:after="0" w:line="286" w:lineRule="auto"/>
        <w:rPr>
          <w:sz w:val="20"/>
          <w:szCs w:val="20"/>
          <w:color w:val="auto"/>
        </w:rPr>
      </w:pPr>
      <w:r>
        <w:rPr>
          <w:rFonts w:ascii="Arial" w:cs="Arial" w:eastAsia="Arial" w:hAnsi="Arial"/>
          <w:sz w:val="16"/>
          <w:szCs w:val="16"/>
          <w:color w:val="auto"/>
        </w:rPr>
        <w:t>To manage our growth effectively, we must continue to implement our operational plans and strategies, improve and expand our infrastructure of people, information systems and facilities and expand, train and manage our employee base. We have rapidly increased employee headcount to support the growth in our business, and we intend for this growth to continue for the foreseeable future. To support continued growth, we must effectively integrate, develop and motivate a large number of new employees.</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Failure to manage our hiring needs effectively or successfully integrate new employees may have a material adverse effect on our business, financial condition and operating results.</w:t>
      </w:r>
    </w:p>
    <w:p>
      <w:pPr>
        <w:spacing w:after="0" w:line="14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cash generated from our operations to support our growth, which could strain our growth.</w:t>
      </w:r>
    </w:p>
    <w:p>
      <w:pPr>
        <w:spacing w:after="0" w:line="198"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We primarily rely on cash flow generated from our direct and retail sales and borrowings under our credit facility to fund our current operations and our growth initiatives. It takes a significant amount of cash to open a new retail store. If we open a large number of stores relatively close in time, the cost of these retail store openings and the cost of continuing operations could reduce our cash position or increase our debt. An increase in our cash flow used for new stores could adversely affect our operations by reducing the amount of cash available or borrowing capacity to address other aspects of our business.</w:t>
      </w:r>
    </w:p>
    <w:p>
      <w:pPr>
        <w:spacing w:after="0" w:line="136"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In addition,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store openings.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maintain debt that could adversely affect our operating flexibility and put us at a competitive disadvantage.</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borrowings under our revolving credit facility typically peak during our third or fourth fiscal quarter.</w:t>
      </w:r>
    </w:p>
    <w:p>
      <w:pPr>
        <w:spacing w:after="0" w:line="185"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Our level of debt and the limitations imposed on us by our credit agreement could have important consequences for investors, including the following:</w:t>
      </w:r>
    </w:p>
    <w:p>
      <w:pPr>
        <w:spacing w:after="0" w:line="49" w:lineRule="exact"/>
        <w:rPr>
          <w:sz w:val="20"/>
          <w:szCs w:val="20"/>
          <w:color w:val="auto"/>
        </w:rPr>
      </w:pPr>
    </w:p>
    <w:p>
      <w:pPr>
        <w:ind w:left="840" w:right="160" w:hanging="418"/>
        <w:spacing w:after="0" w:line="198" w:lineRule="auto"/>
        <w:tabs>
          <w:tab w:leader="none" w:pos="8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we may not be able to obtain additional debt financing for future working capital, capital expenditures, to support our growth plans, or other corporate purposes or may have to pay more for such financing;</w:t>
      </w:r>
    </w:p>
    <w:p>
      <w:pPr>
        <w:spacing w:after="0" w:line="80" w:lineRule="exact"/>
        <w:rPr>
          <w:rFonts w:ascii="Arial" w:cs="Arial" w:eastAsia="Arial" w:hAnsi="Arial"/>
          <w:sz w:val="29"/>
          <w:szCs w:val="29"/>
          <w:color w:val="auto"/>
          <w:vertAlign w:val="superscript"/>
        </w:rPr>
      </w:pPr>
    </w:p>
    <w:p>
      <w:pPr>
        <w:ind w:left="840" w:right="120" w:hanging="418"/>
        <w:spacing w:after="0" w:line="198" w:lineRule="auto"/>
        <w:tabs>
          <w:tab w:leader="none" w:pos="8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borrowings under our revolving credit facility are at a variable interest rate, making us more vulnerable to increases in interest rates; and</w:t>
      </w:r>
    </w:p>
    <w:p>
      <w:pPr>
        <w:spacing w:after="0" w:line="80" w:lineRule="exact"/>
        <w:rPr>
          <w:rFonts w:ascii="Arial" w:cs="Arial" w:eastAsia="Arial" w:hAnsi="Arial"/>
          <w:sz w:val="29"/>
          <w:szCs w:val="29"/>
          <w:color w:val="auto"/>
          <w:vertAlign w:val="superscript"/>
        </w:rPr>
      </w:pPr>
    </w:p>
    <w:p>
      <w:pPr>
        <w:ind w:left="840" w:right="520" w:hanging="418"/>
        <w:spacing w:after="0" w:line="198" w:lineRule="auto"/>
        <w:tabs>
          <w:tab w:leader="none" w:pos="8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i w:val="1"/>
          <w:iCs w:val="1"/>
          <w:color w:val="auto"/>
        </w:rPr>
        <w:t>We may be unable to accurately forecast our operating results and growth rate, and our growth rate may decline over time.</w:t>
      </w:r>
    </w:p>
    <w:p>
      <w:pPr>
        <w:spacing w:after="0" w:line="233"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cannot compete effectively in the apparel, footwear and accessories industry, our business and results of operations may be adversely affected.</w:t>
      </w:r>
    </w:p>
    <w:p>
      <w:pPr>
        <w:spacing w:after="0" w:line="13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designs are not protected by substantial intellectual property rights.</w:t>
      </w:r>
    </w:p>
    <w:p>
      <w:pPr>
        <w:spacing w:after="0" w:line="19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or preserve our brand image and our proprietary rights, our business may be adversely affected.</w:t>
      </w:r>
    </w:p>
    <w:p>
      <w:pPr>
        <w:spacing w:after="0" w:line="208"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infringe upon the intellectual property rights of third parties.</w:t>
      </w:r>
    </w:p>
    <w:p>
      <w:pPr>
        <w:spacing w:after="0" w:line="18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43"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do not have written agreements with our top suppliers, and we cannot assure that any or all of our relationships will not be terminated or that such relationships will continue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growth strategy is influenced by the willingness and ability of our suppliers to efficiently manufacture our products in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manner that is consistent with our standards for quality and value. If we cannot obtain a sufficient amount and variety of quality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at acceptable prices, it could have a negative impact on our competitive position. This could result in lower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decreased customer interest in our product offerings, which, in turn, could adversely affect our business and results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 Our arrangements with our suppliers are generally not exclusive. As a result, our suppliers might be able to sell similar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identical products to certain of our competitors, some of which purchase products in significantly greater volume.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competitors may enter into arrangements with suppliers that could impair our ability to obtain our products from those suppliers,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by requiring suppliers to enter into exclusive arrangements, which could limit our access to such arrangements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83"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Increases in the price of raw materials, fuel and labor, or their reduced availability, could increase our cost of goods and cause delays.</w:t>
      </w:r>
    </w:p>
    <w:p>
      <w:pPr>
        <w:spacing w:after="0" w:line="13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The price and availability of cotton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4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is seasonal, and if we do not efficiently manage inventory levels, our results of operations could be adversely affected.</w:t>
      </w:r>
    </w:p>
    <w:p>
      <w:pPr>
        <w:spacing w:after="0" w:line="143"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Our business is subject to seasonal influences, with net sales and net income realized during the fourth quarter of our fiscal year, which includes the holiday season. See Part I, Item 1 Business, under the heading “</w:t>
      </w:r>
      <w:r>
        <w:rPr>
          <w:rFonts w:ascii="Arial" w:cs="Arial" w:eastAsia="Arial" w:hAnsi="Arial"/>
          <w:sz w:val="17"/>
          <w:szCs w:val="17"/>
          <w:i w:val="1"/>
          <w:iCs w:val="1"/>
          <w:color w:val="auto"/>
        </w:rPr>
        <w:t>Seasonality</w:t>
      </w:r>
      <w:r>
        <w:rPr>
          <w:rFonts w:ascii="Arial" w:cs="Arial" w:eastAsia="Arial" w:hAnsi="Arial"/>
          <w:sz w:val="17"/>
          <w:szCs w:val="17"/>
          <w:color w:val="auto"/>
        </w:rPr>
        <w:t>,” for our net sales and net income realized during the fourth quarter of our fiscal year for each of the past three fiscal years.</w:t>
      </w:r>
    </w:p>
    <w:p>
      <w:pPr>
        <w:spacing w:after="0" w:line="138"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3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6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as of December 31 of each year.</w:t>
      </w:r>
    </w:p>
    <w:p>
      <w:pPr>
        <w:spacing w:after="0" w:line="147" w:lineRule="exact"/>
        <w:rPr>
          <w:sz w:val="20"/>
          <w:szCs w:val="20"/>
          <w:color w:val="auto"/>
        </w:rPr>
      </w:pPr>
    </w:p>
    <w:p>
      <w:pPr>
        <w:ind w:right="760"/>
        <w:spacing w:after="0" w:line="381" w:lineRule="auto"/>
        <w:rPr>
          <w:sz w:val="20"/>
          <w:szCs w:val="20"/>
          <w:color w:val="auto"/>
        </w:rPr>
      </w:pPr>
      <w:r>
        <w:rPr>
          <w:rFonts w:ascii="Arial" w:cs="Arial" w:eastAsia="Arial" w:hAnsi="Arial"/>
          <w:sz w:val="15"/>
          <w:szCs w:val="15"/>
          <w:b w:val="1"/>
          <w:bCs w:val="1"/>
          <w:i w:val="1"/>
          <w:iCs w:val="1"/>
          <w:color w:val="auto"/>
        </w:rPr>
        <w:t>If our independent suppliers do not use ethical business practices or comply with applicable regulations and laws, our reputation could be materially harmed and our business and results of operations may be adversely affected.</w:t>
      </w:r>
    </w:p>
    <w:p>
      <w:pPr>
        <w:spacing w:after="0" w:line="6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30"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Iowa, Nevada and Pennsylvania. While our reliance on a limited number of distribution centers provides certain efficiencies, it also makes us more vulnerable to natural disasters, weather-related disruptions, accidents, system failures, public health pandemics, such as the ongoing COVID-19 outbreak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34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shrinkage could have a material adverse effect on our business, financial condition and results of operations.</w:t>
      </w:r>
    </w:p>
    <w:p>
      <w:pPr>
        <w:spacing w:after="0" w:line="20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shrinkage or incur increased security costs to combat inventory theft, it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data security and privacy risks that could negatively affect our results, operations or reputation.</w:t>
      </w:r>
    </w:p>
    <w:p>
      <w:pPr>
        <w:spacing w:after="0" w:line="196"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 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4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30"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3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An inability to attract and retain qualified employees to meet our staffing needs in our corporate office, stores, distribution center or call center could result in higher payroll costs and adversely affect our operating results.</w:t>
      </w:r>
    </w:p>
    <w:p>
      <w:pPr>
        <w:spacing w:after="0" w:line="106"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adversely affected. In addition, our staffing needs are especially high during the peak holiday season. We cannot be sure that we will be able to attract and retain a sufficient number of qualified personnel in future periods.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30"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Currently, none of our employees are represented by a union. However, our employees have the right under the National Labor Relations Act to form or affiliate with a union.</w:t>
      </w:r>
    </w:p>
    <w:p>
      <w:pPr>
        <w:spacing w:after="0" w:line="143"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The National Labor Relations Board continually considers changes to labor regulations, many of which could significantly affect the nature of labor relations in the United States and how union elections and contract negotiations are conducted. If some or all of our employees were to become unionized and the terms of the collective bargaining agreement were significantly different from our current compensation arrangements, it could increase our costs and adversely impact our profitability. Moreover, participation in labor unions could put us at increased risk of labor strikes and disruption of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Unseasonal or severe weather conditions may adversely affect our merchandise sales.</w:t>
      </w:r>
    </w:p>
    <w:p>
      <w:pPr>
        <w:spacing w:after="0" w:line="18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assessments for additional taxes, including sales taxes, which could adversely affect our business.</w:t>
      </w:r>
    </w:p>
    <w:p>
      <w:pPr>
        <w:spacing w:after="0" w:line="20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52"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3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06" w:lineRule="exact"/>
        <w:rPr>
          <w:sz w:val="20"/>
          <w:szCs w:val="20"/>
          <w:color w:val="auto"/>
        </w:rPr>
      </w:pPr>
    </w:p>
    <w:p>
      <w:pPr>
        <w:ind w:firstLine="441"/>
        <w:spacing w:after="0" w:line="301" w:lineRule="auto"/>
        <w:rPr>
          <w:sz w:val="20"/>
          <w:szCs w:val="20"/>
          <w:color w:val="auto"/>
        </w:rPr>
      </w:pPr>
      <w:r>
        <w:rPr>
          <w:rFonts w:ascii="Arial" w:cs="Arial" w:eastAsia="Arial" w:hAnsi="Arial"/>
          <w:sz w:val="16"/>
          <w:szCs w:val="16"/>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3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comply with restrictive covenants under our revolving credit facility and other debt instruments could trigger prepayment obligations.</w:t>
      </w:r>
    </w:p>
    <w:p>
      <w:pPr>
        <w:spacing w:after="0" w:line="14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failure to comply with the restrictive covenants under our revolving credit facility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accounting rules or regulations could significantly affect our financial results.</w:t>
      </w:r>
    </w:p>
    <w:p>
      <w:pPr>
        <w:spacing w:after="0" w:line="185" w:lineRule="exact"/>
        <w:rPr>
          <w:sz w:val="20"/>
          <w:szCs w:val="20"/>
          <w:color w:val="auto"/>
        </w:rPr>
      </w:pPr>
    </w:p>
    <w:p>
      <w:pPr>
        <w:jc w:val="both"/>
        <w:ind w:right="80" w:firstLine="441"/>
        <w:spacing w:after="0" w:line="311" w:lineRule="auto"/>
        <w:rPr>
          <w:sz w:val="20"/>
          <w:szCs w:val="20"/>
          <w:color w:val="auto"/>
        </w:rPr>
      </w:pPr>
      <w:r>
        <w:rPr>
          <w:rFonts w:ascii="Arial" w:cs="Arial" w:eastAsia="Arial" w:hAnsi="Arial"/>
          <w:sz w:val="16"/>
          <w:szCs w:val="16"/>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Class B Common Stock</w:t>
      </w:r>
    </w:p>
    <w:p>
      <w:pPr>
        <w:spacing w:after="0" w:line="18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2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Our Class A common stock has ten votes per share, and our Class B common stock has one vote per share. Given the greater number of votes per share attributed to our Class A common stock, our Executive Chairman and Chief Executive Officer, Stephen L. Schlecht, who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41"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1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ind w:left="840" w:hanging="418"/>
        <w:spacing w:after="0" w:line="210" w:lineRule="auto"/>
        <w:tabs>
          <w:tab w:leader="none" w:pos="8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that a majority of our board of directors consist of independent directors, as defined under the rules of NASDAQ;</w:t>
      </w:r>
    </w:p>
    <w:p>
      <w:pPr>
        <w:spacing w:after="0" w:line="96" w:lineRule="exact"/>
        <w:rPr>
          <w:rFonts w:ascii="Arial" w:cs="Arial" w:eastAsia="Arial" w:hAnsi="Arial"/>
          <w:sz w:val="28"/>
          <w:szCs w:val="28"/>
          <w:color w:val="auto"/>
          <w:vertAlign w:val="superscript"/>
        </w:rPr>
      </w:pPr>
    </w:p>
    <w:p>
      <w:pPr>
        <w:ind w:left="840" w:right="580" w:hanging="418"/>
        <w:spacing w:after="0" w:line="191" w:lineRule="auto"/>
        <w:tabs>
          <w:tab w:leader="none" w:pos="8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that we have a nominating committee that is composed entirely of independent directors with a written charter addressing the committee’s purpose and responsibilities; and</w:t>
      </w:r>
    </w:p>
    <w:p>
      <w:pPr>
        <w:spacing w:after="0" w:line="80" w:lineRule="exact"/>
        <w:rPr>
          <w:rFonts w:ascii="Arial" w:cs="Arial" w:eastAsia="Arial" w:hAnsi="Arial"/>
          <w:sz w:val="29"/>
          <w:szCs w:val="29"/>
          <w:color w:val="auto"/>
          <w:vertAlign w:val="superscript"/>
        </w:rPr>
      </w:pPr>
    </w:p>
    <w:p>
      <w:pPr>
        <w:ind w:left="840" w:right="400" w:hanging="418"/>
        <w:spacing w:after="0" w:line="198" w:lineRule="auto"/>
        <w:tabs>
          <w:tab w:leader="none" w:pos="8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responsibilities.</w:t>
      </w:r>
    </w:p>
    <w:p>
      <w:pPr>
        <w:spacing w:after="0" w:line="17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Although we intend to have a majority of independent directors on our board even though we will be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143"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market price of our Class B common stock may fluctuate significantly in response to numerous factors, many of which are beyond our control, including:</w:t>
      </w:r>
    </w:p>
    <w:p>
      <w:pPr>
        <w:ind w:left="840" w:hanging="418"/>
        <w:spacing w:after="0" w:line="213" w:lineRule="auto"/>
        <w:tabs>
          <w:tab w:leader="none" w:pos="84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actual or anticipated fluctuations in our results of operations, particularly in our segment growth rates and margins;</w:t>
      </w:r>
    </w:p>
    <w:p>
      <w:pPr>
        <w:spacing w:after="0" w:line="96" w:lineRule="exact"/>
        <w:rPr>
          <w:rFonts w:ascii="Arial" w:cs="Arial" w:eastAsia="Arial" w:hAnsi="Arial"/>
          <w:sz w:val="26"/>
          <w:szCs w:val="26"/>
          <w:color w:val="auto"/>
          <w:vertAlign w:val="superscript"/>
        </w:rPr>
      </w:pPr>
    </w:p>
    <w:p>
      <w:pPr>
        <w:ind w:left="840" w:right="220" w:hanging="418"/>
        <w:spacing w:after="0" w:line="191"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0" w:lineRule="exact"/>
        <w:rPr>
          <w:rFonts w:ascii="Arial" w:cs="Arial" w:eastAsia="Arial" w:hAnsi="Arial"/>
          <w:sz w:val="29"/>
          <w:szCs w:val="29"/>
          <w:color w:val="auto"/>
          <w:vertAlign w:val="superscript"/>
        </w:rPr>
      </w:pPr>
    </w:p>
    <w:p>
      <w:pPr>
        <w:ind w:left="840" w:right="60" w:hanging="418"/>
        <w:spacing w:after="0" w:line="212"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2" w:lineRule="exact"/>
        <w:rPr>
          <w:rFonts w:ascii="Arial" w:cs="Arial" w:eastAsia="Arial" w:hAnsi="Arial"/>
          <w:sz w:val="29"/>
          <w:szCs w:val="29"/>
          <w:color w:val="auto"/>
          <w:vertAlign w:val="superscript"/>
        </w:rPr>
      </w:pPr>
    </w:p>
    <w:p>
      <w:pPr>
        <w:ind w:left="840" w:right="20" w:hanging="418"/>
        <w:spacing w:after="0" w:line="198"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announcements by us or our competitors of significant technical innovations, acquisitions, strategic partnerships, joint ventures, operating results or capital commitments;</w:t>
      </w:r>
    </w:p>
    <w:p>
      <w:pPr>
        <w:spacing w:after="0" w:line="80" w:lineRule="exact"/>
        <w:rPr>
          <w:rFonts w:ascii="Arial" w:cs="Arial" w:eastAsia="Arial" w:hAnsi="Arial"/>
          <w:sz w:val="29"/>
          <w:szCs w:val="29"/>
          <w:color w:val="auto"/>
          <w:vertAlign w:val="superscript"/>
        </w:rPr>
      </w:pPr>
    </w:p>
    <w:p>
      <w:pPr>
        <w:ind w:left="840" w:right="200" w:hanging="418"/>
        <w:spacing w:after="0" w:line="198"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changes in operating performance and stock market valuations of other technology or retail companies generally, or those in our industry in particular;</w:t>
      </w:r>
    </w:p>
    <w:p>
      <w:pPr>
        <w:spacing w:after="0" w:line="11" w:lineRule="exact"/>
        <w:rPr>
          <w:rFonts w:ascii="Arial" w:cs="Arial" w:eastAsia="Arial" w:hAnsi="Arial"/>
          <w:sz w:val="29"/>
          <w:szCs w:val="29"/>
          <w:color w:val="auto"/>
          <w:vertAlign w:val="superscript"/>
        </w:rPr>
      </w:pPr>
    </w:p>
    <w:p>
      <w:pPr>
        <w:ind w:left="840" w:hanging="418"/>
        <w:spacing w:after="0"/>
        <w:tabs>
          <w:tab w:leader="none" w:pos="84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price and volume fluctuations in the overall stock market, including as a result of trends in the economy as a whole;</w:t>
      </w:r>
    </w:p>
    <w:p>
      <w:pPr>
        <w:spacing w:after="0" w:line="96" w:lineRule="exact"/>
        <w:rPr>
          <w:rFonts w:ascii="Arial" w:cs="Arial" w:eastAsia="Arial" w:hAnsi="Arial"/>
          <w:sz w:val="26"/>
          <w:szCs w:val="26"/>
          <w:color w:val="auto"/>
          <w:vertAlign w:val="superscript"/>
        </w:rPr>
      </w:pPr>
    </w:p>
    <w:p>
      <w:pPr>
        <w:ind w:left="840" w:hanging="418"/>
        <w:spacing w:after="0" w:line="186" w:lineRule="auto"/>
        <w:tabs>
          <w:tab w:leader="none" w:pos="8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changes in our board of directors or management;</w:t>
      </w:r>
    </w:p>
    <w:p>
      <w:pPr>
        <w:spacing w:after="0" w:line="96" w:lineRule="exact"/>
        <w:rPr>
          <w:rFonts w:ascii="Arial" w:cs="Arial" w:eastAsia="Arial" w:hAnsi="Arial"/>
          <w:sz w:val="24"/>
          <w:szCs w:val="24"/>
          <w:color w:val="auto"/>
          <w:vertAlign w:val="superscript"/>
        </w:rPr>
      </w:pPr>
    </w:p>
    <w:p>
      <w:pPr>
        <w:ind w:left="840" w:right="60" w:hanging="418"/>
        <w:spacing w:after="0" w:line="191"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sales of large blocks of our Class B common stock, including sales by our executive officers, directors and significant shareholders;</w:t>
      </w:r>
    </w:p>
    <w:p>
      <w:pPr>
        <w:ind w:left="840" w:hanging="418"/>
        <w:spacing w:after="0" w:line="223"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lawsuits threatened or filed against us;</w:t>
      </w:r>
    </w:p>
    <w:p>
      <w:pPr>
        <w:spacing w:after="0" w:line="96"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changes in laws or regulations applicable to our business;</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changes in our capital structure, such as future issuances of debt or equity securities;</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short sales, hedging and other derivative transactions involving our capital stock;</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general economic conditions in the United States and abroad; and</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other events or factors, including those resulting from war, incidents of terrorism or responses to these events.</w:t>
      </w:r>
    </w:p>
    <w:p>
      <w:pPr>
        <w:spacing w:after="0" w:line="17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360"/>
          </w:cols>
          <w:pgMar w:left="1220" w:top="125" w:right="1319" w:bottom="1440" w:gutter="0" w:footer="0" w:header="0"/>
        </w:sectPr>
      </w:pPr>
    </w:p>
    <w:bookmarkStart w:id="24" w:name="page25"/>
    <w:bookmarkEnd w:id="24"/>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43" w:lineRule="exact"/>
        <w:rPr>
          <w:sz w:val="20"/>
          <w:szCs w:val="20"/>
          <w:color w:val="auto"/>
        </w:rPr>
      </w:pPr>
    </w:p>
    <w:p>
      <w:pPr>
        <w:ind w:left="10" w:right="140" w:firstLine="441"/>
        <w:spacing w:after="0" w:line="296" w:lineRule="auto"/>
        <w:rPr>
          <w:sz w:val="20"/>
          <w:szCs w:val="20"/>
          <w:color w:val="auto"/>
        </w:rPr>
      </w:pPr>
      <w:r>
        <w:rPr>
          <w:rFonts w:ascii="Arial" w:cs="Arial" w:eastAsia="Arial" w:hAnsi="Arial"/>
          <w:sz w:val="16"/>
          <w:szCs w:val="16"/>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1" w:lineRule="exact"/>
        <w:rPr>
          <w:sz w:val="20"/>
          <w:szCs w:val="20"/>
          <w:color w:val="auto"/>
        </w:rPr>
      </w:pPr>
    </w:p>
    <w:p>
      <w:pPr>
        <w:jc w:val="both"/>
        <w:ind w:left="10" w:right="3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and exemption from the auditor attestation requirements applicable to “emerging growth companies” will make our Class B common stock less attractive to investors.</w:t>
      </w:r>
    </w:p>
    <w:p>
      <w:pPr>
        <w:spacing w:after="0" w:line="143" w:lineRule="exact"/>
        <w:rPr>
          <w:sz w:val="20"/>
          <w:szCs w:val="20"/>
          <w:color w:val="auto"/>
        </w:rPr>
      </w:pPr>
    </w:p>
    <w:p>
      <w:pPr>
        <w:ind w:left="10" w:right="40" w:firstLine="441"/>
        <w:spacing w:after="0" w:line="25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reduced regulatory and reporting requirements that are otherwise generally applicable to other public companies. As an emerging growth company: (i) we are exempt from the requirement to obtain an audit of our internal control over financial reporting pursuant to the Sarbanes-Oxley Act; (ii) we are permitted to provide less extensive disclosure about our executive compensation arrangements; and (iii) we are not required to hold non-binding advisory votes on executive compensation or golden parachute provisions.</w:t>
      </w:r>
    </w:p>
    <w:p>
      <w:pPr>
        <w:spacing w:after="0" w:line="165" w:lineRule="exact"/>
        <w:rPr>
          <w:sz w:val="20"/>
          <w:szCs w:val="20"/>
          <w:color w:val="auto"/>
        </w:rPr>
      </w:pPr>
    </w:p>
    <w:p>
      <w:pPr>
        <w:ind w:left="10" w:right="160" w:firstLine="441"/>
        <w:spacing w:after="0" w:line="291" w:lineRule="auto"/>
        <w:rPr>
          <w:sz w:val="20"/>
          <w:szCs w:val="20"/>
          <w:color w:val="auto"/>
        </w:rPr>
      </w:pPr>
      <w:r>
        <w:rPr>
          <w:rFonts w:ascii="Arial" w:cs="Arial" w:eastAsia="Arial" w:hAnsi="Arial"/>
          <w:sz w:val="16"/>
          <w:szCs w:val="16"/>
          <w:color w:val="auto"/>
        </w:rPr>
        <w:t>We remain an emerging growth company and may continue to take advantage of these provisions until the earliest to occur of: (i) the last day of our fiscal year following the fifth anniversary of our IPO, which will occur on the last day of fiscal 2020;</w:t>
      </w:r>
    </w:p>
    <w:p>
      <w:pPr>
        <w:ind w:left="10" w:right="80" w:hanging="10"/>
        <w:spacing w:after="0" w:line="281" w:lineRule="auto"/>
        <w:tabs>
          <w:tab w:leader="none" w:pos="2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date on which we are deemed to be a “large accelerated filer” (which means (a) the market value of our common stock that is held by non-affiliates exceeds $700 million as of the last business day of our most recently completed second fiscal quarter,</w:t>
      </w:r>
    </w:p>
    <w:p>
      <w:pPr>
        <w:spacing w:after="0" w:line="1" w:lineRule="exact"/>
        <w:rPr>
          <w:rFonts w:ascii="Arial" w:cs="Arial" w:eastAsia="Arial" w:hAnsi="Arial"/>
          <w:sz w:val="16"/>
          <w:szCs w:val="16"/>
          <w:color w:val="auto"/>
        </w:rPr>
      </w:pPr>
    </w:p>
    <w:p>
      <w:pPr>
        <w:jc w:val="both"/>
        <w:ind w:left="10" w:right="380" w:hanging="10"/>
        <w:spacing w:after="0" w:line="253"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filed at least one annual report on Form 10-K, and (c) we have been subject to the reporting requirements of the Exchange Act for at least twelve months); (iii) the last day of our fiscal year during which our annual gross revenue exceeds $1.0 billion; and (iv) the date on which we issue more than $1.0 billion of non-convertible debt during the previous three-year period.</w:t>
      </w:r>
    </w:p>
    <w:p>
      <w:pPr>
        <w:spacing w:after="0" w:line="152" w:lineRule="exact"/>
        <w:rPr>
          <w:sz w:val="20"/>
          <w:szCs w:val="20"/>
          <w:color w:val="auto"/>
        </w:rPr>
      </w:pPr>
    </w:p>
    <w:p>
      <w:pPr>
        <w:ind w:left="10" w:right="60" w:firstLine="441"/>
        <w:spacing w:after="0" w:line="255" w:lineRule="auto"/>
        <w:rPr>
          <w:sz w:val="20"/>
          <w:szCs w:val="20"/>
          <w:color w:val="auto"/>
        </w:rPr>
      </w:pPr>
      <w:r>
        <w:rPr>
          <w:rFonts w:ascii="Arial" w:cs="Arial" w:eastAsia="Arial" w:hAnsi="Arial"/>
          <w:sz w:val="18"/>
          <w:szCs w:val="18"/>
          <w:color w:val="auto"/>
        </w:rPr>
        <w:t>We cannot predict if investors will find our Class B common stock less attractive or our company less comparable to certain other public companies because we will rely on these exemptions. If some investors find our Class B common stock less attractive as a result of our reliance on these exemptions, there may be a less active trading market for our Class B common stock, and our stock price may be more volatile. We also cannot predict if the lack of an independent auditor’s attestation of our internal control over financial reporting pursuant to Section 404 would allow any material design or operating effectiveness in control deficiencies to go undetected.</w:t>
      </w:r>
    </w:p>
    <w:p>
      <w:pPr>
        <w:spacing w:after="0" w:line="152" w:lineRule="exact"/>
        <w:rPr>
          <w:sz w:val="20"/>
          <w:szCs w:val="20"/>
          <w:color w:val="auto"/>
        </w:rPr>
      </w:pPr>
    </w:p>
    <w:p>
      <w:pPr>
        <w:ind w:left="10" w:right="1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43" w:lineRule="exact"/>
        <w:rPr>
          <w:sz w:val="20"/>
          <w:szCs w:val="20"/>
          <w:color w:val="auto"/>
        </w:rPr>
      </w:pPr>
    </w:p>
    <w:p>
      <w:pPr>
        <w:ind w:left="10" w:firstLine="441"/>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 We will need to hire additional employees or engage outside consultants to comply with these requirements, which will increase our costs and expenses.</w:t>
      </w:r>
    </w:p>
    <w:p>
      <w:pPr>
        <w:spacing w:after="0" w:line="131" w:lineRule="exact"/>
        <w:rPr>
          <w:sz w:val="20"/>
          <w:szCs w:val="20"/>
          <w:color w:val="auto"/>
        </w:rPr>
      </w:pPr>
    </w:p>
    <w:p>
      <w:pPr>
        <w:ind w:left="10" w:right="60" w:firstLine="441"/>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w:t>
      </w:r>
    </w:p>
    <w:p>
      <w:pPr>
        <w:spacing w:after="0" w:line="162"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603504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50"/>
          </w:cols>
          <w:pgMar w:left="1210" w:top="125" w:right="1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 their application and practice, regulatory authorities may initiate legal proceedings against us, and our business may be materially adversely affected.</w:t>
      </w:r>
    </w:p>
    <w:p>
      <w:pPr>
        <w:spacing w:after="0" w:line="143"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43" w:lineRule="exact"/>
        <w:rPr>
          <w:sz w:val="20"/>
          <w:szCs w:val="20"/>
          <w:color w:val="auto"/>
        </w:rPr>
      </w:pPr>
    </w:p>
    <w:p>
      <w:pPr>
        <w:jc w:val="both"/>
        <w:ind w:right="220" w:firstLine="441"/>
        <w:spacing w:after="0" w:line="311" w:lineRule="auto"/>
        <w:rPr>
          <w:sz w:val="20"/>
          <w:szCs w:val="20"/>
          <w:color w:val="auto"/>
        </w:rPr>
      </w:pPr>
      <w:r>
        <w:rPr>
          <w:rFonts w:ascii="Arial" w:cs="Arial" w:eastAsia="Arial" w:hAnsi="Arial"/>
          <w:sz w:val="16"/>
          <w:szCs w:val="16"/>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27" w:lineRule="exact"/>
        <w:rPr>
          <w:sz w:val="20"/>
          <w:szCs w:val="20"/>
          <w:color w:val="auto"/>
        </w:rPr>
      </w:pPr>
    </w:p>
    <w:p>
      <w:pPr>
        <w:ind w:left="840" w:right="980" w:hanging="418"/>
        <w:spacing w:after="0" w:line="198" w:lineRule="auto"/>
        <w:tabs>
          <w:tab w:leader="none" w:pos="8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80" w:lineRule="exact"/>
        <w:rPr>
          <w:rFonts w:ascii="Arial" w:cs="Arial" w:eastAsia="Arial" w:hAnsi="Arial"/>
          <w:sz w:val="29"/>
          <w:szCs w:val="29"/>
          <w:color w:val="auto"/>
          <w:vertAlign w:val="superscript"/>
        </w:rPr>
      </w:pPr>
    </w:p>
    <w:p>
      <w:pPr>
        <w:ind w:left="840" w:right="820" w:hanging="418"/>
        <w:spacing w:after="0" w:line="198" w:lineRule="auto"/>
        <w:tabs>
          <w:tab w:leader="none" w:pos="8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authorize the issuance of “blank check” preferred stock that our board of directors could use to implement a shareholder rights plan;</w:t>
      </w:r>
    </w:p>
    <w:p>
      <w:pPr>
        <w:ind w:left="840" w:hanging="418"/>
        <w:spacing w:after="0" w:line="223" w:lineRule="auto"/>
        <w:tabs>
          <w:tab w:leader="none" w:pos="8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provide that the board of directors is expressly authorized to make, alter or repeal our bylaws; and</w:t>
      </w:r>
    </w:p>
    <w:p>
      <w:pPr>
        <w:spacing w:after="0" w:line="96" w:lineRule="exact"/>
        <w:rPr>
          <w:rFonts w:ascii="Arial" w:cs="Arial" w:eastAsia="Arial" w:hAnsi="Arial"/>
          <w:sz w:val="29"/>
          <w:szCs w:val="29"/>
          <w:color w:val="auto"/>
          <w:vertAlign w:val="superscript"/>
        </w:rPr>
      </w:pPr>
    </w:p>
    <w:p>
      <w:pPr>
        <w:ind w:left="840" w:right="200" w:hanging="418"/>
        <w:spacing w:after="0" w:line="191" w:lineRule="auto"/>
        <w:tabs>
          <w:tab w:leader="none" w:pos="8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7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200" w:lineRule="exact"/>
        <w:rPr>
          <w:sz w:val="20"/>
          <w:szCs w:val="20"/>
          <w:color w:val="auto"/>
        </w:rPr>
      </w:pPr>
    </w:p>
    <w:p>
      <w:pPr>
        <w:spacing w:after="0" w:line="22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20"/>
          </w:cols>
          <w:pgMar w:left="1220" w:top="125" w:right="1259" w:bottom="1440" w:gutter="0" w:footer="0" w:header="0"/>
        </w:sectPr>
      </w:pPr>
    </w:p>
    <w:bookmarkStart w:id="26" w:name="page27"/>
    <w:bookmarkEnd w:id="2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50" w:lineRule="exact"/>
        <w:rPr>
          <w:sz w:val="20"/>
          <w:szCs w:val="20"/>
          <w:color w:val="auto"/>
        </w:rPr>
      </w:pPr>
    </w:p>
    <w:p>
      <w:pPr>
        <w:ind w:left="20" w:right="280" w:firstLine="441"/>
        <w:spacing w:after="0" w:line="266" w:lineRule="auto"/>
        <w:rPr>
          <w:sz w:val="20"/>
          <w:szCs w:val="20"/>
          <w:color w:val="auto"/>
        </w:rPr>
      </w:pPr>
      <w:r>
        <w:rPr>
          <w:rFonts w:ascii="Arial" w:cs="Arial" w:eastAsia="Arial" w:hAnsi="Arial"/>
          <w:sz w:val="18"/>
          <w:szCs w:val="18"/>
          <w:color w:val="auto"/>
        </w:rPr>
        <w:t>The following table sets forth the location, primary use and size of our leased and owned facilities as of February 2, 2020 (except as noted).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19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0"/>
              </w:rPr>
              <w:t>Number of Stores</w:t>
            </w: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4"/>
              </w:rPr>
              <w:t>Primary Use</w:t>
            </w: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Gross Sq Ft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Leased/Owned</w:t>
            </w:r>
          </w:p>
        </w:tc>
      </w:tr>
      <w:tr>
        <w:trPr>
          <w:trHeight w:val="199"/>
        </w:trPr>
        <w:tc>
          <w:tcPr>
            <w:tcW w:w="18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center"/>
              <w:ind w:right="879"/>
              <w:spacing w:after="0"/>
              <w:rPr>
                <w:sz w:val="20"/>
                <w:szCs w:val="20"/>
                <w:color w:val="auto"/>
              </w:rPr>
            </w:pPr>
            <w:r>
              <w:rPr>
                <w:rFonts w:ascii="Arial" w:cs="Arial" w:eastAsia="Arial" w:hAnsi="Arial"/>
                <w:sz w:val="16"/>
                <w:szCs w:val="16"/>
                <w:b w:val="1"/>
                <w:bCs w:val="1"/>
                <w:color w:val="auto"/>
                <w:w w:val="89"/>
              </w:rPr>
              <w:t>Retail Segment</w:t>
            </w:r>
          </w:p>
        </w:tc>
        <w:tc>
          <w:tcPr>
            <w:tcW w:w="1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9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North East</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Connecticut</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9,792</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Maine</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12,951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Massachusetts</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16,360</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New Jersey</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13,300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Pennsylvania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34,945</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Rhode Island</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14,528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Midwest</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Illinois</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2</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28,410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Indiana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14,557</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Iowa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12,249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Kansas</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15,385</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3</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45,588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Minnesota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5</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63,563</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Missouri</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2</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27,692</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Nebraska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20,801</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North Dakota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14,557</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Ohio</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4</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58,420</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 Dakota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9,166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Wisconsin</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4</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53,646</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South</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Alabama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2</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31,312</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Arkansas</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15,656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Florida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14,557</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2"/>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Georgia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20,041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Kentucky</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15,456</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North Carolina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2</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41,672</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Oklahoma</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15,536</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Tennessee</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2</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27,325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Texas</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6</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92,212</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Virginia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15,000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West</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Alaska</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25,409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Colorado</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52,840</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Oregon</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19,075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120"/>
              <w:spacing w:after="0"/>
              <w:rPr>
                <w:sz w:val="20"/>
                <w:szCs w:val="20"/>
                <w:color w:val="auto"/>
              </w:rPr>
            </w:pPr>
            <w:r>
              <w:rPr>
                <w:rFonts w:ascii="Arial" w:cs="Arial" w:eastAsia="Arial" w:hAnsi="Arial"/>
                <w:sz w:val="16"/>
                <w:szCs w:val="16"/>
                <w:color w:val="auto"/>
              </w:rPr>
              <w:t>Utah</w:t>
            </w:r>
          </w:p>
        </w:tc>
        <w:tc>
          <w:tcPr>
            <w:tcW w:w="1940" w:type="dxa"/>
            <w:vAlign w:val="bottom"/>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15,602</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Washington</w:t>
            </w:r>
          </w:p>
        </w:tc>
        <w:tc>
          <w:tcPr>
            <w:tcW w:w="194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15,656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center"/>
              <w:ind w:right="719"/>
              <w:spacing w:after="0"/>
              <w:rPr>
                <w:sz w:val="20"/>
                <w:szCs w:val="20"/>
                <w:color w:val="auto"/>
              </w:rPr>
            </w:pPr>
            <w:r>
              <w:rPr>
                <w:rFonts w:ascii="Arial" w:cs="Arial" w:eastAsia="Arial" w:hAnsi="Arial"/>
                <w:sz w:val="16"/>
                <w:szCs w:val="16"/>
                <w:b w:val="1"/>
                <w:bCs w:val="1"/>
                <w:color w:val="auto"/>
                <w:w w:val="90"/>
              </w:rPr>
              <w:t>Leased to Open New Store</w:t>
            </w:r>
          </w:p>
        </w:tc>
        <w:tc>
          <w:tcPr>
            <w:tcW w:w="1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9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 Pump, VA</w:t>
            </w:r>
            <w:r>
              <w:rPr>
                <w:rFonts w:ascii="Arial" w:cs="Arial" w:eastAsia="Arial" w:hAnsi="Arial"/>
                <w:sz w:val="7"/>
                <w:szCs w:val="7"/>
                <w:color w:val="auto"/>
              </w:rPr>
              <w:t>1</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16,828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Springfield, OR</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20,388</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Orland Park, IL</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10,000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Florence, KY</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11,441</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Roseville, CA</w:t>
            </w:r>
            <w:r>
              <w:rPr>
                <w:rFonts w:ascii="Arial" w:cs="Arial" w:eastAsia="Arial" w:hAnsi="Arial"/>
                <w:sz w:val="7"/>
                <w:szCs w:val="7"/>
                <w:color w:val="auto"/>
              </w:rPr>
              <w:t>2</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15,000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189"/>
        </w:trPr>
        <w:tc>
          <w:tcPr>
            <w:tcW w:w="1800" w:type="dxa"/>
            <w:vAlign w:val="bottom"/>
          </w:tcPr>
          <w:p>
            <w:pPr>
              <w:ind w:left="20"/>
              <w:spacing w:after="0"/>
              <w:rPr>
                <w:sz w:val="20"/>
                <w:szCs w:val="20"/>
                <w:color w:val="auto"/>
              </w:rPr>
            </w:pPr>
            <w:r>
              <w:rPr>
                <w:rFonts w:ascii="Arial" w:cs="Arial" w:eastAsia="Arial" w:hAnsi="Arial"/>
                <w:sz w:val="16"/>
                <w:szCs w:val="16"/>
                <w:color w:val="auto"/>
              </w:rPr>
              <w:t>Cherry Hill, NJ</w:t>
            </w:r>
            <w:r>
              <w:rPr>
                <w:rFonts w:ascii="Arial" w:cs="Arial" w:eastAsia="Arial" w:hAnsi="Arial"/>
                <w:sz w:val="7"/>
                <w:szCs w:val="7"/>
                <w:color w:val="auto"/>
              </w:rPr>
              <w:t>2</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8"/>
              </w:rPr>
              <w:t>Store</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11,441</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18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center"/>
              <w:ind w:right="859"/>
              <w:spacing w:after="0"/>
              <w:rPr>
                <w:sz w:val="20"/>
                <w:szCs w:val="20"/>
                <w:color w:val="auto"/>
              </w:rPr>
            </w:pPr>
            <w:r>
              <w:rPr>
                <w:rFonts w:ascii="Arial" w:cs="Arial" w:eastAsia="Arial" w:hAnsi="Arial"/>
                <w:sz w:val="16"/>
                <w:szCs w:val="16"/>
                <w:b w:val="1"/>
                <w:bCs w:val="1"/>
                <w:color w:val="auto"/>
                <w:w w:val="90"/>
              </w:rPr>
              <w:t>Direct Segment</w:t>
            </w:r>
          </w:p>
        </w:tc>
        <w:tc>
          <w:tcPr>
            <w:tcW w:w="1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199"/>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Mount Horeb, WI</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9"/>
              </w:rPr>
              <w:t>Corporate headquarters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108,000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Belleville, WI</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94"/>
              </w:rPr>
              <w:t>Distribution center</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220,000</w:t>
            </w:r>
          </w:p>
        </w:tc>
        <w:tc>
          <w:tcPr>
            <w:tcW w:w="148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Dubuque, IA</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4"/>
              </w:rPr>
              <w:t>Distribution center</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220,685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Verona, WI</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jc w:val="center"/>
              <w:ind w:left="99"/>
              <w:spacing w:after="0"/>
              <w:rPr>
                <w:sz w:val="20"/>
                <w:szCs w:val="20"/>
                <w:color w:val="auto"/>
              </w:rPr>
            </w:pPr>
            <w:r>
              <w:rPr>
                <w:rFonts w:ascii="Arial" w:cs="Arial" w:eastAsia="Arial" w:hAnsi="Arial"/>
                <w:sz w:val="16"/>
                <w:szCs w:val="16"/>
                <w:color w:val="auto"/>
                <w:w w:val="89"/>
              </w:rPr>
              <w:t>Returns center</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38,687</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Mount Horeb, WI</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Photo Studio</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7,000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center"/>
              <w:ind w:right="879"/>
              <w:spacing w:after="0"/>
              <w:rPr>
                <w:sz w:val="20"/>
                <w:szCs w:val="20"/>
                <w:color w:val="auto"/>
              </w:rPr>
            </w:pPr>
            <w:r>
              <w:rPr>
                <w:rFonts w:ascii="Arial" w:cs="Arial" w:eastAsia="Arial" w:hAnsi="Arial"/>
                <w:sz w:val="16"/>
                <w:szCs w:val="16"/>
                <w:b w:val="1"/>
                <w:bCs w:val="1"/>
                <w:color w:val="auto"/>
                <w:w w:val="94"/>
              </w:rPr>
              <w:t>Direct/Retail</w:t>
            </w:r>
          </w:p>
        </w:tc>
        <w:tc>
          <w:tcPr>
            <w:tcW w:w="1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9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Belleville, WI</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2"/>
              </w:rPr>
              <w:t>Outlet store and call center</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17,890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Oshkosh, WI</w:t>
            </w: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jc w:val="center"/>
              <w:ind w:left="79"/>
              <w:spacing w:after="0"/>
              <w:rPr>
                <w:sz w:val="20"/>
                <w:szCs w:val="20"/>
                <w:color w:val="auto"/>
              </w:rPr>
            </w:pPr>
            <w:r>
              <w:rPr>
                <w:rFonts w:ascii="Arial" w:cs="Arial" w:eastAsia="Arial" w:hAnsi="Arial"/>
                <w:sz w:val="16"/>
                <w:szCs w:val="16"/>
                <w:color w:val="auto"/>
                <w:w w:val="92"/>
              </w:rPr>
              <w:t>Outlet store and call center</w:t>
            </w: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12,777</w:t>
            </w: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1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Redwing, MN</w:t>
            </w:r>
          </w:p>
        </w:tc>
        <w:tc>
          <w:tcPr>
            <w:tcW w:w="19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6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2"/>
              </w:rPr>
              <w:t>Outlet store and call center</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15,560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4"/>
          <w:szCs w:val="14"/>
          <w:color w:val="auto"/>
        </w:rPr>
        <w:t>Opened March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vertAlign w:val="superscript"/>
        </w:rPr>
        <w:t>2</w:t>
      </w:r>
      <w:r>
        <w:rPr>
          <w:rFonts w:ascii="Arial" w:cs="Arial" w:eastAsia="Arial" w:hAnsi="Arial"/>
          <w:sz w:val="14"/>
          <w:szCs w:val="14"/>
          <w:color w:val="auto"/>
        </w:rPr>
        <w:t>To open in fiscal 2021</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leases on our retail stores expire at various times and are subject to renewal options. We consider these properties to be in good condition and believe that our facilities are adequate for our operations and provide sufficient capacity to meet our anticipated requirements.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3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280"/>
          </w:cols>
          <w:pgMar w:left="1220" w:top="125" w:right="1399" w:bottom="1440" w:gutter="0" w:footer="0" w:header="0"/>
        </w:sectPr>
      </w:pPr>
    </w:p>
    <w:bookmarkStart w:id="28" w:name="page29"/>
    <w:bookmarkEnd w:id="2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02" w:lineRule="exact"/>
        <w:rPr>
          <w:sz w:val="20"/>
          <w:szCs w:val="20"/>
          <w:color w:val="auto"/>
        </w:rPr>
      </w:pPr>
    </w:p>
    <w:p>
      <w:pPr>
        <w:ind w:left="20" w:right="20" w:firstLine="441"/>
        <w:spacing w:after="0" w:line="296" w:lineRule="auto"/>
        <w:rPr>
          <w:sz w:val="20"/>
          <w:szCs w:val="20"/>
          <w:color w:val="auto"/>
        </w:rPr>
      </w:pPr>
      <w:r>
        <w:rPr>
          <w:rFonts w:ascii="Arial" w:cs="Arial" w:eastAsia="Arial" w:hAnsi="Arial"/>
          <w:sz w:val="16"/>
          <w:szCs w:val="16"/>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except as disclosed below, arrangements or understandings between any officer and any other person pursuant to which the officer was selected. The information presented below is as of March 19, 2020.</w:t>
      </w: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5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Age</w:t>
            </w:r>
          </w:p>
        </w:tc>
        <w:tc>
          <w:tcPr>
            <w:tcW w:w="70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Office</w:t>
            </w:r>
          </w:p>
        </w:tc>
        <w:tc>
          <w:tcPr>
            <w:tcW w:w="20" w:type="dxa"/>
            <w:vAlign w:val="bottom"/>
          </w:tcPr>
          <w:p>
            <w:pPr>
              <w:spacing w:after="0"/>
              <w:rPr>
                <w:sz w:val="19"/>
                <w:szCs w:val="19"/>
                <w:color w:val="auto"/>
              </w:rPr>
            </w:pPr>
          </w:p>
        </w:tc>
      </w:tr>
      <w:tr>
        <w:trPr>
          <w:trHeight w:val="195"/>
        </w:trPr>
        <w:tc>
          <w:tcPr>
            <w:tcW w:w="1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Stephen L. Schlecht</w:t>
            </w:r>
          </w:p>
        </w:tc>
        <w:tc>
          <w:tcPr>
            <w:tcW w:w="5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72</w:t>
            </w:r>
          </w:p>
        </w:tc>
        <w:tc>
          <w:tcPr>
            <w:tcW w:w="70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Mr. Schlecht is the founder of our Company and has served as Executive Chairman of the</w:t>
            </w:r>
          </w:p>
        </w:tc>
        <w:tc>
          <w:tcPr>
            <w:tcW w:w="20" w:type="dxa"/>
            <w:vAlign w:val="bottom"/>
          </w:tcPr>
          <w:p>
            <w:pPr>
              <w:spacing w:after="0"/>
              <w:rPr>
                <w:sz w:val="16"/>
                <w:szCs w:val="16"/>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Board since February 2015 and as Chief Executive Officer since August 2019. Mr. Schlecht</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has served on our board of directors since our founding in 1986. Mr. Schlecht previously</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served as our Chief Executive Officer from February 2003 to February 2015, as President</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from February 2003 to February 2012 and as President and Chief Executive Officer of</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GEMPLER’S, Inc., which he founded in 1986, until February 2003. Mr. Schlecht holds a</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B.S.B.A. degree and an M.B.A. from Northwestern University. Mr. Schlecht has over 49</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years of experience in the direct marketing and retail industries and has extensive leadership</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experience and strategic vision. Mr. Schlecht is the father of Richard W Schlecht, our Senior</w:t>
            </w:r>
          </w:p>
        </w:tc>
        <w:tc>
          <w:tcPr>
            <w:tcW w:w="20" w:type="dxa"/>
            <w:vAlign w:val="bottom"/>
          </w:tcPr>
          <w:p>
            <w:pPr>
              <w:spacing w:after="0"/>
              <w:rPr>
                <w:sz w:val="18"/>
                <w:szCs w:val="18"/>
                <w:color w:val="auto"/>
              </w:rPr>
            </w:pP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Vice President of Product Development, Visual Merchandise and Creative.</w:t>
            </w:r>
          </w:p>
        </w:tc>
        <w:tc>
          <w:tcPr>
            <w:tcW w:w="20" w:type="dxa"/>
            <w:vAlign w:val="bottom"/>
          </w:tcPr>
          <w:p>
            <w:pPr>
              <w:spacing w:after="0"/>
              <w:rPr>
                <w:sz w:val="20"/>
                <w:szCs w:val="20"/>
                <w:color w:val="auto"/>
              </w:rPr>
            </w:pPr>
          </w:p>
        </w:tc>
      </w:tr>
      <w:tr>
        <w:trPr>
          <w:trHeight w:val="195"/>
        </w:trPr>
        <w:tc>
          <w:tcPr>
            <w:tcW w:w="1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David Loretta</w:t>
            </w:r>
          </w:p>
        </w:tc>
        <w:tc>
          <w:tcPr>
            <w:tcW w:w="5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52</w:t>
            </w:r>
          </w:p>
        </w:tc>
        <w:tc>
          <w:tcPr>
            <w:tcW w:w="70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Mr. Loretta has been our Chief Financial Officer since July 2017. Mr. Loretta previously</w:t>
            </w:r>
          </w:p>
        </w:tc>
        <w:tc>
          <w:tcPr>
            <w:tcW w:w="20" w:type="dxa"/>
            <w:vAlign w:val="bottom"/>
          </w:tcPr>
          <w:p>
            <w:pPr>
              <w:spacing w:after="0"/>
              <w:rPr>
                <w:sz w:val="16"/>
                <w:szCs w:val="16"/>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served four years as President and Chief Financial Officer of Nordstrom Bank and led all</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financial and operating functions of their proprietary card operations. During his tenure,</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Mr. Loretta was responsible for financial reporting, budgeting, forecasting and long-range</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strategic planning as well as operational leadership. Previously at Nordstrom, Inc., he served</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 corporate Vice President and Treasurer overseeing treasury, investor relations and</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corporate development. Before his 13 years with Nordstrom, Mr. Loretta was Director of</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Planning and Analysis for Restoration Hardware, Inc., where he developed a companywide</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budgeting, forecasting and reporting process for the retail stores, catalog direct mail and e-</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commerce. Following his time at Nordstrom, Mr. Loretta launched and operated his own</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company, Pacific Time, LLC, a unique food and beverage business, from 2014 to 2016.</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Mr. Loretta holds a B.A. in Business Economics from the University of California, Riverside</w:t>
            </w:r>
          </w:p>
        </w:tc>
        <w:tc>
          <w:tcPr>
            <w:tcW w:w="20" w:type="dxa"/>
            <w:vAlign w:val="bottom"/>
          </w:tcPr>
          <w:p>
            <w:pPr>
              <w:spacing w:after="0"/>
              <w:rPr>
                <w:sz w:val="18"/>
                <w:szCs w:val="18"/>
                <w:color w:val="auto"/>
              </w:rPr>
            </w:pP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 earned an MBA from San Diego State University.</w:t>
            </w:r>
          </w:p>
        </w:tc>
        <w:tc>
          <w:tcPr>
            <w:tcW w:w="20" w:type="dxa"/>
            <w:vAlign w:val="bottom"/>
          </w:tcPr>
          <w:p>
            <w:pPr>
              <w:spacing w:after="0"/>
              <w:rPr>
                <w:sz w:val="20"/>
                <w:szCs w:val="20"/>
                <w:color w:val="auto"/>
              </w:rPr>
            </w:pPr>
          </w:p>
        </w:tc>
      </w:tr>
      <w:tr>
        <w:trPr>
          <w:trHeight w:val="195"/>
        </w:trPr>
        <w:tc>
          <w:tcPr>
            <w:tcW w:w="1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Allen L. Dittrich</w:t>
            </w:r>
          </w:p>
        </w:tc>
        <w:tc>
          <w:tcPr>
            <w:tcW w:w="5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65</w:t>
            </w:r>
          </w:p>
        </w:tc>
        <w:tc>
          <w:tcPr>
            <w:tcW w:w="70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Mr. Dittrich has served as our Senior Vice President and Chief Merchandising and Marketing</w:t>
            </w:r>
          </w:p>
        </w:tc>
        <w:tc>
          <w:tcPr>
            <w:tcW w:w="20" w:type="dxa"/>
            <w:vAlign w:val="bottom"/>
          </w:tcPr>
          <w:p>
            <w:pPr>
              <w:spacing w:after="0"/>
              <w:rPr>
                <w:sz w:val="16"/>
                <w:szCs w:val="16"/>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Officer since October 2019 and previously served as our Chief Operating Officer from</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October 2018 to October 2019, and Senior Vice President of Omnichannel Customer</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Experience and Operations from February 2015 to October 2018. He previously served as</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Senior Vice President of Retail at Allen-Edmonds Shoe Corporation from November 2009</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until February 2015. Mr. Dittrich holds a B.A. degree in Business Administration and</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Marketing from Winona State University. Mr. Dittrich has held multiple senior executive</w:t>
            </w:r>
          </w:p>
        </w:tc>
        <w:tc>
          <w:tcPr>
            <w:tcW w:w="20" w:type="dxa"/>
            <w:vAlign w:val="bottom"/>
          </w:tcPr>
          <w:p>
            <w:pPr>
              <w:spacing w:after="0"/>
              <w:rPr>
                <w:sz w:val="18"/>
                <w:szCs w:val="18"/>
                <w:color w:val="auto"/>
              </w:rPr>
            </w:pP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roles and has over 42 years of experience in the direct marketing and retail industries.</w:t>
            </w:r>
          </w:p>
        </w:tc>
        <w:tc>
          <w:tcPr>
            <w:tcW w:w="20" w:type="dxa"/>
            <w:vAlign w:val="bottom"/>
          </w:tcPr>
          <w:p>
            <w:pPr>
              <w:spacing w:after="0"/>
              <w:rPr>
                <w:sz w:val="20"/>
                <w:szCs w:val="20"/>
                <w:color w:val="auto"/>
              </w:rPr>
            </w:pPr>
          </w:p>
        </w:tc>
      </w:tr>
      <w:tr>
        <w:trPr>
          <w:trHeight w:val="195"/>
        </w:trPr>
        <w:tc>
          <w:tcPr>
            <w:tcW w:w="1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9"/>
              </w:rPr>
              <w:t>Christopher M. Teufel</w:t>
            </w:r>
          </w:p>
        </w:tc>
        <w:tc>
          <w:tcPr>
            <w:tcW w:w="5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51</w:t>
            </w:r>
          </w:p>
        </w:tc>
        <w:tc>
          <w:tcPr>
            <w:tcW w:w="70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Mr. Teufel has served as our Senior Vice President of Information Technology and Logistics</w:t>
            </w:r>
          </w:p>
        </w:tc>
        <w:tc>
          <w:tcPr>
            <w:tcW w:w="20" w:type="dxa"/>
            <w:vAlign w:val="bottom"/>
          </w:tcPr>
          <w:p>
            <w:pPr>
              <w:spacing w:after="0"/>
              <w:rPr>
                <w:sz w:val="16"/>
                <w:szCs w:val="16"/>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and Chief Information Officer since February 2020 and previously served as our Vice</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President of Information Technology and Logistics and Chief Information Officer from April</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2019 to February 2020, and Vice President of Information Technology and Chief Information</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Officer from October 2017 to April 2019. Mr. Teufel previously served as Vice President of</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Digital Operations for Neiman Marcus from March 2016 to October 2017. Mr. Teufel has also</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previously served as Vice President and Senior Director of Technology at Nordstrom from</w:t>
            </w:r>
          </w:p>
        </w:tc>
        <w:tc>
          <w:tcPr>
            <w:tcW w:w="20" w:type="dxa"/>
            <w:vAlign w:val="bottom"/>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2001 to April 2016. Mr. Teufel holds a B.S. in Accounting from the Daniels College of</w:t>
            </w:r>
          </w:p>
        </w:tc>
        <w:tc>
          <w:tcPr>
            <w:tcW w:w="20" w:type="dxa"/>
            <w:vAlign w:val="bottom"/>
          </w:tcPr>
          <w:p>
            <w:pPr>
              <w:spacing w:after="0"/>
              <w:rPr>
                <w:sz w:val="18"/>
                <w:szCs w:val="18"/>
                <w:color w:val="auto"/>
              </w:rPr>
            </w:pP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Business at the University of Denver.</w:t>
            </w:r>
          </w:p>
        </w:tc>
        <w:tc>
          <w:tcPr>
            <w:tcW w:w="20" w:type="dxa"/>
            <w:vAlign w:val="bottom"/>
          </w:tcPr>
          <w:p>
            <w:pPr>
              <w:spacing w:after="0"/>
              <w:rPr>
                <w:sz w:val="20"/>
                <w:szCs w:val="20"/>
                <w:color w:val="auto"/>
              </w:rPr>
            </w:pPr>
          </w:p>
        </w:tc>
      </w:tr>
      <w:tr>
        <w:trPr>
          <w:trHeight w:val="373"/>
        </w:trPr>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20" w:type="dxa"/>
            <w:vAlign w:val="bottom"/>
          </w:tcPr>
          <w:p>
            <w:pPr>
              <w:ind w:left="2220"/>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4"/>
                <w:szCs w:val="24"/>
                <w:color w:val="auto"/>
              </w:rPr>
            </w:pPr>
          </w:p>
        </w:tc>
      </w:tr>
      <w:tr>
        <w:trPr>
          <w:trHeight w:val="336"/>
        </w:trPr>
        <w:tc>
          <w:tcPr>
            <w:tcW w:w="1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19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7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825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500"/>
          </w:cols>
          <w:pgMar w:left="1200" w:top="125" w:right="1199" w:bottom="1440" w:gutter="0" w:footer="0" w:header="0"/>
        </w:sectPr>
      </w:pPr>
    </w:p>
    <w:bookmarkStart w:id="29" w:name="page30"/>
    <w:bookmarkEnd w:id="2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S. Homolka</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53</w:t>
            </w:r>
          </w:p>
        </w:tc>
        <w:tc>
          <w:tcPr>
            <w:tcW w:w="70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Mr. Homolka has served as our Senior Vice President of Human Resources, Retail Store</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Operations and Contact Center Operations since February 2020 and previously served as our</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Vice President of Human Resources, Store Operations and Asset Protection from January</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2019 to February 2020, and Vice President of Human Resources from February 2017 to</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January 2019. Mr. Homolka previously served as Chief Property and Design Officer and Vice</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President of Real Estate, Store Design and Construction at Cabela’s from October 2015 to</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February 2017 and Vice President of Human Resources and Asset Protection from January</w:t>
            </w:r>
          </w:p>
        </w:tc>
        <w:tc>
          <w:tcPr>
            <w:tcW w:w="20" w:type="dxa"/>
            <w:vAlign w:val="bottom"/>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2012 to October 2015.</w:t>
            </w:r>
          </w:p>
        </w:tc>
        <w:tc>
          <w:tcPr>
            <w:tcW w:w="20" w:type="dxa"/>
            <w:vAlign w:val="bottom"/>
          </w:tcPr>
          <w:p>
            <w:pPr>
              <w:spacing w:after="0"/>
              <w:rPr>
                <w:sz w:val="20"/>
                <w:szCs w:val="20"/>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W. Schlecht</w:t>
            </w:r>
          </w:p>
        </w:tc>
        <w:tc>
          <w:tcPr>
            <w:tcW w:w="52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39</w:t>
            </w:r>
          </w:p>
        </w:tc>
        <w:tc>
          <w:tcPr>
            <w:tcW w:w="7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Mr. Schlecht has served as our Senior Vice President of Product Development, Visual</w:t>
            </w:r>
          </w:p>
        </w:tc>
        <w:tc>
          <w:tcPr>
            <w:tcW w:w="20" w:type="dxa"/>
            <w:vAlign w:val="bottom"/>
          </w:tcPr>
          <w:p>
            <w:pPr>
              <w:spacing w:after="0"/>
              <w:rPr>
                <w:sz w:val="16"/>
                <w:szCs w:val="16"/>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Merchandise and Creative since February 2020 and has previously served as our Vice</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President of Product Development from March 2016 to February 2020 and Director of</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Product Development from September 2013 to March 2016. Mr. Schlecht holds a B.S.B.A.</w:t>
            </w:r>
          </w:p>
        </w:tc>
        <w:tc>
          <w:tcPr>
            <w:tcW w:w="2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 a minor in Statistics from Denver University. Mr. Schlecht is the son of Stephen L.</w:t>
            </w:r>
          </w:p>
        </w:tc>
        <w:tc>
          <w:tcPr>
            <w:tcW w:w="20" w:type="dxa"/>
            <w:vAlign w:val="bottom"/>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Schlecht, our Executive Chairman and Chief Executive Officer.</w:t>
            </w:r>
          </w:p>
        </w:tc>
        <w:tc>
          <w:tcPr>
            <w:tcW w:w="20" w:type="dxa"/>
            <w:vAlign w:val="bottom"/>
          </w:tcPr>
          <w:p>
            <w:pPr>
              <w:spacing w:after="0"/>
              <w:rPr>
                <w:sz w:val="20"/>
                <w:szCs w:val="20"/>
                <w:color w:val="auto"/>
              </w:rPr>
            </w:pPr>
          </w:p>
        </w:tc>
      </w:tr>
      <w:tr>
        <w:trPr>
          <w:trHeight w:val="413"/>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20" w:type="dxa"/>
            <w:vAlign w:val="bottom"/>
          </w:tcPr>
          <w:p>
            <w:pPr>
              <w:ind w:left="222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24"/>
                <w:szCs w:val="24"/>
                <w:color w:val="auto"/>
              </w:rPr>
            </w:pPr>
          </w:p>
        </w:tc>
      </w:tr>
      <w:tr>
        <w:trPr>
          <w:trHeight w:val="336"/>
        </w:trPr>
        <w:tc>
          <w:tcPr>
            <w:tcW w:w="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7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2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ectPr>
          <w:pgSz w:w="11900" w:h="16838" w:orient="portrait"/>
          <w:cols w:equalWidth="0" w:num="1">
            <w:col w:w="9500"/>
          </w:cols>
          <w:pgMar w:left="1200" w:top="125" w:right="11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ind w:left="1060" w:right="360" w:hanging="1065"/>
        <w:spacing w:after="0" w:line="277" w:lineRule="auto"/>
        <w:tabs>
          <w:tab w:leader="none" w:pos="10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REGISTRANT’S COMMON EQUITY, RELATED SHAREHOLDER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Listing and Trading</w:t>
      </w:r>
    </w:p>
    <w:p>
      <w:pPr>
        <w:spacing w:after="0" w:line="202"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Our Class B common stock is traded on the NASDAQ Global Select Market under the symbol “DLTH,” since our initial public offering on November 19, 2015. Our Class A common stock is neither listed nor traded on an exchange.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of Record</w:t>
      </w:r>
    </w:p>
    <w:p>
      <w:pPr>
        <w:spacing w:after="0" w:line="189"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As of March 18, 2020, there were approximately 46 holders of record based upon data provided by our transfer agent, one of whom is the sole holder of our Class A common stock and 45 of whom are holders of our Class B common stock. We believe the number of beneficial holders of the Company’s Class B common stock is in excess of this amount.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Our Class B common stock began trading on November 20, 2015, since that time, we have not declared any cash dividends, and we do not anticipate declaring any cash dividends in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Information regarding our equity compensation plans is set forth in Part III, Item 12. Security Ownership of Certain Beneficial Owners and Management and Related Shareholder Matters.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20"/>
          </w:cols>
          <w:pgMar w:left="1220" w:top="125" w:right="1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060" w:right="640" w:hanging="1065"/>
        <w:spacing w:after="0" w:line="277" w:lineRule="auto"/>
        <w:tabs>
          <w:tab w:leader="none" w:pos="10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170"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38" w:lineRule="exact"/>
        <w:rPr>
          <w:sz w:val="20"/>
          <w:szCs w:val="20"/>
          <w:color w:val="auto"/>
        </w:rPr>
      </w:pPr>
    </w:p>
    <w:p>
      <w:pPr>
        <w:ind w:firstLine="441"/>
        <w:spacing w:after="0" w:line="263"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Management’s discussion focuses on fiscal 2019 results compared to fiscal 2018. Fiscal year 2019 was a 52-week period and fiscal year 2018 was a 53-week period. For a discussion of fiscal 2018 results compared to fiscal 2017, refer to the Company’s Annual Report on </w:t>
      </w:r>
      <w:hyperlink r:id="rId44">
        <w:r>
          <w:rPr>
            <w:rFonts w:ascii="Arial" w:cs="Arial" w:eastAsia="Arial" w:hAnsi="Arial"/>
            <w:sz w:val="18"/>
            <w:szCs w:val="18"/>
            <w:i w:val="1"/>
            <w:iCs w:val="1"/>
            <w:u w:val="single" w:color="auto"/>
            <w:color w:val="0000EE"/>
          </w:rPr>
          <w:t>Form 10-K</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for the year ended February 3,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We are a lifestyle brand of men’s and women’s casual wear, workwear and accessories sold exclusively through our own direct and retail channels. The direct segment, consisting of our website and catalogs, offers products nationwide and represented 56.9% of our fiscal 2019 consolidated net sales, compared to 61.7% in fiscal 2018. In 2010, we added retail to our omni-channel platform with the opening of our first store. Since then, we have expanded our retail presence, and as of February 2, 2020, we operated 58 retail stores and three outlet stores. Net sales for our retail segment represented 43.1% of our fiscal 2019 consolidated net sales, compared to 38.3% in fiscal 2018. In fiscal 2019, we opened a total of 15 retail stores, adding approximately 215,000 gross square feet to our stores.</w:t>
      </w:r>
    </w:p>
    <w:p>
      <w:pPr>
        <w:spacing w:after="0" w:line="15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products, such as our Longtail T</w:t>
      </w:r>
      <w:r>
        <w:rPr>
          <w:rFonts w:ascii="Arial" w:cs="Arial" w:eastAsia="Arial" w:hAnsi="Arial"/>
          <w:sz w:val="8"/>
          <w:szCs w:val="8"/>
          <w:color w:val="auto"/>
        </w:rPr>
        <w:t>®</w:t>
      </w:r>
      <w:r>
        <w:rPr>
          <w:rFonts w:ascii="Arial" w:cs="Arial" w:eastAsia="Arial" w:hAnsi="Arial"/>
          <w:sz w:val="18"/>
          <w:szCs w:val="18"/>
          <w:color w:val="auto"/>
        </w:rPr>
        <w:t xml:space="preserve"> shirts, Buck Naked</w:t>
      </w:r>
      <w:r>
        <w:rPr>
          <w:rFonts w:ascii="Arial" w:cs="Arial" w:eastAsia="Arial" w:hAnsi="Arial"/>
          <w:sz w:val="8"/>
          <w:szCs w:val="8"/>
          <w:color w:val="auto"/>
        </w:rPr>
        <w:t>TM</w:t>
      </w:r>
      <w:r>
        <w:rPr>
          <w:rFonts w:ascii="Arial" w:cs="Arial" w:eastAsia="Arial" w:hAnsi="Arial"/>
          <w:sz w:val="18"/>
          <w:szCs w:val="18"/>
          <w:color w:val="auto"/>
        </w:rPr>
        <w:t xml:space="preserve"> underwear, Fire Hose</w:t>
      </w:r>
      <w:r>
        <w:rPr>
          <w:rFonts w:ascii="Arial" w:cs="Arial" w:eastAsia="Arial" w:hAnsi="Arial"/>
          <w:sz w:val="8"/>
          <w:szCs w:val="8"/>
          <w:color w:val="auto"/>
        </w:rPr>
        <w:t>®</w:t>
      </w:r>
      <w:r>
        <w:rPr>
          <w:rFonts w:ascii="Arial" w:cs="Arial" w:eastAsia="Arial" w:hAnsi="Arial"/>
          <w:sz w:val="18"/>
          <w:szCs w:val="18"/>
          <w:color w:val="auto"/>
        </w:rPr>
        <w:t xml:space="preserve"> work pants and No-Yank™ Tank, which reflect our position as the Modern, Self-Reliant American Lifestyle brand. Our brand has a heritage in workwear that transcends tradesmen and appeals to a broad demographic for everyday and on-the-job use.</w:t>
      </w:r>
    </w:p>
    <w:p>
      <w:pPr>
        <w:spacing w:after="0" w:line="146" w:lineRule="exact"/>
        <w:rPr>
          <w:sz w:val="20"/>
          <w:szCs w:val="20"/>
          <w:color w:val="auto"/>
        </w:rPr>
      </w:pPr>
    </w:p>
    <w:p>
      <w:pPr>
        <w:ind w:right="80" w:firstLine="441"/>
        <w:spacing w:after="0" w:line="301" w:lineRule="auto"/>
        <w:rPr>
          <w:sz w:val="20"/>
          <w:szCs w:val="20"/>
          <w:color w:val="auto"/>
        </w:rPr>
      </w:pPr>
      <w:r>
        <w:rPr>
          <w:rFonts w:ascii="Arial" w:cs="Arial" w:eastAsia="Arial" w:hAnsi="Arial"/>
          <w:sz w:val="16"/>
          <w:szCs w:val="16"/>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840" w:hanging="418"/>
        <w:spacing w:after="0"/>
        <w:tabs>
          <w:tab w:leader="none" w:pos="8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40 consecutive quarters through February 2, 2020;</w:t>
      </w:r>
    </w:p>
    <w:p>
      <w:pPr>
        <w:spacing w:after="0" w:line="96"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2019 increased by 8.4% over the prior year to $615.6 million;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Net income in fiscal 2019 decreased compared to the prior year to $18.9 million;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Adjusted EBITDA in fiscal 2019 was flat compared to the prior year at $51.9 million; and</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 average payback of less than two years.</w:t>
      </w:r>
    </w:p>
    <w:p>
      <w:pPr>
        <w:spacing w:after="0" w:line="17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expect that the pace of capital outlays will moderate in 2020 as we rebalance our business model to focus driving greater long-term returns on the capital invested and growing our operating earnings and positive free cash flow. We plan to continue opening stores in new markets, but will plan for expanding square footage by 30% to 40% less than we have over the last 3 years. We believe the capital deployed for systems and infrastructure will also moderate as much of the investments needed to scale and support our business is in place now. As such, the expense associated with these investments is fixed and should allow for greater operating leverage in net earnings.</w:t>
      </w:r>
    </w:p>
    <w:p>
      <w:pPr>
        <w:spacing w:after="0" w:line="152"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60" w:firstLine="441"/>
        <w:spacing w:after="0" w:line="263"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continuing retail expansion, selectively broadening assortments in certain men’s product categories and growing our women’s business.</w:t>
      </w:r>
    </w:p>
    <w:p>
      <w:pPr>
        <w:spacing w:after="0" w:line="15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The outbreak of the coronavirus (“COVID-19”) continues to grow both in the U.S. and globally, and related government and private sector responsive actions are adversely affecting our business operations. As of March 19, 2020, we have closed eight stores and are actively evaluating additional closures and will fully comply with all federal, state and local regulations. In response to this impact on our business and potential of prolonged declines in consumer spending, the Company is currently evaluating and executing strategies to curtail expenses and capital spending, including, but not limited to restricting 2020 new stores to those with previously executed leases, extending capacity in the Company’s bank line of credit, if needed, have drawn an additional $30 million on our delayed draw term loan and have delayed certain non-essential technology projects. It is impossible to predict the effect and ultimate impact of the COVID-19 pandemic as the situation is rapidly evolving.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 sales are recognized upon shipment to a customer, while retail sales are recognized at the point of sale. We also use net sales as one of the key financial metrics we measure against in determining our annual bonus compensation for our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Depreciation and amortization is excluded from gross profit.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0" w:firstLine="441"/>
        <w:spacing w:after="0" w:line="272" w:lineRule="auto"/>
        <w:rPr>
          <w:sz w:val="20"/>
          <w:szCs w:val="20"/>
          <w:color w:val="auto"/>
        </w:rPr>
      </w:pPr>
      <w:r>
        <w:rPr>
          <w:rFonts w:ascii="Arial" w:cs="Arial" w:eastAsia="Arial" w:hAnsi="Arial"/>
          <w:sz w:val="17"/>
          <w:szCs w:val="17"/>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digital marketing,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50" w:lineRule="exact"/>
        <w:rPr>
          <w:sz w:val="20"/>
          <w:szCs w:val="20"/>
          <w:color w:val="auto"/>
        </w:rPr>
      </w:pPr>
    </w:p>
    <w:p>
      <w:pPr>
        <w:ind w:right="300" w:firstLine="441"/>
        <w:spacing w:after="0" w:line="301" w:lineRule="auto"/>
        <w:rPr>
          <w:sz w:val="20"/>
          <w:szCs w:val="20"/>
          <w:color w:val="auto"/>
        </w:rPr>
      </w:pPr>
      <w:r>
        <w:rPr>
          <w:rFonts w:ascii="Arial" w:cs="Arial" w:eastAsia="Arial" w:hAnsi="Arial"/>
          <w:sz w:val="16"/>
          <w:szCs w:val="16"/>
          <w:color w:val="auto"/>
        </w:rPr>
        <w:t>Our historical sales growth has been accompanied by increased selling, general and administrative expenses. The most significant components of these increases are occupancy, depreciation, marketing, and payroll expenses. While we expect these expenses to increase as we continue to open new stores, increase brand awareness and grow our organization to support our growing business, we believe these expenses will decrease as a percentage of sales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right="20" w:firstLine="441"/>
        <w:spacing w:after="0" w:line="311" w:lineRule="auto"/>
        <w:rPr>
          <w:sz w:val="20"/>
          <w:szCs w:val="20"/>
          <w:color w:val="auto"/>
        </w:rPr>
      </w:pPr>
      <w:r>
        <w:rPr>
          <w:rFonts w:ascii="Arial" w:cs="Arial" w:eastAsia="Arial" w:hAnsi="Arial"/>
          <w:sz w:val="16"/>
          <w:szCs w:val="16"/>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33" w:name="page34"/>
    <w:bookmarkEnd w:id="3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740"/>
        <w:spacing w:after="0" w:line="277" w:lineRule="auto"/>
        <w:rPr>
          <w:sz w:val="20"/>
          <w:szCs w:val="20"/>
          <w:color w:val="auto"/>
        </w:rPr>
      </w:pPr>
      <w:r>
        <w:rPr>
          <w:rFonts w:ascii="Arial" w:cs="Arial" w:eastAsia="Arial" w:hAnsi="Arial"/>
          <w:sz w:val="18"/>
          <w:szCs w:val="18"/>
          <w:color w:val="auto"/>
        </w:rPr>
        <w:t>comparison of our operating performance on a consistent basis from period-to-period and to provide for a more complete understanding of factors and trends affecting our business.</w:t>
      </w:r>
    </w:p>
    <w:p>
      <w:pPr>
        <w:spacing w:after="0" w:line="143" w:lineRule="exact"/>
        <w:rPr>
          <w:sz w:val="20"/>
          <w:szCs w:val="20"/>
          <w:color w:val="auto"/>
        </w:rPr>
      </w:pPr>
    </w:p>
    <w:p>
      <w:pPr>
        <w:ind w:left="20" w:right="200" w:firstLine="441"/>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20" w:right="380" w:firstLine="441"/>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periods indicated, both in dollars and as a percentage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5"/>
          </w:tcPr>
          <w:p>
            <w:pPr>
              <w:jc w:val="right"/>
              <w:ind w:right="1250"/>
              <w:spacing w:after="0"/>
              <w:rPr>
                <w:sz w:val="20"/>
                <w:szCs w:val="20"/>
                <w:color w:val="auto"/>
              </w:rPr>
            </w:pPr>
            <w:r>
              <w:rPr>
                <w:rFonts w:ascii="Arial" w:cs="Arial" w:eastAsia="Arial" w:hAnsi="Arial"/>
                <w:sz w:val="14"/>
                <w:szCs w:val="14"/>
                <w:b w:val="1"/>
                <w:bCs w:val="1"/>
                <w:color w:val="auto"/>
              </w:rPr>
              <w:t>Fiscal Year Ended</w:t>
            </w:r>
          </w:p>
        </w:tc>
      </w:tr>
      <w:tr>
        <w:trPr>
          <w:trHeight w:val="183"/>
        </w:trPr>
        <w:tc>
          <w:tcPr>
            <w:tcW w:w="5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February 2, 2020</w:t>
            </w:r>
          </w:p>
        </w:tc>
        <w:tc>
          <w:tcPr>
            <w:tcW w:w="180" w:type="dxa"/>
            <w:vAlign w:val="bottom"/>
          </w:tcPr>
          <w:p>
            <w:pPr>
              <w:spacing w:after="0"/>
              <w:rPr>
                <w:sz w:val="15"/>
                <w:szCs w:val="15"/>
                <w:color w:val="auto"/>
              </w:rPr>
            </w:pPr>
          </w:p>
        </w:tc>
        <w:tc>
          <w:tcPr>
            <w:tcW w:w="17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February 3, 2019</w:t>
            </w:r>
          </w:p>
        </w:tc>
      </w:tr>
      <w:tr>
        <w:trPr>
          <w:trHeight w:val="183"/>
        </w:trPr>
        <w:tc>
          <w:tcPr>
            <w:tcW w:w="5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350,638</w:t>
            </w:r>
          </w:p>
        </w:tc>
        <w:tc>
          <w:tcPr>
            <w:tcW w:w="30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net sales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265,253</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217,464</w:t>
            </w:r>
          </w:p>
        </w:tc>
        <w:tc>
          <w:tcPr>
            <w:tcW w:w="300" w:type="dxa"/>
            <w:vAlign w:val="bottom"/>
            <w:tcBorders>
              <w:bottom w:val="single" w:sz="8" w:color="CCEEFF"/>
            </w:tcBorders>
          </w:tcPr>
          <w:p>
            <w:pPr>
              <w:spacing w:after="0"/>
              <w:rPr>
                <w:sz w:val="18"/>
                <w:szCs w:val="18"/>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30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287,475</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257,700</w:t>
            </w:r>
          </w:p>
        </w:tc>
        <w:tc>
          <w:tcPr>
            <w:tcW w:w="300" w:type="dxa"/>
            <w:vAlign w:val="bottom"/>
            <w:tcBorders>
              <w:bottom w:val="single" w:sz="8" w:color="CCEEFF"/>
            </w:tcBorders>
          </w:tcPr>
          <w:p>
            <w:pPr>
              <w:spacing w:after="0"/>
              <w:rPr>
                <w:sz w:val="18"/>
                <w:szCs w:val="18"/>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310,402</w:t>
            </w:r>
          </w:p>
        </w:tc>
        <w:tc>
          <w:tcPr>
            <w:tcW w:w="30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300,041</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273,221</w:t>
            </w:r>
          </w:p>
        </w:tc>
        <w:tc>
          <w:tcPr>
            <w:tcW w:w="300" w:type="dxa"/>
            <w:vAlign w:val="bottom"/>
            <w:tcBorders>
              <w:bottom w:val="single" w:sz="8" w:color="CCEEFF"/>
            </w:tcBorders>
          </w:tcPr>
          <w:p>
            <w:pPr>
              <w:spacing w:after="0"/>
              <w:rPr>
                <w:sz w:val="18"/>
                <w:szCs w:val="18"/>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30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5,949</w:t>
            </w:r>
          </w:p>
        </w:tc>
        <w:tc>
          <w:tcPr>
            <w:tcW w:w="30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31,615</w:t>
            </w:r>
          </w:p>
        </w:tc>
        <w:tc>
          <w:tcPr>
            <w:tcW w:w="30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300" w:type="dxa"/>
            <w:vAlign w:val="bottom"/>
            <w:shd w:val="clear" w:color="auto" w:fill="CCEEFF"/>
          </w:tcPr>
          <w:p>
            <w:pPr>
              <w:spacing w:after="0"/>
              <w:rPr>
                <w:sz w:val="18"/>
                <w:szCs w:val="18"/>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23,165</w:t>
            </w:r>
          </w:p>
        </w:tc>
        <w:tc>
          <w:tcPr>
            <w:tcW w:w="30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r>
      <w:tr>
        <w:trPr>
          <w:trHeight w:val="217"/>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18,921</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23,156</w:t>
            </w:r>
          </w:p>
        </w:tc>
        <w:tc>
          <w:tcPr>
            <w:tcW w:w="300" w:type="dxa"/>
            <w:vAlign w:val="bottom"/>
            <w:tcBorders>
              <w:bottom w:val="single" w:sz="8" w:color="CCEEFF"/>
            </w:tcBorders>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sales: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Direct net sales</w:t>
            </w:r>
          </w:p>
        </w:tc>
        <w:tc>
          <w:tcPr>
            <w:tcW w:w="20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56.9 %</w:t>
            </w:r>
          </w:p>
        </w:tc>
        <w:tc>
          <w:tcPr>
            <w:tcW w:w="18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61.7 %</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43.1 %</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38.3 %</w:t>
            </w: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46.7 %</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45.4 %</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48.7 %</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48.1 %</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0.7 %</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1.0 %</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0.9 %</w:t>
            </w:r>
          </w:p>
        </w:tc>
        <w:tc>
          <w:tcPr>
            <w:tcW w:w="18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1.5 %</w:t>
            </w: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20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r>
      <w:tr>
        <w:trPr>
          <w:trHeight w:val="216"/>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2019 Compared to Fiscal 2018</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left="20" w:right="60" w:firstLine="441"/>
        <w:spacing w:after="0" w:line="259" w:lineRule="auto"/>
        <w:rPr>
          <w:sz w:val="20"/>
          <w:szCs w:val="20"/>
          <w:color w:val="auto"/>
        </w:rPr>
      </w:pPr>
      <w:r>
        <w:rPr>
          <w:rFonts w:ascii="Arial" w:cs="Arial" w:eastAsia="Arial" w:hAnsi="Arial"/>
          <w:sz w:val="18"/>
          <w:szCs w:val="18"/>
          <w:color w:val="auto"/>
        </w:rPr>
        <w:t>Net sales increased $47.5 million, or 8.4%, to $615.6 million in fiscal 2019 compared to $568.1 million in fiscal 2018. The $47.5 million increase was attributable to a $47.8 million, or 22.0%, increase in retail segment net sales partially offset by a $0.3 million, or 0.1%, decrease in direct segment net sales. The inclusion of the 53</w:t>
      </w:r>
      <w:r>
        <w:rPr>
          <w:rFonts w:ascii="Arial" w:cs="Arial" w:eastAsia="Arial" w:hAnsi="Arial"/>
          <w:sz w:val="8"/>
          <w:szCs w:val="8"/>
          <w:color w:val="auto"/>
        </w:rPr>
        <w:t>rd</w:t>
      </w:r>
      <w:r>
        <w:rPr>
          <w:rFonts w:ascii="Arial" w:cs="Arial" w:eastAsia="Arial" w:hAnsi="Arial"/>
          <w:sz w:val="18"/>
          <w:szCs w:val="18"/>
          <w:color w:val="auto"/>
        </w:rPr>
        <w:t xml:space="preserve"> week in fiscal 2018 amounted to an additional $7.7 million of net sales.</w:t>
      </w:r>
    </w:p>
    <w:p>
      <w:pPr>
        <w:spacing w:after="0" w:line="160" w:lineRule="exact"/>
        <w:rPr>
          <w:sz w:val="20"/>
          <w:szCs w:val="20"/>
          <w:color w:val="auto"/>
        </w:rPr>
      </w:pPr>
    </w:p>
    <w:p>
      <w:pPr>
        <w:ind w:left="20" w:right="620" w:firstLine="441"/>
        <w:spacing w:after="0" w:line="277" w:lineRule="auto"/>
        <w:rPr>
          <w:sz w:val="20"/>
          <w:szCs w:val="20"/>
          <w:color w:val="auto"/>
        </w:rPr>
      </w:pPr>
      <w:r>
        <w:rPr>
          <w:rFonts w:ascii="Arial" w:cs="Arial" w:eastAsia="Arial" w:hAnsi="Arial"/>
          <w:sz w:val="18"/>
          <w:szCs w:val="18"/>
          <w:color w:val="auto"/>
        </w:rPr>
        <w:t>The growth in our retail segment net sales during fiscal 2019 was due to the opening of 15 new stores since the prior comparable period, partially offset by a decline in existing store sales.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34" w:name="page35"/>
    <w:bookmarkEnd w:id="3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left="20" w:right="60" w:firstLine="441"/>
        <w:spacing w:after="0" w:line="257" w:lineRule="auto"/>
        <w:rPr>
          <w:sz w:val="20"/>
          <w:szCs w:val="20"/>
          <w:color w:val="auto"/>
        </w:rPr>
      </w:pPr>
      <w:r>
        <w:rPr>
          <w:rFonts w:ascii="Arial" w:cs="Arial" w:eastAsia="Arial" w:hAnsi="Arial"/>
          <w:sz w:val="18"/>
          <w:szCs w:val="18"/>
          <w:color w:val="auto"/>
        </w:rPr>
        <w:t>Gross profit increased $17.7 million, or 5.7%, to $328.1 million in fiscal 2019 compared to $310.4 million in fiscal 2018. As a percentage of net sales, gross margin decreased to 53.3% of net sales in fiscal 2019 compared to 54.6% of net sales in fiscal 2018. The decrease in gross margin rate was primarily driven by additional global promotions and clearance activity throughout the first three quarters of the year. Gross margin did begin to stabilize in the fourth quarter of fiscal 2019 and exceeded the margins from the fourth quarter of fiscal 2018.</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jc w:val="both"/>
        <w:ind w:left="20" w:right="160" w:firstLine="441"/>
        <w:spacing w:after="0" w:line="263" w:lineRule="auto"/>
        <w:rPr>
          <w:sz w:val="20"/>
          <w:szCs w:val="20"/>
          <w:color w:val="auto"/>
        </w:rPr>
      </w:pPr>
      <w:r>
        <w:rPr>
          <w:rFonts w:ascii="Arial" w:cs="Arial" w:eastAsia="Arial" w:hAnsi="Arial"/>
          <w:sz w:val="18"/>
          <w:szCs w:val="18"/>
          <w:color w:val="auto"/>
        </w:rPr>
        <w:t>Selling, general and administrative expenses increased $26.8 million, or 9.8%, to $300.0 million in fiscal 2019 compared to $273.2 million in fiscal 2018. Selling, general and administrative expenses as a percentage of net sales increased in fiscal 2019 to 48.7% of net sales, compared to 48.1% of net sales for fiscal 2018.</w:t>
      </w:r>
    </w:p>
    <w:p>
      <w:pPr>
        <w:spacing w:after="0" w:line="157" w:lineRule="exact"/>
        <w:rPr>
          <w:sz w:val="20"/>
          <w:szCs w:val="20"/>
          <w:color w:val="auto"/>
        </w:rPr>
      </w:pPr>
    </w:p>
    <w:p>
      <w:pPr>
        <w:ind w:left="20" w:right="60" w:firstLine="441"/>
        <w:spacing w:after="0" w:line="272" w:lineRule="auto"/>
        <w:rPr>
          <w:sz w:val="20"/>
          <w:szCs w:val="20"/>
          <w:color w:val="auto"/>
        </w:rPr>
      </w:pPr>
      <w:r>
        <w:rPr>
          <w:rFonts w:ascii="Arial" w:cs="Arial" w:eastAsia="Arial" w:hAnsi="Arial"/>
          <w:sz w:val="17"/>
          <w:szCs w:val="17"/>
          <w:color w:val="auto"/>
        </w:rPr>
        <w:t>The increase in selling, general and administrative expenses was primarily due to increased occupancy, equipment and personnel costs to support the growth in the number of retail stores along with increased depreciation expense for investments in technology and corporate facilities. The increase in selling, general and administrative as a percentage of net sales was primarily due to increased depreciation expenses for investments in technology, partially offset by reduced catalog spend, improved shipping rates and efficiencies gained at the distribution centers and call center. Contributing to these efficiency gains was leasing a 220,685 square foot distribution center in Dubuque, IA during fiscal 2019, allowing the Company to lessen its reliance on more costly third-party logistics companies during the peak season.</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20" w:right="140" w:firstLine="873"/>
        <w:spacing w:after="0" w:line="259" w:lineRule="auto"/>
        <w:rPr>
          <w:sz w:val="20"/>
          <w:szCs w:val="20"/>
          <w:color w:val="auto"/>
        </w:rPr>
      </w:pPr>
      <w:r>
        <w:rPr>
          <w:rFonts w:ascii="Arial" w:cs="Arial" w:eastAsia="Arial" w:hAnsi="Arial"/>
          <w:sz w:val="18"/>
          <w:szCs w:val="18"/>
          <w:color w:val="auto"/>
        </w:rPr>
        <w:t xml:space="preserve">Interest expense decreased $1.5 million to $4.5 million in fiscal 2019 compared to $6.0 million in fiscal 2018. The decrease in interest expense was primarily attributable to certain build-to-suit leases being classified as operating leases due to the adoption of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(“ACS 842”). See Note 3 “Leases,” included in this Annual Report on Form 10-K for further information.</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20" w:right="260" w:firstLine="441"/>
        <w:spacing w:after="0" w:line="263" w:lineRule="auto"/>
        <w:rPr>
          <w:sz w:val="20"/>
          <w:szCs w:val="20"/>
          <w:color w:val="auto"/>
        </w:rPr>
      </w:pPr>
      <w:r>
        <w:rPr>
          <w:rFonts w:ascii="Arial" w:cs="Arial" w:eastAsia="Arial" w:hAnsi="Arial"/>
          <w:sz w:val="18"/>
          <w:szCs w:val="18"/>
          <w:color w:val="auto"/>
        </w:rPr>
        <w:t>Our effective tax rate related to controlling interest was 22.3% and 26.7% in fiscal 2019 and fiscal 2018, respectively. The decrease in the year-over-year effective tax rate is primarily due to recognizing $0.7 million in research and development tax credits from fiscal 2018, fiscal 2017 and fiscal 2016.</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Net income was $18.9 million in fiscal 2019 compared to $23.2 million in fiscal 2018, primarily due to the factors discussed above.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89" w:lineRule="exact"/>
        <w:rPr>
          <w:sz w:val="20"/>
          <w:szCs w:val="20"/>
          <w:color w:val="auto"/>
        </w:rPr>
      </w:pPr>
    </w:p>
    <w:p>
      <w:pPr>
        <w:jc w:val="both"/>
        <w:ind w:left="20" w:right="120" w:firstLine="441"/>
        <w:spacing w:after="0" w:line="263" w:lineRule="auto"/>
        <w:rPr>
          <w:sz w:val="20"/>
          <w:szCs w:val="20"/>
          <w:color w:val="auto"/>
        </w:rPr>
      </w:pPr>
      <w:r>
        <w:rPr>
          <w:rFonts w:ascii="Arial" w:cs="Arial" w:eastAsia="Arial" w:hAnsi="Arial"/>
          <w:sz w:val="18"/>
          <w:szCs w:val="18"/>
          <w:color w:val="auto"/>
        </w:rPr>
        <w:t>The following table represents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4"/>
          </w:tcPr>
          <w:p>
            <w:pPr>
              <w:jc w:val="right"/>
              <w:ind w:right="1372"/>
              <w:spacing w:after="0"/>
              <w:rPr>
                <w:sz w:val="20"/>
                <w:szCs w:val="20"/>
                <w:color w:val="auto"/>
              </w:rPr>
            </w:pPr>
            <w:r>
              <w:rPr>
                <w:rFonts w:ascii="Arial" w:cs="Arial" w:eastAsia="Arial" w:hAnsi="Arial"/>
                <w:sz w:val="14"/>
                <w:szCs w:val="14"/>
                <w:b w:val="1"/>
                <w:bCs w:val="1"/>
                <w:color w:val="auto"/>
              </w:rPr>
              <w:t>Fiscal Year Ended</w:t>
            </w:r>
          </w:p>
        </w:tc>
        <w:tc>
          <w:tcPr>
            <w:tcW w:w="40" w:type="dxa"/>
            <w:vAlign w:val="bottom"/>
          </w:tcPr>
          <w:p>
            <w:pPr>
              <w:spacing w:after="0"/>
              <w:rPr>
                <w:sz w:val="14"/>
                <w:szCs w:val="14"/>
                <w:color w:val="auto"/>
              </w:rPr>
            </w:pPr>
          </w:p>
        </w:tc>
      </w:tr>
      <w:tr>
        <w:trPr>
          <w:trHeight w:val="183"/>
        </w:trPr>
        <w:tc>
          <w:tcPr>
            <w:tcW w:w="3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2, 2020</w:t>
            </w:r>
          </w:p>
        </w:tc>
        <w:tc>
          <w:tcPr>
            <w:tcW w:w="260" w:type="dxa"/>
            <w:vAlign w:val="bottom"/>
          </w:tcPr>
          <w:p>
            <w:pPr>
              <w:spacing w:after="0"/>
              <w:rPr>
                <w:sz w:val="15"/>
                <w:szCs w:val="15"/>
                <w:color w:val="auto"/>
              </w:rPr>
            </w:pPr>
          </w:p>
        </w:tc>
        <w:tc>
          <w:tcPr>
            <w:tcW w:w="1640" w:type="dxa"/>
            <w:vAlign w:val="bottom"/>
          </w:tcPr>
          <w:p>
            <w:pPr>
              <w:jc w:val="right"/>
              <w:ind w:right="332"/>
              <w:spacing w:after="0"/>
              <w:rPr>
                <w:sz w:val="20"/>
                <w:szCs w:val="20"/>
                <w:color w:val="auto"/>
              </w:rPr>
            </w:pPr>
            <w:r>
              <w:rPr>
                <w:rFonts w:ascii="Arial" w:cs="Arial" w:eastAsia="Arial" w:hAnsi="Arial"/>
                <w:sz w:val="14"/>
                <w:szCs w:val="14"/>
                <w:b w:val="1"/>
                <w:bCs w:val="1"/>
                <w:color w:val="auto"/>
              </w:rPr>
              <w:t>February 3, 2019</w:t>
            </w:r>
          </w:p>
        </w:tc>
        <w:tc>
          <w:tcPr>
            <w:tcW w:w="40" w:type="dxa"/>
            <w:vAlign w:val="bottom"/>
          </w:tcPr>
          <w:p>
            <w:pPr>
              <w:spacing w:after="0"/>
              <w:rPr>
                <w:sz w:val="15"/>
                <w:szCs w:val="15"/>
                <w:color w:val="auto"/>
              </w:rPr>
            </w:pPr>
          </w:p>
        </w:tc>
      </w:tr>
      <w:tr>
        <w:trPr>
          <w:trHeight w:val="183"/>
        </w:trPr>
        <w:tc>
          <w:tcPr>
            <w:tcW w:w="3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40" w:type="dxa"/>
            <w:vAlign w:val="bottom"/>
          </w:tcPr>
          <w:p>
            <w:pPr>
              <w:spacing w:after="0"/>
              <w:rPr>
                <w:sz w:val="18"/>
                <w:szCs w:val="18"/>
                <w:color w:val="auto"/>
              </w:rPr>
            </w:pPr>
          </w:p>
        </w:tc>
      </w:tr>
      <w:tr>
        <w:trPr>
          <w:trHeight w:val="216"/>
        </w:trPr>
        <w:tc>
          <w:tcPr>
            <w:tcW w:w="38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22,083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12,594</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40" w:type="dxa"/>
            <w:vAlign w:val="bottom"/>
          </w:tcPr>
          <w:p>
            <w:pPr>
              <w:spacing w:after="0"/>
              <w:rPr>
                <w:sz w:val="18"/>
                <w:szCs w:val="18"/>
                <w:color w:val="auto"/>
              </w:rPr>
            </w:pPr>
          </w:p>
        </w:tc>
      </w:tr>
      <w:tr>
        <w:trPr>
          <w:trHeight w:val="229"/>
        </w:trPr>
        <w:tc>
          <w:tcPr>
            <w:tcW w:w="3800" w:type="dxa"/>
            <w:vAlign w:val="bottom"/>
          </w:tcPr>
          <w:p>
            <w:pPr>
              <w:ind w:left="120"/>
              <w:spacing w:after="0"/>
              <w:rPr>
                <w:sz w:val="20"/>
                <w:szCs w:val="20"/>
                <w:color w:val="auto"/>
              </w:rPr>
            </w:pPr>
            <w:r>
              <w:rPr>
                <w:rFonts w:ascii="Arial" w:cs="Arial" w:eastAsia="Arial" w:hAnsi="Arial"/>
                <w:sz w:val="18"/>
                <w:szCs w:val="18"/>
                <w:color w:val="auto"/>
              </w:rPr>
              <w:t>Amortization of build-to-suit operating</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leases capital contribution</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1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40" w:type="dxa"/>
            <w:vAlign w:val="bottom"/>
          </w:tcPr>
          <w:p>
            <w:pPr>
              <w:spacing w:after="0"/>
              <w:rPr>
                <w:sz w:val="18"/>
                <w:szCs w:val="18"/>
                <w:color w:val="auto"/>
              </w:rPr>
            </w:pPr>
          </w:p>
        </w:tc>
      </w:tr>
      <w:tr>
        <w:trPr>
          <w:trHeight w:val="210"/>
        </w:trPr>
        <w:tc>
          <w:tcPr>
            <w:tcW w:w="3800" w:type="dxa"/>
            <w:vAlign w:val="bottom"/>
          </w:tcPr>
          <w:p>
            <w:pPr>
              <w:ind w:left="20"/>
              <w:spacing w:after="0"/>
              <w:rPr>
                <w:sz w:val="20"/>
                <w:szCs w:val="20"/>
                <w:color w:val="auto"/>
              </w:rPr>
            </w:pPr>
            <w:r>
              <w:rPr>
                <w:rFonts w:ascii="Arial" w:cs="Arial" w:eastAsia="Arial" w:hAnsi="Arial"/>
                <w:sz w:val="18"/>
                <w:szCs w:val="18"/>
                <w:color w:val="auto"/>
              </w:rPr>
              <w:t>EBITDA</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51,266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50,158</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1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0" w:type="dxa"/>
            <w:vAlign w:val="bottom"/>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51,913</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51,826</w:t>
            </w:r>
          </w:p>
        </w:tc>
        <w:tc>
          <w:tcPr>
            <w:tcW w:w="40" w:type="dxa"/>
            <w:vAlign w:val="bottom"/>
          </w:tcPr>
          <w:p>
            <w:pPr>
              <w:spacing w:after="0"/>
              <w:rPr>
                <w:sz w:val="18"/>
                <w:szCs w:val="18"/>
                <w:color w:val="auto"/>
              </w:rPr>
            </w:pPr>
          </w:p>
        </w:tc>
      </w:tr>
      <w:tr>
        <w:trPr>
          <w:trHeight w:val="595"/>
        </w:trPr>
        <w:tc>
          <w:tcPr>
            <w:tcW w:w="3800" w:type="dxa"/>
            <w:vAlign w:val="bottom"/>
          </w:tcPr>
          <w:p>
            <w:pPr>
              <w:spacing w:after="0"/>
              <w:rPr>
                <w:sz w:val="24"/>
                <w:szCs w:val="24"/>
                <w:color w:val="auto"/>
              </w:rPr>
            </w:pPr>
          </w:p>
        </w:tc>
        <w:tc>
          <w:tcPr>
            <w:tcW w:w="1620" w:type="dxa"/>
            <w:vAlign w:val="bottom"/>
          </w:tcPr>
          <w:p>
            <w:pPr>
              <w:jc w:val="right"/>
              <w:ind w:right="519"/>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3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80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2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ectPr>
          <w:pgSz w:w="11900" w:h="16838" w:orient="portrait"/>
          <w:cols w:equalWidth="0" w:num="1">
            <w:col w:w="9500"/>
          </w:cols>
          <w:pgMar w:left="1200" w:top="125" w:right="1199" w:bottom="1440" w:gutter="0" w:footer="0" w:header="0"/>
        </w:sectPr>
      </w:pPr>
    </w:p>
    <w:bookmarkStart w:id="35" w:name="page36"/>
    <w:bookmarkEnd w:id="3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20" w:right="40" w:firstLine="441"/>
        <w:spacing w:after="0" w:line="263" w:lineRule="auto"/>
        <w:rPr>
          <w:sz w:val="20"/>
          <w:szCs w:val="20"/>
          <w:color w:val="auto"/>
        </w:rPr>
      </w:pPr>
      <w:r>
        <w:rPr>
          <w:rFonts w:ascii="Arial" w:cs="Arial" w:eastAsia="Arial" w:hAnsi="Arial"/>
          <w:sz w:val="18"/>
          <w:szCs w:val="18"/>
          <w:color w:val="auto"/>
        </w:rPr>
        <w:t>As a result of the factors discussed above in the “Results of Operations” section, Adjusted EBITDA was flat compared to the prior year at $51.9 million. As a percentage of net sales, Adjusted EBITDA decreased to 8.4% of net sales in fiscal 2019 compared to 9.1% of net sales in fiscal 2018.</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20" w:right="160" w:firstLine="441"/>
        <w:spacing w:after="0" w:line="272"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On May 17, 2018, we entered into a credit facility which provides for borrowings of up to $80.0 million on a revolving line of credit and an additional $50.0 million in a delayed draw term loan. The $80.0 million revolving line of credit matures on May 17, 2023 and we have the option to draw in various amounts on the $50.0 million term loan through May 16, 2020, with a maturity on May 17, 2023. Our primary cash needs have been for inventory, marketing and advertising, payroll, store leases, and capital expenditures associated with opening new stores, infrastructure and information technology. The most significant components of our working capital are cash, inventory, accounts payable and other current liabilities.</w:t>
      </w:r>
    </w:p>
    <w:p>
      <w:pPr>
        <w:spacing w:after="0" w:line="137" w:lineRule="exact"/>
        <w:rPr>
          <w:sz w:val="20"/>
          <w:szCs w:val="20"/>
          <w:color w:val="auto"/>
        </w:rPr>
      </w:pPr>
    </w:p>
    <w:p>
      <w:pPr>
        <w:ind w:left="20" w:right="140" w:firstLine="441"/>
        <w:spacing w:after="0" w:line="255" w:lineRule="auto"/>
        <w:rPr>
          <w:sz w:val="20"/>
          <w:szCs w:val="20"/>
          <w:color w:val="auto"/>
        </w:rPr>
      </w:pPr>
      <w:r>
        <w:rPr>
          <w:rFonts w:ascii="Arial" w:cs="Arial" w:eastAsia="Arial" w:hAnsi="Arial"/>
          <w:sz w:val="18"/>
          <w:szCs w:val="18"/>
          <w:color w:val="auto"/>
        </w:rPr>
        <w:t>We have executed six new store leases four of which are for stores to be opened in fiscal 2020. At February 2, 2020, our working capital was $83.4 million, which includes cash of $0.5 million.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Pr>
          <w:p>
            <w:pPr>
              <w:spacing w:after="0"/>
              <w:rPr>
                <w:sz w:val="14"/>
                <w:szCs w:val="14"/>
                <w:color w:val="auto"/>
              </w:rPr>
            </w:pPr>
          </w:p>
        </w:tc>
      </w:tr>
      <w:tr>
        <w:trPr>
          <w:trHeight w:val="183"/>
        </w:trPr>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February 2, 2020</w:t>
            </w:r>
          </w:p>
        </w:tc>
        <w:tc>
          <w:tcPr>
            <w:tcW w:w="22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3, 2019</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w:t>
            </w:r>
          </w:p>
        </w:tc>
        <w:tc>
          <w:tcPr>
            <w:tcW w:w="20" w:type="dxa"/>
            <w:vAlign w:val="bottom"/>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(30,687)</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(53,735)</w:t>
            </w:r>
          </w:p>
        </w:tc>
        <w:tc>
          <w:tcPr>
            <w:tcW w:w="2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20" w:type="dxa"/>
            <w:vAlign w:val="bottom"/>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Decrease in cash and restricted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98" w:lineRule="exact"/>
        <w:rPr>
          <w:sz w:val="20"/>
          <w:szCs w:val="20"/>
          <w:color w:val="auto"/>
        </w:rPr>
      </w:pPr>
    </w:p>
    <w:p>
      <w:pPr>
        <w:ind w:left="20" w:right="160" w:firstLine="441"/>
        <w:spacing w:after="0" w:line="263"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143" w:lineRule="exact"/>
        <w:rPr>
          <w:sz w:val="20"/>
          <w:szCs w:val="20"/>
          <w:color w:val="auto"/>
        </w:rPr>
      </w:pPr>
    </w:p>
    <w:p>
      <w:pPr>
        <w:ind w:left="20" w:right="100" w:firstLine="441"/>
        <w:spacing w:after="0" w:line="291" w:lineRule="auto"/>
        <w:rPr>
          <w:sz w:val="20"/>
          <w:szCs w:val="20"/>
          <w:color w:val="auto"/>
        </w:rPr>
      </w:pPr>
      <w:r>
        <w:rPr>
          <w:rFonts w:ascii="Arial" w:cs="Arial" w:eastAsia="Arial" w:hAnsi="Arial"/>
          <w:sz w:val="16"/>
          <w:szCs w:val="16"/>
          <w:color w:val="auto"/>
        </w:rPr>
        <w:t>For fiscal 2019, net cash provided by operating activities was $6.7 million, which consisted of net income of $18.5 million, non-cash depreciation and amortization of $22.1 million, amortization of stock-based compensation of $0.6 million and deferred income taxes of $1.2 million, offset by cash used in operating assets and liabilities of $33.4 million. The cash used in operating assets and liabilities of $33.4 million primarily consisted of a $50.2 million increase in inventory due to growth and supply of inventory for our new retail stores in the first quarter of fiscal 2019, which was partially offset by a $5.4 decrease in prepaid expenses, coupled with a $3.2 million increase in income taxes payable and a $7.6 million increase in trade accounts payable. The increase in trade accounts payable was primarily due to an increase in inventory and timing of payments.</w:t>
      </w:r>
    </w:p>
    <w:p>
      <w:pPr>
        <w:spacing w:after="0" w:line="126" w:lineRule="exact"/>
        <w:rPr>
          <w:sz w:val="20"/>
          <w:szCs w:val="20"/>
          <w:color w:val="auto"/>
        </w:rPr>
      </w:pPr>
    </w:p>
    <w:p>
      <w:pPr>
        <w:ind w:left="20" w:firstLine="441"/>
        <w:spacing w:after="0" w:line="253" w:lineRule="auto"/>
        <w:rPr>
          <w:sz w:val="20"/>
          <w:szCs w:val="20"/>
          <w:color w:val="auto"/>
        </w:rPr>
      </w:pPr>
      <w:r>
        <w:rPr>
          <w:rFonts w:ascii="Arial" w:cs="Arial" w:eastAsia="Arial" w:hAnsi="Arial"/>
          <w:sz w:val="18"/>
          <w:szCs w:val="18"/>
          <w:color w:val="auto"/>
        </w:rPr>
        <w:t>For fiscal 2018, net cash provided by operating activities was $31.1 million, which consisted of net income of $23.2 million, non-cash depreciation and amortization of $12.6 million, amortization of stock-based compensation of $1.7 million, deferred income taxes of $8.0 million and loss on disposal of property and equipment of $0.2 million, offset by cash used in operating assets and liabilities of $14.5 million. The cash used in operating assets and liabilities of $14.5 million primarily consisted of a $11.0 million increase in inventory due to growth and supply of inventory for our new retail stores in the first quarter of fiscal 2019 and $5.6 million increase in prepaid expense, coupled with a $7.6 million decrease in income taxes payable, which was partially offset by increases in trade accounts payable and accrued expenses and deferred rent obligations of $10.3 million and $7.0 million, respectively. The increase in trade accounts payable and accrued expenses were primarily due to an increase in inventory and timing of payments.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36" w:name="page37"/>
    <w:bookmarkEnd w:id="3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stores, information technology and enhancements for our distribution and corporate facilities.</w:t>
      </w:r>
    </w:p>
    <w:p>
      <w:pPr>
        <w:spacing w:after="0" w:line="130" w:lineRule="exact"/>
        <w:rPr>
          <w:sz w:val="20"/>
          <w:szCs w:val="20"/>
          <w:color w:val="auto"/>
        </w:rPr>
      </w:pPr>
    </w:p>
    <w:p>
      <w:pPr>
        <w:ind w:left="20" w:right="160" w:firstLine="441"/>
        <w:spacing w:after="0" w:line="263" w:lineRule="auto"/>
        <w:rPr>
          <w:sz w:val="20"/>
          <w:szCs w:val="20"/>
          <w:color w:val="auto"/>
        </w:rPr>
      </w:pPr>
      <w:r>
        <w:rPr>
          <w:rFonts w:ascii="Arial" w:cs="Arial" w:eastAsia="Arial" w:hAnsi="Arial"/>
          <w:sz w:val="18"/>
          <w:szCs w:val="18"/>
          <w:color w:val="auto"/>
        </w:rPr>
        <w:t>For fiscal 2019, net cash used in investing activities was $30.7 million, primarily driven by capital expenditures of $24.4 million, due mainly to the opening of 15 new stores, as well as investments in information technology and $6.3 million of capital contributions towards our build-to-suit stores.</w:t>
      </w:r>
    </w:p>
    <w:p>
      <w:pPr>
        <w:spacing w:after="0" w:line="143" w:lineRule="exact"/>
        <w:rPr>
          <w:sz w:val="20"/>
          <w:szCs w:val="20"/>
          <w:color w:val="auto"/>
        </w:rPr>
      </w:pPr>
    </w:p>
    <w:p>
      <w:pPr>
        <w:ind w:left="20" w:right="320" w:firstLine="441"/>
        <w:spacing w:after="0" w:line="263" w:lineRule="auto"/>
        <w:rPr>
          <w:sz w:val="20"/>
          <w:szCs w:val="20"/>
          <w:color w:val="auto"/>
        </w:rPr>
      </w:pPr>
      <w:r>
        <w:rPr>
          <w:rFonts w:ascii="Arial" w:cs="Arial" w:eastAsia="Arial" w:hAnsi="Arial"/>
          <w:sz w:val="18"/>
          <w:szCs w:val="18"/>
          <w:color w:val="auto"/>
        </w:rPr>
        <w:t>For fiscal 2018, net cash used in investing activities was $53.7 million, primarily driven by capital expenditures of $53.0 million, due mainly to the opening of 15 new stores, as well as investments in information technology and the Belleville, Wisconsin distribution center.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ind w:left="20" w:right="60" w:firstLine="441"/>
        <w:spacing w:after="0" w:line="263"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long-term debts, as well as proceeds from finance lease obligations and principal payments on long term debt by our consolidated variable interest entity TRI Holdings, LLC (“TRI”).</w:t>
      </w:r>
    </w:p>
    <w:p>
      <w:pPr>
        <w:spacing w:after="0" w:line="143" w:lineRule="exact"/>
        <w:rPr>
          <w:sz w:val="20"/>
          <w:szCs w:val="20"/>
          <w:color w:val="auto"/>
        </w:rPr>
      </w:pPr>
    </w:p>
    <w:p>
      <w:pPr>
        <w:ind w:left="20" w:firstLine="441"/>
        <w:spacing w:after="0" w:line="286" w:lineRule="auto"/>
        <w:rPr>
          <w:sz w:val="20"/>
          <w:szCs w:val="20"/>
          <w:color w:val="auto"/>
        </w:rPr>
      </w:pPr>
      <w:r>
        <w:rPr>
          <w:rFonts w:ascii="Arial" w:cs="Arial" w:eastAsia="Arial" w:hAnsi="Arial"/>
          <w:sz w:val="17"/>
          <w:szCs w:val="17"/>
          <w:color w:val="auto"/>
        </w:rPr>
        <w:t>For fiscal 2019, net cash provided by financing activities was $21.5 million, which included borrowings of $271.8 million on our revolving line of credit and $20.0 million on our delayed draw term loan to support our capital expenditures discussed above and working capital needs, offset by payments of $269.0 million on our revolving line of credit.</w:t>
      </w:r>
    </w:p>
    <w:p>
      <w:pPr>
        <w:spacing w:after="0" w:line="138"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For fiscal 2018, net cash provided by financing activities was $18.6 million, which included borrowings of $130.1 million on our revolving line of credit to support our capital expenditures discussed above and working capital needs, offset by payments of $113.5 million on our revolving line of credit and proceeds of $2.3 million from finance lease obligations in connection with our build-to-suit lease transactions.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left="20" w:right="40" w:firstLine="427"/>
        <w:spacing w:after="0" w:line="259" w:lineRule="auto"/>
        <w:rPr>
          <w:sz w:val="20"/>
          <w:szCs w:val="20"/>
          <w:color w:val="auto"/>
        </w:rPr>
      </w:pPr>
      <w:r>
        <w:rPr>
          <w:rFonts w:ascii="Arial" w:cs="Arial" w:eastAsia="Arial" w:hAnsi="Arial"/>
          <w:sz w:val="18"/>
          <w:szCs w:val="18"/>
          <w:color w:val="auto"/>
        </w:rPr>
        <w:t>On May 17, 2018, we entered into a credit agreement. The credit agreement is secured by essentially all Company assets and requires that we maintain compliance with certain financial and non-financial covenants, including a trailing twelve month maximum rent adjusted leverage ratio and minimum fixed charge coverage ratio. See Note 4 “Debt and Line of Credit,” included in this Annual Report on Form 10-K for further information.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and for the fiscal year ended February 2, 2020, we were in compliance with all financial and non-financial covenants.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We enter into long term contractual obligations and commitments in the normal course of business. As of February 2, 2020, our contractual cash obligations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Maturing in:</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8"/>
        </w:trPr>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2025</w:t>
            </w:r>
          </w:p>
        </w:tc>
      </w:tr>
      <w:tr>
        <w:trPr>
          <w:trHeight w:val="203"/>
        </w:trPr>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and</w:t>
            </w:r>
          </w:p>
        </w:tc>
      </w:tr>
      <w:tr>
        <w:trPr>
          <w:trHeight w:val="188"/>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after</w:t>
            </w:r>
          </w:p>
        </w:tc>
      </w:tr>
      <w:tr>
        <w:trPr>
          <w:trHeight w:val="183"/>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Delayed draw term loan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VIE Debt </w:t>
            </w:r>
            <w:r>
              <w:rPr>
                <w:rFonts w:ascii="Arial" w:cs="Arial" w:eastAsia="Arial" w:hAnsi="Arial"/>
                <w:sz w:val="7"/>
                <w:szCs w:val="7"/>
                <w:color w:val="auto"/>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w:t>
            </w: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7"/>
                <w:szCs w:val="7"/>
                <w:color w:val="auto"/>
              </w:rPr>
              <w:t>(2)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69,669</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7"/>
                <w:szCs w:val="7"/>
                <w:color w:val="auto"/>
              </w:rPr>
              <w:t>(2)</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37,207</w:t>
            </w: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77,382</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133,099</w:t>
            </w: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340" w:right="20" w:hanging="330"/>
        <w:spacing w:after="0" w:line="23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debt based on the consolidation of the VIE, TRI. The TRI debt listed above excludes financing fees which are a direct deduction from the carrying value of the related debt liability on the consolidated balance sheets. See Note 4 “Debt and Line of Credit,” included in this Annual Report on Form 10-K for further information.</w:t>
      </w:r>
    </w:p>
    <w:p>
      <w:pPr>
        <w:spacing w:after="0" w:line="74" w:lineRule="exact"/>
        <w:rPr>
          <w:rFonts w:ascii="Arial" w:cs="Arial" w:eastAsia="Arial" w:hAnsi="Arial"/>
          <w:sz w:val="14"/>
          <w:szCs w:val="14"/>
          <w:color w:val="auto"/>
        </w:rPr>
      </w:pPr>
    </w:p>
    <w:p>
      <w:pPr>
        <w:ind w:left="340" w:hanging="330"/>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store leases generally have initial lease terms of 5-15 years and include renewal options and rent escalation provisions.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We are not a party to any off balance sheet arrangements, except for operating leases, as discussed in “Contractual Obligations” section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9"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We evaluated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40" w:firstLine="441"/>
        <w:spacing w:after="0" w:line="218" w:lineRule="exact"/>
        <w:rPr>
          <w:sz w:val="20"/>
          <w:szCs w:val="20"/>
          <w:color w:val="auto"/>
        </w:rPr>
      </w:pPr>
      <w:r>
        <w:rPr>
          <w:rFonts w:ascii="Arial" w:cs="Arial" w:eastAsia="Arial" w:hAnsi="Arial"/>
          <w:sz w:val="16"/>
          <w:szCs w:val="16"/>
          <w:color w:val="auto"/>
        </w:rPr>
        <w:t>Effective February 4, 2019, the Company adopted ASC 842, which resulted in a recognition of right-of-use asset (“ROU asset”)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400" w:firstLine="441"/>
        <w:spacing w:after="0" w:line="301" w:lineRule="auto"/>
        <w:rPr>
          <w:sz w:val="20"/>
          <w:szCs w:val="20"/>
          <w:color w:val="auto"/>
        </w:rPr>
      </w:pPr>
      <w:r>
        <w:rPr>
          <w:rFonts w:ascii="Arial" w:cs="Arial" w:eastAsia="Arial" w:hAnsi="Arial"/>
          <w:sz w:val="16"/>
          <w:szCs w:val="16"/>
          <w:color w:val="auto"/>
        </w:rPr>
        <w:t>For the direct segment, we recognize revenue upon shipment following customer payment, which is when the customer obtains control of the product and has the ability to direct the use of the product, including, among other options, the ability to redirect the product to a different shipping destination. For the retail segment, we recognize revenues at the point of sale. This represents the point at which the customer obtains control of the product and has the ability to direct the use of the product.</w:t>
      </w:r>
    </w:p>
    <w:p>
      <w:pPr>
        <w:spacing w:after="0" w:line="117" w:lineRule="exact"/>
        <w:rPr>
          <w:sz w:val="20"/>
          <w:szCs w:val="20"/>
          <w:color w:val="auto"/>
        </w:rPr>
      </w:pPr>
    </w:p>
    <w:p>
      <w:pPr>
        <w:jc w:val="both"/>
        <w:ind w:right="520" w:firstLine="441"/>
        <w:spacing w:after="0" w:line="342" w:lineRule="auto"/>
        <w:rPr>
          <w:sz w:val="20"/>
          <w:szCs w:val="20"/>
          <w:color w:val="auto"/>
        </w:rPr>
      </w:pPr>
      <w:r>
        <w:rPr>
          <w:rFonts w:ascii="Arial" w:cs="Arial" w:eastAsia="Arial" w:hAnsi="Arial"/>
          <w:sz w:val="16"/>
          <w:szCs w:val="16"/>
          <w:color w:val="auto"/>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tax collected is not recognized as revenue as it is ultimately remitted to governmental authorities.</w:t>
      </w:r>
    </w:p>
    <w:p>
      <w:pPr>
        <w:spacing w:after="0" w:line="185"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9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Our inventories are composed of finished goods and are stated at the lower of cost and net realizable value, with cost determined using the first-in, first-out method. Net realizable value is defined as the “estimated selling prices in the ordinary course of business, less reasonably predictable costs of completion, disposal and transportation.” To determine if the value of inventory should be marked down below original cost, we consider current and anticipated demand, customer preference and the inventory’s age. The inventory value is adjusted periodically to reflect current market conditions, which requires our judgments that may significantly affect the ending inventory valuation, as well as gross margin. The significant estimates used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inventory valuation are obsolescence (including excess and slow-moving inventory and lower of cost or market reserves) and estimates of inventory shrinkage. We adjust our inventory for obsolescence based on historical trends, aging reports, specific identification and our estimates of future retail sales prices.</w:t>
      </w:r>
    </w:p>
    <w:p>
      <w:pPr>
        <w:spacing w:after="0" w:line="15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Conditions that may indicate impairment include, but are not limited to, a significant adverse change in customer demand or business climate that could affect the value of an asset, a product recall or an adverse action or an assessment by a regulator.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Impairment charges are included in selling, general and administrative expenses.</w:t>
      </w:r>
    </w:p>
    <w:p>
      <w:pPr>
        <w:spacing w:after="0" w:line="168"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We evaluate long-lived tangible assets at an individual store level, which is the lowest level at which independent cash flows can be identified. We evaluate corporate assets or other long-lived assets that are not store-specific at the consolidated level.</w:t>
      </w:r>
    </w:p>
    <w:p>
      <w:pPr>
        <w:spacing w:after="0" w:line="83"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Since there is typically no active market for our long-lived tangible assets, we estimate fair values based on the expected future cash flows. We estimate future cash flows based on store-level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We account for income taxes and the related accounts using the liability method in accordance with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Under this method, we accrue income taxes payable or refundable and recognize deferred tax assets and liabilities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7" w:lineRule="exact"/>
        <w:rPr>
          <w:sz w:val="20"/>
          <w:szCs w:val="20"/>
          <w:color w:val="auto"/>
        </w:rPr>
      </w:pPr>
    </w:p>
    <w:p>
      <w:pPr>
        <w:ind w:right="140" w:firstLine="441"/>
        <w:spacing w:after="0" w:line="301"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w:t>
      </w:r>
    </w:p>
    <w:p>
      <w:pPr>
        <w:spacing w:after="0" w:line="117" w:lineRule="exact"/>
        <w:rPr>
          <w:sz w:val="20"/>
          <w:szCs w:val="20"/>
          <w:color w:val="auto"/>
        </w:rPr>
      </w:pPr>
    </w:p>
    <w:p>
      <w:pPr>
        <w:jc w:val="both"/>
        <w:ind w:right="320" w:firstLine="441"/>
        <w:spacing w:after="0" w:line="263" w:lineRule="auto"/>
        <w:rPr>
          <w:sz w:val="20"/>
          <w:szCs w:val="20"/>
          <w:color w:val="auto"/>
        </w:rPr>
      </w:pPr>
      <w:r>
        <w:rPr>
          <w:rFonts w:ascii="Arial" w:cs="Arial" w:eastAsia="Arial" w:hAnsi="Arial"/>
          <w:sz w:val="18"/>
          <w:szCs w:val="18"/>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157" w:lineRule="exact"/>
        <w:rPr>
          <w:sz w:val="20"/>
          <w:szCs w:val="20"/>
          <w:color w:val="auto"/>
        </w:rPr>
      </w:pPr>
    </w:p>
    <w:p>
      <w:pPr>
        <w:ind w:left="440"/>
        <w:spacing w:after="0" w:line="184" w:lineRule="exact"/>
        <w:rPr>
          <w:sz w:val="20"/>
          <w:szCs w:val="20"/>
          <w:color w:val="auto"/>
        </w:rPr>
      </w:pPr>
      <w:r>
        <w:rPr>
          <w:rFonts w:ascii="Arial" w:cs="Arial" w:eastAsia="Arial" w:hAnsi="Arial"/>
          <w:sz w:val="16"/>
          <w:szCs w:val="16"/>
          <w:color w:val="auto"/>
        </w:rPr>
        <w:t>See Note 10 “Income Taxes,” of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151765</wp:posOffset>
            </wp:positionV>
            <wp:extent cx="600900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009005" cy="163195"/>
                    </a:xfrm>
                    <a:prstGeom prst="rect">
                      <a:avLst/>
                    </a:prstGeom>
                    <a:noFill/>
                  </pic:spPr>
                </pic:pic>
              </a:graphicData>
            </a:graphic>
          </wp:anchor>
        </w:drawing>
      </w:r>
    </w:p>
    <w:p>
      <w:pPr>
        <w:spacing w:after="0" w:line="232" w:lineRule="exact"/>
        <w:rPr>
          <w:sz w:val="20"/>
          <w:szCs w:val="20"/>
          <w:color w:val="auto"/>
        </w:rPr>
      </w:pPr>
    </w:p>
    <w:p>
      <w:pPr>
        <w:ind w:left="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Report of Independent Registered Public Accounting Firm</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Balance Sheets as of February 2, 2020 and February 3, 2019</w:t>
        </w:r>
      </w:hyperlink>
    </w:p>
    <w:p>
      <w:pPr>
        <w:spacing w:after="0" w:line="23" w:lineRule="exact"/>
        <w:rPr>
          <w:sz w:val="20"/>
          <w:szCs w:val="20"/>
          <w:color w:val="auto"/>
        </w:rPr>
      </w:pPr>
    </w:p>
    <w:p>
      <w:pPr>
        <w:ind w:left="40" w:right="1280"/>
        <w:spacing w:after="0" w:line="258" w:lineRule="auto"/>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Operations for Fiscal Years Ended February 2, 2020, February 3, 2019</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and January 29,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-273685</wp:posOffset>
            </wp:positionV>
            <wp:extent cx="6009005"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009005" cy="282575"/>
                    </a:xfrm>
                    <a:prstGeom prst="rect">
                      <a:avLst/>
                    </a:prstGeom>
                    <a:noFill/>
                  </pic:spPr>
                </pic:pic>
              </a:graphicData>
            </a:graphic>
          </wp:anchor>
        </w:drawing>
      </w:r>
    </w:p>
    <w:p>
      <w:pPr>
        <w:ind w:left="40" w:right="1620"/>
        <w:spacing w:after="0" w:line="258"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Comprehensive Income for Fiscal Years Ended February 2, 2020,</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February 3, 2019 and January 29, 2018</w:t>
        </w:r>
      </w:hyperlink>
    </w:p>
    <w:p>
      <w:pPr>
        <w:ind w:left="40" w:right="1120"/>
        <w:spacing w:after="0" w:line="258"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Shareholders’ Equity for Fiscal Years Ended February 2, 2020, February</w:t>
        </w:r>
      </w:hyperlink>
      <w:r>
        <w:rPr>
          <w:rFonts w:ascii="Arial" w:cs="Arial" w:eastAsia="Arial" w:hAnsi="Arial"/>
          <w:sz w:val="18"/>
          <w:szCs w:val="18"/>
          <w:u w:val="single" w:color="auto"/>
          <w:color w:val="0000EE"/>
        </w:rPr>
        <w:t xml:space="preserve"> </w:t>
      </w:r>
      <w:hyperlink w:anchor="page45">
        <w:r>
          <w:rPr>
            <w:rFonts w:ascii="Arial" w:cs="Arial" w:eastAsia="Arial" w:hAnsi="Arial"/>
            <w:sz w:val="18"/>
            <w:szCs w:val="18"/>
            <w:u w:val="single" w:color="auto"/>
            <w:color w:val="0000EE"/>
          </w:rPr>
          <w:t>3, 2019 and January 29,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-273685</wp:posOffset>
            </wp:positionV>
            <wp:extent cx="6009005"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009005" cy="282575"/>
                    </a:xfrm>
                    <a:prstGeom prst="rect">
                      <a:avLst/>
                    </a:prstGeom>
                    <a:noFill/>
                  </pic:spPr>
                </pic:pic>
              </a:graphicData>
            </a:graphic>
          </wp:anchor>
        </w:drawing>
      </w:r>
    </w:p>
    <w:p>
      <w:pPr>
        <w:ind w:left="40" w:right="1220"/>
        <w:spacing w:after="0" w:line="273"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Cash Flows for Fiscal Years Ended February 2, 2020, February 3, 2019</w:t>
        </w:r>
      </w:hyperlink>
      <w:r>
        <w:rPr>
          <w:rFonts w:ascii="Arial" w:cs="Arial" w:eastAsia="Arial" w:hAnsi="Arial"/>
          <w:sz w:val="18"/>
          <w:szCs w:val="18"/>
          <w:u w:val="single" w:color="auto"/>
          <w:color w:val="0000EE"/>
        </w:rPr>
        <w:t xml:space="preserve"> </w:t>
      </w:r>
      <w:hyperlink w:anchor="page46">
        <w:r>
          <w:rPr>
            <w:rFonts w:ascii="Arial" w:cs="Arial" w:eastAsia="Arial" w:hAnsi="Arial"/>
            <w:sz w:val="18"/>
            <w:szCs w:val="18"/>
            <w:u w:val="single" w:color="auto"/>
            <w:color w:val="0000EE"/>
          </w:rPr>
          <w:t>and January 29,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wp:posOffset>
            </wp:positionV>
            <wp:extent cx="600900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009005" cy="163195"/>
                    </a:xfrm>
                    <a:prstGeom prst="rect">
                      <a:avLst/>
                    </a:prstGeom>
                    <a:noFill/>
                  </pic:spPr>
                </pic:pic>
              </a:graphicData>
            </a:graphic>
          </wp:anchor>
        </w:drawing>
      </w:r>
    </w:p>
    <w:p>
      <w:pPr>
        <w:ind w:left="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Notes to Consolidated Financial Statements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Schedule II Valuation and Qualifying Accounts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04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40</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41</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42</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43</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44</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64</w:t>
      </w:r>
    </w:p>
    <w:p>
      <w:pPr>
        <w:sectPr>
          <w:pgSz w:w="11900" w:h="16838" w:orient="portrait"/>
          <w:cols w:equalWidth="0" w:num="2">
            <w:col w:w="8420" w:space="720"/>
            <w:col w:w="300"/>
          </w:cols>
          <w:pgMar w:left="1220" w:top="125" w:right="1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have audited the accompanying consolidated balance sheets of Duluth Holdings Inc, a Wisconsin corporation, and affiliate (collectively, the “Company”) as of February 2, 2020 and February 3, 2019, the related consolidated statements of operations, comprehensive income, shareholders’ equity, and cash flows for each of the three years in the period ended February 2, 2020, and the related notes and financial statement schedule (collectively referred to as the “financial statements”). In our opinion, the financial statements present fairly, in all material respects, the financial position of the Company as of February 2, 2020 and February 3, 2019, and the results of its operations and its cash flows for each of the three years in the period ended February 2, 2020, in conformity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 xml:space="preserve">As discussed in Note 3 to the consolidated financial statements, the Company has changed its method of accounting for leases as of February 4, 2019 due to the adoption of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41" w:name="page42"/>
    <w:bookmarkEnd w:id="4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February 2, 2020</w:t>
            </w:r>
          </w:p>
        </w:tc>
        <w:tc>
          <w:tcPr>
            <w:tcW w:w="2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3, 2019</w:t>
            </w:r>
          </w:p>
        </w:tc>
      </w:tr>
      <w:tr>
        <w:trPr>
          <w:trHeight w:val="196"/>
        </w:trPr>
        <w:tc>
          <w:tcPr>
            <w:tcW w:w="6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18"/>
                <w:szCs w:val="18"/>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147,849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97,685</w:t>
            </w:r>
          </w:p>
        </w:tc>
        <w:tc>
          <w:tcPr>
            <w:tcW w:w="20" w:type="dxa"/>
            <w:vAlign w:val="bottom"/>
          </w:tcPr>
          <w:p>
            <w:pPr>
              <w:spacing w:after="0"/>
              <w:rPr>
                <w:sz w:val="19"/>
                <w:szCs w:val="19"/>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12,640</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catalog costs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Pr>
          <w:p>
            <w:pPr>
              <w:spacing w:after="0"/>
              <w:rPr>
                <w:sz w:val="18"/>
                <w:szCs w:val="18"/>
                <w:color w:val="auto"/>
              </w:rPr>
            </w:pPr>
          </w:p>
        </w:tc>
      </w:tr>
      <w:tr>
        <w:trPr>
          <w:trHeight w:val="209"/>
        </w:trPr>
        <w:tc>
          <w:tcPr>
            <w:tcW w:w="65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162,192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118,198</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167,109</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 net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r>
      <w:tr>
        <w:trPr>
          <w:trHeight w:val="229"/>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474,050</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295,305</w:t>
            </w:r>
          </w:p>
        </w:tc>
        <w:tc>
          <w:tcPr>
            <w:tcW w:w="20" w:type="dxa"/>
            <w:vAlign w:val="bottom"/>
          </w:tcPr>
          <w:p>
            <w:pPr>
              <w:spacing w:after="0"/>
              <w:rPr>
                <w:sz w:val="19"/>
                <w:szCs w:val="19"/>
                <w:color w:val="auto"/>
              </w:rPr>
            </w:pPr>
          </w:p>
        </w:tc>
      </w:tr>
      <w:tr>
        <w:trPr>
          <w:trHeight w:val="190"/>
        </w:trPr>
        <w:tc>
          <w:tcPr>
            <w:tcW w:w="65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33,053</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25,363</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52,611</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maturities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Finance lease liabilities, less current maturities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Duluth long-term debt, less current maturities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TRI long-term debt, less current maturities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28,251</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Finance lease obligations under build-to-suit leases</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23,034</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obligations, less current maturities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Pr>
          <w:p>
            <w:pPr>
              <w:spacing w:after="0"/>
              <w:rPr>
                <w:sz w:val="18"/>
                <w:szCs w:val="18"/>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297,944</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135,195</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no par value; 10,000 shares authorized; no shares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or outstanding as of February 2, 2020 and February 3, 2019</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6520" w:type="dxa"/>
            <w:vAlign w:val="bottom"/>
          </w:tcPr>
          <w:p>
            <w:pPr>
              <w:ind w:left="20"/>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8"/>
                <w:szCs w:val="18"/>
                <w:color w:val="auto"/>
              </w:rPr>
              <w:t>3,364 shares issued and outstanding as of February 2, 2020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February 3, 2019</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6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(Class B), no par value; 200,000 shares authorized;</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29,191 shares issued and 29,172 shares outstanding as of February 2, 2020 and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29,215 shares issued and 29,210 outstanding as of February 3, 2019</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2"/>
        </w:trPr>
        <w:tc>
          <w:tcPr>
            <w:tcW w:w="6520" w:type="dxa"/>
            <w:vAlign w:val="bottom"/>
          </w:tcPr>
          <w:p>
            <w:pPr>
              <w:ind w:left="20"/>
              <w:spacing w:after="0"/>
              <w:rPr>
                <w:sz w:val="20"/>
                <w:szCs w:val="20"/>
                <w:color w:val="auto"/>
              </w:rPr>
            </w:pPr>
            <w:r>
              <w:rPr>
                <w:rFonts w:ascii="Arial" w:cs="Arial" w:eastAsia="Arial" w:hAnsi="Arial"/>
                <w:sz w:val="18"/>
                <w:szCs w:val="18"/>
                <w:color w:val="auto"/>
              </w:rPr>
              <w:t>Treasury stock, at cost; 19 and 5 shares as of February 2, 2020 and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February 3, 2019, respectively</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stock</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89,849</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70,592</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6520" w:type="dxa"/>
            <w:vAlign w:val="bottom"/>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178,272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160,349</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09"/>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176,106</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160,110</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474,050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295,305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42" w:name="page43"/>
    <w:bookmarkEnd w:id="4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February 2, 2020</w:t>
            </w:r>
          </w:p>
        </w:tc>
        <w:tc>
          <w:tcPr>
            <w:tcW w:w="12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February 3, 2019</w:t>
            </w:r>
          </w:p>
        </w:tc>
        <w:tc>
          <w:tcPr>
            <w:tcW w:w="140" w:type="dxa"/>
            <w:vAlign w:val="bottom"/>
          </w:tcPr>
          <w:p>
            <w:pPr>
              <w:spacing w:after="0"/>
              <w:rPr>
                <w:sz w:val="15"/>
                <w:szCs w:val="15"/>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January 28, 2018</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471,447</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210,428</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261,019</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223,947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35,505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23,627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Basic earnings per share (Class A and Class B):</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shares of</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outstanding</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31,853</w:t>
            </w: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Diluted earnings per share (Class A and Class B):</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and</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32,317</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32,285</w:t>
            </w: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43" w:name="page44"/>
    <w:bookmarkEnd w:id="4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February 2, 2020</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3, 2019</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January 28, 2018</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available-for-sale: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Unrealized security gains arising during the period</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to noncontrolling interest</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82"/>
        </w:trPr>
        <w:tc>
          <w:tcPr>
            <w:tcW w:w="50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Comprehensive income attributable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19,109</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44" w:name="page45"/>
    <w:bookmarkEnd w:id="4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29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Capital stock</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 in</w:t>
            </w:r>
          </w:p>
        </w:tc>
        <w:tc>
          <w:tcPr>
            <w:tcW w:w="16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84"/>
        </w:trPr>
        <w:tc>
          <w:tcPr>
            <w:tcW w:w="2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Retained</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variable interest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shareholders'</w:t>
            </w:r>
          </w:p>
        </w:tc>
      </w:tr>
      <w:tr>
        <w:trPr>
          <w:trHeight w:val="188"/>
        </w:trPr>
        <w:tc>
          <w:tcPr>
            <w:tcW w:w="29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6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r>
      <w:tr>
        <w:trPr>
          <w:trHeight w:val="20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29,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32,376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113,788</w:t>
            </w:r>
          </w:p>
        </w:tc>
        <w:tc>
          <w:tcPr>
            <w:tcW w:w="20" w:type="dxa"/>
            <w:vAlign w:val="bottom"/>
          </w:tcPr>
          <w:p>
            <w:pPr>
              <w:spacing w:after="0"/>
              <w:rPr>
                <w:sz w:val="18"/>
                <w:szCs w:val="18"/>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1,597</w:t>
            </w:r>
          </w:p>
        </w:tc>
        <w:tc>
          <w:tcPr>
            <w:tcW w:w="20" w:type="dxa"/>
            <w:vAlign w:val="bottom"/>
          </w:tcPr>
          <w:p>
            <w:pPr>
              <w:spacing w:after="0"/>
              <w:rPr>
                <w:sz w:val="18"/>
                <w:szCs w:val="18"/>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taxes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23,627</w:t>
            </w:r>
          </w:p>
        </w:tc>
        <w:tc>
          <w:tcPr>
            <w:tcW w:w="20" w:type="dxa"/>
            <w:vAlign w:val="bottom"/>
          </w:tcPr>
          <w:p>
            <w:pPr>
              <w:spacing w:after="0"/>
              <w:rPr>
                <w:sz w:val="19"/>
                <w:szCs w:val="19"/>
                <w:color w:val="auto"/>
              </w:rPr>
            </w:pPr>
          </w:p>
        </w:tc>
      </w:tr>
      <w:tr>
        <w:trPr>
          <w:trHeight w:val="20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28,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139,349</w:t>
            </w:r>
          </w:p>
        </w:tc>
        <w:tc>
          <w:tcPr>
            <w:tcW w:w="20" w:type="dxa"/>
            <w:vAlign w:val="bottom"/>
          </w:tcPr>
          <w:p>
            <w:pPr>
              <w:spacing w:after="0"/>
              <w:rPr>
                <w:sz w:val="18"/>
                <w:szCs w:val="18"/>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Cumulative effect from adoption of</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ASC 606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w w:val="99"/>
              </w:rPr>
              <w:t>Consolidation of TRI Holdings, LLC</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3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8"/>
                <w:szCs w:val="18"/>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taxes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Deconsolidation</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of Schlecht Retail Ventures LLC</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(3,482)</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(3,482)</w:t>
            </w: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20" w:type="dxa"/>
            <w:vAlign w:val="bottom"/>
          </w:tcPr>
          <w:p>
            <w:pPr>
              <w:spacing w:after="0"/>
              <w:rPr>
                <w:sz w:val="18"/>
                <w:szCs w:val="18"/>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8"/>
                <w:szCs w:val="18"/>
                <w:color w:val="auto"/>
              </w:rPr>
              <w:t>Balance at February 3, 2019</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32,574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89,849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70,592</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160,110</w:t>
            </w:r>
          </w:p>
        </w:tc>
        <w:tc>
          <w:tcPr>
            <w:tcW w:w="20" w:type="dxa"/>
            <w:vAlign w:val="bottom"/>
          </w:tcPr>
          <w:p>
            <w:pPr>
              <w:spacing w:after="0"/>
              <w:rPr>
                <w:sz w:val="18"/>
                <w:szCs w:val="18"/>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Cumulative effect from</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adoption of ASC 842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20"/>
                <w:szCs w:val="20"/>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Consolidation of TRI Holdings, LLC</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8"/>
                <w:szCs w:val="18"/>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Restricted stock surrendered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for taxes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18,499</w:t>
            </w:r>
          </w:p>
        </w:tc>
        <w:tc>
          <w:tcPr>
            <w:tcW w:w="20" w:type="dxa"/>
            <w:vAlign w:val="bottom"/>
          </w:tcPr>
          <w:p>
            <w:pPr>
              <w:spacing w:after="0"/>
              <w:rPr>
                <w:sz w:val="18"/>
                <w:szCs w:val="18"/>
                <w:color w:val="auto"/>
              </w:rPr>
            </w:pPr>
          </w:p>
        </w:tc>
      </w:tr>
      <w:tr>
        <w:trPr>
          <w:trHeight w:val="216"/>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32,536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176,106</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45" w:name="page46"/>
    <w:bookmarkEnd w:id="4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February 2, 2020</w:t>
            </w:r>
          </w:p>
        </w:tc>
        <w:tc>
          <w:tcPr>
            <w:tcW w:w="12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February 3, 2019</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January 28, 2018</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18,499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23,627</w:t>
            </w:r>
          </w:p>
        </w:tc>
        <w:tc>
          <w:tcPr>
            <w:tcW w:w="20" w:type="dxa"/>
            <w:vAlign w:val="bottom"/>
          </w:tcPr>
          <w:p>
            <w:pPr>
              <w:spacing w:after="0"/>
              <w:rPr>
                <w:sz w:val="18"/>
                <w:szCs w:val="18"/>
                <w:color w:val="auto"/>
              </w:rPr>
            </w:pPr>
          </w:p>
        </w:tc>
      </w:tr>
      <w:tr>
        <w:trPr>
          <w:trHeight w:val="202"/>
        </w:trPr>
        <w:tc>
          <w:tcPr>
            <w:tcW w:w="5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by operating activities: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7,330</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(50,164)</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(11,013)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(17,553)</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Prepaid catalog costs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0" w:type="dxa"/>
            <w:vAlign w:val="bottom"/>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2,406</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20" w:type="dxa"/>
            <w:vAlign w:val="bottom"/>
          </w:tcPr>
          <w:p>
            <w:pPr>
              <w:spacing w:after="0"/>
              <w:rPr>
                <w:sz w:val="18"/>
                <w:szCs w:val="18"/>
                <w:color w:val="auto"/>
              </w:rPr>
            </w:pPr>
          </w:p>
        </w:tc>
      </w:tr>
      <w:tr>
        <w:trPr>
          <w:trHeight w:val="21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31,095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29,868</w:t>
            </w:r>
          </w:p>
        </w:tc>
        <w:tc>
          <w:tcPr>
            <w:tcW w:w="20" w:type="dxa"/>
            <w:vAlign w:val="bottom"/>
          </w:tcPr>
          <w:p>
            <w:pPr>
              <w:spacing w:after="0"/>
              <w:rPr>
                <w:sz w:val="18"/>
                <w:szCs w:val="18"/>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(24,435)</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(53,036)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(46,464)</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towards build-to-suit stores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Purchase of available-for-sale security</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(6,323)</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receipts from available-for-sale security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Change in other assets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Consolidation of TRI Holdings, LLC</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Deconsolidation of Schlecht Retail Ventures LLC</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(53,022)</w:t>
            </w:r>
          </w:p>
        </w:tc>
        <w:tc>
          <w:tcPr>
            <w:tcW w:w="20" w:type="dxa"/>
            <w:vAlign w:val="bottom"/>
          </w:tcPr>
          <w:p>
            <w:pPr>
              <w:spacing w:after="0"/>
              <w:rPr>
                <w:sz w:val="18"/>
                <w:szCs w:val="18"/>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line of credit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88,898</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Payments on line of credit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(268,965)</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(113,544)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(88,898)</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other borrowings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Proceeds from long term debt</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long term debt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Distributions to holders of noncontrolling interest in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variable interest entities</w:t>
            </w: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Proceeds from finance lease obligations</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3,949</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 payments on vested restricted stock</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Capital contributions to variable interest entities</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w:t>
            </w:r>
          </w:p>
        </w:tc>
        <w:tc>
          <w:tcPr>
            <w:tcW w:w="20" w:type="dxa"/>
            <w:vAlign w:val="bottom"/>
          </w:tcPr>
          <w:p>
            <w:pPr>
              <w:spacing w:after="0"/>
              <w:rPr>
                <w:sz w:val="18"/>
                <w:szCs w:val="18"/>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restricted cash</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20" w:type="dxa"/>
            <w:vAlign w:val="bottom"/>
          </w:tcPr>
          <w:p>
            <w:pPr>
              <w:spacing w:after="0"/>
              <w:rPr>
                <w:sz w:val="18"/>
                <w:szCs w:val="18"/>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25,477</w:t>
            </w:r>
          </w:p>
        </w:tc>
        <w:tc>
          <w:tcPr>
            <w:tcW w:w="20" w:type="dxa"/>
            <w:vAlign w:val="bottom"/>
          </w:tcPr>
          <w:p>
            <w:pPr>
              <w:spacing w:after="0"/>
              <w:rPr>
                <w:sz w:val="18"/>
                <w:szCs w:val="18"/>
                <w:color w:val="auto"/>
              </w:rPr>
            </w:pPr>
          </w:p>
        </w:tc>
      </w:tr>
      <w:tr>
        <w:trPr>
          <w:trHeight w:val="22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0" w:type="dxa"/>
            <w:vAlign w:val="bottom"/>
          </w:tcPr>
          <w:p>
            <w:pPr>
              <w:spacing w:after="0"/>
              <w:rPr>
                <w:sz w:val="19"/>
                <w:szCs w:val="19"/>
                <w:color w:val="auto"/>
              </w:rPr>
            </w:pPr>
          </w:p>
        </w:tc>
      </w:tr>
      <w:tr>
        <w:trPr>
          <w:trHeight w:val="203"/>
        </w:trPr>
        <w:tc>
          <w:tcPr>
            <w:tcW w:w="50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10,311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Pr>
          <w:p>
            <w:pPr>
              <w:spacing w:after="0"/>
              <w:rPr>
                <w:sz w:val="18"/>
                <w:szCs w:val="18"/>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Property and equipment acquired through issuance of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28,315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acquired under build-to-suit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20" w:type="dxa"/>
            <w:vAlign w:val="bottom"/>
          </w:tcPr>
          <w:p>
            <w:pPr>
              <w:spacing w:after="0"/>
              <w:rPr>
                <w:sz w:val="18"/>
                <w:szCs w:val="18"/>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Unpaid liability to acquire property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4220"/>
        <w:spacing w:after="0" w:line="464"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Nature of Operations</w:t>
      </w:r>
    </w:p>
    <w:p>
      <w:pPr>
        <w:ind w:right="120" w:firstLine="441"/>
        <w:spacing w:after="0" w:line="254" w:lineRule="auto"/>
        <w:rPr>
          <w:sz w:val="20"/>
          <w:szCs w:val="20"/>
          <w:color w:val="auto"/>
        </w:rPr>
      </w:pPr>
      <w:r>
        <w:rPr>
          <w:rFonts w:ascii="Arial" w:cs="Arial" w:eastAsia="Arial" w:hAnsi="Arial"/>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February 2, 2020, the Company operated 58 retail stores and three outlet stores. The Company’s products are marketed under the Duluth Trading Company brand, with the majority of products being exclusively developed and sold as Duluth Trading branded merchandise.</w:t>
      </w:r>
    </w:p>
    <w:p>
      <w:pPr>
        <w:spacing w:after="0" w:line="154"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(“U.S. GAAP”). All intercompany balances and transactions have been eliminated.</w:t>
      </w:r>
    </w:p>
    <w:p>
      <w:pPr>
        <w:spacing w:after="0" w:line="130" w:lineRule="exact"/>
        <w:rPr>
          <w:sz w:val="20"/>
          <w:szCs w:val="20"/>
          <w:color w:val="auto"/>
        </w:rPr>
      </w:pPr>
    </w:p>
    <w:p>
      <w:pPr>
        <w:ind w:right="140" w:firstLine="441"/>
        <w:spacing w:after="0" w:line="263" w:lineRule="auto"/>
        <w:rPr>
          <w:sz w:val="20"/>
          <w:szCs w:val="20"/>
          <w:color w:val="auto"/>
        </w:rPr>
      </w:pPr>
      <w:r>
        <w:rPr>
          <w:rFonts w:ascii="Arial" w:cs="Arial" w:eastAsia="Arial" w:hAnsi="Arial"/>
          <w:sz w:val="18"/>
          <w:szCs w:val="18"/>
          <w:color w:val="auto"/>
        </w:rPr>
        <w:t>The Company’s fiscal year ends on the Sunday nearest to January 31 of the following year. Fiscal 2019, 2018 and 2017 ended on February 2, 2020, February 3, 2019 and January 28, 2018, respectively. Fiscal 2019 was a 52-week period, Fiscal 2018 was a 53-week period and 2017 was a 52-week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98"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355" w:lineRule="exact"/>
        <w:rPr>
          <w:sz w:val="20"/>
          <w:szCs w:val="20"/>
          <w:color w:val="auto"/>
        </w:rPr>
      </w:pPr>
    </w:p>
    <w:p>
      <w:pPr>
        <w:ind w:right="4540"/>
        <w:spacing w:after="0" w:line="464" w:lineRule="auto"/>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Principles of Consolidation</w:t>
      </w:r>
    </w:p>
    <w:p>
      <w:pPr>
        <w:jc w:val="both"/>
        <w:ind w:right="20" w:firstLine="441"/>
        <w:spacing w:after="0" w:line="277" w:lineRule="auto"/>
        <w:rPr>
          <w:sz w:val="20"/>
          <w:szCs w:val="20"/>
          <w:color w:val="auto"/>
        </w:rPr>
      </w:pPr>
      <w:r>
        <w:rPr>
          <w:rFonts w:ascii="Arial" w:cs="Arial" w:eastAsia="Arial" w:hAnsi="Arial"/>
          <w:sz w:val="18"/>
          <w:szCs w:val="18"/>
          <w:color w:val="auto"/>
        </w:rPr>
        <w:t>The accompanying consolidated financial statements consist of the accounts of Duluth Holdings Inc and TRI Holdings, LLC (“TRI”) as a variable interest entity. See Note 6 “Variable Interest Entities”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47" w:name="page48"/>
    <w:bookmarkEnd w:id="4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20" w:right="40" w:firstLine="441"/>
        <w:spacing w:after="0" w:line="287" w:lineRule="auto"/>
        <w:rPr>
          <w:sz w:val="20"/>
          <w:szCs w:val="20"/>
          <w:color w:val="auto"/>
        </w:rPr>
      </w:pPr>
      <w:r>
        <w:rPr>
          <w:rFonts w:ascii="Arial" w:cs="Arial" w:eastAsia="Arial" w:hAnsi="Arial"/>
          <w:sz w:val="16"/>
          <w:szCs w:val="16"/>
          <w:color w:val="auto"/>
        </w:rPr>
        <w:t>The Company’s revenue primarily consists of the sale of apparel, footwear and hard goods. For the Company’s direct segment, revenues are recognized upon shipment following customer payment, which is when the customer obtains control of the product and has the ability to direct the use of the product, including, among other options, the ability to redirect the product to a different shipping destination. For the Company’s retail segment, revenues are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The Company considers the sale of products in either the direct or retail segment as a single performance obligation.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9 “Contract Assets and Liabilities” for further information.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Goods Sold and Selling, General and Administrative Expenses</w:t>
      </w:r>
    </w:p>
    <w:p>
      <w:pPr>
        <w:spacing w:after="0" w:line="185" w:lineRule="exact"/>
        <w:rPr>
          <w:sz w:val="20"/>
          <w:szCs w:val="20"/>
          <w:color w:val="auto"/>
        </w:rPr>
      </w:pPr>
    </w:p>
    <w:p>
      <w:pPr>
        <w:ind w:left="20" w:right="480" w:firstLine="441"/>
        <w:spacing w:after="0" w:line="277" w:lineRule="auto"/>
        <w:rPr>
          <w:sz w:val="20"/>
          <w:szCs w:val="20"/>
          <w:color w:val="auto"/>
        </w:rPr>
      </w:pPr>
      <w:r>
        <w:rPr>
          <w:rFonts w:ascii="Arial" w:cs="Arial" w:eastAsia="Arial" w:hAnsi="Arial"/>
          <w:sz w:val="18"/>
          <w:szCs w:val="18"/>
          <w:color w:val="auto"/>
        </w:rPr>
        <w:t>The following table illustrates the primary costs classified in cost of goods sold and selling, general and administrative expenses: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ind w:left="1740"/>
              <w:spacing w:after="0"/>
              <w:rPr>
                <w:sz w:val="20"/>
                <w:szCs w:val="20"/>
                <w:color w:val="auto"/>
              </w:rPr>
            </w:pPr>
            <w:r>
              <w:rPr>
                <w:rFonts w:ascii="Arial" w:cs="Arial" w:eastAsia="Arial" w:hAnsi="Arial"/>
                <w:sz w:val="14"/>
                <w:szCs w:val="14"/>
                <w:b w:val="1"/>
                <w:bCs w:val="1"/>
                <w:color w:val="auto"/>
              </w:rPr>
              <w:t>Cost of Goods Sold</w:t>
            </w:r>
          </w:p>
        </w:tc>
        <w:tc>
          <w:tcPr>
            <w:tcW w:w="4640" w:type="dxa"/>
            <w:vAlign w:val="bottom"/>
          </w:tcPr>
          <w:p>
            <w:pPr>
              <w:ind w:left="920"/>
              <w:spacing w:after="0"/>
              <w:rPr>
                <w:sz w:val="20"/>
                <w:szCs w:val="20"/>
                <w:color w:val="auto"/>
              </w:rPr>
            </w:pPr>
            <w:r>
              <w:rPr>
                <w:rFonts w:ascii="Arial" w:cs="Arial" w:eastAsia="Arial" w:hAnsi="Arial"/>
                <w:sz w:val="14"/>
                <w:szCs w:val="14"/>
                <w:b w:val="1"/>
                <w:bCs w:val="1"/>
                <w:color w:val="auto"/>
              </w:rPr>
              <w:t>Selling, General and Administrative Expenses</w:t>
            </w:r>
          </w:p>
        </w:tc>
      </w:tr>
      <w:tr>
        <w:trPr>
          <w:trHeight w:val="210"/>
        </w:trPr>
        <w:tc>
          <w:tcPr>
            <w:tcW w:w="46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Direct cost of purchased merchandise</w:t>
            </w:r>
          </w:p>
        </w:tc>
        <w:tc>
          <w:tcPr>
            <w:tcW w:w="20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Payroll and payroll-related expenses</w:t>
            </w:r>
          </w:p>
        </w:tc>
      </w:tr>
      <w:tr>
        <w:trPr>
          <w:trHeight w:val="202"/>
        </w:trPr>
        <w:tc>
          <w:tcPr>
            <w:tcW w:w="48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Inventory shrinkage and inventory adjustments due to</w:t>
            </w:r>
          </w:p>
        </w:tc>
        <w:tc>
          <w:tcPr>
            <w:tcW w:w="4640" w:type="dxa"/>
            <w:vAlign w:val="bottom"/>
          </w:tcPr>
          <w:p>
            <w:pPr>
              <w:ind w:left="160"/>
              <w:spacing w:after="0" w:line="201" w:lineRule="exact"/>
              <w:rPr>
                <w:sz w:val="20"/>
                <w:szCs w:val="20"/>
                <w:color w:val="auto"/>
              </w:rPr>
            </w:pPr>
            <w:r>
              <w:rPr>
                <w:rFonts w:ascii="Arial" w:cs="Arial" w:eastAsia="Arial" w:hAnsi="Arial"/>
                <w:sz w:val="18"/>
                <w:szCs w:val="18"/>
                <w:color w:val="auto"/>
              </w:rPr>
              <w:t>Third party logistics ("3PL")</w:t>
            </w:r>
          </w:p>
        </w:tc>
      </w:tr>
      <w:tr>
        <w:trPr>
          <w:trHeight w:val="230"/>
        </w:trPr>
        <w:tc>
          <w:tcPr>
            <w:tcW w:w="4820" w:type="dxa"/>
            <w:vAlign w:val="bottom"/>
            <w:gridSpan w:val="2"/>
          </w:tcPr>
          <w:p>
            <w:pPr>
              <w:ind w:left="160"/>
              <w:spacing w:after="0"/>
              <w:rPr>
                <w:sz w:val="20"/>
                <w:szCs w:val="20"/>
                <w:color w:val="auto"/>
              </w:rPr>
            </w:pPr>
            <w:r>
              <w:rPr>
                <w:rFonts w:ascii="Arial" w:cs="Arial" w:eastAsia="Arial" w:hAnsi="Arial"/>
                <w:sz w:val="18"/>
                <w:szCs w:val="18"/>
                <w:color w:val="auto"/>
              </w:rPr>
              <w:t>obsolescence</w:t>
            </w:r>
          </w:p>
        </w:tc>
        <w:tc>
          <w:tcPr>
            <w:tcW w:w="4640" w:type="dxa"/>
            <w:vAlign w:val="bottom"/>
          </w:tcPr>
          <w:p>
            <w:pPr>
              <w:spacing w:after="0"/>
              <w:rPr>
                <w:sz w:val="20"/>
                <w:szCs w:val="20"/>
                <w:color w:val="auto"/>
              </w:rPr>
            </w:pPr>
          </w:p>
        </w:tc>
      </w:tr>
      <w:tr>
        <w:trPr>
          <w:trHeight w:val="202"/>
        </w:trPr>
        <w:tc>
          <w:tcPr>
            <w:tcW w:w="48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Inbound freight</w:t>
            </w:r>
          </w:p>
        </w:tc>
        <w:tc>
          <w:tcPr>
            <w:tcW w:w="4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Occupancy expenses related to stores and operations at the</w:t>
            </w:r>
          </w:p>
        </w:tc>
      </w:tr>
      <w:tr>
        <w:trPr>
          <w:trHeight w:val="230"/>
        </w:trPr>
        <w:tc>
          <w:tcPr>
            <w:tcW w:w="4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Company's headquarters, including utilities</w:t>
            </w:r>
          </w:p>
        </w:tc>
      </w:tr>
      <w:tr>
        <w:trPr>
          <w:trHeight w:val="216"/>
        </w:trPr>
        <w:tc>
          <w:tcPr>
            <w:tcW w:w="4820" w:type="dxa"/>
            <w:vAlign w:val="bottom"/>
            <w:gridSpan w:val="2"/>
          </w:tcPr>
          <w:p>
            <w:pPr>
              <w:ind w:left="160"/>
              <w:spacing w:after="0"/>
              <w:rPr>
                <w:sz w:val="20"/>
                <w:szCs w:val="20"/>
                <w:color w:val="auto"/>
              </w:rPr>
            </w:pPr>
            <w:r>
              <w:rPr>
                <w:rFonts w:ascii="Arial" w:cs="Arial" w:eastAsia="Arial" w:hAnsi="Arial"/>
                <w:sz w:val="18"/>
                <w:szCs w:val="18"/>
                <w:color w:val="auto"/>
                <w:w w:val="97"/>
              </w:rPr>
              <w:t>Freight from the Company's distribution centers to its stores</w:t>
            </w:r>
          </w:p>
        </w:tc>
        <w:tc>
          <w:tcPr>
            <w:tcW w:w="4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r>
      <w:tr>
        <w:trPr>
          <w:trHeight w:val="202"/>
        </w:trPr>
        <w:tc>
          <w:tcPr>
            <w:tcW w:w="4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Advertising expenses, including television advertising,</w:t>
            </w:r>
          </w:p>
        </w:tc>
      </w:tr>
      <w:tr>
        <w:trPr>
          <w:trHeight w:val="230"/>
        </w:trPr>
        <w:tc>
          <w:tcPr>
            <w:tcW w:w="4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catalog production and mailing and print advertising costs</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Freight associated with shipping product to customers</w:t>
            </w: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Consulting and professional fees</w:t>
            </w:r>
          </w:p>
        </w:tc>
      </w:tr>
    </w:tbl>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Catalog and Advertising Expenses</w:t>
      </w:r>
    </w:p>
    <w:p>
      <w:pPr>
        <w:spacing w:after="0" w:line="185" w:lineRule="exact"/>
        <w:rPr>
          <w:sz w:val="20"/>
          <w:szCs w:val="20"/>
          <w:color w:val="auto"/>
        </w:rPr>
      </w:pPr>
    </w:p>
    <w:p>
      <w:pPr>
        <w:ind w:left="20" w:right="40" w:firstLine="441"/>
        <w:spacing w:after="0" w:line="311" w:lineRule="auto"/>
        <w:rPr>
          <w:sz w:val="20"/>
          <w:szCs w:val="20"/>
          <w:color w:val="auto"/>
        </w:rPr>
      </w:pPr>
      <w:r>
        <w:rPr>
          <w:rFonts w:ascii="Arial" w:cs="Arial" w:eastAsia="Arial" w:hAnsi="Arial"/>
          <w:sz w:val="16"/>
          <w:szCs w:val="16"/>
          <w:color w:val="auto"/>
        </w:rPr>
        <w:t>The Company’s direct-response advertising consists of producing, printing and mailing catalogs, which are expensed upon receipt by customers. The Company’s non-direct response advertising costs are expensed as they are incurred. Non-direct response advertising costs primarily consist of billboards, web marketing programs, social media and radio and television advertisements.</w:t>
      </w:r>
    </w:p>
    <w:p>
      <w:pPr>
        <w:spacing w:after="0" w:line="108"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Catalog and advertising expenses were $93.9 million, $95.2 million and $88.6 million for fiscal 2019, fiscal 2018 and fiscal 2017, respectively.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Shipping and Processing</w:t>
      </w:r>
    </w:p>
    <w:p>
      <w:pPr>
        <w:spacing w:after="0" w:line="185" w:lineRule="exact"/>
        <w:rPr>
          <w:sz w:val="20"/>
          <w:szCs w:val="20"/>
          <w:color w:val="auto"/>
        </w:rPr>
      </w:pPr>
    </w:p>
    <w:p>
      <w:pPr>
        <w:ind w:left="20" w:right="140" w:firstLine="441"/>
        <w:spacing w:after="0" w:line="259" w:lineRule="auto"/>
        <w:rPr>
          <w:sz w:val="20"/>
          <w:szCs w:val="20"/>
          <w:color w:val="auto"/>
        </w:rPr>
      </w:pPr>
      <w:r>
        <w:rPr>
          <w:rFonts w:ascii="Arial" w:cs="Arial" w:eastAsia="Arial" w:hAnsi="Arial"/>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$31.3 million, $31.4 million and $28.1 million for fiscal 2019, fiscal 2018 and fiscal 2017, respectively.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left="20" w:right="20" w:firstLine="441"/>
        <w:spacing w:after="0" w:line="293" w:lineRule="auto"/>
        <w:rPr>
          <w:sz w:val="20"/>
          <w:szCs w:val="20"/>
          <w:color w:val="auto"/>
        </w:rPr>
      </w:pPr>
      <w:r>
        <w:rPr>
          <w:rFonts w:ascii="Arial" w:cs="Arial" w:eastAsia="Arial" w:hAnsi="Arial"/>
          <w:sz w:val="16"/>
          <w:szCs w:val="16"/>
          <w:color w:val="auto"/>
        </w:rPr>
        <w:t xml:space="preserve">The Company accounts for income taxes and related accounts using the liability method in accordance with ASC Topic 740,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(“ASC 740”). Under ASC 740, the Company accrues income taxes payable or refundable and recognizes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48" w:name="page49"/>
    <w:bookmarkEnd w:id="4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4" w:lineRule="exact"/>
        <w:rPr>
          <w:sz w:val="20"/>
          <w:szCs w:val="20"/>
          <w:color w:val="auto"/>
        </w:rPr>
      </w:pPr>
    </w:p>
    <w:p>
      <w:pPr>
        <w:ind w:left="20" w:right="20" w:firstLine="441"/>
        <w:spacing w:after="0" w:line="246" w:lineRule="auto"/>
        <w:rPr>
          <w:sz w:val="20"/>
          <w:szCs w:val="20"/>
          <w:color w:val="auto"/>
        </w:rPr>
      </w:pPr>
      <w:r>
        <w:rPr>
          <w:rFonts w:ascii="Arial" w:cs="Arial" w:eastAsia="Arial" w:hAnsi="Arial"/>
          <w:sz w:val="20"/>
          <w:szCs w:val="20"/>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10 “Income Taxes,” of these Notes to Consolidated Financial Statements for further discussion.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left="20" w:right="6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The Company’s restricted cash is held in an escrow account and is used to pay some portion of the construction costs entered into by the Company and certain of its third party landlords (the “Landlords”) in connection with some of the Company’s retail store leases. The restricted cash is disbursed based on the escrow agreement entered into by and among the Landlords, the Company and the escrow agent.</w:t>
      </w:r>
    </w:p>
    <w:p>
      <w:pPr>
        <w:spacing w:after="0" w:line="146" w:lineRule="exact"/>
        <w:rPr>
          <w:sz w:val="20"/>
          <w:szCs w:val="20"/>
          <w:color w:val="auto"/>
        </w:rPr>
      </w:pPr>
    </w:p>
    <w:p>
      <w:pPr>
        <w:ind w:left="20" w:right="40" w:firstLine="441"/>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reported within the Consolidated Balance Sheet that sum to the total of the same such amounts shown in the Consolidated Statement of Cash Flows.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2, 2020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February 3, 2019</w:t>
            </w:r>
          </w:p>
        </w:tc>
      </w:tr>
      <w:tr>
        <w:trPr>
          <w:trHeight w:val="210"/>
        </w:trPr>
        <w:tc>
          <w:tcPr>
            <w:tcW w:w="6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r>
      <w:tr>
        <w:trPr>
          <w:trHeight w:val="21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Total cash and restricted cash shown in the condensed consolidated statement of cash flows</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r>
    </w:tbl>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Significant Suppliers</w:t>
      </w:r>
    </w:p>
    <w:p>
      <w:pPr>
        <w:spacing w:after="0" w:line="185" w:lineRule="exact"/>
        <w:rPr>
          <w:sz w:val="20"/>
          <w:szCs w:val="20"/>
          <w:color w:val="auto"/>
        </w:rPr>
      </w:pPr>
    </w:p>
    <w:p>
      <w:pPr>
        <w:ind w:left="20" w:right="60" w:firstLine="441"/>
        <w:spacing w:after="0" w:line="263" w:lineRule="auto"/>
        <w:rPr>
          <w:sz w:val="20"/>
          <w:szCs w:val="20"/>
          <w:color w:val="auto"/>
        </w:rPr>
      </w:pPr>
      <w:r>
        <w:rPr>
          <w:rFonts w:ascii="Arial" w:cs="Arial" w:eastAsia="Arial" w:hAnsi="Arial"/>
          <w:sz w:val="18"/>
          <w:szCs w:val="18"/>
          <w:color w:val="auto"/>
        </w:rPr>
        <w:t>The Company’s principal supplier of inventory accounted for 54%, 52% and 50% of total inventory expenditures in fiscal 2019, fiscal 2018 and fiscal 2017, respectively. The Company also had a second supplier that accounted for 12%, 15% and 18% of total inventory expenditures in fiscal 2019, fiscal 2018 and fiscal 2017, respectively.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98" w:lineRule="exact"/>
        <w:rPr>
          <w:sz w:val="20"/>
          <w:szCs w:val="20"/>
          <w:color w:val="auto"/>
        </w:rPr>
      </w:pPr>
    </w:p>
    <w:p>
      <w:pPr>
        <w:ind w:left="20" w:right="40" w:firstLine="441"/>
        <w:spacing w:after="0" w:line="289" w:lineRule="auto"/>
        <w:rPr>
          <w:sz w:val="20"/>
          <w:szCs w:val="20"/>
          <w:color w:val="auto"/>
        </w:rPr>
      </w:pPr>
      <w:r>
        <w:rPr>
          <w:rFonts w:ascii="Arial" w:cs="Arial" w:eastAsia="Arial" w:hAnsi="Arial"/>
          <w:sz w:val="16"/>
          <w:szCs w:val="16"/>
          <w:color w:val="auto"/>
        </w:rPr>
        <w:t>Inventory, consisting of purchased product, is valued at the lower of cost and net realizable value, under the first-in, first-out method. The significant estimates used in inventory valuation are obsolescence (including excess and slow-moving inventory and lower of cost or market reserves) and estimates of inventory shrinkage. During fiscal 2019, the methodology to estimate inventory obsolescence was enhanced to align with the Company’s continued execution of its omni-channel strategy that no longer predominately relies on outlet stores to sell excess and slow-moving inventory. The enhanced methodology is primarily based on inventory aging reports and incorporates both historical trends and estimates of future sale prices. Both estimates have calculations that require the Company to make assumptions and apply judgement regarding a number of factors, including market conditions, the selling environment, historical results and current inventory trends. The Company has not made any material changes to assumptions included in the calculation of the shrinkage reserve as of fiscal 2019, fiscal 2018 or fiscal 2017.</w:t>
      </w:r>
    </w:p>
    <w:p>
      <w:pPr>
        <w:spacing w:after="0" w:line="126" w:lineRule="exact"/>
        <w:rPr>
          <w:sz w:val="20"/>
          <w:szCs w:val="20"/>
          <w:color w:val="auto"/>
        </w:rPr>
      </w:pPr>
    </w:p>
    <w:p>
      <w:pPr>
        <w:jc w:val="both"/>
        <w:ind w:left="20" w:right="60" w:firstLine="441"/>
        <w:spacing w:after="0" w:line="342" w:lineRule="auto"/>
        <w:rPr>
          <w:sz w:val="20"/>
          <w:szCs w:val="20"/>
          <w:color w:val="auto"/>
        </w:rPr>
      </w:pPr>
      <w:r>
        <w:rPr>
          <w:rFonts w:ascii="Arial" w:cs="Arial" w:eastAsia="Arial" w:hAnsi="Arial"/>
          <w:sz w:val="16"/>
          <w:szCs w:val="16"/>
          <w:color w:val="auto"/>
        </w:rPr>
        <w:t>The Company records an inventory reserve for the anticipated loss associated with selling inventories below cost. Inventory reserve for excess and obsolete items was $1.8 million and $2.4 million as of February 2, 2020 and February 3, 2019,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49" w:name="page50"/>
    <w:bookmarkEnd w:id="4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February 2, 2020</w:t>
            </w:r>
          </w:p>
        </w:tc>
        <w:tc>
          <w:tcPr>
            <w:tcW w:w="1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3, 2019</w:t>
            </w:r>
          </w:p>
        </w:tc>
      </w:tr>
      <w:tr>
        <w:trPr>
          <w:trHeight w:val="196"/>
        </w:trPr>
        <w:tc>
          <w:tcPr>
            <w:tcW w:w="6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42,518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32,765</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71,469</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Vehicles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36,473</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24,939</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188,416</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(53,255)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(34,203)</w:t>
            </w:r>
          </w:p>
        </w:tc>
        <w:tc>
          <w:tcPr>
            <w:tcW w:w="20" w:type="dxa"/>
            <w:vAlign w:val="bottom"/>
          </w:tcPr>
          <w:p>
            <w:pPr>
              <w:spacing w:after="0"/>
              <w:rPr>
                <w:sz w:val="18"/>
                <w:szCs w:val="18"/>
                <w:color w:val="auto"/>
              </w:rPr>
            </w:pPr>
          </w:p>
        </w:tc>
      </w:tr>
      <w:tr>
        <w:trPr>
          <w:trHeight w:val="209"/>
        </w:trPr>
        <w:tc>
          <w:tcPr>
            <w:tcW w:w="6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154,213</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167,109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left="20" w:right="300" w:firstLine="441"/>
        <w:spacing w:after="0" w:line="263" w:lineRule="auto"/>
        <w:rPr>
          <w:sz w:val="20"/>
          <w:szCs w:val="20"/>
          <w:color w:val="auto"/>
        </w:rPr>
      </w:pPr>
      <w:r>
        <w:rPr>
          <w:rFonts w:ascii="Arial" w:cs="Arial" w:eastAsia="Arial" w:hAnsi="Arial"/>
          <w:sz w:val="18"/>
          <w:szCs w:val="18"/>
          <w:color w:val="auto"/>
        </w:rPr>
        <w:t>The Company recorded depreciation expense of $22.1 million, $12.6 million and $7.3 million for fiscal 2019, fiscal 2018 and fiscal 2017, respectively. The Company expenses all routine repair and maintenance costs that do not extend the estimated useful life of the asset.</w:t>
      </w:r>
    </w:p>
    <w:p>
      <w:pPr>
        <w:spacing w:after="0" w:line="143" w:lineRule="exact"/>
        <w:rPr>
          <w:sz w:val="20"/>
          <w:szCs w:val="20"/>
          <w:color w:val="auto"/>
        </w:rPr>
      </w:pPr>
    </w:p>
    <w:p>
      <w:pPr>
        <w:ind w:left="20" w:right="140" w:firstLine="441"/>
        <w:spacing w:after="0" w:line="263" w:lineRule="auto"/>
        <w:rPr>
          <w:sz w:val="20"/>
          <w:szCs w:val="20"/>
          <w:color w:val="auto"/>
        </w:rPr>
      </w:pPr>
      <w:r>
        <w:rPr>
          <w:rFonts w:ascii="Arial" w:cs="Arial" w:eastAsia="Arial" w:hAnsi="Arial"/>
          <w:sz w:val="18"/>
          <w:szCs w:val="18"/>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Years</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- 40</w:t>
            </w: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rPr>
              <w:t>- 15</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w:t>
            </w: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Vehicles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ind w:left="40"/>
              <w:spacing w:after="0"/>
              <w:rPr>
                <w:sz w:val="20"/>
                <w:szCs w:val="20"/>
                <w:color w:val="auto"/>
              </w:rPr>
            </w:pPr>
            <w:r>
              <w:rPr>
                <w:rFonts w:ascii="Arial" w:cs="Arial" w:eastAsia="Arial" w:hAnsi="Arial"/>
                <w:sz w:val="18"/>
                <w:szCs w:val="18"/>
                <w:color w:val="auto"/>
              </w:rPr>
              <w:t>- 10</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rPr>
              <w:t>- 15</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rPr>
              <w:t>- 7</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Assets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ind w:left="20" w:firstLine="441"/>
        <w:spacing w:after="0" w:line="296" w:lineRule="auto"/>
        <w:rPr>
          <w:sz w:val="20"/>
          <w:szCs w:val="20"/>
          <w:color w:val="auto"/>
        </w:rPr>
      </w:pPr>
      <w:r>
        <w:rPr>
          <w:rFonts w:ascii="Arial" w:cs="Arial" w:eastAsia="Arial" w:hAnsi="Arial"/>
          <w:sz w:val="16"/>
          <w:szCs w:val="16"/>
          <w:color w:val="auto"/>
        </w:rPr>
        <w:t xml:space="preserve">Goodwill represents the excess of purchase price over the fair value of net assets acquired.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requires that goodwill be tested for impairment annually, or more often if an event or circumstance indicates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21" w:lineRule="exact"/>
        <w:rPr>
          <w:sz w:val="20"/>
          <w:szCs w:val="20"/>
          <w:color w:val="auto"/>
        </w:rPr>
      </w:pPr>
    </w:p>
    <w:p>
      <w:pPr>
        <w:ind w:left="20" w:right="20" w:firstLine="441"/>
        <w:spacing w:after="0" w:line="257" w:lineRule="auto"/>
        <w:rPr>
          <w:sz w:val="20"/>
          <w:szCs w:val="20"/>
          <w:color w:val="auto"/>
        </w:rPr>
      </w:pPr>
      <w:r>
        <w:rPr>
          <w:rFonts w:ascii="Arial" w:cs="Arial" w:eastAsia="Arial" w:hAnsi="Arial"/>
          <w:sz w:val="18"/>
          <w:szCs w:val="18"/>
          <w:color w:val="auto"/>
        </w:rPr>
        <w:t>Total goodwill is reported in the Company’s direct segment. Management performed a qualitative assessment of goodwill as of December 31, 2019, 2018 and 2017, and determined that it was more likely than not that the fair value of the Company was greater than its carrying amount; as such, no further evaluation of goodwill was deemed necessary. No impairment was recognized for the years ended February 2, 2020, February 3, 2019 or January 28, 2018. Goodwill was $0.4 million as of February 2, 2020 and February 3,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50" w:name="page51"/>
    <w:bookmarkEnd w:id="5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 Assets</w:t>
      </w:r>
    </w:p>
    <w:p>
      <w:pPr>
        <w:spacing w:after="0" w:line="198" w:lineRule="exact"/>
        <w:rPr>
          <w:sz w:val="20"/>
          <w:szCs w:val="20"/>
          <w:color w:val="auto"/>
        </w:rPr>
      </w:pPr>
    </w:p>
    <w:p>
      <w:pPr>
        <w:ind w:left="20" w:right="100" w:firstLine="441"/>
        <w:spacing w:after="0" w:line="257" w:lineRule="auto"/>
        <w:rPr>
          <w:sz w:val="20"/>
          <w:szCs w:val="20"/>
          <w:color w:val="auto"/>
        </w:rPr>
      </w:pPr>
      <w:r>
        <w:rPr>
          <w:rFonts w:ascii="Arial" w:cs="Arial" w:eastAsia="Arial" w:hAnsi="Arial"/>
          <w:sz w:val="18"/>
          <w:szCs w:val="18"/>
          <w:color w:val="auto"/>
        </w:rPr>
        <w:t>Other assets include loan origination fees and trade names which are amortized over their estimated useful lives ranging from three to fifteen years. Other assets also include security deposits required by certain of the Company’s lease agreements and prepaid expenses which are not expected to be amortized within the next 12 months. Amortization expense was $0.1 million for each fiscal 2019, fiscal 2018 and fiscal 2017. Accumulated amortization was $0.5 million and $0.4 million as of February 2, 2020 and February 3, 2019,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future amortization of amortizable other assets are as follows as of February 2,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7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The Company’s long-lived assets are reviewed for impairment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60" w:lineRule="exact"/>
        <w:rPr>
          <w:sz w:val="20"/>
          <w:szCs w:val="20"/>
          <w:color w:val="auto"/>
        </w:rPr>
      </w:pPr>
    </w:p>
    <w:p>
      <w:pPr>
        <w:ind w:left="20" w:right="540" w:firstLine="441"/>
        <w:spacing w:after="0" w:line="277" w:lineRule="auto"/>
        <w:rPr>
          <w:sz w:val="20"/>
          <w:szCs w:val="20"/>
          <w:color w:val="auto"/>
        </w:rPr>
      </w:pPr>
      <w:r>
        <w:rPr>
          <w:rFonts w:ascii="Arial" w:cs="Arial" w:eastAsia="Arial" w:hAnsi="Arial"/>
          <w:sz w:val="18"/>
          <w:szCs w:val="18"/>
          <w:color w:val="auto"/>
        </w:rPr>
        <w:t>For fiscal 2019, fiscal 2018 and fiscal 2017, management did not identify any events or changes in circumstances that indicated the potential impairment of long-lived assets.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Store Pre-opening Costs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Store pre-opening costs are expensed as incurred and are included in selling, general and administrative expenses.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20" w:right="140" w:firstLine="441"/>
        <w:spacing w:after="0" w:line="263" w:lineRule="auto"/>
        <w:rPr>
          <w:sz w:val="20"/>
          <w:szCs w:val="20"/>
          <w:color w:val="auto"/>
        </w:rPr>
      </w:pPr>
      <w:r>
        <w:rPr>
          <w:rFonts w:ascii="Arial" w:cs="Arial" w:eastAsia="Arial" w:hAnsi="Arial"/>
          <w:sz w:val="18"/>
          <w:szCs w:val="18"/>
          <w:color w:val="auto"/>
        </w:rPr>
        <w:t>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w:t>
      </w:r>
    </w:p>
    <w:p>
      <w:pPr>
        <w:spacing w:after="0" w:line="143" w:lineRule="exact"/>
        <w:rPr>
          <w:sz w:val="20"/>
          <w:szCs w:val="20"/>
          <w:color w:val="auto"/>
        </w:rPr>
      </w:pPr>
    </w:p>
    <w:p>
      <w:pPr>
        <w:ind w:left="20" w:right="80" w:firstLine="441"/>
        <w:spacing w:after="0" w:line="273" w:lineRule="auto"/>
        <w:rPr>
          <w:sz w:val="20"/>
          <w:szCs w:val="20"/>
          <w:color w:val="auto"/>
        </w:rPr>
      </w:pPr>
      <w:r>
        <w:rPr>
          <w:rFonts w:ascii="Arial" w:cs="Arial" w:eastAsia="Arial" w:hAnsi="Arial"/>
          <w:sz w:val="17"/>
          <w:szCs w:val="17"/>
          <w:color w:val="auto"/>
        </w:rPr>
        <w:t xml:space="preserve">The Company accounts for its stock-based compensation plan in accordance with ASC Topic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to five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51" w:lineRule="exact"/>
        <w:rPr>
          <w:sz w:val="20"/>
          <w:szCs w:val="20"/>
          <w:color w:val="auto"/>
        </w:rPr>
      </w:pPr>
    </w:p>
    <w:p>
      <w:pPr>
        <w:ind w:left="20" w:right="540" w:firstLine="441"/>
        <w:spacing w:after="0" w:line="263" w:lineRule="auto"/>
        <w:rPr>
          <w:sz w:val="20"/>
          <w:szCs w:val="20"/>
          <w:color w:val="auto"/>
        </w:rPr>
      </w:pPr>
      <w:r>
        <w:rPr>
          <w:rFonts w:ascii="Arial" w:cs="Arial" w:eastAsia="Arial" w:hAnsi="Arial"/>
          <w:sz w:val="18"/>
          <w:szCs w:val="18"/>
          <w:color w:val="auto"/>
        </w:rPr>
        <w:t>Total stock compensation expense associated with restricted stock recognized by the Company was $0.5 million, $1.6 million and $1.6 million for fiscal 2019, fiscal 2018 and fiscal 2017, respectively, and is included in selling, general and administrative expenses on the Consolidated Statements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51" w:name="page52"/>
    <w:bookmarkEnd w:id="5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180" w:firstLine="441"/>
        <w:spacing w:after="0" w:line="277" w:lineRule="auto"/>
        <w:rPr>
          <w:sz w:val="20"/>
          <w:szCs w:val="20"/>
          <w:color w:val="auto"/>
        </w:rPr>
      </w:pPr>
      <w:r>
        <w:rPr>
          <w:rFonts w:ascii="Arial" w:cs="Arial" w:eastAsia="Arial" w:hAnsi="Arial"/>
          <w:sz w:val="18"/>
          <w:szCs w:val="18"/>
          <w:color w:val="auto"/>
        </w:rPr>
        <w:t>The following is a summary of the activity in the Company’s un-vested restricted stock during the years ended February 2, 2020, February 3, 2019, and January 28,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Weighted average</w:t>
            </w:r>
          </w:p>
        </w:tc>
      </w:tr>
      <w:tr>
        <w:trPr>
          <w:trHeight w:val="203"/>
        </w:trPr>
        <w:tc>
          <w:tcPr>
            <w:tcW w:w="6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grant date</w:t>
            </w:r>
          </w:p>
        </w:tc>
      </w:tr>
      <w:tr>
        <w:trPr>
          <w:trHeight w:val="203"/>
        </w:trPr>
        <w:tc>
          <w:tcPr>
            <w:tcW w:w="6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fair value</w:t>
            </w:r>
          </w:p>
        </w:tc>
      </w:tr>
      <w:tr>
        <w:trPr>
          <w:trHeight w:val="188"/>
        </w:trPr>
        <w:tc>
          <w:tcPr>
            <w:tcW w:w="656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per share</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29, 2017</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656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110,878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16"/>
        </w:trPr>
        <w:tc>
          <w:tcPr>
            <w:tcW w:w="6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(347,825)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656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(21,294)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28, 2018</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656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130,179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6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(323,958)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656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(21,035)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3,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16"/>
        </w:trPr>
        <w:tc>
          <w:tcPr>
            <w:tcW w:w="656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165,730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16"/>
        </w:trPr>
        <w:tc>
          <w:tcPr>
            <w:tcW w:w="6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(61,647)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656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(233,646)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17"/>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2,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r>
    </w:tbl>
    <w:p>
      <w:pPr>
        <w:spacing w:after="0" w:line="202" w:lineRule="exact"/>
        <w:rPr>
          <w:sz w:val="20"/>
          <w:szCs w:val="20"/>
          <w:color w:val="auto"/>
        </w:rPr>
      </w:pPr>
    </w:p>
    <w:p>
      <w:pPr>
        <w:ind w:left="20" w:right="260" w:firstLine="441"/>
        <w:spacing w:after="0" w:line="277" w:lineRule="auto"/>
        <w:rPr>
          <w:sz w:val="20"/>
          <w:szCs w:val="20"/>
          <w:color w:val="auto"/>
        </w:rPr>
      </w:pPr>
      <w:r>
        <w:rPr>
          <w:rFonts w:ascii="Arial" w:cs="Arial" w:eastAsia="Arial" w:hAnsi="Arial"/>
          <w:sz w:val="18"/>
          <w:szCs w:val="18"/>
          <w:color w:val="auto"/>
        </w:rPr>
        <w:t>At February 2, 2020, the Company had unrecognized compensation expense of $2.0 million related to the restricted stock awards, which is expected to be recognized over a weighted average period of 2.7 years.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85" w:lineRule="exact"/>
        <w:rPr>
          <w:sz w:val="20"/>
          <w:szCs w:val="20"/>
          <w:color w:val="auto"/>
        </w:rPr>
      </w:pPr>
    </w:p>
    <w:p>
      <w:pPr>
        <w:ind w:left="20" w:right="60" w:firstLine="441"/>
        <w:spacing w:after="0" w:line="277" w:lineRule="auto"/>
        <w:rPr>
          <w:sz w:val="20"/>
          <w:szCs w:val="20"/>
          <w:color w:val="auto"/>
        </w:rPr>
      </w:pPr>
      <w:r>
        <w:rPr>
          <w:rFonts w:ascii="Arial" w:cs="Arial" w:eastAsia="Arial" w:hAnsi="Arial"/>
          <w:sz w:val="18"/>
          <w:szCs w:val="18"/>
          <w:color w:val="auto"/>
        </w:rPr>
        <w:t>Treasury stock consists of shares withheld in lieu of tax payments when restricted stock vests using the treasury cost method and is classified in the Consolidated Balance Sheets as a reduction to shareholders’ equity.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98" w:lineRule="exact"/>
        <w:rPr>
          <w:sz w:val="20"/>
          <w:szCs w:val="20"/>
          <w:color w:val="auto"/>
        </w:rPr>
      </w:pPr>
    </w:p>
    <w:p>
      <w:pPr>
        <w:ind w:left="20" w:right="160" w:firstLine="441"/>
        <w:spacing w:after="0" w:line="342" w:lineRule="auto"/>
        <w:rPr>
          <w:sz w:val="20"/>
          <w:szCs w:val="20"/>
          <w:color w:val="auto"/>
        </w:rPr>
      </w:pPr>
      <w:r>
        <w:rPr>
          <w:rFonts w:ascii="Arial" w:cs="Arial" w:eastAsia="Arial" w:hAnsi="Arial"/>
          <w:sz w:val="16"/>
          <w:szCs w:val="16"/>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Comprehensive Income or Loss</w:t>
      </w:r>
    </w:p>
    <w:p>
      <w:pPr>
        <w:spacing w:after="0" w:line="185" w:lineRule="exact"/>
        <w:rPr>
          <w:sz w:val="20"/>
          <w:szCs w:val="20"/>
          <w:color w:val="auto"/>
        </w:rPr>
      </w:pPr>
    </w:p>
    <w:p>
      <w:pPr>
        <w:ind w:left="20" w:firstLine="441"/>
        <w:spacing w:after="0" w:line="311" w:lineRule="auto"/>
        <w:rPr>
          <w:sz w:val="20"/>
          <w:szCs w:val="20"/>
          <w:color w:val="auto"/>
        </w:rPr>
      </w:pPr>
      <w:r>
        <w:rPr>
          <w:rFonts w:ascii="Arial" w:cs="Arial" w:eastAsia="Arial" w:hAnsi="Arial"/>
          <w:sz w:val="16"/>
          <w:szCs w:val="16"/>
          <w:color w:val="auto"/>
        </w:rPr>
        <w:t>Other comprehensive income or loss represents the change in equity from non-shareholder or non-member transactions, which is not included in the statements of earnings but is reported as a separate component of shareholders’ equity. For fiscal 2019, other comprehensive income or loss consists of changes in unrealized gains and losses on available-for-sale securities, net of taxes.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left="20" w:right="140" w:firstLine="441"/>
        <w:spacing w:after="0" w:line="273"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ind w:left="20" w:right="180" w:firstLine="441"/>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52" w:name="page53"/>
    <w:bookmarkEnd w:id="5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200" w:firstLine="441"/>
        <w:spacing w:after="0" w:line="301" w:lineRule="auto"/>
        <w:rPr>
          <w:sz w:val="20"/>
          <w:szCs w:val="20"/>
          <w:color w:val="auto"/>
        </w:rPr>
      </w:pPr>
      <w:r>
        <w:rPr>
          <w:rFonts w:ascii="Arial" w:cs="Arial" w:eastAsia="Arial" w:hAnsi="Arial"/>
          <w:sz w:val="16"/>
          <w:szCs w:val="16"/>
          <w:color w:val="auto"/>
        </w:rPr>
        <w:t>The fair value of the Company’s available-for-sale security was valued based on a discounted cash flow method (Level 3), which incorporates the U.S. Treasury yield curve, credit information and an estimate of future cash flows. The following table presents the amortized cost, fair value, and the corresponding amount of gross unrealized gains and losses recognized in accumulated other comprehensive income of the Company’s available-for-sale security as of February 2, 2020.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February 2, 2020</w:t>
            </w:r>
          </w:p>
        </w:tc>
        <w:tc>
          <w:tcPr>
            <w:tcW w:w="940" w:type="dxa"/>
            <w:vAlign w:val="bottom"/>
            <w:tcBorders>
              <w:bottom w:val="single" w:sz="8" w:color="auto"/>
            </w:tcBorders>
          </w:tcPr>
          <w:p>
            <w:pPr>
              <w:spacing w:after="0"/>
              <w:rPr>
                <w:sz w:val="14"/>
                <w:szCs w:val="14"/>
                <w:color w:val="auto"/>
              </w:rPr>
            </w:pPr>
          </w:p>
        </w:tc>
      </w:tr>
      <w:tr>
        <w:trPr>
          <w:trHeight w:val="224"/>
        </w:trPr>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 or</w:t>
            </w:r>
          </w:p>
        </w:tc>
        <w:tc>
          <w:tcPr>
            <w:tcW w:w="1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9"/>
                <w:szCs w:val="19"/>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tcPr>
          <w:p>
            <w:pPr>
              <w:spacing w:after="0"/>
              <w:rPr>
                <w:sz w:val="19"/>
                <w:szCs w:val="19"/>
                <w:color w:val="auto"/>
              </w:rPr>
            </w:pPr>
          </w:p>
        </w:tc>
      </w:tr>
      <w:tr>
        <w:trPr>
          <w:trHeight w:val="203"/>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7"/>
                <w:szCs w:val="17"/>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Unrealized</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82"/>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Level 3 security:</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r>
    </w:tbl>
    <w:p>
      <w:pPr>
        <w:spacing w:after="0" w:line="175" w:lineRule="exact"/>
        <w:rPr>
          <w:sz w:val="20"/>
          <w:szCs w:val="20"/>
          <w:color w:val="auto"/>
        </w:rPr>
      </w:pPr>
    </w:p>
    <w:p>
      <w:pPr>
        <w:ind w:left="20" w:right="260" w:firstLine="401"/>
        <w:spacing w:after="0" w:line="277" w:lineRule="auto"/>
        <w:rPr>
          <w:sz w:val="20"/>
          <w:szCs w:val="20"/>
          <w:color w:val="auto"/>
        </w:rPr>
      </w:pPr>
      <w:r>
        <w:rPr>
          <w:rFonts w:ascii="Arial" w:cs="Arial" w:eastAsia="Arial" w:hAnsi="Arial"/>
          <w:sz w:val="18"/>
          <w:szCs w:val="18"/>
          <w:color w:val="auto"/>
        </w:rPr>
        <w:t>As of February 3, 2019, the $6.3 million amortized cost of the Company’s available-for-sale security approximated its fair value.</w:t>
      </w:r>
    </w:p>
    <w:p>
      <w:pPr>
        <w:spacing w:after="0" w:line="130" w:lineRule="exact"/>
        <w:rPr>
          <w:sz w:val="20"/>
          <w:szCs w:val="20"/>
          <w:color w:val="auto"/>
        </w:rPr>
      </w:pPr>
    </w:p>
    <w:p>
      <w:pPr>
        <w:ind w:left="20" w:right="160" w:firstLine="401"/>
        <w:spacing w:after="0" w:line="277" w:lineRule="auto"/>
        <w:rPr>
          <w:sz w:val="20"/>
          <w:szCs w:val="20"/>
          <w:color w:val="auto"/>
        </w:rPr>
      </w:pPr>
      <w:r>
        <w:rPr>
          <w:rFonts w:ascii="Arial" w:cs="Arial" w:eastAsia="Arial" w:hAnsi="Arial"/>
          <w:sz w:val="18"/>
          <w:szCs w:val="18"/>
          <w:color w:val="auto"/>
        </w:rPr>
        <w:t>The following table presents the future receipts related to the Company’s available-for-sale security by contractual maturity as of February 2,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ind w:right="59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5400" w:type="dxa"/>
            <w:vAlign w:val="bottom"/>
          </w:tcPr>
          <w:p>
            <w:pPr>
              <w:spacing w:after="0"/>
              <w:rPr>
                <w:sz w:val="16"/>
                <w:szCs w:val="16"/>
                <w:color w:val="auto"/>
              </w:rPr>
            </w:pP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Cost</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280" w:type="dxa"/>
            <w:vAlign w:val="bottom"/>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ten years</w:t>
            </w:r>
          </w:p>
        </w:tc>
        <w:tc>
          <w:tcPr>
            <w:tcW w:w="1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3,699</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r>
      <w:tr>
        <w:trPr>
          <w:trHeight w:val="21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6,178</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carrying values and fair values of other financial instruments in the Consolidated Balance Sheets are as follows: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ind w:left="460"/>
              <w:spacing w:after="0"/>
              <w:rPr>
                <w:sz w:val="20"/>
                <w:szCs w:val="20"/>
                <w:color w:val="auto"/>
              </w:rPr>
            </w:pPr>
            <w:r>
              <w:rPr>
                <w:rFonts w:ascii="Arial" w:cs="Arial" w:eastAsia="Arial" w:hAnsi="Arial"/>
                <w:sz w:val="14"/>
                <w:szCs w:val="14"/>
                <w:b w:val="1"/>
                <w:bCs w:val="1"/>
                <w:color w:val="auto"/>
              </w:rPr>
              <w:t>February 2, 2020</w:t>
            </w:r>
          </w:p>
        </w:tc>
        <w:tc>
          <w:tcPr>
            <w:tcW w:w="220" w:type="dxa"/>
            <w:vAlign w:val="bottom"/>
          </w:tcPr>
          <w:p>
            <w:pPr>
              <w:spacing w:after="0"/>
              <w:rPr>
                <w:sz w:val="14"/>
                <w:szCs w:val="14"/>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February 3, 2019</w:t>
            </w:r>
          </w:p>
        </w:tc>
      </w:tr>
      <w:tr>
        <w:trPr>
          <w:trHeight w:val="222"/>
        </w:trPr>
        <w:tc>
          <w:tcPr>
            <w:tcW w:w="4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4"/>
              </w:rPr>
              <w:t>Carrying</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4"/>
              </w:rPr>
              <w:t>Carrying</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Fair Value</w:t>
            </w:r>
          </w:p>
        </w:tc>
      </w:tr>
      <w:tr>
        <w:trPr>
          <w:trHeight w:val="25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 Long-term debt, including short-term portion</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30,238</w:t>
            </w:r>
          </w:p>
        </w:tc>
        <w:tc>
          <w:tcPr>
            <w:tcW w:w="2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28,751</w:t>
            </w:r>
          </w:p>
        </w:tc>
        <w:tc>
          <w:tcPr>
            <w:tcW w:w="1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27,637</w:t>
            </w:r>
          </w:p>
        </w:tc>
      </w:tr>
    </w:tbl>
    <w:p>
      <w:pPr>
        <w:spacing w:after="0" w:line="161" w:lineRule="exact"/>
        <w:rPr>
          <w:sz w:val="20"/>
          <w:szCs w:val="20"/>
          <w:color w:val="auto"/>
        </w:rPr>
      </w:pPr>
    </w:p>
    <w:p>
      <w:pPr>
        <w:ind w:left="20" w:right="240" w:firstLine="405"/>
        <w:spacing w:after="0" w:line="277" w:lineRule="auto"/>
        <w:rPr>
          <w:sz w:val="20"/>
          <w:szCs w:val="20"/>
          <w:color w:val="auto"/>
        </w:rPr>
      </w:pPr>
      <w:r>
        <w:rPr>
          <w:rFonts w:ascii="Arial" w:cs="Arial" w:eastAsia="Arial" w:hAnsi="Arial"/>
          <w:sz w:val="18"/>
          <w:szCs w:val="18"/>
          <w:color w:val="auto"/>
        </w:rPr>
        <w:t xml:space="preserve">The above long-term debt, including short-term portion is attributable to the consolidation of TRI in accordance with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The value was also based on a discounted cash flow method (Level 3).</w:t>
      </w:r>
    </w:p>
    <w:p>
      <w:pPr>
        <w:spacing w:after="0" w:line="130" w:lineRule="exact"/>
        <w:rPr>
          <w:sz w:val="20"/>
          <w:szCs w:val="20"/>
          <w:color w:val="auto"/>
        </w:rPr>
      </w:pPr>
    </w:p>
    <w:p>
      <w:pPr>
        <w:ind w:left="20" w:right="280" w:firstLine="405"/>
        <w:spacing w:after="0" w:line="277" w:lineRule="auto"/>
        <w:rPr>
          <w:sz w:val="20"/>
          <w:szCs w:val="20"/>
          <w:color w:val="auto"/>
        </w:rPr>
      </w:pPr>
      <w:r>
        <w:rPr>
          <w:rFonts w:ascii="Arial" w:cs="Arial" w:eastAsia="Arial" w:hAnsi="Arial"/>
          <w:sz w:val="18"/>
          <w:szCs w:val="18"/>
          <w:color w:val="auto"/>
        </w:rPr>
        <w:t>As of February 2, 2020, and February 3, 2019, the carrying values of the long-term delayed draw term loan and long-term line of credit both approximated its fair value.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20" w:right="40" w:firstLine="405"/>
        <w:spacing w:after="0" w:line="308" w:lineRule="auto"/>
        <w:rPr>
          <w:sz w:val="20"/>
          <w:szCs w:val="20"/>
          <w:color w:val="auto"/>
        </w:rPr>
      </w:pPr>
      <w:r>
        <w:rPr>
          <w:rFonts w:ascii="Arial" w:cs="Arial" w:eastAsia="Arial" w:hAnsi="Arial"/>
          <w:sz w:val="17"/>
          <w:szCs w:val="17"/>
          <w:color w:val="auto"/>
        </w:rPr>
        <w:t>Certain reclassifications have been made to the 2018 financial statements in order to conform to the 2019 presentation. There were no changes to previously reported shareholders' equity or net income as a result of the reclassifications.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 LEASES</w:t>
      </w:r>
    </w:p>
    <w:p>
      <w:pPr>
        <w:spacing w:after="0" w:line="189" w:lineRule="exact"/>
        <w:rPr>
          <w:sz w:val="20"/>
          <w:szCs w:val="20"/>
          <w:color w:val="auto"/>
        </w:rPr>
      </w:pPr>
    </w:p>
    <w:p>
      <w:pPr>
        <w:ind w:left="20" w:right="220" w:firstLine="492"/>
        <w:spacing w:after="0" w:line="291" w:lineRule="auto"/>
        <w:rPr>
          <w:sz w:val="20"/>
          <w:szCs w:val="20"/>
          <w:color w:val="auto"/>
        </w:rPr>
      </w:pPr>
      <w:r>
        <w:rPr>
          <w:rFonts w:ascii="Arial" w:cs="Arial" w:eastAsia="Arial" w:hAnsi="Arial"/>
          <w:sz w:val="16"/>
          <w:szCs w:val="16"/>
          <w:color w:val="auto"/>
        </w:rPr>
        <w:t>Effective February 4, 2019, the Company adopted ASC 842, which resulted in a recognition of right-of-use asset (“ROU asset”)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2036. Substantially all of these arrangements are store leases. Store leases generally have initial lease terms ranging from five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9" w:lineRule="exact"/>
        <w:rPr>
          <w:sz w:val="20"/>
          <w:szCs w:val="20"/>
          <w:color w:val="auto"/>
        </w:rPr>
      </w:pPr>
    </w:p>
    <w:p>
      <w:pPr>
        <w:ind w:right="80" w:firstLine="492"/>
        <w:spacing w:after="0" w:line="342" w:lineRule="auto"/>
        <w:rPr>
          <w:sz w:val="20"/>
          <w:szCs w:val="20"/>
          <w:color w:val="auto"/>
        </w:rPr>
      </w:pPr>
      <w:r>
        <w:rPr>
          <w:rFonts w:ascii="Arial" w:cs="Arial" w:eastAsia="Arial" w:hAnsi="Arial"/>
          <w:sz w:val="16"/>
          <w:szCs w:val="16"/>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83"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Company’s building and property leases often contain lease and non-lease components. The Company has elected to account for these lease and non-lease components separately. Non-lease components for these assets are primarily comprised of real estate taxes, insurance costs, common area maintenance, and utilities that are passed on from the lessor in proportion to the space leased by the Company, and are recognized in the period in which the obligation for those payments was incurred. Non-lease components are separate from lease components within our lease agreements, such that an allocation between the components does not need to be performed. Lease cost for leases is recognized on a straight-line basis over the lease term.</w:t>
      </w:r>
    </w:p>
    <w:p>
      <w:pPr>
        <w:spacing w:after="0" w:line="124"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5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ectPr>
          <w:pgSz w:w="11900" w:h="16838" w:orient="portrait"/>
          <w:cols w:equalWidth="0" w:num="1">
            <w:col w:w="9440"/>
          </w:cols>
          <w:pgMar w:left="1220" w:top="125"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Finance lease</w:t>
      </w:r>
    </w:p>
    <w:p>
      <w:pPr>
        <w:spacing w:after="0" w:line="8" w:lineRule="exact"/>
        <w:rPr>
          <w:sz w:val="20"/>
          <w:szCs w:val="20"/>
          <w:color w:val="auto"/>
        </w:rPr>
      </w:pPr>
    </w:p>
    <w:p>
      <w:pPr>
        <w:ind w:left="80" w:right="120" w:hanging="9"/>
        <w:spacing w:after="0" w:line="273" w:lineRule="auto"/>
        <w:rPr>
          <w:sz w:val="20"/>
          <w:szCs w:val="20"/>
          <w:color w:val="auto"/>
        </w:rPr>
      </w:pPr>
      <w:r>
        <w:rPr>
          <w:rFonts w:ascii="Arial" w:cs="Arial" w:eastAsia="Arial" w:hAnsi="Arial"/>
          <w:sz w:val="17"/>
          <w:szCs w:val="17"/>
          <w:color w:val="auto"/>
        </w:rPr>
        <w:t>Amortization of right-of-use assets Interest on lease liabilities</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Total finance lease expense Operating lease expense Amortization of build-to-suit leases capital contribution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Consolidated Statement of Operations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February 2, 2020</w:t>
            </w:r>
          </w:p>
        </w:tc>
      </w:tr>
      <w:tr>
        <w:trPr>
          <w:trHeight w:val="668"/>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09"/>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15,636</w:t>
            </w:r>
          </w:p>
        </w:tc>
      </w:tr>
      <w:tr>
        <w:trPr>
          <w:trHeight w:val="458"/>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-1327785</wp:posOffset>
            </wp:positionV>
            <wp:extent cx="600900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009005" cy="14541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-1036320</wp:posOffset>
            </wp:positionV>
            <wp:extent cx="600900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009005" cy="14605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-744855</wp:posOffset>
            </wp:positionV>
            <wp:extent cx="600900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009005" cy="14541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-307975</wp:posOffset>
            </wp:positionV>
            <wp:extent cx="600900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00900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6020"/>
          </w:cols>
          <w:pgMar w:left="1220" w:top="125" w:right="1239"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241300</wp:posOffset>
            </wp:positionV>
            <wp:extent cx="603504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type w:val="continuous"/>
        </w:sectPr>
      </w:pPr>
    </w:p>
    <w:bookmarkStart w:id="54" w:name="page55"/>
    <w:bookmarkEnd w:id="5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ind w:left="3640"/>
              <w:spacing w:after="0"/>
              <w:rPr>
                <w:sz w:val="20"/>
                <w:szCs w:val="20"/>
                <w:color w:val="auto"/>
              </w:rPr>
            </w:pPr>
            <w:r>
              <w:rPr>
                <w:rFonts w:ascii="Arial" w:cs="Arial" w:eastAsia="Arial" w:hAnsi="Arial"/>
                <w:sz w:val="18"/>
                <w:szCs w:val="18"/>
                <w:b w:val="1"/>
                <w:bCs w:val="1"/>
                <w:color w:val="auto"/>
              </w:rPr>
              <w:t>DULUTH HOLDINGS INC.</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7620" w:type="dxa"/>
            <w:vAlign w:val="bottom"/>
          </w:tcPr>
          <w:p>
            <w:pPr>
              <w:ind w:left="308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608"/>
        </w:trPr>
        <w:tc>
          <w:tcPr>
            <w:tcW w:w="7620" w:type="dxa"/>
            <w:vAlign w:val="bottom"/>
          </w:tcPr>
          <w:p>
            <w:pPr>
              <w:ind w:left="460"/>
              <w:spacing w:after="0"/>
              <w:rPr>
                <w:sz w:val="20"/>
                <w:szCs w:val="20"/>
                <w:color w:val="auto"/>
              </w:rPr>
            </w:pPr>
            <w:r>
              <w:rPr>
                <w:rFonts w:ascii="Arial" w:cs="Arial" w:eastAsia="Arial" w:hAnsi="Arial"/>
                <w:sz w:val="18"/>
                <w:szCs w:val="18"/>
                <w:color w:val="auto"/>
              </w:rPr>
              <w:t>Other information related to leases were as follows: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91"/>
        </w:trPr>
        <w:tc>
          <w:tcPr>
            <w:tcW w:w="7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February 2, 2020</w:t>
            </w: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7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29"/>
        </w:trPr>
        <w:tc>
          <w:tcPr>
            <w:tcW w:w="762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13,621</w:t>
            </w:r>
          </w:p>
        </w:tc>
      </w:tr>
      <w:tr>
        <w:trPr>
          <w:trHeight w:val="230"/>
        </w:trPr>
        <w:tc>
          <w:tcPr>
            <w:tcW w:w="7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41,566</w:t>
            </w:r>
          </w:p>
        </w:tc>
      </w:tr>
      <w:tr>
        <w:trPr>
          <w:trHeight w:val="230"/>
        </w:trPr>
        <w:tc>
          <w:tcPr>
            <w:tcW w:w="76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17,629</w:t>
            </w:r>
          </w:p>
        </w:tc>
      </w:tr>
      <w:tr>
        <w:trPr>
          <w:trHeight w:val="229"/>
        </w:trPr>
        <w:tc>
          <w:tcPr>
            <w:tcW w:w="7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6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6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the non-cancellable leases are as follows as of February 2, 2020:</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Finance</w:t>
            </w:r>
          </w:p>
        </w:tc>
        <w:tc>
          <w:tcPr>
            <w:tcW w:w="28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Operating</w:t>
            </w:r>
          </w:p>
        </w:tc>
      </w:tr>
      <w:tr>
        <w:trPr>
          <w:trHeight w:val="188"/>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r>
      <w:tr>
        <w:trPr>
          <w:trHeight w:val="183"/>
        </w:trPr>
        <w:tc>
          <w:tcPr>
            <w:tcW w:w="6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14,948</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15,334</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w:t>
            </w:r>
          </w:p>
        </w:tc>
      </w:tr>
      <w:tr>
        <w:trPr>
          <w:trHeight w:val="216"/>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37,207</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69,669</w:t>
            </w:r>
          </w:p>
        </w:tc>
      </w:tr>
      <w:tr>
        <w:trPr>
          <w:trHeight w:val="21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144,733</w:t>
            </w:r>
          </w:p>
        </w:tc>
      </w:tr>
      <w:tr>
        <w:trPr>
          <w:trHeight w:val="216"/>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 Discount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27,939</w:t>
            </w:r>
          </w:p>
        </w:tc>
      </w:tr>
      <w:tr>
        <w:trPr>
          <w:trHeight w:val="21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116,794</w:t>
            </w:r>
          </w:p>
        </w:tc>
      </w:tr>
    </w:tbl>
    <w:p>
      <w:pPr>
        <w:spacing w:after="0" w:line="202" w:lineRule="exact"/>
        <w:rPr>
          <w:sz w:val="20"/>
          <w:szCs w:val="20"/>
          <w:color w:val="auto"/>
        </w:rPr>
      </w:pPr>
    </w:p>
    <w:p>
      <w:pPr>
        <w:jc w:val="both"/>
        <w:ind w:left="20" w:right="40" w:firstLine="441"/>
        <w:spacing w:after="0" w:line="277" w:lineRule="auto"/>
        <w:rPr>
          <w:sz w:val="20"/>
          <w:szCs w:val="20"/>
          <w:color w:val="auto"/>
        </w:rPr>
      </w:pPr>
      <w:r>
        <w:rPr>
          <w:rFonts w:ascii="Arial" w:cs="Arial" w:eastAsia="Arial" w:hAnsi="Arial"/>
          <w:sz w:val="18"/>
          <w:szCs w:val="18"/>
          <w:color w:val="auto"/>
        </w:rPr>
        <w:t xml:space="preserve">Prior to the adoption of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the minimum lease payments under non-cancellable operating leases were as follows as of February 3,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Leases</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3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Related</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party</w:t>
            </w:r>
          </w:p>
        </w:tc>
        <w:tc>
          <w:tcPr>
            <w:tcW w:w="4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r>
      <w:tr>
        <w:trPr>
          <w:trHeight w:val="210"/>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80" w:type="dxa"/>
            <w:vAlign w:val="bottom"/>
            <w:gridSpan w:val="3"/>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40" w:type="dxa"/>
            <w:vAlign w:val="bottom"/>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2020</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16,157</w:t>
            </w:r>
          </w:p>
        </w:tc>
        <w:tc>
          <w:tcPr>
            <w:tcW w:w="40" w:type="dxa"/>
            <w:vAlign w:val="bottom"/>
          </w:tcPr>
          <w:p>
            <w:pPr>
              <w:spacing w:after="0"/>
              <w:rPr>
                <w:sz w:val="19"/>
                <w:szCs w:val="19"/>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4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2022</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15,444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15,593</w:t>
            </w:r>
          </w:p>
        </w:tc>
        <w:tc>
          <w:tcPr>
            <w:tcW w:w="40" w:type="dxa"/>
            <w:vAlign w:val="bottom"/>
          </w:tcPr>
          <w:p>
            <w:pPr>
              <w:spacing w:after="0"/>
              <w:rPr>
                <w:sz w:val="19"/>
                <w:szCs w:val="19"/>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4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112,098</w:t>
            </w:r>
          </w:p>
        </w:tc>
        <w:tc>
          <w:tcPr>
            <w:tcW w:w="40" w:type="dxa"/>
            <w:vAlign w:val="bottom"/>
          </w:tcPr>
          <w:p>
            <w:pPr>
              <w:spacing w:after="0"/>
              <w:rPr>
                <w:sz w:val="19"/>
                <w:szCs w:val="19"/>
                <w:color w:val="auto"/>
              </w:rPr>
            </w:pPr>
          </w:p>
        </w:tc>
      </w:tr>
      <w:tr>
        <w:trPr>
          <w:trHeight w:val="229"/>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190,851</w:t>
            </w:r>
          </w:p>
        </w:tc>
        <w:tc>
          <w:tcPr>
            <w:tcW w:w="40" w:type="dxa"/>
            <w:vAlign w:val="bottom"/>
          </w:tcPr>
          <w:p>
            <w:pPr>
              <w:spacing w:after="0"/>
              <w:rPr>
                <w:sz w:val="19"/>
                <w:szCs w:val="19"/>
                <w:color w:val="auto"/>
              </w:rPr>
            </w:pPr>
          </w:p>
        </w:tc>
      </w:tr>
      <w:tr>
        <w:trPr>
          <w:trHeight w:val="799"/>
        </w:trPr>
        <w:tc>
          <w:tcPr>
            <w:tcW w:w="3700" w:type="dxa"/>
            <w:vAlign w:val="bottom"/>
          </w:tcPr>
          <w:p>
            <w:pPr>
              <w:spacing w:after="0"/>
              <w:rPr>
                <w:sz w:val="24"/>
                <w:szCs w:val="24"/>
                <w:color w:val="auto"/>
              </w:rPr>
            </w:pPr>
          </w:p>
        </w:tc>
        <w:tc>
          <w:tcPr>
            <w:tcW w:w="1440" w:type="dxa"/>
            <w:vAlign w:val="bottom"/>
          </w:tcPr>
          <w:p>
            <w:pPr>
              <w:jc w:val="right"/>
              <w:ind w:right="239"/>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37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7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82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500"/>
          </w:cols>
          <w:pgMar w:left="1200" w:top="125" w:right="1199" w:bottom="1440" w:gutter="0" w:footer="0" w:header="0"/>
        </w:sectPr>
      </w:pPr>
    </w:p>
    <w:bookmarkStart w:id="55" w:name="page56"/>
    <w:bookmarkEnd w:id="5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right="60" w:firstLine="441"/>
        <w:spacing w:after="0" w:line="258" w:lineRule="auto"/>
        <w:rPr>
          <w:sz w:val="20"/>
          <w:szCs w:val="20"/>
          <w:color w:val="auto"/>
        </w:rPr>
      </w:pPr>
      <w:r>
        <w:rPr>
          <w:rFonts w:ascii="Arial" w:cs="Arial" w:eastAsia="Arial" w:hAnsi="Arial"/>
          <w:sz w:val="18"/>
          <w:szCs w:val="18"/>
          <w:color w:val="auto"/>
        </w:rPr>
        <w:t>Total rent expense under non-cancellable leases was $16.2 million, $8.4 million and $5.5 million for fiscal 2019, fiscal 2018 and fiscal 2017, respectively.</w:t>
      </w:r>
    </w:p>
    <w:p>
      <w:pPr>
        <w:spacing w:after="0" w:line="1" w:lineRule="exact"/>
        <w:rPr>
          <w:sz w:val="20"/>
          <w:szCs w:val="20"/>
          <w:color w:val="auto"/>
        </w:rPr>
      </w:pPr>
    </w:p>
    <w:p>
      <w:pPr>
        <w:jc w:val="right"/>
        <w:ind w:left="460" w:right="6780" w:hanging="450"/>
        <w:spacing w:after="0" w:line="552" w:lineRule="auto"/>
        <w:tabs>
          <w:tab w:leader="none" w:pos="244"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AND LINE OF CREDIT </w:t>
      </w:r>
      <w:r>
        <w:rPr>
          <w:rFonts w:ascii="Arial" w:cs="Arial" w:eastAsia="Arial" w:hAnsi="Arial"/>
          <w:sz w:val="16"/>
          <w:szCs w:val="16"/>
          <w:color w:val="auto"/>
        </w:rPr>
        <w:t>Debt consists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2020</w:t>
            </w:r>
          </w:p>
        </w:tc>
        <w:tc>
          <w:tcPr>
            <w:tcW w:w="14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February 3, 2019</w:t>
            </w:r>
          </w:p>
        </w:tc>
      </w:tr>
      <w:tr>
        <w:trPr>
          <w:trHeight w:val="196"/>
        </w:trPr>
        <w:tc>
          <w:tcPr>
            <w:tcW w:w="6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 Senior Secured Note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25,251</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TRI Note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09"/>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28,751</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28,251</w:t>
            </w:r>
          </w:p>
        </w:tc>
      </w:t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Delayed draw term loan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6520" w:type="dxa"/>
            <w:vAlign w:val="bottom"/>
          </w:tcPr>
          <w:p>
            <w:pPr>
              <w:ind w:left="20"/>
              <w:spacing w:after="0"/>
              <w:rPr>
                <w:sz w:val="20"/>
                <w:szCs w:val="20"/>
                <w:color w:val="auto"/>
              </w:rPr>
            </w:pPr>
            <w:r>
              <w:rPr>
                <w:rFonts w:ascii="Arial" w:cs="Arial" w:eastAsia="Arial" w:hAnsi="Arial"/>
                <w:sz w:val="18"/>
                <w:szCs w:val="18"/>
                <w:color w:val="auto"/>
              </w:rPr>
              <w:t>Duluth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16,574</w:t>
            </w:r>
          </w:p>
        </w:tc>
      </w:tr>
    </w:tbl>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85" w:lineRule="exact"/>
        <w:rPr>
          <w:sz w:val="20"/>
          <w:szCs w:val="20"/>
          <w:color w:val="auto"/>
        </w:rPr>
      </w:pPr>
    </w:p>
    <w:p>
      <w:pPr>
        <w:ind w:left="20" w:right="60" w:firstLine="486"/>
        <w:spacing w:after="0" w:line="263"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left="20" w:right="20" w:firstLine="486"/>
        <w:spacing w:after="0" w:line="263"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57" w:lineRule="exact"/>
        <w:rPr>
          <w:sz w:val="20"/>
          <w:szCs w:val="20"/>
          <w:color w:val="auto"/>
        </w:rPr>
      </w:pPr>
    </w:p>
    <w:p>
      <w:pPr>
        <w:ind w:left="20" w:right="700" w:firstLine="486"/>
        <w:spacing w:after="0" w:line="277" w:lineRule="auto"/>
        <w:rPr>
          <w:sz w:val="20"/>
          <w:szCs w:val="20"/>
          <w:color w:val="auto"/>
        </w:rPr>
      </w:pPr>
      <w:r>
        <w:rPr>
          <w:rFonts w:ascii="Arial" w:cs="Arial" w:eastAsia="Arial" w:hAnsi="Arial"/>
          <w:sz w:val="18"/>
          <w:szCs w:val="18"/>
          <w:color w:val="auto"/>
        </w:rPr>
        <w:t xml:space="preserve">While the above notes are consolidated in accordance with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is not the guarantor nor the obligor of these notes.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left="20" w:right="40" w:firstLine="427"/>
        <w:spacing w:after="0" w:line="269" w:lineRule="auto"/>
        <w:rPr>
          <w:sz w:val="20"/>
          <w:szCs w:val="20"/>
          <w:color w:val="auto"/>
        </w:rPr>
      </w:pPr>
      <w:r>
        <w:rPr>
          <w:rFonts w:ascii="Arial" w:cs="Arial" w:eastAsia="Arial" w:hAnsi="Arial"/>
          <w:sz w:val="17"/>
          <w:szCs w:val="17"/>
          <w:color w:val="auto"/>
        </w:rPr>
        <w:t>On May 17, 2018, the Company entered into a credit agreement (the “Credit Agreement”) which provides for borrowing availability of up to $80.0 million in revolving credit and associated swing line (the “Revolver”) and borrowing availability of up to $50.0 million in a delayed draw term loan (“DDTL”), for a total credit facility of $130.0 million. The $80.0 million revolving credit matures on May 17, 2023. The $50.0 million DDTL is available to draw upon in differing amounts through May 16, 2020 and matures on May 17, 2023.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At the Company’s option, the interest rate applicable to the Revolver or DDTL will be a floating rate equal to (i) the base rate plus a margin of 25 to 100 basis points, based upon the Company’s rent adjusted leverage ratio, or (ii) a fixed rate for a one-, two-, three- or six-month interest period equal to LIBOR for such interest period plus a margin of 125 to 200 basis points, based upon the Company’s rent adjusted leverage ratio (effective rate of 4.12% for the Revolver and 4.01% for the DDTL at February 2, 2020). In addition, outstanding balances under the DDTL require quarterly principal payments with a final balloon payment at maturity.</w:t>
      </w:r>
    </w:p>
    <w:p>
      <w:pPr>
        <w:spacing w:after="0" w:line="152" w:lineRule="exact"/>
        <w:rPr>
          <w:sz w:val="20"/>
          <w:szCs w:val="20"/>
          <w:color w:val="auto"/>
        </w:rPr>
      </w:pPr>
    </w:p>
    <w:p>
      <w:pPr>
        <w:ind w:left="20" w:right="460" w:firstLine="441"/>
        <w:spacing w:after="0" w:line="277" w:lineRule="auto"/>
        <w:rPr>
          <w:sz w:val="20"/>
          <w:szCs w:val="20"/>
          <w:color w:val="auto"/>
        </w:rPr>
      </w:pPr>
      <w:r>
        <w:rPr>
          <w:rFonts w:ascii="Arial" w:cs="Arial" w:eastAsia="Arial" w:hAnsi="Arial"/>
          <w:sz w:val="18"/>
          <w:szCs w:val="18"/>
          <w:color w:val="auto"/>
        </w:rPr>
        <w:t>As of February 2, 2020, and for the fiscal year then ended, the Company was in compliance with all financial and non-financial covenants for all debts discussed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56" w:name="page57"/>
    <w:bookmarkEnd w:id="5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280" w:firstLine="486"/>
        <w:spacing w:after="0" w:line="277" w:lineRule="auto"/>
        <w:rPr>
          <w:sz w:val="20"/>
          <w:szCs w:val="20"/>
          <w:color w:val="auto"/>
        </w:rPr>
      </w:pPr>
      <w:r>
        <w:rPr>
          <w:rFonts w:ascii="Arial" w:cs="Arial" w:eastAsia="Arial" w:hAnsi="Arial"/>
          <w:sz w:val="18"/>
          <w:szCs w:val="18"/>
          <w:color w:val="auto"/>
        </w:rPr>
        <w:t>Future principal maturities of all TRI debt, excluding financing fees of $1.4 million and the Company’s line of credit and delayed draw term loan, are as follows as of February 2,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26,223</w:t>
            </w:r>
          </w:p>
        </w:tc>
      </w:tr>
      <w:tr>
        <w:trPr>
          <w:trHeight w:val="217"/>
        </w:trPr>
        <w:tc>
          <w:tcPr>
            <w:tcW w:w="7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29,711</w:t>
            </w:r>
          </w:p>
        </w:tc>
      </w:tr>
    </w:tbl>
    <w:p>
      <w:pPr>
        <w:spacing w:after="0" w:line="211" w:lineRule="exact"/>
        <w:rPr>
          <w:sz w:val="20"/>
          <w:szCs w:val="20"/>
          <w:color w:val="auto"/>
        </w:rPr>
      </w:pPr>
    </w:p>
    <w:p>
      <w:pPr>
        <w:ind w:left="460" w:right="3940" w:hanging="450"/>
        <w:spacing w:after="0" w:line="593" w:lineRule="auto"/>
        <w:tabs>
          <w:tab w:leader="none" w:pos="23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2020</w:t>
            </w:r>
          </w:p>
        </w:tc>
        <w:tc>
          <w:tcPr>
            <w:tcW w:w="14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February 3, 2019</w:t>
            </w:r>
          </w:p>
        </w:tc>
      </w:tr>
      <w:tr>
        <w:trPr>
          <w:trHeight w:val="196"/>
        </w:trPr>
        <w:tc>
          <w:tcPr>
            <w:tcW w:w="6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8,493</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Product returns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Catalog costs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Unpaid purchases of property &amp; equipment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VARIABLE INTEREST ENTITIES</w:t>
      </w:r>
    </w:p>
    <w:p>
      <w:pPr>
        <w:spacing w:after="0" w:line="189" w:lineRule="exact"/>
        <w:rPr>
          <w:sz w:val="20"/>
          <w:szCs w:val="20"/>
          <w:color w:val="auto"/>
        </w:rPr>
      </w:pPr>
    </w:p>
    <w:p>
      <w:pPr>
        <w:ind w:left="20" w:right="80" w:firstLine="441"/>
        <w:spacing w:after="0" w:line="296" w:lineRule="auto"/>
        <w:rPr>
          <w:sz w:val="20"/>
          <w:szCs w:val="20"/>
          <w:color w:val="auto"/>
        </w:rPr>
      </w:pPr>
      <w:r>
        <w:rPr>
          <w:rFonts w:ascii="Arial" w:cs="Arial" w:eastAsia="Arial" w:hAnsi="Arial"/>
          <w:sz w:val="16"/>
          <w:szCs w:val="16"/>
          <w:color w:val="auto"/>
        </w:rPr>
        <w:t xml:space="preserve">Based upon the criteria set forth in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February 2, 2020 and February 3, 2019.</w:t>
      </w:r>
    </w:p>
    <w:p>
      <w:pPr>
        <w:spacing w:after="0" w:line="121" w:lineRule="exact"/>
        <w:rPr>
          <w:sz w:val="20"/>
          <w:szCs w:val="20"/>
          <w:color w:val="auto"/>
        </w:rPr>
      </w:pPr>
    </w:p>
    <w:p>
      <w:pPr>
        <w:ind w:left="20" w:firstLine="441"/>
        <w:spacing w:after="0" w:line="254"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57" w:name="page58"/>
    <w:bookmarkEnd w:id="5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520" w:firstLine="441"/>
        <w:spacing w:after="0" w:line="277" w:lineRule="auto"/>
        <w:rPr>
          <w:sz w:val="20"/>
          <w:szCs w:val="20"/>
          <w:color w:val="auto"/>
        </w:rPr>
      </w:pPr>
      <w:r>
        <w:rPr>
          <w:rFonts w:ascii="Arial" w:cs="Arial" w:eastAsia="Arial" w:hAnsi="Arial"/>
          <w:sz w:val="18"/>
          <w:szCs w:val="18"/>
          <w:color w:val="auto"/>
        </w:rPr>
        <w:t>The condensed consolidated balance sheets include the following amounts as a result of the consolidation of TRI as of February 2, 2020 and February 3,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February 2, 2020</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3, 2019</w:t>
            </w:r>
          </w:p>
        </w:tc>
      </w:tr>
      <w:tr>
        <w:trPr>
          <w:trHeight w:val="183"/>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28,146</w:t>
            </w:r>
          </w:p>
        </w:tc>
        <w:tc>
          <w:tcPr>
            <w:tcW w:w="20" w:type="dxa"/>
            <w:vAlign w:val="bottom"/>
          </w:tcPr>
          <w:p>
            <w:pPr>
              <w:spacing w:after="0"/>
              <w:rPr>
                <w:sz w:val="18"/>
                <w:szCs w:val="18"/>
                <w:color w:val="auto"/>
              </w:rPr>
            </w:pPr>
          </w:p>
        </w:tc>
      </w:tr>
      <w:tr>
        <w:trPr>
          <w:trHeight w:val="216"/>
        </w:trPr>
        <w:tc>
          <w:tcPr>
            <w:tcW w:w="6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w:t>
            </w:r>
          </w:p>
        </w:tc>
        <w:tc>
          <w:tcPr>
            <w:tcW w:w="20" w:type="dxa"/>
            <w:vAlign w:val="bottom"/>
          </w:tcPr>
          <w:p>
            <w:pPr>
              <w:spacing w:after="0"/>
              <w:rPr>
                <w:sz w:val="18"/>
                <w:szCs w:val="18"/>
                <w:color w:val="auto"/>
              </w:rPr>
            </w:pPr>
          </w:p>
        </w:tc>
      </w:tr>
      <w:tr>
        <w:trPr>
          <w:trHeight w:val="203"/>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28,251</w:t>
            </w:r>
          </w:p>
        </w:tc>
        <w:tc>
          <w:tcPr>
            <w:tcW w:w="20" w:type="dxa"/>
            <w:vAlign w:val="bottom"/>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Noncontrolling interest in VIE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17"/>
        </w:trPr>
        <w:tc>
          <w:tcPr>
            <w:tcW w:w="6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w:t>
            </w:r>
          </w:p>
        </w:tc>
        <w:tc>
          <w:tcPr>
            <w:tcW w:w="20" w:type="dxa"/>
            <w:vAlign w:val="bottom"/>
          </w:tcPr>
          <w:p>
            <w:pPr>
              <w:spacing w:after="0"/>
              <w:rPr>
                <w:sz w:val="18"/>
                <w:szCs w:val="18"/>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EARNINGS PER SHARE</w:t>
      </w:r>
    </w:p>
    <w:p>
      <w:pPr>
        <w:spacing w:after="0" w:line="202" w:lineRule="exact"/>
        <w:rPr>
          <w:sz w:val="20"/>
          <w:szCs w:val="20"/>
          <w:color w:val="auto"/>
        </w:rPr>
      </w:pPr>
    </w:p>
    <w:p>
      <w:pPr>
        <w:ind w:left="20" w:right="120" w:firstLine="441"/>
        <w:spacing w:after="0" w:line="275"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2020</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3, 2019</w:t>
            </w:r>
          </w:p>
        </w:tc>
        <w:tc>
          <w:tcPr>
            <w:tcW w:w="120" w:type="dxa"/>
            <w:vAlign w:val="bottom"/>
          </w:tcPr>
          <w:p>
            <w:pPr>
              <w:spacing w:after="0"/>
              <w:rPr>
                <w:sz w:val="15"/>
                <w:szCs w:val="15"/>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January 28, 2018</w:t>
            </w:r>
          </w:p>
        </w:tc>
      </w:tr>
      <w:tr>
        <w:trPr>
          <w:trHeight w:val="183"/>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 net income attributable to controlling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w w:val="99"/>
              </w:rPr>
              <w:t>Denominator - weighted average shares (Class A and Class B)</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31,853</w:t>
            </w:r>
          </w:p>
        </w:tc>
      </w:tr>
      <w:tr>
        <w:trPr>
          <w:trHeight w:val="216"/>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shares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32,285</w:t>
            </w:r>
          </w:p>
        </w:tc>
      </w:tr>
      <w:tr>
        <w:trPr>
          <w:trHeight w:val="190"/>
        </w:trPr>
        <w:tc>
          <w:tcPr>
            <w:tcW w:w="5040" w:type="dxa"/>
            <w:vAlign w:val="bottom"/>
          </w:tcPr>
          <w:p>
            <w:pPr>
              <w:ind w:left="20"/>
              <w:spacing w:after="0" w:line="189" w:lineRule="exact"/>
              <w:rPr>
                <w:sz w:val="20"/>
                <w:szCs w:val="20"/>
                <w:color w:val="auto"/>
              </w:rPr>
            </w:pPr>
            <w:r>
              <w:rPr>
                <w:rFonts w:ascii="Arial" w:cs="Arial" w:eastAsia="Arial" w:hAnsi="Arial"/>
                <w:sz w:val="18"/>
                <w:szCs w:val="18"/>
                <w:color w:val="auto"/>
              </w:rPr>
              <w:t>Earnings per share (Class A and Class B)</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31"/>
        </w:trPr>
        <w:tc>
          <w:tcPr>
            <w:tcW w:w="50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0"/>
                <w:szCs w:val="20"/>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0.72</w:t>
            </w:r>
          </w:p>
        </w:tc>
      </w:tr>
    </w:tbl>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SEGMENT REPORTING</w:t>
      </w:r>
    </w:p>
    <w:p>
      <w:pPr>
        <w:spacing w:after="0" w:line="189" w:lineRule="exact"/>
        <w:rPr>
          <w:sz w:val="20"/>
          <w:szCs w:val="20"/>
          <w:color w:val="auto"/>
        </w:rPr>
      </w:pPr>
    </w:p>
    <w:p>
      <w:pPr>
        <w:ind w:left="20" w:right="120" w:firstLine="441"/>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revenues from the Company’s website and catalogs. The retail segment includes revenues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7" w:lineRule="exact"/>
        <w:rPr>
          <w:sz w:val="20"/>
          <w:szCs w:val="20"/>
          <w:color w:val="auto"/>
        </w:rPr>
      </w:pPr>
    </w:p>
    <w:p>
      <w:pPr>
        <w:ind w:left="20" w:right="400" w:firstLine="441"/>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 related expenses, are included in the Company’s direct segment. Interest expense, depreciation and amortization, and property and equipment expenditures, are recognized in each respective segment. Advertising expenses are generally included in the Company’s direct segment, except for specific store advertising, which is included in the Company’s retail segment.</w:t>
      </w:r>
    </w:p>
    <w:p>
      <w:pPr>
        <w:spacing w:after="0" w:line="161" w:lineRule="exact"/>
        <w:rPr>
          <w:sz w:val="20"/>
          <w:szCs w:val="20"/>
          <w:color w:val="auto"/>
        </w:rPr>
      </w:pPr>
    </w:p>
    <w:p>
      <w:pPr>
        <w:ind w:left="20" w:right="40" w:firstLine="441"/>
        <w:spacing w:after="0" w:line="263" w:lineRule="auto"/>
        <w:rPr>
          <w:sz w:val="20"/>
          <w:szCs w:val="20"/>
          <w:color w:val="auto"/>
        </w:rPr>
      </w:pPr>
      <w:r>
        <w:rPr>
          <w:rFonts w:ascii="Arial" w:cs="Arial" w:eastAsia="Arial" w:hAnsi="Arial"/>
          <w:sz w:val="18"/>
          <w:szCs w:val="18"/>
          <w:color w:val="auto"/>
        </w:rPr>
        <w:t>Net sales by product is not presented because providing the information is impracticable. Net sales outside of the United States were insignificant. Variable allocations of assets are not made for segment reporting. The Company does not have any assets outside of the United States.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58" w:name="page59"/>
    <w:bookmarkEnd w:id="5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February 2, 2020</w:t>
            </w:r>
          </w:p>
        </w:tc>
        <w:tc>
          <w:tcPr>
            <w:tcW w:w="12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3, 2019</w:t>
            </w:r>
          </w:p>
        </w:tc>
        <w:tc>
          <w:tcPr>
            <w:tcW w:w="12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January 28, 2018</w:t>
            </w:r>
          </w:p>
        </w:tc>
      </w:t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(52 weeks)</w:t>
            </w: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(53 weeks)</w:t>
            </w:r>
          </w:p>
        </w:tc>
        <w:tc>
          <w:tcPr>
            <w:tcW w:w="12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(52 weeks)</w:t>
            </w:r>
          </w:p>
        </w:tc>
      </w:tr>
      <w:tr>
        <w:trPr>
          <w:trHeight w:val="183"/>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Direct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350,371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350,638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330,940</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217,464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140,507</w:t>
            </w:r>
          </w:p>
        </w:tc>
      </w:tr>
      <w:tr>
        <w:trPr>
          <w:trHeight w:val="216"/>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471,447</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Direct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(10,203)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13,247</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23,825</w:t>
            </w:r>
          </w:p>
        </w:tc>
      </w:tr>
      <w:tr>
        <w:trPr>
          <w:trHeight w:val="209"/>
        </w:trPr>
        <w:tc>
          <w:tcPr>
            <w:tcW w:w="5040" w:type="dxa"/>
            <w:vAlign w:val="bottom"/>
          </w:tcPr>
          <w:p>
            <w:pPr>
              <w:ind w:left="120"/>
              <w:spacing w:after="0"/>
              <w:rPr>
                <w:sz w:val="20"/>
                <w:szCs w:val="20"/>
                <w:color w:val="auto"/>
              </w:rPr>
            </w:pPr>
            <w:r>
              <w:rPr>
                <w:rFonts w:ascii="Arial" w:cs="Arial" w:eastAsia="Arial" w:hAnsi="Arial"/>
                <w:sz w:val="18"/>
                <w:szCs w:val="18"/>
                <w:color w:val="auto"/>
              </w:rPr>
              <w:t>Total operating income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37,072</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1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35,505</w:t>
            </w:r>
          </w:p>
        </w:tc>
      </w:tr>
    </w:tbl>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is presented in the following table: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4380" w:type="dxa"/>
            <w:vAlign w:val="bottom"/>
          </w:tcPr>
          <w:p>
            <w:pPr>
              <w:spacing w:after="0"/>
              <w:rPr>
                <w:sz w:val="19"/>
                <w:szCs w:val="19"/>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February 2, 2020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4"/>
              </w:rPr>
              <w:t>February 3, 2019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w w:val="98"/>
              </w:rPr>
              <w:t>January 28, 2018</w:t>
            </w:r>
          </w:p>
        </w:tc>
        <w:tc>
          <w:tcPr>
            <w:tcW w:w="40" w:type="dxa"/>
            <w:vAlign w:val="bottom"/>
          </w:tcPr>
          <w:p>
            <w:pPr>
              <w:spacing w:after="0"/>
              <w:rPr>
                <w:sz w:val="19"/>
                <w:szCs w:val="19"/>
                <w:color w:val="auto"/>
              </w:rPr>
            </w:pPr>
          </w:p>
        </w:tc>
      </w:tr>
      <w:tr>
        <w:trPr>
          <w:trHeight w:val="215"/>
        </w:trPr>
        <w:tc>
          <w:tcPr>
            <w:tcW w:w="4380" w:type="dxa"/>
            <w:vAlign w:val="bottom"/>
          </w:tcPr>
          <w:p>
            <w:pPr>
              <w:spacing w:after="0"/>
              <w:rPr>
                <w:sz w:val="18"/>
                <w:szCs w:val="18"/>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(52 weeks)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(53 weeks)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(52 weeks)</w:t>
            </w:r>
          </w:p>
        </w:tc>
        <w:tc>
          <w:tcPr>
            <w:tcW w:w="40" w:type="dxa"/>
            <w:vAlign w:val="bottom"/>
          </w:tcPr>
          <w:p>
            <w:pPr>
              <w:spacing w:after="0"/>
              <w:rPr>
                <w:sz w:val="18"/>
                <w:szCs w:val="18"/>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sales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Men's</w:t>
            </w:r>
          </w:p>
        </w:tc>
        <w:tc>
          <w:tcPr>
            <w:tcW w:w="660" w:type="dxa"/>
            <w:vAlign w:val="bottom"/>
          </w:tcPr>
          <w:p>
            <w:pPr>
              <w:jc w:val="right"/>
              <w:ind w:right="478"/>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419,122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395,536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333,536</w:t>
            </w:r>
          </w:p>
        </w:tc>
        <w:tc>
          <w:tcPr>
            <w:tcW w:w="40" w:type="dxa"/>
            <w:vAlign w:val="bottom"/>
          </w:tcPr>
          <w:p>
            <w:pPr>
              <w:spacing w:after="0"/>
              <w:rPr>
                <w:sz w:val="18"/>
                <w:szCs w:val="18"/>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Women's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110,343</w:t>
            </w:r>
          </w:p>
        </w:tc>
        <w:tc>
          <w:tcPr>
            <w:tcW w:w="4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Hard goods/other</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27,568</w:t>
            </w:r>
          </w:p>
        </w:tc>
        <w:tc>
          <w:tcPr>
            <w:tcW w:w="40" w:type="dxa"/>
            <w:vAlign w:val="bottom"/>
          </w:tcPr>
          <w:p>
            <w:pPr>
              <w:spacing w:after="0"/>
              <w:rPr>
                <w:sz w:val="18"/>
                <w:szCs w:val="18"/>
                <w:color w:val="auto"/>
              </w:rPr>
            </w:pPr>
          </w:p>
        </w:tc>
      </w:tr>
      <w:tr>
        <w:trPr>
          <w:trHeight w:val="230"/>
        </w:trPr>
        <w:tc>
          <w:tcPr>
            <w:tcW w:w="4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sales</w:t>
            </w: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615,624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471,447</w:t>
            </w:r>
          </w:p>
        </w:tc>
        <w:tc>
          <w:tcPr>
            <w:tcW w:w="40" w:type="dxa"/>
            <w:vAlign w:val="bottom"/>
          </w:tcPr>
          <w:p>
            <w:pPr>
              <w:spacing w:after="0"/>
              <w:rPr>
                <w:sz w:val="19"/>
                <w:szCs w:val="19"/>
                <w:color w:val="auto"/>
              </w:rPr>
            </w:pPr>
          </w:p>
        </w:tc>
      </w:tr>
      <w:tr>
        <w:trPr>
          <w:trHeight w:val="379"/>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total assets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February 2, 2020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February 3, 2019</w:t>
            </w:r>
          </w:p>
        </w:tc>
        <w:tc>
          <w:tcPr>
            <w:tcW w:w="40" w:type="dxa"/>
            <w:vAlign w:val="bottom"/>
          </w:tcPr>
          <w:p>
            <w:pPr>
              <w:spacing w:after="0"/>
              <w:rPr>
                <w:sz w:val="24"/>
                <w:szCs w:val="24"/>
                <w:color w:val="auto"/>
              </w:rPr>
            </w:pPr>
          </w:p>
        </w:tc>
      </w:tr>
      <w:tr>
        <w:trPr>
          <w:trHeight w:val="183"/>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181,429</w:t>
            </w:r>
          </w:p>
        </w:tc>
        <w:tc>
          <w:tcPr>
            <w:tcW w:w="4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229,861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113,876</w:t>
            </w:r>
          </w:p>
        </w:tc>
        <w:tc>
          <w:tcPr>
            <w:tcW w:w="40" w:type="dxa"/>
            <w:vAlign w:val="bottom"/>
          </w:tcPr>
          <w:p>
            <w:pPr>
              <w:spacing w:after="0"/>
              <w:rPr>
                <w:sz w:val="18"/>
                <w:szCs w:val="18"/>
                <w:color w:val="auto"/>
              </w:rPr>
            </w:pPr>
          </w:p>
        </w:tc>
      </w:tr>
      <w:tr>
        <w:trPr>
          <w:trHeight w:val="23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period end</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474,050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295,305</w:t>
            </w:r>
          </w:p>
        </w:tc>
        <w:tc>
          <w:tcPr>
            <w:tcW w:w="40" w:type="dxa"/>
            <w:vAlign w:val="bottom"/>
          </w:tcPr>
          <w:p>
            <w:pPr>
              <w:spacing w:after="0"/>
              <w:rPr>
                <w:sz w:val="19"/>
                <w:szCs w:val="19"/>
                <w:color w:val="auto"/>
              </w:rPr>
            </w:pPr>
          </w:p>
        </w:tc>
      </w:tr>
      <w:tr>
        <w:trPr>
          <w:trHeight w:val="378"/>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depreciation and amortization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4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7"/>
              </w:rPr>
              <w:t>February 2, 2020</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February 3, 2019</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January 28, 2018</w:t>
            </w:r>
          </w:p>
        </w:tc>
        <w:tc>
          <w:tcPr>
            <w:tcW w:w="40" w:type="dxa"/>
            <w:vAlign w:val="bottom"/>
          </w:tcPr>
          <w:p>
            <w:pPr>
              <w:spacing w:after="0"/>
              <w:rPr>
                <w:sz w:val="15"/>
                <w:szCs w:val="15"/>
                <w:color w:val="auto"/>
              </w:rPr>
            </w:pPr>
          </w:p>
        </w:tc>
      </w:tr>
      <w:tr>
        <w:trPr>
          <w:trHeight w:val="183"/>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4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11,199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8,034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40" w:type="dxa"/>
            <w:vAlign w:val="bottom"/>
          </w:tcPr>
          <w:p>
            <w:pPr>
              <w:spacing w:after="0"/>
              <w:rPr>
                <w:sz w:val="18"/>
                <w:szCs w:val="18"/>
                <w:color w:val="auto"/>
              </w:rPr>
            </w:pPr>
          </w:p>
        </w:tc>
      </w:tr>
      <w:tr>
        <w:trPr>
          <w:trHeight w:val="22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12,594</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40" w:type="dxa"/>
            <w:vAlign w:val="bottom"/>
          </w:tcPr>
          <w:p>
            <w:pPr>
              <w:spacing w:after="0"/>
              <w:rPr>
                <w:sz w:val="19"/>
                <w:szCs w:val="19"/>
                <w:color w:val="auto"/>
              </w:rPr>
            </w:pPr>
          </w:p>
        </w:tc>
      </w:tr>
      <w:tr>
        <w:trPr>
          <w:trHeight w:val="392"/>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capital expenditures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4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7"/>
              </w:rPr>
              <w:t>February 2, 2020</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February 3, 2019</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January 28, 2018</w:t>
            </w:r>
          </w:p>
        </w:tc>
        <w:tc>
          <w:tcPr>
            <w:tcW w:w="40" w:type="dxa"/>
            <w:vAlign w:val="bottom"/>
          </w:tcPr>
          <w:p>
            <w:pPr>
              <w:spacing w:after="0"/>
              <w:rPr>
                <w:sz w:val="15"/>
                <w:szCs w:val="15"/>
                <w:color w:val="auto"/>
              </w:rPr>
            </w:pPr>
          </w:p>
        </w:tc>
      </w:tr>
      <w:tr>
        <w:trPr>
          <w:trHeight w:val="183"/>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4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19,861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32,514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35,651</w:t>
            </w:r>
          </w:p>
        </w:tc>
        <w:tc>
          <w:tcPr>
            <w:tcW w:w="40" w:type="dxa"/>
            <w:vAlign w:val="bottom"/>
          </w:tcPr>
          <w:p>
            <w:pPr>
              <w:spacing w:after="0"/>
              <w:rPr>
                <w:sz w:val="18"/>
                <w:szCs w:val="18"/>
                <w:color w:val="auto"/>
              </w:rPr>
            </w:pPr>
          </w:p>
        </w:tc>
      </w:tr>
      <w:tr>
        <w:trPr>
          <w:trHeight w:val="23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30,789</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53,036</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40" w:type="dxa"/>
            <w:vAlign w:val="bottom"/>
          </w:tcPr>
          <w:p>
            <w:pPr>
              <w:spacing w:after="0"/>
              <w:rPr>
                <w:sz w:val="19"/>
                <w:szCs w:val="19"/>
                <w:color w:val="auto"/>
              </w:rPr>
            </w:pPr>
          </w:p>
        </w:tc>
      </w:tr>
      <w:tr>
        <w:trPr>
          <w:trHeight w:val="758"/>
        </w:trPr>
        <w:tc>
          <w:tcPr>
            <w:tcW w:w="4380" w:type="dxa"/>
            <w:vAlign w:val="bottom"/>
          </w:tcPr>
          <w:p>
            <w:pPr>
              <w:spacing w:after="0"/>
              <w:rPr>
                <w:sz w:val="24"/>
                <w:szCs w:val="24"/>
                <w:color w:val="auto"/>
              </w:rPr>
            </w:pPr>
          </w:p>
        </w:tc>
        <w:tc>
          <w:tcPr>
            <w:tcW w:w="660" w:type="dxa"/>
            <w:vAlign w:val="bottom"/>
          </w:tcPr>
          <w:p>
            <w:pPr>
              <w:jc w:val="right"/>
              <w:ind w:right="13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3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8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500"/>
          </w:cols>
          <w:pgMar w:left="1200" w:top="125" w:right="1199" w:bottom="1440" w:gutter="0" w:footer="0" w:header="0"/>
        </w:sectPr>
      </w:pPr>
    </w:p>
    <w:bookmarkStart w:id="59" w:name="page60"/>
    <w:bookmarkEnd w:id="5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CONTRACT ASSETS AND LIABILITIES</w:t>
      </w:r>
    </w:p>
    <w:p>
      <w:pPr>
        <w:spacing w:after="0" w:line="189" w:lineRule="exact"/>
        <w:rPr>
          <w:sz w:val="20"/>
          <w:szCs w:val="20"/>
          <w:color w:val="auto"/>
        </w:rPr>
      </w:pPr>
    </w:p>
    <w:p>
      <w:pPr>
        <w:ind w:left="20" w:right="20" w:firstLine="405"/>
        <w:spacing w:after="0" w:line="257" w:lineRule="auto"/>
        <w:rPr>
          <w:sz w:val="20"/>
          <w:szCs w:val="20"/>
          <w:color w:val="auto"/>
        </w:rPr>
      </w:pPr>
      <w:r>
        <w:rPr>
          <w:rFonts w:ascii="Arial" w:cs="Arial" w:eastAsia="Arial" w:hAnsi="Arial"/>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2, 2020</w:t>
            </w:r>
          </w:p>
        </w:tc>
        <w:tc>
          <w:tcPr>
            <w:tcW w:w="240" w:type="dxa"/>
            <w:vAlign w:val="bottom"/>
          </w:tcPr>
          <w:p>
            <w:pPr>
              <w:spacing w:after="0"/>
              <w:rPr>
                <w:sz w:val="14"/>
                <w:szCs w:val="14"/>
                <w:color w:val="auto"/>
              </w:rPr>
            </w:pP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February 3, 2019</w:t>
            </w:r>
          </w:p>
        </w:tc>
      </w:tr>
      <w:tr>
        <w:trPr>
          <w:trHeight w:val="210"/>
        </w:trPr>
        <w:tc>
          <w:tcPr>
            <w:tcW w:w="5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9,790</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8,508</w:t>
            </w:r>
          </w:p>
        </w:tc>
      </w:tr>
    </w:tbl>
    <w:p>
      <w:pPr>
        <w:spacing w:after="0" w:line="390" w:lineRule="exact"/>
        <w:rPr>
          <w:sz w:val="20"/>
          <w:szCs w:val="20"/>
          <w:color w:val="auto"/>
        </w:rPr>
      </w:pPr>
    </w:p>
    <w:p>
      <w:pPr>
        <w:ind w:left="20" w:right="380" w:firstLine="401"/>
        <w:spacing w:after="0" w:line="301" w:lineRule="auto"/>
        <w:rPr>
          <w:sz w:val="20"/>
          <w:szCs w:val="20"/>
          <w:color w:val="auto"/>
        </w:rPr>
      </w:pPr>
      <w:r>
        <w:rPr>
          <w:rFonts w:ascii="Arial" w:cs="Arial" w:eastAsia="Arial" w:hAnsi="Arial"/>
          <w:sz w:val="16"/>
          <w:szCs w:val="16"/>
          <w:color w:val="auto"/>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revenue on the Company’s consolidated statement of operations. The following table provides the reconciliation of the contract liability related to gift cards: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4"/>
                <w:szCs w:val="14"/>
                <w:b w:val="1"/>
                <w:bCs w:val="1"/>
                <w:color w:val="auto"/>
              </w:rPr>
              <w:t>February 2, 2020</w:t>
            </w:r>
          </w:p>
        </w:tc>
      </w:tr>
      <w:tr>
        <w:trPr>
          <w:trHeight w:val="209"/>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2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Gift cards sold</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17,523</w:t>
            </w:r>
          </w:p>
        </w:tc>
        <w:tc>
          <w:tcPr>
            <w:tcW w:w="20" w:type="dxa"/>
            <w:vAlign w:val="bottom"/>
          </w:tcPr>
          <w:p>
            <w:pPr>
              <w:spacing w:after="0"/>
              <w:rPr>
                <w:sz w:val="19"/>
                <w:szCs w:val="19"/>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cards redeemed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2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9"/>
                <w:szCs w:val="19"/>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escheat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February 2, 2020</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w:t>
            </w:r>
          </w:p>
        </w:tc>
        <w:tc>
          <w:tcPr>
            <w:tcW w:w="20" w:type="dxa"/>
            <w:vAlign w:val="bottom"/>
          </w:tcPr>
          <w:p>
            <w:pPr>
              <w:spacing w:after="0"/>
              <w:rPr>
                <w:sz w:val="18"/>
                <w:szCs w:val="18"/>
                <w:color w:val="auto"/>
              </w:rPr>
            </w:pPr>
          </w:p>
        </w:tc>
      </w:tr>
      <w:tr>
        <w:trPr>
          <w:trHeight w:val="47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10. INCOME TAXES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6020" w:type="dxa"/>
            <w:vAlign w:val="bottom"/>
            <w:gridSpan w:val="4"/>
          </w:tcPr>
          <w:p>
            <w:pPr>
              <w:ind w:left="460"/>
              <w:spacing w:after="0"/>
              <w:rPr>
                <w:sz w:val="20"/>
                <w:szCs w:val="20"/>
                <w:color w:val="auto"/>
              </w:rPr>
            </w:pPr>
            <w:r>
              <w:rPr>
                <w:rFonts w:ascii="Arial" w:cs="Arial" w:eastAsia="Arial" w:hAnsi="Arial"/>
                <w:sz w:val="18"/>
                <w:szCs w:val="18"/>
                <w:color w:val="auto"/>
              </w:rPr>
              <w:t>The components of income tax expense were as follows: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6"/>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February 2, 2020</w:t>
            </w:r>
          </w:p>
        </w:tc>
        <w:tc>
          <w:tcPr>
            <w:tcW w:w="16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February 3, 2019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 2018</w:t>
            </w: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4,727</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(589)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9,118</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18"/>
                <w:szCs w:val="18"/>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11,345</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09"/>
        </w:trPr>
        <w:tc>
          <w:tcPr>
            <w:tcW w:w="4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7,999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r>
      <w:tr>
        <w:trPr>
          <w:trHeight w:val="21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tcPr>
          <w:p>
            <w:pPr>
              <w:spacing w:after="0"/>
              <w:rPr>
                <w:sz w:val="18"/>
                <w:szCs w:val="18"/>
                <w:color w:val="auto"/>
              </w:rPr>
            </w:pPr>
          </w:p>
        </w:tc>
      </w:tr>
    </w:tbl>
    <w:p>
      <w:pPr>
        <w:spacing w:after="0" w:line="391" w:lineRule="exact"/>
        <w:rPr>
          <w:sz w:val="20"/>
          <w:szCs w:val="20"/>
          <w:color w:val="auto"/>
        </w:rPr>
      </w:pPr>
    </w:p>
    <w:p>
      <w:pPr>
        <w:ind w:left="20" w:right="40" w:firstLine="441"/>
        <w:spacing w:after="0" w:line="289" w:lineRule="auto"/>
        <w:rPr>
          <w:sz w:val="20"/>
          <w:szCs w:val="20"/>
          <w:color w:val="auto"/>
        </w:rPr>
      </w:pPr>
      <w:r>
        <w:rPr>
          <w:rFonts w:ascii="Arial" w:cs="Arial" w:eastAsia="Arial" w:hAnsi="Arial"/>
          <w:sz w:val="16"/>
          <w:szCs w:val="16"/>
          <w:color w:val="auto"/>
        </w:rPr>
        <w:t>In December 2017, the United Sates enacted new federal comprehensive tax legislation commonly referred to as the Tax Cuts and Jobs Act (the “Tax Act”). The Tax Act significantly revised the U.S. corporate income tax regime by, among other things, lowering the corporate tax rate from 35% to 21% effective January 1, 2018 (the “Effective Date”). When a U.S. federal tax rate change occurs during a fiscal year, taxpayers are required to compute a weighted daily average rate for the fiscal year of enactment. As a result of the Tax Act, the Company calculated a U.S. federal statutory corporate income tax rate of 33.9% for the fiscal year 2017. The U.S. federal statutory corporate income tax rate of 33.9% was the weighted daily average rate between the pre-enactment U.S. federal statutory tax rate of 35% applicable to the Company’s current fiscal year prior to the Effective Date and the post-enactment U.S. federal statutory tax rate of 21% applicable from January 1 to January 28 of 2018. The U.S. federal statutory rate is 21% for fiscal years beginning after January 28, 2018. As a result of the Tax Act in fiscal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60" w:name="page61"/>
    <w:bookmarkEnd w:id="6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40"/>
        <w:spacing w:after="0" w:line="277" w:lineRule="auto"/>
        <w:rPr>
          <w:sz w:val="20"/>
          <w:szCs w:val="20"/>
          <w:color w:val="auto"/>
        </w:rPr>
      </w:pPr>
      <w:r>
        <w:rPr>
          <w:rFonts w:ascii="Arial" w:cs="Arial" w:eastAsia="Arial" w:hAnsi="Arial"/>
          <w:sz w:val="18"/>
          <w:szCs w:val="18"/>
          <w:color w:val="auto"/>
        </w:rPr>
        <w:t>2017, the Company recorded a net benefit of $1.5 million from remeasuring its deferred tax assets and liabilities for the year ended January 28, 2018.</w:t>
      </w:r>
    </w:p>
    <w:p>
      <w:pPr>
        <w:spacing w:after="0" w:line="143" w:lineRule="exact"/>
        <w:rPr>
          <w:sz w:val="20"/>
          <w:szCs w:val="20"/>
          <w:color w:val="auto"/>
        </w:rPr>
      </w:pPr>
    </w:p>
    <w:p>
      <w:pPr>
        <w:ind w:left="20" w:right="20" w:firstLine="441"/>
        <w:spacing w:after="0" w:line="259" w:lineRule="auto"/>
        <w:rPr>
          <w:sz w:val="20"/>
          <w:szCs w:val="20"/>
          <w:color w:val="auto"/>
        </w:rPr>
      </w:pPr>
      <w:r>
        <w:rPr>
          <w:rFonts w:ascii="Arial" w:cs="Arial" w:eastAsia="Arial" w:hAnsi="Arial"/>
          <w:sz w:val="18"/>
          <w:szCs w:val="18"/>
          <w:color w:val="auto"/>
        </w:rPr>
        <w:t>The Company had a research and development tax credit study performed for fiscal 2016, 2017 and 2018. The Company filed an amended tax return for fiscal 2016 and fiscal 2017 reflecting research and development tax credits of $0.1 million and $0.2 million, respectively. The Company recognized a $0.4 million research and development tax credit for fiscal 2018. The above credits were recognized as a discrete item in the fourth quarter of fiscal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income tax expense to the amount computed at the federal statutory rate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7"/>
              </w:rPr>
              <w:t>Fiscal Year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210"/>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February 2, 2020</w:t>
            </w:r>
          </w:p>
        </w:tc>
        <w:tc>
          <w:tcPr>
            <w:tcW w:w="180" w:type="dxa"/>
            <w:vAlign w:val="bottom"/>
          </w:tcPr>
          <w:p>
            <w:pPr>
              <w:spacing w:after="0"/>
              <w:rPr>
                <w:sz w:val="18"/>
                <w:szCs w:val="18"/>
                <w:color w:val="auto"/>
              </w:rPr>
            </w:pPr>
          </w:p>
        </w:tc>
        <w:tc>
          <w:tcPr>
            <w:tcW w:w="156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February 3, 2019</w:t>
            </w:r>
          </w:p>
        </w:tc>
        <w:tc>
          <w:tcPr>
            <w:tcW w:w="180" w:type="dxa"/>
            <w:vAlign w:val="bottom"/>
          </w:tcPr>
          <w:p>
            <w:pPr>
              <w:spacing w:after="0"/>
              <w:rPr>
                <w:sz w:val="18"/>
                <w:szCs w:val="18"/>
                <w:color w:val="auto"/>
              </w:rPr>
            </w:pPr>
          </w:p>
        </w:tc>
        <w:tc>
          <w:tcPr>
            <w:tcW w:w="14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January 28, 2018</w:t>
            </w:r>
          </w:p>
        </w:tc>
      </w:tr>
      <w:tr>
        <w:trPr>
          <w:trHeight w:val="183"/>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21.0 %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33.9 %</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Statutory rate change</w:t>
            </w:r>
          </w:p>
        </w:tc>
        <w:tc>
          <w:tcPr>
            <w:tcW w:w="2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Research and development tax credits</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7"/>
        </w:trPr>
        <w:tc>
          <w:tcPr>
            <w:tcW w:w="43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11,878</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377" w:lineRule="exact"/>
        <w:rPr>
          <w:sz w:val="20"/>
          <w:szCs w:val="20"/>
          <w:color w:val="auto"/>
        </w:rPr>
      </w:pPr>
    </w:p>
    <w:p>
      <w:pPr>
        <w:ind w:left="20" w:right="240" w:firstLine="441"/>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February 2, 2020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3, 2019</w:t>
            </w:r>
          </w:p>
        </w:tc>
      </w:tr>
      <w:tr>
        <w:trPr>
          <w:trHeight w:val="182"/>
        </w:trPr>
        <w:tc>
          <w:tcPr>
            <w:tcW w:w="6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Returns allowance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Uniform capitalization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Accruals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6,337</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Advance payments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lease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Net operating loss carryover</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credit carryover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68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11,201</w:t>
            </w:r>
          </w:p>
        </w:tc>
      </w:tr>
      <w:tr>
        <w:trPr>
          <w:trHeight w:val="202"/>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19,739</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investment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intangibles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Capital lease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recognition method adjustment</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20,923</w:t>
            </w:r>
          </w:p>
        </w:tc>
      </w:tr>
      <w:tr>
        <w:trPr>
          <w:trHeight w:val="216"/>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ind w:left="20" w:firstLine="441"/>
        <w:spacing w:after="0" w:line="301" w:lineRule="auto"/>
        <w:rPr>
          <w:sz w:val="20"/>
          <w:szCs w:val="20"/>
          <w:color w:val="auto"/>
        </w:rPr>
      </w:pPr>
      <w:r>
        <w:rPr>
          <w:rFonts w:ascii="Arial" w:cs="Arial" w:eastAsia="Arial" w:hAnsi="Arial"/>
          <w:sz w:val="16"/>
          <w:szCs w:val="16"/>
          <w:color w:val="auto"/>
        </w:rPr>
        <w:t>As of February 2, 2020 and February 3, 2019, there were no material unrecognized tax benefits. The Company does not anticipate that there will be a material change in the balance of the unrecognized tax benefits in the next 12 months. Any interest and penalties related to uncertain tax positions are recorded in income tax expense. There were no amounts recorded as tax expense for interest or penalties for the years ended February 2, 2020, February 3, 2019 and January 28, 2018.</w:t>
      </w:r>
    </w:p>
    <w:p>
      <w:pPr>
        <w:spacing w:after="0" w:line="117" w:lineRule="exact"/>
        <w:rPr>
          <w:sz w:val="20"/>
          <w:szCs w:val="20"/>
          <w:color w:val="auto"/>
        </w:rPr>
      </w:pPr>
    </w:p>
    <w:p>
      <w:pPr>
        <w:ind w:left="20" w:right="120" w:firstLine="441"/>
        <w:spacing w:after="0" w:line="263" w:lineRule="auto"/>
        <w:rPr>
          <w:sz w:val="20"/>
          <w:szCs w:val="20"/>
          <w:color w:val="auto"/>
        </w:rPr>
      </w:pPr>
      <w:r>
        <w:rPr>
          <w:rFonts w:ascii="Arial" w:cs="Arial" w:eastAsia="Arial" w:hAnsi="Arial"/>
          <w:sz w:val="18"/>
          <w:szCs w:val="18"/>
          <w:color w:val="auto"/>
        </w:rPr>
        <w:t>The Company files income tax returns in the United States federal jurisdiction and in various state jurisdictions. Federal tax returns for tax years beginning January 1, 2016, and state tax returns for tax years beginning January 1, 2015, are open for examination.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80"/>
          </w:cols>
          <w:pgMar w:left="1200" w:top="125" w:right="1219" w:bottom="1440" w:gutter="0" w:footer="0" w:header="0"/>
        </w:sectPr>
      </w:pPr>
    </w:p>
    <w:bookmarkStart w:id="61" w:name="page62"/>
    <w:bookmarkEnd w:id="6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RETIREMENT PLAN</w:t>
      </w:r>
    </w:p>
    <w:p>
      <w:pPr>
        <w:spacing w:after="0" w:line="202" w:lineRule="exact"/>
        <w:rPr>
          <w:sz w:val="20"/>
          <w:szCs w:val="20"/>
          <w:color w:val="auto"/>
        </w:rPr>
      </w:pPr>
    </w:p>
    <w:p>
      <w:pPr>
        <w:ind w:left="20" w:right="180" w:firstLine="441"/>
        <w:spacing w:after="0" w:line="279" w:lineRule="auto"/>
        <w:rPr>
          <w:sz w:val="20"/>
          <w:szCs w:val="20"/>
          <w:color w:val="auto"/>
        </w:rPr>
      </w:pPr>
      <w:r>
        <w:rPr>
          <w:rFonts w:ascii="Arial" w:cs="Arial" w:eastAsia="Arial" w:hAnsi="Arial"/>
          <w:sz w:val="17"/>
          <w:szCs w:val="17"/>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31" w:lineRule="exact"/>
        <w:rPr>
          <w:sz w:val="20"/>
          <w:szCs w:val="20"/>
          <w:color w:val="auto"/>
        </w:rPr>
      </w:pPr>
    </w:p>
    <w:p>
      <w:pPr>
        <w:ind w:left="20" w:right="200" w:firstLine="441"/>
        <w:spacing w:after="0" w:line="277" w:lineRule="auto"/>
        <w:rPr>
          <w:sz w:val="20"/>
          <w:szCs w:val="20"/>
          <w:color w:val="auto"/>
        </w:rPr>
      </w:pPr>
      <w:r>
        <w:rPr>
          <w:rFonts w:ascii="Arial" w:cs="Arial" w:eastAsia="Arial" w:hAnsi="Arial"/>
          <w:sz w:val="18"/>
          <w:szCs w:val="18"/>
          <w:color w:val="auto"/>
        </w:rPr>
        <w:t>The Company is also permitted to make discretionary profit sharing contributions to the Plan. There were no profit sharing contributions for the plan year ended December 31, 2019, 2018 and 2017.</w:t>
      </w:r>
    </w:p>
    <w:p>
      <w:pPr>
        <w:spacing w:after="0" w:line="130" w:lineRule="exact"/>
        <w:rPr>
          <w:sz w:val="20"/>
          <w:szCs w:val="20"/>
          <w:color w:val="auto"/>
        </w:rPr>
      </w:pPr>
    </w:p>
    <w:p>
      <w:pPr>
        <w:ind w:left="20" w:right="260" w:firstLine="441"/>
        <w:spacing w:after="0" w:line="277" w:lineRule="auto"/>
        <w:rPr>
          <w:sz w:val="20"/>
          <w:szCs w:val="20"/>
          <w:color w:val="auto"/>
        </w:rPr>
      </w:pPr>
      <w:r>
        <w:rPr>
          <w:rFonts w:ascii="Arial" w:cs="Arial" w:eastAsia="Arial" w:hAnsi="Arial"/>
          <w:sz w:val="18"/>
          <w:szCs w:val="18"/>
          <w:color w:val="auto"/>
        </w:rPr>
        <w:t>The Company’s total expenses under the Plan were $1.5 million, $1.2 million and $0.8 million for fiscal 2019, fiscal 2018 and fiscal 2017, respectively.</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left="20" w:right="20" w:firstLine="441"/>
        <w:spacing w:after="0" w:line="271" w:lineRule="auto"/>
        <w:rPr>
          <w:sz w:val="20"/>
          <w:szCs w:val="20"/>
          <w:color w:val="auto"/>
        </w:rPr>
      </w:pPr>
      <w:r>
        <w:rPr>
          <w:rFonts w:ascii="Arial" w:cs="Arial" w:eastAsia="Arial" w:hAnsi="Arial"/>
          <w:sz w:val="17"/>
          <w:szCs w:val="17"/>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QUARTERLY FINANCIAL DATA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1"/>
              </w:rPr>
              <w:t>Fiscal 2019 – 52 weeks</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0"/>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First</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of Net</w:t>
            </w: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Second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 of Net</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Third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 of Net</w:t>
            </w:r>
          </w:p>
        </w:tc>
        <w:tc>
          <w:tcPr>
            <w:tcW w:w="14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c>
          <w:tcPr>
            <w:tcW w:w="40" w:type="dxa"/>
            <w:vAlign w:val="bottom"/>
          </w:tcPr>
          <w:p>
            <w:pPr>
              <w:spacing w:after="0"/>
              <w:rPr>
                <w:sz w:val="17"/>
                <w:szCs w:val="17"/>
                <w:color w:val="auto"/>
              </w:rPr>
            </w:pPr>
          </w:p>
        </w:tc>
      </w:t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Sales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earnings per share)</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114,244</w:t>
            </w:r>
          </w:p>
        </w:tc>
        <w:tc>
          <w:tcPr>
            <w:tcW w:w="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100.0%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121,963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119,768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259,649</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7"/>
                <w:szCs w:val="17"/>
                <w:color w:val="auto"/>
              </w:rPr>
            </w:pPr>
          </w:p>
        </w:tc>
      </w:tr>
      <w:tr>
        <w:trPr>
          <w:trHeight w:val="203"/>
        </w:trPr>
        <w:tc>
          <w:tcPr>
            <w:tcW w:w="26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60,918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64,804</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65,365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137,062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52.8%</w:t>
            </w:r>
          </w:p>
        </w:tc>
        <w:tc>
          <w:tcPr>
            <w:tcW w:w="40" w:type="dxa"/>
            <w:vAlign w:val="bottom"/>
          </w:tcPr>
          <w:p>
            <w:pPr>
              <w:spacing w:after="0"/>
              <w:rPr>
                <w:sz w:val="17"/>
                <w:szCs w:val="17"/>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income</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33,149</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7"/>
                <w:szCs w:val="17"/>
                <w:color w:val="auto"/>
              </w:rPr>
            </w:pPr>
          </w:p>
        </w:tc>
      </w:tr>
      <w:tr>
        <w:trPr>
          <w:trHeight w:val="224"/>
        </w:trPr>
        <w:tc>
          <w:tcPr>
            <w:tcW w:w="2660" w:type="dxa"/>
            <w:vAlign w:val="bottom"/>
          </w:tcPr>
          <w:p>
            <w:pPr>
              <w:ind w:left="20"/>
              <w:spacing w:after="0"/>
              <w:rPr>
                <w:sz w:val="20"/>
                <w:szCs w:val="20"/>
                <w:color w:val="auto"/>
              </w:rPr>
            </w:pPr>
            <w:r>
              <w:rPr>
                <w:rFonts w:ascii="Arial" w:cs="Arial" w:eastAsia="Arial" w:hAnsi="Arial"/>
                <w:sz w:val="14"/>
                <w:szCs w:val="14"/>
                <w:color w:val="auto"/>
              </w:rPr>
              <w:t>Net (loss) income attributable to</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67"/>
        </w:trPr>
        <w:tc>
          <w:tcPr>
            <w:tcW w:w="266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(7,572)</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1,936</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24,375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w:t>
            </w:r>
          </w:p>
        </w:tc>
        <w:tc>
          <w:tcPr>
            <w:tcW w:w="40" w:type="dxa"/>
            <w:vAlign w:val="bottom"/>
          </w:tcPr>
          <w:p>
            <w:pPr>
              <w:spacing w:after="0"/>
              <w:rPr>
                <w:sz w:val="14"/>
                <w:szCs w:val="14"/>
                <w:color w:val="auto"/>
              </w:rPr>
            </w:pPr>
          </w:p>
        </w:tc>
      </w:tr>
      <w:tr>
        <w:trPr>
          <w:trHeight w:val="2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(loss) earnings per share</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6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(0.23)</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92"/>
        </w:trPr>
        <w:tc>
          <w:tcPr>
            <w:tcW w:w="2660" w:type="dxa"/>
            <w:vAlign w:val="bottom"/>
          </w:tcPr>
          <w:p>
            <w:pPr>
              <w:ind w:left="20"/>
              <w:spacing w:after="0"/>
              <w:rPr>
                <w:sz w:val="20"/>
                <w:szCs w:val="20"/>
                <w:color w:val="auto"/>
              </w:rPr>
            </w:pPr>
            <w:r>
              <w:rPr>
                <w:rFonts w:ascii="Arial" w:cs="Arial" w:eastAsia="Arial" w:hAnsi="Arial"/>
                <w:sz w:val="14"/>
                <w:szCs w:val="14"/>
                <w:color w:val="auto"/>
              </w:rPr>
              <w:t>Diluted (loss) earnings per share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266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(0.23)</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0.75</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94"/>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2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-16510</wp:posOffset>
            </wp:positionV>
            <wp:extent cx="82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25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ectPr>
          <w:pgSz w:w="11900" w:h="16838" w:orient="portrait"/>
          <w:cols w:equalWidth="0" w:num="1">
            <w:col w:w="9500"/>
          </w:cols>
          <w:pgMar w:left="1200" w:top="125" w:right="1199" w:bottom="1440" w:gutter="0" w:footer="0" w:header="0"/>
        </w:sectPr>
      </w:pPr>
    </w:p>
    <w:bookmarkStart w:id="62" w:name="page63"/>
    <w:bookmarkEnd w:id="6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88"/>
              </w:rPr>
              <w:t>Fiscal 2018 – 53 weeks</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0"/>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First</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of Net</w:t>
            </w: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Second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 of Net</w:t>
            </w:r>
          </w:p>
        </w:tc>
        <w:tc>
          <w:tcPr>
            <w:tcW w:w="1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of Net</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Sales</w:t>
            </w: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earnings per share)</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100,207</w:t>
            </w:r>
          </w:p>
        </w:tc>
        <w:tc>
          <w:tcPr>
            <w:tcW w:w="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100.0%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110,653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106,701</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250,541</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26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55,940</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62,240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60,971</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131,251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income</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(2,563)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224"/>
        </w:trPr>
        <w:tc>
          <w:tcPr>
            <w:tcW w:w="2660" w:type="dxa"/>
            <w:vAlign w:val="bottom"/>
          </w:tcPr>
          <w:p>
            <w:pPr>
              <w:ind w:left="20"/>
              <w:spacing w:after="0"/>
              <w:rPr>
                <w:sz w:val="20"/>
                <w:szCs w:val="20"/>
                <w:color w:val="auto"/>
              </w:rPr>
            </w:pPr>
            <w:r>
              <w:rPr>
                <w:rFonts w:ascii="Arial" w:cs="Arial" w:eastAsia="Arial" w:hAnsi="Arial"/>
                <w:sz w:val="14"/>
                <w:szCs w:val="14"/>
                <w:color w:val="auto"/>
              </w:rPr>
              <w:t>Net (loss) income attributable to</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7"/>
        </w:trPr>
        <w:tc>
          <w:tcPr>
            <w:tcW w:w="266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(691)</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6,377</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(3,150)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20,620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(loss) earnings per share</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26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(0.02)</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(0.10)</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92"/>
        </w:trPr>
        <w:tc>
          <w:tcPr>
            <w:tcW w:w="2660" w:type="dxa"/>
            <w:vAlign w:val="bottom"/>
          </w:tcPr>
          <w:p>
            <w:pPr>
              <w:ind w:left="20"/>
              <w:spacing w:after="0"/>
              <w:rPr>
                <w:sz w:val="20"/>
                <w:szCs w:val="20"/>
                <w:color w:val="auto"/>
              </w:rPr>
            </w:pPr>
            <w:r>
              <w:rPr>
                <w:rFonts w:ascii="Arial" w:cs="Arial" w:eastAsia="Arial" w:hAnsi="Arial"/>
                <w:sz w:val="14"/>
                <w:szCs w:val="14"/>
                <w:color w:val="auto"/>
              </w:rPr>
              <w:t>Diluted (loss) earnings per share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66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(0.02)</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(0.10)</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0.64</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87" w:lineRule="exact"/>
        <w:rPr>
          <w:sz w:val="20"/>
          <w:szCs w:val="20"/>
          <w:color w:val="auto"/>
        </w:rPr>
      </w:pPr>
    </w:p>
    <w:p>
      <w:pPr>
        <w:ind w:left="20" w:right="100" w:firstLine="405"/>
        <w:spacing w:after="0" w:line="301" w:lineRule="auto"/>
        <w:rPr>
          <w:sz w:val="20"/>
          <w:szCs w:val="20"/>
          <w:color w:val="auto"/>
        </w:rPr>
      </w:pPr>
      <w:r>
        <w:rPr>
          <w:rFonts w:ascii="Arial" w:cs="Arial" w:eastAsia="Arial" w:hAnsi="Arial"/>
          <w:sz w:val="16"/>
          <w:szCs w:val="16"/>
          <w:color w:val="auto"/>
        </w:rPr>
        <w:t>Subsequent to the issuance of the May 5, 2019 interim financial statements, the Company identified a reclass error for disclosure purposes between selling, general and administration and interest expense, which had no impact on net income for the May 5, 2019 unaudited Condensed Consolidated Statement of Operations. The reclass error has been corrected in the above table. The Company assessed the reclass error and determined it is immaterial to the interim financial statements.</w:t>
      </w:r>
    </w:p>
    <w:p>
      <w:pPr>
        <w:spacing w:after="0" w:line="157" w:lineRule="exact"/>
        <w:rPr>
          <w:sz w:val="20"/>
          <w:szCs w:val="20"/>
          <w:color w:val="auto"/>
        </w:rPr>
      </w:pPr>
    </w:p>
    <w:p>
      <w:pPr>
        <w:ind w:left="20" w:firstLine="405"/>
        <w:spacing w:after="0" w:line="257" w:lineRule="auto"/>
        <w:rPr>
          <w:sz w:val="20"/>
          <w:szCs w:val="20"/>
          <w:color w:val="auto"/>
        </w:rPr>
      </w:pPr>
      <w:r>
        <w:rPr>
          <w:rFonts w:ascii="Arial" w:cs="Arial" w:eastAsia="Arial" w:hAnsi="Arial"/>
          <w:sz w:val="18"/>
          <w:szCs w:val="18"/>
          <w:color w:val="auto"/>
        </w:rPr>
        <w:t>Subsequent to the issuance of the October 28, 2018 interim financial statements, the Company identified an error relating to the implementation of the new order management system that overstated inventory and gross profit within the October 28, 2018 unaudited Condensed Consolidated Balance Sheets and unaudited Condensed Consolidated Statements of Operations, respectively. The error was corrected during the fourth quarter of 2018. The Company assessed the error and determined it is immaterial to all interim and year-end filings during fiscal 2018.</w:t>
      </w:r>
    </w:p>
    <w:p>
      <w:pPr>
        <w:spacing w:after="0" w:line="147" w:lineRule="exact"/>
        <w:rPr>
          <w:sz w:val="20"/>
          <w:szCs w:val="20"/>
          <w:color w:val="auto"/>
        </w:rPr>
      </w:pPr>
    </w:p>
    <w:p>
      <w:pPr>
        <w:ind w:left="20" w:right="100" w:firstLine="401"/>
        <w:spacing w:after="0" w:line="301" w:lineRule="auto"/>
        <w:rPr>
          <w:sz w:val="20"/>
          <w:szCs w:val="20"/>
          <w:color w:val="auto"/>
        </w:rPr>
      </w:pPr>
      <w:r>
        <w:rPr>
          <w:rFonts w:ascii="Arial" w:cs="Arial" w:eastAsia="Arial" w:hAnsi="Arial"/>
          <w:sz w:val="16"/>
          <w:szCs w:val="16"/>
          <w:color w:val="auto"/>
        </w:rPr>
        <w:t xml:space="preserve">Additionally, the Company concluded during the fourth quarter of 2018 that it was the primary beneficiary of TRI when the Company took occupancy of the headquarters on October 15, 2018. Therefore, the VIE was consolidated in accordance with ASC 810, </w:t>
      </w:r>
      <w:r>
        <w:rPr>
          <w:rFonts w:ascii="Arial" w:cs="Arial" w:eastAsia="Arial" w:hAnsi="Arial"/>
          <w:sz w:val="16"/>
          <w:szCs w:val="16"/>
          <w:i w:val="1"/>
          <w:iCs w:val="1"/>
          <w:color w:val="auto"/>
        </w:rPr>
        <w:t>Consolidation</w:t>
      </w:r>
      <w:r>
        <w:rPr>
          <w:rFonts w:ascii="Arial" w:cs="Arial" w:eastAsia="Arial" w:hAnsi="Arial"/>
          <w:sz w:val="16"/>
          <w:szCs w:val="16"/>
          <w:color w:val="auto"/>
        </w:rPr>
        <w:t>, as of year-end. The Company assessed the impact of consolidating the VIE within the October 28, 2018 unaudited Condensed Consolidated Balance Sheets and determined it is immaterial to the interim financial statements.</w:t>
      </w:r>
    </w:p>
    <w:p>
      <w:pPr>
        <w:spacing w:after="0" w:line="342" w:lineRule="exact"/>
        <w:rPr>
          <w:sz w:val="20"/>
          <w:szCs w:val="20"/>
          <w:color w:val="auto"/>
        </w:rPr>
      </w:pPr>
    </w:p>
    <w:p>
      <w:pPr>
        <w:ind w:left="460" w:right="5240" w:hanging="450"/>
        <w:spacing w:after="0" w:line="460" w:lineRule="auto"/>
        <w:tabs>
          <w:tab w:leader="none" w:pos="33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u w:val="single" w:color="auto"/>
          <w:color w:val="auto"/>
        </w:rPr>
        <w:t xml:space="preserve">Recently Adopted Accounting Pronouncements </w:t>
      </w:r>
      <w:r>
        <w:rPr>
          <w:rFonts w:ascii="Arial" w:cs="Arial" w:eastAsia="Arial" w:hAnsi="Arial"/>
          <w:sz w:val="18"/>
          <w:szCs w:val="18"/>
          <w:i w:val="1"/>
          <w:iCs w:val="1"/>
          <w:color w:val="auto"/>
        </w:rPr>
        <w:t>Leases</w:t>
      </w:r>
    </w:p>
    <w:p>
      <w:pPr>
        <w:spacing w:after="0" w:line="2" w:lineRule="exact"/>
        <w:rPr>
          <w:sz w:val="20"/>
          <w:szCs w:val="20"/>
          <w:color w:val="auto"/>
        </w:rPr>
      </w:pPr>
    </w:p>
    <w:p>
      <w:pPr>
        <w:ind w:left="20" w:firstLine="441"/>
        <w:spacing w:after="0" w:line="284" w:lineRule="auto"/>
        <w:rPr>
          <w:sz w:val="20"/>
          <w:szCs w:val="20"/>
          <w:color w:val="auto"/>
        </w:rPr>
      </w:pPr>
      <w:r>
        <w:rPr>
          <w:rFonts w:ascii="Arial" w:cs="Arial" w:eastAsia="Arial" w:hAnsi="Arial"/>
          <w:sz w:val="16"/>
          <w:szCs w:val="16"/>
          <w:color w:val="auto"/>
        </w:rPr>
        <w:t>On February 4, 2019, the Company adopted ASC 842 and related amendments. ASC 842 requires lessees to (i) recognize a right-of-use asset and a lease liability that is initially measured at the present value of the remaining lease payments, on the consolidated balance sheets, (ii) recognize a single lease cost, calculated over the lease term on a straight-line basis and (iii) classify lease related cash payments within operating and financing activities. The Company adopted ASC 842 utilizing the optional transition method, which allows guidance to be initially applied at the adoption date with a cumulative-effect adjustment to the opening balance of retained earnings. The Company elected the package of practical expedients, which allows the Company to forgo reassessing prior conclusions on lease definition, classification and initial direct costs related to existing leases as of the adoption date. The Company elected not to recognize short-term leases on the consolidated balance sheets and all non-lease components, such as common area maintenance, were excluded. Variable lease payments that do not depend on a rate of index and short-term rentals are expensed as incurred. The Company’s existing lease arrangements consist of both operating leases and build-to-suit leases. Under ASC 842, the Company is still required to evaluate whether it is deemed to be the owner of the leased property for accounting purposes during the store construction period, however, the prescriptive rules under ASC 840 have been removed. The Company evaluated its existing build-to-suit leases as of the adoption date and determined that the Company is not the owner of the leased premises during the construction period, which resulted in the derecognition of its build-to-suit assets and liabilities that were previously reported on the Company’s consolidated balance sheets. As of February 4, 2019, substantially all of the previous build-to-suit leases are classified as operating leases. The impact of the adoption was a $121.8 million ROU asset with an offsetting $115.5 million lease liability, which is net of $4.9 million of previously recognized straight-line operating lease adjustments on existing leases and $11.2 million of unamortized initial direct costs. The lease liabilities at February 4, 2019 reflect remaining lease payments discounted using an incremental borrowing rate based on the remaining lease term, as an implicit rate was not readily determinable for any of the Company’s existing leases.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Intangibles – Goodwill and Other – Internal-use Software</w:t>
      </w:r>
    </w:p>
    <w:p>
      <w:pPr>
        <w:spacing w:after="0" w:line="18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In August 2018, the FASB issued Accounting Standards Update No. 2018-15, </w:t>
      </w:r>
      <w:r>
        <w:rPr>
          <w:rFonts w:ascii="Arial" w:cs="Arial" w:eastAsia="Arial" w:hAnsi="Arial"/>
          <w:sz w:val="17"/>
          <w:szCs w:val="17"/>
          <w:i w:val="1"/>
          <w:iCs w:val="1"/>
          <w:color w:val="auto"/>
        </w:rPr>
        <w:t xml:space="preserve">Intangibles – Goodwill and Other – Internal-Use Software </w:t>
      </w:r>
      <w:r>
        <w:rPr>
          <w:rFonts w:ascii="Arial" w:cs="Arial" w:eastAsia="Arial" w:hAnsi="Arial"/>
          <w:sz w:val="17"/>
          <w:szCs w:val="17"/>
          <w:color w:val="auto"/>
        </w:rPr>
        <w:t>(Subtopic 350-40) (“ASU 2018-15”), which provides additional guidance on the accounting for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activities performed in a 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amendments in ASU 2018-15 are effective for fiscal years beginning after December 15, 2019, and interim periods within those years, with early adoption permitted. The Company expects to adopt ASU 2018-15 on February 3, 2020, the first day of the Company’s first quarter for the fiscal year ending January 31, 2021. The Company is currently in the process of evaluating the impact of the adoption of this standard on the Company’s consolidated financial statements.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02" w:lineRule="exact"/>
        <w:rPr>
          <w:sz w:val="20"/>
          <w:szCs w:val="20"/>
          <w:color w:val="auto"/>
        </w:rPr>
      </w:pPr>
    </w:p>
    <w:p>
      <w:pPr>
        <w:ind w:right="200" w:firstLine="441"/>
        <w:spacing w:after="0" w:line="273" w:lineRule="auto"/>
        <w:rPr>
          <w:sz w:val="20"/>
          <w:szCs w:val="20"/>
          <w:color w:val="auto"/>
        </w:rPr>
      </w:pPr>
      <w:r>
        <w:rPr>
          <w:rFonts w:ascii="Arial" w:cs="Arial" w:eastAsia="Arial" w:hAnsi="Arial"/>
          <w:sz w:val="17"/>
          <w:szCs w:val="17"/>
          <w:color w:val="auto"/>
        </w:rPr>
        <w:t>On March 11, 2020 the World Health Organization declared the novel strain of coronavirus (“COVID-19”) a global pandemic. There have been mandates from federal, state and local authorities requiring forced closures of non-essential retailers, which could negatively impact the Company’s business. As of the date of this filing, a few of our stores have been temporarily closed with the remaining on reduced store hours. Although it is not possible to reliably estimate the length or severity of this outbreak and hence its financial impact, any significant reduction in customer visits to, and spending at, the Company’s stores caused by COVID-19 would result in loss of sales and profits and other material adverse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64" w:name="page65"/>
    <w:bookmarkEnd w:id="6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February 2, 2020, February 3, 2019 and January 28,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Cost and</w:t>
            </w:r>
          </w:p>
        </w:tc>
        <w:tc>
          <w:tcPr>
            <w:tcW w:w="18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75"/>
              <w:spacing w:after="0"/>
              <w:rPr>
                <w:sz w:val="20"/>
                <w:szCs w:val="20"/>
                <w:color w:val="auto"/>
              </w:rPr>
            </w:pPr>
            <w:r>
              <w:rPr>
                <w:rFonts w:ascii="Arial" w:cs="Arial" w:eastAsia="Arial" w:hAnsi="Arial"/>
                <w:sz w:val="14"/>
                <w:szCs w:val="14"/>
                <w:b w:val="1"/>
                <w:bCs w:val="1"/>
                <w:color w:val="auto"/>
              </w:rPr>
              <w:t>Ending</w:t>
            </w:r>
          </w:p>
        </w:tc>
      </w:tr>
      <w:tr>
        <w:trPr>
          <w:trHeight w:val="188"/>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Balance</w:t>
            </w:r>
          </w:p>
        </w:tc>
      </w:tr>
      <w:tr>
        <w:trPr>
          <w:trHeight w:val="196"/>
        </w:trPr>
        <w:tc>
          <w:tcPr>
            <w:tcW w:w="2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Inventory reserve</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6"/>
        </w:trPr>
        <w:tc>
          <w:tcPr>
            <w:tcW w:w="2780" w:type="dxa"/>
            <w:vAlign w:val="bottom"/>
          </w:tcPr>
          <w:p>
            <w:pPr>
              <w:ind w:left="120"/>
              <w:spacing w:after="0"/>
              <w:rPr>
                <w:sz w:val="20"/>
                <w:szCs w:val="20"/>
                <w:color w:val="auto"/>
              </w:rPr>
            </w:pPr>
            <w:r>
              <w:rPr>
                <w:rFonts w:ascii="Arial" w:cs="Arial" w:eastAsia="Arial" w:hAnsi="Arial"/>
                <w:sz w:val="18"/>
                <w:szCs w:val="18"/>
                <w:color w:val="auto"/>
              </w:rPr>
              <w:t>Year ended February 2,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1,826</w:t>
            </w:r>
          </w:p>
        </w:tc>
      </w:tr>
      <w:tr>
        <w:trPr>
          <w:trHeight w:val="216"/>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February 3, 2019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2780" w:type="dxa"/>
            <w:vAlign w:val="bottom"/>
          </w:tcPr>
          <w:p>
            <w:pPr>
              <w:ind w:left="120"/>
              <w:spacing w:after="0"/>
              <w:rPr>
                <w:sz w:val="20"/>
                <w:szCs w:val="20"/>
                <w:color w:val="auto"/>
              </w:rPr>
            </w:pPr>
            <w:r>
              <w:rPr>
                <w:rFonts w:ascii="Arial" w:cs="Arial" w:eastAsia="Arial" w:hAnsi="Arial"/>
                <w:sz w:val="18"/>
                <w:szCs w:val="18"/>
                <w:color w:val="auto"/>
              </w:rPr>
              <w:t>Year ended January 28, 2018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Product returns reserve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February 2,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r>
      <w:tr>
        <w:trPr>
          <w:trHeight w:val="216"/>
        </w:trPr>
        <w:tc>
          <w:tcPr>
            <w:tcW w:w="2780" w:type="dxa"/>
            <w:vAlign w:val="bottom"/>
          </w:tcPr>
          <w:p>
            <w:pPr>
              <w:ind w:left="120"/>
              <w:spacing w:after="0"/>
              <w:rPr>
                <w:sz w:val="20"/>
                <w:szCs w:val="20"/>
                <w:color w:val="auto"/>
              </w:rPr>
            </w:pPr>
            <w:r>
              <w:rPr>
                <w:rFonts w:ascii="Arial" w:cs="Arial" w:eastAsia="Arial" w:hAnsi="Arial"/>
                <w:sz w:val="18"/>
                <w:szCs w:val="18"/>
                <w:color w:val="auto"/>
              </w:rPr>
              <w:t>Year ended February 3, 2019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16"/>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January 28, 2018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220" w:hanging="998"/>
        <w:spacing w:after="0" w:line="277" w:lineRule="auto"/>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 DISCLOSURE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February 2, 2020.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February 2,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our fiscal fourth quarter that has materially affected, or is reasonably likely to materially affect, our internal control over financial reporting.</w:t>
      </w:r>
    </w:p>
    <w:p>
      <w:pPr>
        <w:spacing w:after="0" w:line="38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39" w:lineRule="exact"/>
        <w:rPr>
          <w:sz w:val="20"/>
          <w:szCs w:val="20"/>
          <w:color w:val="auto"/>
        </w:rPr>
      </w:pPr>
    </w:p>
    <w:p>
      <w:pPr>
        <w:ind w:right="100" w:firstLine="441"/>
        <w:spacing w:after="0" w:line="275" w:lineRule="auto"/>
        <w:rPr>
          <w:sz w:val="20"/>
          <w:szCs w:val="20"/>
          <w:color w:val="auto"/>
        </w:rPr>
      </w:pPr>
      <w:r>
        <w:rPr>
          <w:rFonts w:ascii="Arial" w:cs="Arial" w:eastAsia="Arial" w:hAnsi="Arial"/>
          <w:sz w:val="17"/>
          <w:szCs w:val="17"/>
          <w:color w:val="auto"/>
        </w:rPr>
        <w:t>Information required by this Item concerning our directors, audit committee, and audit committee financial experts and compliance with Section 16(a) of the Exchange Act is incorporated by reference to information under the captions “Proposal One: Election of Directors” and “Delinquent Section 16(a) Reports” in our definitive proxy statement for our 2020 annual meeting of shareholders to be held on May 21, 2020 (the “Proxy Statement”). It is anticipated that our Proxy Statement will be filed with the Securities and Exchange Commission on or about April 8, 2020.</w:t>
      </w:r>
    </w:p>
    <w:p>
      <w:pPr>
        <w:spacing w:after="0" w:line="136"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 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66" w:name="page67"/>
    <w:bookmarkEnd w:id="6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firstLine="441"/>
        <w:spacing w:after="0" w:line="311" w:lineRule="auto"/>
        <w:rPr>
          <w:sz w:val="20"/>
          <w:szCs w:val="20"/>
          <w:color w:val="auto"/>
        </w:rPr>
      </w:pPr>
      <w:r>
        <w:rPr>
          <w:rFonts w:ascii="Arial" w:cs="Arial" w:eastAsia="Arial" w:hAnsi="Arial"/>
          <w:sz w:val="16"/>
          <w:szCs w:val="16"/>
          <w:color w:val="auto"/>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22" w:lineRule="exact"/>
        <w:rPr>
          <w:sz w:val="20"/>
          <w:szCs w:val="20"/>
          <w:color w:val="auto"/>
        </w:rPr>
      </w:pPr>
    </w:p>
    <w:p>
      <w:pPr>
        <w:ind w:left="20" w:right="80" w:firstLine="441"/>
        <w:spacing w:after="0" w:line="277" w:lineRule="auto"/>
        <w:rPr>
          <w:sz w:val="20"/>
          <w:szCs w:val="20"/>
          <w:color w:val="auto"/>
        </w:rPr>
      </w:pPr>
      <w:r>
        <w:rPr>
          <w:rFonts w:ascii="Arial" w:cs="Arial" w:eastAsia="Arial" w:hAnsi="Arial"/>
          <w:sz w:val="18"/>
          <w:szCs w:val="18"/>
          <w:color w:val="auto"/>
        </w:rPr>
        <w:t>Pursuant to General Instruction G(3), certain information with respect to our executive officers is set forth under the caption “Executive Officers of Duluth Holdings Inc.” as of March 19, 2020 in this Annual Report on Form 10-K.</w:t>
      </w:r>
    </w:p>
    <w:p>
      <w:pPr>
        <w:spacing w:after="0" w:line="359"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left="20" w:right="340" w:firstLine="441"/>
        <w:spacing w:after="0" w:line="342" w:lineRule="auto"/>
        <w:rPr>
          <w:sz w:val="20"/>
          <w:szCs w:val="20"/>
          <w:color w:val="auto"/>
        </w:rPr>
      </w:pPr>
      <w:r>
        <w:rPr>
          <w:rFonts w:ascii="Arial" w:cs="Arial" w:eastAsia="Arial" w:hAnsi="Arial"/>
          <w:sz w:val="16"/>
          <w:szCs w:val="16"/>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26" w:lineRule="exact"/>
        <w:rPr>
          <w:sz w:val="20"/>
          <w:szCs w:val="20"/>
          <w:color w:val="auto"/>
        </w:rPr>
      </w:pPr>
    </w:p>
    <w:p>
      <w:pPr>
        <w:ind w:left="1080" w:right="380" w:hanging="1065"/>
        <w:spacing w:after="0" w:line="277" w:lineRule="auto"/>
        <w:tabs>
          <w:tab w:leader="none" w:pos="106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SHAREHOLDER MATTERS</w:t>
      </w:r>
    </w:p>
    <w:p>
      <w:pPr>
        <w:spacing w:after="0" w:line="170" w:lineRule="exact"/>
        <w:rPr>
          <w:sz w:val="20"/>
          <w:szCs w:val="20"/>
          <w:color w:val="auto"/>
        </w:rPr>
      </w:pPr>
    </w:p>
    <w:p>
      <w:pPr>
        <w:ind w:left="20" w:right="46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“Security Ownership of Certain Beneficial Owners.”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r>
      <w:tr>
        <w:trPr>
          <w:trHeight w:val="203"/>
        </w:trPr>
        <w:tc>
          <w:tcPr>
            <w:tcW w:w="4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r>
      <w:tr>
        <w:trPr>
          <w:trHeight w:val="203"/>
        </w:trPr>
        <w:tc>
          <w:tcPr>
            <w:tcW w:w="42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w:t>
            </w:r>
          </w:p>
        </w:tc>
        <w:tc>
          <w:tcPr>
            <w:tcW w:w="16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future issuance under</w:t>
            </w:r>
          </w:p>
        </w:tc>
      </w:tr>
      <w:tr>
        <w:trPr>
          <w:trHeight w:val="203"/>
        </w:trPr>
        <w:tc>
          <w:tcPr>
            <w:tcW w:w="42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be issued upon exercise</w:t>
            </w:r>
          </w:p>
        </w:tc>
        <w:tc>
          <w:tcPr>
            <w:tcW w:w="16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 price of</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equity compensation plans</w:t>
            </w:r>
          </w:p>
        </w:tc>
      </w:tr>
      <w:tr>
        <w:trPr>
          <w:trHeight w:val="203"/>
        </w:trPr>
        <w:tc>
          <w:tcPr>
            <w:tcW w:w="42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of outstanding options,</w:t>
            </w:r>
          </w:p>
        </w:tc>
        <w:tc>
          <w:tcPr>
            <w:tcW w:w="16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 options,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(excluding securities</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 and rights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first column)</w:t>
            </w:r>
            <w:r>
              <w:rPr>
                <w:rFonts w:ascii="Arial" w:cs="Arial" w:eastAsia="Arial" w:hAnsi="Arial"/>
                <w:sz w:val="7"/>
                <w:szCs w:val="7"/>
                <w:b w:val="1"/>
                <w:bCs w:val="1"/>
                <w:color w:val="auto"/>
                <w:w w:val="93"/>
              </w:rPr>
              <w:t>(1)</w:t>
            </w: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w:t>
            </w: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security holders</w:t>
            </w: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4,403,566</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Equity compensation plans not approved</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8"/>
                <w:szCs w:val="8"/>
                <w:color w:val="auto"/>
              </w:rPr>
              <w:t>(2)</w:t>
            </w: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4,403,566</w:t>
            </w:r>
          </w:p>
        </w:tc>
      </w:tr>
      <w:tr>
        <w:trPr>
          <w:trHeight w:val="129"/>
        </w:trPr>
        <w:tc>
          <w:tcPr>
            <w:tcW w:w="4200" w:type="dxa"/>
            <w:vAlign w:val="bottom"/>
          </w:tcPr>
          <w:p>
            <w:pPr>
              <w:ind w:left="20"/>
              <w:spacing w:after="0" w:line="129" w:lineRule="exact"/>
              <w:rPr>
                <w:sz w:val="20"/>
                <w:szCs w:val="20"/>
                <w:color w:val="auto"/>
              </w:rPr>
            </w:pPr>
            <w:r>
              <w:rPr>
                <w:rFonts w:ascii="Arial" w:cs="Arial" w:eastAsia="Arial" w:hAnsi="Arial"/>
                <w:sz w:val="14"/>
                <w:szCs w:val="14"/>
                <w:color w:val="auto"/>
              </w:rPr>
              <w:t>_____________________________</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r>
    </w:tbl>
    <w:p>
      <w:pPr>
        <w:ind w:left="20" w:right="360" w:hanging="10"/>
        <w:spacing w:after="0" w:line="237" w:lineRule="auto"/>
        <w:tabs>
          <w:tab w:leader="none" w:pos="223" w:val="left"/>
        </w:tabs>
        <w:numPr>
          <w:ilvl w:val="0"/>
          <w:numId w:val="24"/>
        </w:numPr>
        <w:rPr>
          <w:rFonts w:ascii="Arial" w:cs="Arial" w:eastAsia="Arial" w:hAnsi="Arial"/>
          <w:sz w:val="14"/>
          <w:szCs w:val="14"/>
          <w:color w:val="auto"/>
        </w:rPr>
      </w:pPr>
      <w:r>
        <w:rPr>
          <w:rFonts w:ascii="Arial" w:cs="Arial" w:eastAsia="Arial" w:hAnsi="Arial"/>
          <w:sz w:val="14"/>
          <w:szCs w:val="14"/>
          <w:color w:val="auto"/>
        </w:rPr>
        <w:t>3,002,534 shares are available under the Company’s 2015 Equity Incentive Plan and 1,401,032 shares are available under the Company’s Employee Stock Purchase Plan.</w:t>
      </w:r>
    </w:p>
    <w:p>
      <w:pPr>
        <w:spacing w:after="0" w:line="75" w:lineRule="exact"/>
        <w:rPr>
          <w:rFonts w:ascii="Arial" w:cs="Arial" w:eastAsia="Arial" w:hAnsi="Arial"/>
          <w:sz w:val="14"/>
          <w:szCs w:val="14"/>
          <w:color w:val="auto"/>
        </w:rPr>
      </w:pPr>
    </w:p>
    <w:p>
      <w:pPr>
        <w:ind w:left="220" w:hanging="210"/>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of our existing equity compensation plans have been approved by shareholders.</w:t>
      </w:r>
    </w:p>
    <w:p>
      <w:pPr>
        <w:spacing w:after="0" w:line="39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225" w:lineRule="exact"/>
        <w:rPr>
          <w:sz w:val="20"/>
          <w:szCs w:val="20"/>
          <w:color w:val="auto"/>
        </w:rPr>
      </w:pPr>
    </w:p>
    <w:p>
      <w:pPr>
        <w:ind w:left="20" w:right="54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37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25" w:lineRule="exact"/>
        <w:rPr>
          <w:sz w:val="20"/>
          <w:szCs w:val="20"/>
          <w:color w:val="auto"/>
        </w:rPr>
      </w:pPr>
    </w:p>
    <w:p>
      <w:pPr>
        <w:ind w:left="20" w:right="72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 of the Proxy Statement entitled “Audit Committee Report.”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60"/>
          </w:cols>
          <w:pgMar w:left="1200" w:top="125" w:right="1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STATEMENTS AND SCHEDULE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w:t>
      </w:r>
    </w:p>
    <w:p>
      <w:pPr>
        <w:spacing w:after="0" w:line="18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in the accompanying index to exhibits are filed or incorporated as part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FORM 10-K SUMMARY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420"/>
          </w:cols>
          <w:pgMar w:left="1220" w:top="125" w:right="1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DULUTH HOLDINGS INC.</w:t>
      </w:r>
    </w:p>
    <w:p>
      <w:pPr>
        <w:spacing w:after="0" w:line="200" w:lineRule="exact"/>
        <w:rPr>
          <w:sz w:val="20"/>
          <w:szCs w:val="20"/>
          <w:color w:val="auto"/>
        </w:rPr>
      </w:pP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2575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Stephen L. Schlecht</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Executive Chairman and Chief Executive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2020</w:t>
      </w:r>
    </w:p>
    <w:p>
      <w:pPr>
        <w:spacing w:after="0" w:line="18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480" w:type="dxa"/>
            <w:vAlign w:val="bottom"/>
            <w:gridSpan w:val="2"/>
          </w:tcPr>
          <w:p>
            <w:pPr>
              <w:spacing w:after="0"/>
              <w:rPr>
                <w:sz w:val="17"/>
                <w:szCs w:val="17"/>
                <w:color w:val="auto"/>
              </w:rPr>
            </w:pPr>
          </w:p>
        </w:tc>
        <w:tc>
          <w:tcPr>
            <w:tcW w:w="292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w:t>
            </w:r>
          </w:p>
        </w:tc>
        <w:tc>
          <w:tcPr>
            <w:tcW w:w="1620" w:type="dxa"/>
            <w:vAlign w:val="bottom"/>
            <w:gridSpan w:val="3"/>
          </w:tcPr>
          <w:p>
            <w:pPr>
              <w:ind w:left="480"/>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3"/>
        </w:trPr>
        <w:tc>
          <w:tcPr>
            <w:tcW w:w="2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Stephen L. Schlecht</w:t>
            </w: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Executive Chairman and</w:t>
            </w:r>
          </w:p>
        </w:tc>
        <w:tc>
          <w:tcPr>
            <w:tcW w:w="1620" w:type="dxa"/>
            <w:vAlign w:val="bottom"/>
            <w:gridSpan w:val="3"/>
          </w:tcPr>
          <w:p>
            <w:pPr>
              <w:ind w:left="480"/>
              <w:spacing w:after="0"/>
              <w:rPr>
                <w:sz w:val="20"/>
                <w:szCs w:val="20"/>
                <w:color w:val="auto"/>
              </w:rPr>
            </w:pPr>
            <w:r>
              <w:rPr>
                <w:rFonts w:ascii="Arial" w:cs="Arial" w:eastAsia="Arial" w:hAnsi="Arial"/>
                <w:sz w:val="18"/>
                <w:szCs w:val="18"/>
                <w:color w:val="auto"/>
                <w:w w:val="89"/>
              </w:rPr>
              <w:t>March 20, 2020</w:t>
            </w:r>
          </w:p>
        </w:tc>
      </w:tr>
      <w:tr>
        <w:trPr>
          <w:trHeight w:val="182"/>
        </w:trPr>
        <w:tc>
          <w:tcPr>
            <w:tcW w:w="2940" w:type="dxa"/>
            <w:vAlign w:val="bottom"/>
            <w:gridSpan w:val="3"/>
          </w:tcPr>
          <w:p>
            <w:pPr>
              <w:spacing w:after="0" w:line="182" w:lineRule="exact"/>
              <w:rPr>
                <w:sz w:val="20"/>
                <w:szCs w:val="20"/>
                <w:color w:val="auto"/>
              </w:rPr>
            </w:pPr>
            <w:r>
              <w:rPr>
                <w:rFonts w:ascii="Arial" w:cs="Arial" w:eastAsia="Arial" w:hAnsi="Arial"/>
                <w:sz w:val="18"/>
                <w:szCs w:val="18"/>
                <w:color w:val="auto"/>
              </w:rPr>
              <w:t>Stephen L. Schlecht</w:t>
            </w:r>
          </w:p>
        </w:tc>
        <w:tc>
          <w:tcPr>
            <w:tcW w:w="2920" w:type="dxa"/>
            <w:vAlign w:val="bottom"/>
            <w:gridSpan w:val="3"/>
          </w:tcPr>
          <w:p>
            <w:pPr>
              <w:ind w:left="240"/>
              <w:spacing w:after="0" w:line="182" w:lineRule="exact"/>
              <w:rPr>
                <w:sz w:val="20"/>
                <w:szCs w:val="20"/>
                <w:color w:val="auto"/>
              </w:rPr>
            </w:pPr>
            <w:r>
              <w:rPr>
                <w:rFonts w:ascii="Arial" w:cs="Arial" w:eastAsia="Arial" w:hAnsi="Arial"/>
                <w:sz w:val="18"/>
                <w:szCs w:val="18"/>
                <w:color w:val="auto"/>
              </w:rPr>
              <w:t>Chief Executive Officer</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2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David Loretta</w:t>
            </w: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w:t>
            </w:r>
          </w:p>
        </w:tc>
        <w:tc>
          <w:tcPr>
            <w:tcW w:w="1620" w:type="dxa"/>
            <w:vAlign w:val="bottom"/>
            <w:gridSpan w:val="3"/>
          </w:tcPr>
          <w:p>
            <w:pPr>
              <w:ind w:left="480"/>
              <w:spacing w:after="0"/>
              <w:rPr>
                <w:sz w:val="20"/>
                <w:szCs w:val="20"/>
                <w:color w:val="auto"/>
              </w:rPr>
            </w:pPr>
            <w:r>
              <w:rPr>
                <w:rFonts w:ascii="Arial" w:cs="Arial" w:eastAsia="Arial" w:hAnsi="Arial"/>
                <w:sz w:val="18"/>
                <w:szCs w:val="18"/>
                <w:color w:val="auto"/>
                <w:w w:val="89"/>
              </w:rPr>
              <w:t>March 20, 2020</w:t>
            </w:r>
          </w:p>
        </w:tc>
      </w:tr>
      <w:tr>
        <w:trPr>
          <w:trHeight w:val="182"/>
        </w:trPr>
        <w:tc>
          <w:tcPr>
            <w:tcW w:w="2940" w:type="dxa"/>
            <w:vAlign w:val="bottom"/>
            <w:gridSpan w:val="3"/>
          </w:tcPr>
          <w:p>
            <w:pPr>
              <w:spacing w:after="0" w:line="182" w:lineRule="exact"/>
              <w:rPr>
                <w:sz w:val="20"/>
                <w:szCs w:val="20"/>
                <w:color w:val="auto"/>
              </w:rPr>
            </w:pPr>
            <w:r>
              <w:rPr>
                <w:rFonts w:ascii="Arial" w:cs="Arial" w:eastAsia="Arial" w:hAnsi="Arial"/>
                <w:sz w:val="18"/>
                <w:szCs w:val="18"/>
                <w:color w:val="auto"/>
              </w:rPr>
              <w:t>David Loretta</w:t>
            </w:r>
          </w:p>
        </w:tc>
        <w:tc>
          <w:tcPr>
            <w:tcW w:w="2920" w:type="dxa"/>
            <w:vAlign w:val="bottom"/>
            <w:gridSpan w:val="3"/>
          </w:tcPr>
          <w:p>
            <w:pPr>
              <w:ind w:left="240"/>
              <w:spacing w:after="0" w:line="182" w:lineRule="exact"/>
              <w:rPr>
                <w:sz w:val="20"/>
                <w:szCs w:val="20"/>
                <w:color w:val="auto"/>
              </w:rPr>
            </w:pPr>
            <w:r>
              <w:rPr>
                <w:rFonts w:ascii="Arial" w:cs="Arial" w:eastAsia="Arial" w:hAnsi="Arial"/>
                <w:sz w:val="18"/>
                <w:szCs w:val="18"/>
                <w:color w:val="auto"/>
              </w:rPr>
              <w:t>Chief Financial Officer</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(Principal Financial Officer)</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2"/>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Michael Murphy</w:t>
            </w:r>
          </w:p>
        </w:tc>
        <w:tc>
          <w:tcPr>
            <w:tcW w:w="880" w:type="dxa"/>
            <w:vAlign w:val="bottom"/>
          </w:tcPr>
          <w:p>
            <w:pPr>
              <w:spacing w:after="0"/>
              <w:rPr>
                <w:sz w:val="24"/>
                <w:szCs w:val="24"/>
                <w:color w:val="auto"/>
              </w:rPr>
            </w:pP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Vice President and</w:t>
            </w:r>
          </w:p>
        </w:tc>
        <w:tc>
          <w:tcPr>
            <w:tcW w:w="1620" w:type="dxa"/>
            <w:vAlign w:val="bottom"/>
            <w:gridSpan w:val="3"/>
          </w:tcPr>
          <w:p>
            <w:pPr>
              <w:ind w:left="480"/>
              <w:spacing w:after="0"/>
              <w:rPr>
                <w:sz w:val="20"/>
                <w:szCs w:val="20"/>
                <w:color w:val="auto"/>
              </w:rPr>
            </w:pPr>
            <w:r>
              <w:rPr>
                <w:rFonts w:ascii="Arial" w:cs="Arial" w:eastAsia="Arial" w:hAnsi="Arial"/>
                <w:sz w:val="18"/>
                <w:szCs w:val="18"/>
                <w:color w:val="auto"/>
                <w:w w:val="89"/>
              </w:rPr>
              <w:t>March 20, 2020</w:t>
            </w:r>
          </w:p>
        </w:tc>
      </w:tr>
      <w:tr>
        <w:trPr>
          <w:trHeight w:val="222"/>
        </w:trPr>
        <w:tc>
          <w:tcPr>
            <w:tcW w:w="2940" w:type="dxa"/>
            <w:vAlign w:val="bottom"/>
            <w:gridSpan w:val="3"/>
          </w:tcPr>
          <w:p>
            <w:pPr>
              <w:spacing w:after="0"/>
              <w:rPr>
                <w:sz w:val="20"/>
                <w:szCs w:val="20"/>
                <w:color w:val="auto"/>
              </w:rPr>
            </w:pPr>
            <w:r>
              <w:rPr>
                <w:rFonts w:ascii="Arial" w:cs="Arial" w:eastAsia="Arial" w:hAnsi="Arial"/>
                <w:sz w:val="18"/>
                <w:szCs w:val="18"/>
                <w:color w:val="auto"/>
              </w:rPr>
              <w:t>Michael Murphy</w:t>
            </w: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Chief Accounting Officer</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3"/>
          </w:tcPr>
          <w:p>
            <w:pPr>
              <w:ind w:left="240"/>
              <w:spacing w:after="0"/>
              <w:rPr>
                <w:sz w:val="20"/>
                <w:szCs w:val="20"/>
                <w:color w:val="auto"/>
              </w:rPr>
            </w:pPr>
            <w:r>
              <w:rPr>
                <w:rFonts w:ascii="Arial" w:cs="Arial" w:eastAsia="Arial" w:hAnsi="Arial"/>
                <w:sz w:val="18"/>
                <w:szCs w:val="18"/>
                <w:color w:val="auto"/>
              </w:rPr>
              <w:t>(Principal Accounting Officer)</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Directors: </w:t>
      </w:r>
      <w:r>
        <w:rPr>
          <w:rFonts w:ascii="Arial" w:cs="Arial" w:eastAsia="Arial" w:hAnsi="Arial"/>
          <w:sz w:val="16"/>
          <w:szCs w:val="16"/>
          <w:color w:val="auto"/>
        </w:rPr>
        <w:t>Stephen L. Schlecht, E. David Coolidge III, Francesca M. Edwardson, Thomas G. Folliard, David C. Finch, Brenda 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Morris and Scott K. Williams.</w:t>
      </w: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Dave Loretta</w:t>
            </w:r>
          </w:p>
        </w:tc>
        <w:tc>
          <w:tcPr>
            <w:tcW w:w="2980" w:type="dxa"/>
            <w:vAlign w:val="bottom"/>
          </w:tcPr>
          <w:p>
            <w:pPr>
              <w:ind w:left="1840"/>
              <w:spacing w:after="0"/>
              <w:rPr>
                <w:sz w:val="20"/>
                <w:szCs w:val="20"/>
                <w:color w:val="auto"/>
              </w:rPr>
            </w:pPr>
            <w:r>
              <w:rPr>
                <w:rFonts w:ascii="Arial" w:cs="Arial" w:eastAsia="Arial" w:hAnsi="Arial"/>
                <w:sz w:val="18"/>
                <w:szCs w:val="18"/>
                <w:color w:val="auto"/>
                <w:w w:val="89"/>
              </w:rPr>
              <w:t>March 20, 2020</w:t>
            </w:r>
          </w:p>
        </w:tc>
      </w:tr>
      <w:tr>
        <w:trPr>
          <w:trHeight w:val="195"/>
        </w:trPr>
        <w:tc>
          <w:tcPr>
            <w:tcW w:w="640" w:type="dxa"/>
            <w:vAlign w:val="bottom"/>
          </w:tcPr>
          <w:p>
            <w:pPr>
              <w:spacing w:after="0"/>
              <w:rPr>
                <w:sz w:val="16"/>
                <w:szCs w:val="16"/>
                <w:color w:val="auto"/>
              </w:rPr>
            </w:pPr>
          </w:p>
        </w:tc>
        <w:tc>
          <w:tcPr>
            <w:tcW w:w="3820" w:type="dxa"/>
            <w:vAlign w:val="bottom"/>
          </w:tcPr>
          <w:p>
            <w:pPr>
              <w:ind w:left="20"/>
              <w:spacing w:after="0" w:line="195" w:lineRule="exact"/>
              <w:rPr>
                <w:sz w:val="20"/>
                <w:szCs w:val="20"/>
                <w:color w:val="auto"/>
              </w:rPr>
            </w:pPr>
            <w:r>
              <w:rPr>
                <w:rFonts w:ascii="Arial" w:cs="Arial" w:eastAsia="Arial" w:hAnsi="Arial"/>
                <w:sz w:val="18"/>
                <w:szCs w:val="18"/>
                <w:color w:val="auto"/>
              </w:rPr>
              <w:t>David Loretta</w:t>
            </w:r>
          </w:p>
        </w:tc>
        <w:tc>
          <w:tcPr>
            <w:tcW w:w="298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Attorney-In-Fact*</w:t>
            </w:r>
          </w:p>
        </w:tc>
        <w:tc>
          <w:tcPr>
            <w:tcW w:w="2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603504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280"/>
          </w:cols>
          <w:pgMar w:left="1220" w:top="125" w:right="13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2380" w:type="dxa"/>
            <w:vAlign w:val="bottom"/>
            <w:gridSpan w:val="4"/>
          </w:tcPr>
          <w:p>
            <w:pPr>
              <w:jc w:val="center"/>
              <w:ind w:right="108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7060" w:type="dxa"/>
            <w:vAlign w:val="bottom"/>
            <w:gridSpan w:val="39"/>
          </w:tcPr>
          <w:p>
            <w:pPr>
              <w:ind w:left="1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5"/>
        </w:trPr>
        <w:tc>
          <w:tcPr>
            <w:tcW w:w="200" w:type="dxa"/>
            <w:vAlign w:val="bottom"/>
          </w:tcPr>
          <w:p>
            <w:pPr>
              <w:spacing w:after="0"/>
              <w:rPr>
                <w:sz w:val="24"/>
                <w:szCs w:val="24"/>
                <w:color w:val="auto"/>
              </w:rPr>
            </w:pPr>
          </w:p>
        </w:tc>
        <w:tc>
          <w:tcPr>
            <w:tcW w:w="2180" w:type="dxa"/>
            <w:vAlign w:val="bottom"/>
            <w:gridSpan w:val="3"/>
          </w:tcPr>
          <w:p>
            <w:pPr>
              <w:jc w:val="center"/>
              <w:ind w:right="1340"/>
              <w:spacing w:after="0"/>
              <w:rPr>
                <w:sz w:val="20"/>
                <w:szCs w:val="20"/>
                <w:color w:val="auto"/>
              </w:rPr>
            </w:pPr>
            <w:r>
              <w:rPr>
                <w:rFonts w:ascii="Arial" w:cs="Arial" w:eastAsia="Arial" w:hAnsi="Arial"/>
                <w:sz w:val="18"/>
                <w:szCs w:val="18"/>
                <w:color w:val="auto"/>
                <w:w w:val="96"/>
              </w:rPr>
              <w:t>Exhibit No.</w:t>
            </w:r>
          </w:p>
        </w:tc>
        <w:tc>
          <w:tcPr>
            <w:tcW w:w="7060" w:type="dxa"/>
            <w:vAlign w:val="bottom"/>
            <w:gridSpan w:val="39"/>
            <w:vMerge w:val="restart"/>
          </w:tcPr>
          <w:p>
            <w:pPr>
              <w:spacing w:after="0"/>
              <w:rPr>
                <w:rFonts w:ascii="Arial" w:cs="Arial" w:eastAsia="Arial" w:hAnsi="Arial"/>
                <w:sz w:val="18"/>
                <w:szCs w:val="18"/>
                <w:color w:val="0000EE"/>
              </w:rPr>
            </w:pPr>
            <w:hyperlink r:id="rId96">
              <w:r>
                <w:rPr>
                  <w:rFonts w:ascii="Arial" w:cs="Arial" w:eastAsia="Arial" w:hAnsi="Arial"/>
                  <w:sz w:val="18"/>
                  <w:szCs w:val="18"/>
                  <w:color w:val="0000EE"/>
                </w:rPr>
                <w:t>Amended and Restated Articles of Incorporation of Duluth Holdings Inc.,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5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reference to Exhibit 3.1 of Pre-Effective Amendment No. 2 to the Company’s Registration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520" w:type="dxa"/>
            <w:vAlign w:val="bottom"/>
            <w:gridSpan w:val="17"/>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Statement on Form S-1 (File No. 333-207300), filed November 9,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0" w:type="dxa"/>
            <w:vAlign w:val="bottom"/>
            <w:tcBorders>
              <w:top w:val="single" w:sz="8" w:color="0000EE"/>
            </w:tcBorders>
            <w:gridSpan w:val="9"/>
          </w:tcPr>
          <w:p>
            <w:pPr>
              <w:spacing w:after="0" w:line="182"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Amended and Restated Bylaws of Duluth Holdings Inc., incorporated by</w:t>
              </w:r>
            </w:hyperlink>
          </w:p>
        </w:tc>
        <w:tc>
          <w:tcPr>
            <w:tcW w:w="1860" w:type="dxa"/>
            <w:vAlign w:val="bottom"/>
            <w:gridSpan w:val="30"/>
          </w:tcPr>
          <w:p>
            <w:pPr>
              <w:ind w:left="80"/>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720" w:type="dxa"/>
            <w:vAlign w:val="bottom"/>
            <w:tcBorders>
              <w:top w:val="single" w:sz="8" w:color="0000EE"/>
            </w:tcBorders>
            <w:gridSpan w:val="23"/>
          </w:tcPr>
          <w:p>
            <w:pPr>
              <w:spacing w:after="0" w:line="182"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3.</w:t>
              </w:r>
              <w:r>
                <w:rPr>
                  <w:rFonts w:ascii="Arial" w:cs="Arial" w:eastAsia="Arial" w:hAnsi="Arial"/>
                  <w:sz w:val="18"/>
                  <w:szCs w:val="18"/>
                  <w:u w:val="single" w:color="auto"/>
                  <w:color w:val="0000EE"/>
                  <w:w w:val="90"/>
                </w:rPr>
                <w:t>2</w:t>
              </w:r>
              <w:r>
                <w:rPr>
                  <w:rFonts w:ascii="Arial" w:cs="Arial" w:eastAsia="Arial" w:hAnsi="Arial"/>
                  <w:sz w:val="18"/>
                  <w:szCs w:val="18"/>
                  <w:color w:val="0000EE"/>
                  <w:w w:val="90"/>
                </w:rPr>
                <w:t xml:space="preserve"> of the Pre-Effective Amendment No. 2 to the Company’s Registration Statement on Form</w:t>
              </w:r>
            </w:hyperlink>
          </w:p>
        </w:tc>
        <w:tc>
          <w:tcPr>
            <w:tcW w:w="20" w:type="dxa"/>
            <w:vAlign w:val="bottom"/>
          </w:tcPr>
          <w:p>
            <w:pPr>
              <w:spacing w:after="0"/>
              <w:rPr>
                <w:sz w:val="15"/>
                <w:szCs w:val="15"/>
                <w:color w:val="auto"/>
              </w:rPr>
            </w:pPr>
          </w:p>
        </w:tc>
        <w:tc>
          <w:tcPr>
            <w:tcW w:w="320" w:type="dxa"/>
            <w:vAlign w:val="bottom"/>
            <w:gridSpan w:val="15"/>
          </w:tcPr>
          <w:p>
            <w:pPr>
              <w:jc w:val="right"/>
              <w:ind w:right="120"/>
              <w:spacing w:after="0" w:line="182"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S-</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2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1 (File No. 333-207300), filed November 9,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Registrant’s Securities.</w:t>
              </w:r>
            </w:hyperlink>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rPr>
              <w:t>10.1+</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4"/>
              </w:rPr>
            </w:pPr>
            <w:hyperlink r:id="rId98">
              <w:r>
                <w:rPr>
                  <w:rFonts w:ascii="Arial" w:cs="Arial" w:eastAsia="Arial" w:hAnsi="Arial"/>
                  <w:sz w:val="18"/>
                  <w:szCs w:val="18"/>
                  <w:color w:val="0000EE"/>
                  <w:w w:val="94"/>
                </w:rPr>
                <w:t>Employment Agreement between Duluth Holdings Inc. and Stephen L. Schlecht, incorporated</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780" w:type="dxa"/>
            <w:vAlign w:val="bottom"/>
            <w:tcBorders>
              <w:top w:val="single" w:sz="8" w:color="0000EE"/>
            </w:tcBorders>
            <w:gridSpan w:val="25"/>
          </w:tcPr>
          <w:p>
            <w:pPr>
              <w:spacing w:after="0" w:line="182"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by reference to Exhibit 10.1 of the Company’s Registration Statement on Form S-1 (File No.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333-207300), filed October 6, 2015.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Employment Agreement between Duluth Holdings Inc. and Stephanie Pugliese,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960" w:type="dxa"/>
            <w:vAlign w:val="bottom"/>
            <w:tcBorders>
              <w:top w:val="single" w:sz="8" w:color="0000EE"/>
            </w:tcBorders>
            <w:gridSpan w:val="34"/>
          </w:tcPr>
          <w:p>
            <w:pPr>
              <w:spacing w:after="0" w:line="182"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reference to Exhibit 10.2 of the Company’s Registration Statement on Form S-1 (File No. 333-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207300)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October 6,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r:id="rId100">
              <w:r>
                <w:rPr>
                  <w:rFonts w:ascii="Arial" w:cs="Arial" w:eastAsia="Arial" w:hAnsi="Arial"/>
                  <w:sz w:val="18"/>
                  <w:szCs w:val="18"/>
                  <w:color w:val="0000EE"/>
                  <w:w w:val="84"/>
                </w:rPr>
                <w:t>Employment Agreement between</w:t>
              </w:r>
            </w:hyperlink>
          </w:p>
        </w:tc>
        <w:tc>
          <w:tcPr>
            <w:tcW w:w="4080" w:type="dxa"/>
            <w:vAlign w:val="bottom"/>
            <w:tcBorders>
              <w:bottom w:val="single" w:sz="8" w:color="0000EE"/>
            </w:tcBorders>
            <w:gridSpan w:val="12"/>
          </w:tcPr>
          <w:p>
            <w:pPr>
              <w:ind w:left="180"/>
              <w:spacing w:after="0" w:line="182"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Duluth Holdings Inc. and Al Dittrich, incorporated by</w:t>
              </w:r>
            </w:hyperlink>
          </w:p>
        </w:tc>
        <w:tc>
          <w:tcPr>
            <w:tcW w:w="70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reference to Exhibit 10.4 of the Company’s Registration Statement on Form S-1 (File No. 333-</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207300)</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October 6, 2015.</w:t>
              </w:r>
            </w:hyperlink>
          </w:p>
        </w:tc>
        <w:tc>
          <w:tcPr>
            <w:tcW w:w="4560" w:type="dxa"/>
            <w:vAlign w:val="bottom"/>
            <w:tcBorders>
              <w:top w:val="single" w:sz="8" w:color="0000EE"/>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900" w:type="dxa"/>
            <w:vAlign w:val="bottom"/>
            <w:tcBorders>
              <w:bottom w:val="single" w:sz="8" w:color="0000EE"/>
            </w:tcBorders>
            <w:gridSpan w:val="31"/>
          </w:tcPr>
          <w:p>
            <w:pPr>
              <w:spacing w:after="0" w:line="182"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Restricted Stock Agreement between Duluth Holdings Inc. and Stephanie Pugliese, dated April</w:t>
              </w:r>
            </w:hyperlink>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30, 2012, incorporated by reference to Exhibit 10.5 of the Company’s Registration Statement on</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98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Form S-1 (File No. 333-207300), filed October 6, 2015.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60" w:type="dxa"/>
            <w:vAlign w:val="bottom"/>
            <w:tcBorders>
              <w:top w:val="single" w:sz="8" w:color="0000EE"/>
            </w:tcBorders>
            <w:gridSpan w:val="7"/>
          </w:tcPr>
          <w:p>
            <w:pPr>
              <w:spacing w:after="0" w:line="182"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Restricted Stock Agreement between Duluth Holdings</w:t>
              </w:r>
            </w:hyperlink>
          </w:p>
        </w:tc>
        <w:tc>
          <w:tcPr>
            <w:tcW w:w="3000" w:type="dxa"/>
            <w:vAlign w:val="bottom"/>
            <w:gridSpan w:val="32"/>
          </w:tcPr>
          <w:p>
            <w:pPr>
              <w:spacing w:after="0" w:line="182"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Inc. and Stephanie Pugliese, dated April</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80" w:type="dxa"/>
            <w:vAlign w:val="bottom"/>
            <w:tcBorders>
              <w:top w:val="single" w:sz="8" w:color="0000EE"/>
            </w:tcBorders>
            <w:gridSpan w:val="30"/>
          </w:tcPr>
          <w:p>
            <w:pPr>
              <w:spacing w:after="0" w:line="182"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1, 2014, incorporated by reference to Exhibit 10.6 of the Company’s Registration Statement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6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Form S-1 (File No. 333-207300), filed October 6, 2015.</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60" w:type="dxa"/>
            <w:vAlign w:val="bottom"/>
            <w:tcBorders>
              <w:top w:val="single" w:sz="8" w:color="0000EE"/>
            </w:tcBorders>
            <w:gridSpan w:val="7"/>
          </w:tcPr>
          <w:p>
            <w:pPr>
              <w:spacing w:after="0" w:line="182"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Restricted Stock Agreement between Duluth Holdings</w:t>
              </w:r>
            </w:hyperlink>
          </w:p>
        </w:tc>
        <w:tc>
          <w:tcPr>
            <w:tcW w:w="3000" w:type="dxa"/>
            <w:vAlign w:val="bottom"/>
            <w:gridSpan w:val="32"/>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Inc. and Stephanie Pugliese, dated</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February 2, 2015, incorporated by reference to Exhibit 10.7 of the Company’s Registration</w:t>
              </w:r>
            </w:hyperlink>
          </w:p>
        </w:tc>
        <w:tc>
          <w:tcPr>
            <w:tcW w:w="8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540" w:type="dxa"/>
            <w:vAlign w:val="bottom"/>
            <w:gridSpan w:val="18"/>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Statement on Form S-1 (File No. 333-207300), filed October 6, 2015.</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Restricted Stock Agreement between Duluth Holdings Inc. and Al Dittrich, dated February 2,</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740" w:type="dxa"/>
            <w:vAlign w:val="bottom"/>
            <w:tcBorders>
              <w:top w:val="single" w:sz="8" w:color="0000EE"/>
            </w:tcBorders>
            <w:gridSpan w:val="24"/>
          </w:tcPr>
          <w:p>
            <w:pPr>
              <w:spacing w:after="0" w:line="182"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2015, incorporated by reference to Exhibit 10.8 of the Company’s Registration Statement on</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S-1 (File No. 333-207300), filed October 6, 2015.</w:t>
              </w:r>
            </w:hyperlink>
          </w:p>
        </w:tc>
        <w:tc>
          <w:tcPr>
            <w:tcW w:w="2600" w:type="dxa"/>
            <w:vAlign w:val="bottom"/>
            <w:tcBorders>
              <w:top w:val="single" w:sz="8" w:color="0000EE"/>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Restrictive Covenant Agreement between Duluth Holdings Inc. and Stephanie Pugliese,</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340" w:type="dxa"/>
            <w:vAlign w:val="bottom"/>
            <w:tcBorders>
              <w:top w:val="single" w:sz="8" w:color="0000EE"/>
            </w:tcBorders>
            <w:gridSpan w:val="12"/>
          </w:tcPr>
          <w:p>
            <w:pPr>
              <w:spacing w:after="0" w:line="182"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10.9 of the Company’s Registration Statement on</w:t>
              </w:r>
            </w:hyperlink>
          </w:p>
        </w:tc>
        <w:tc>
          <w:tcPr>
            <w:tcW w:w="720" w:type="dxa"/>
            <w:vAlign w:val="bottom"/>
            <w:gridSpan w:val="27"/>
          </w:tcPr>
          <w:p>
            <w:pPr>
              <w:jc w:val="right"/>
              <w:ind w:right="120"/>
              <w:spacing w:after="0" w:line="182" w:lineRule="exact"/>
              <w:rPr>
                <w:rFonts w:ascii="Arial" w:cs="Arial" w:eastAsia="Arial" w:hAnsi="Arial"/>
                <w:sz w:val="18"/>
                <w:szCs w:val="18"/>
                <w:color w:val="0000EE"/>
                <w:w w:val="77"/>
              </w:rPr>
            </w:pPr>
            <w:hyperlink r:id="rId105">
              <w:r>
                <w:rPr>
                  <w:rFonts w:ascii="Arial" w:cs="Arial" w:eastAsia="Arial" w:hAnsi="Arial"/>
                  <w:sz w:val="18"/>
                  <w:szCs w:val="18"/>
                  <w:color w:val="0000EE"/>
                  <w:w w:val="77"/>
                </w:rPr>
                <w:t>Form S-1</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4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(File No. 333-207300), filed October 6, 2015.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Restrictive Covenant Agreement between Duluth Holdings Inc. and Al Dittrich,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0" w:type="dxa"/>
            <w:vAlign w:val="bottom"/>
            <w:tcBorders>
              <w:top w:val="single" w:sz="8" w:color="0000EE"/>
            </w:tcBorders>
            <w:gridSpan w:val="36"/>
          </w:tcPr>
          <w:p>
            <w:pPr>
              <w:spacing w:after="0" w:line="182"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reference to Exhibit 10.10 of the Company’s Registration Statement on Form S-1 (File No. 333-</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9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207300)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October 6, 2015.</w:t>
              </w:r>
            </w:hyperlink>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80" w:type="dxa"/>
            <w:vAlign w:val="bottom"/>
            <w:tcBorders>
              <w:top w:val="single" w:sz="8" w:color="0000EE"/>
            </w:tcBorders>
          </w:tcPr>
          <w:p>
            <w:pPr>
              <w:spacing w:after="0" w:line="182"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Summary of Outside Director</w:t>
              </w:r>
            </w:hyperlink>
          </w:p>
        </w:tc>
        <w:tc>
          <w:tcPr>
            <w:tcW w:w="4780" w:type="dxa"/>
            <w:vAlign w:val="bottom"/>
            <w:gridSpan w:val="38"/>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Compensation Program.*</w:t>
              </w:r>
            </w:hyperlink>
          </w:p>
        </w:tc>
        <w:tc>
          <w:tcPr>
            <w:tcW w:w="0" w:type="dxa"/>
            <w:vAlign w:val="bottom"/>
          </w:tcPr>
          <w:p>
            <w:pPr>
              <w:spacing w:after="0"/>
              <w:rPr>
                <w:sz w:val="1"/>
                <w:szCs w:val="1"/>
                <w:color w:val="auto"/>
              </w:rPr>
            </w:pPr>
          </w:p>
        </w:tc>
      </w:tr>
      <w:tr>
        <w:trPr>
          <w:trHeight w:val="183"/>
        </w:trPr>
        <w:tc>
          <w:tcPr>
            <w:tcW w:w="104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10.11+</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40" w:type="dxa"/>
            <w:vAlign w:val="bottom"/>
            <w:tcBorders>
              <w:top w:val="single" w:sz="8" w:color="0000EE"/>
            </w:tcBorders>
            <w:gridSpan w:val="6"/>
          </w:tcPr>
          <w:p>
            <w:pPr>
              <w:spacing w:after="0" w:line="182"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2015 Equity Incentive Plan of Duluth Holdings Inc.,</w:t>
              </w:r>
            </w:hyperlink>
          </w:p>
        </w:tc>
        <w:tc>
          <w:tcPr>
            <w:tcW w:w="3020" w:type="dxa"/>
            <w:vAlign w:val="bottom"/>
            <w:gridSpan w:val="33"/>
          </w:tcPr>
          <w:p>
            <w:pPr>
              <w:spacing w:after="0" w:line="182"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to Exhibit 10.7</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of the Company’s Quarterly Report on Form 10-Q, filed December 18, 2015.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40" w:type="dxa"/>
            <w:vAlign w:val="bottom"/>
            <w:gridSpan w:val="10"/>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Form of Restricted Stock Agreement for non-employee directors under the 2015 Equity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Incentive Plan, incorporated by reference to Exhibit 10.17 of the Company’s Registration</w:t>
              </w:r>
            </w:hyperlink>
          </w:p>
        </w:tc>
        <w:tc>
          <w:tcPr>
            <w:tcW w:w="120" w:type="dxa"/>
            <w:vAlign w:val="bottom"/>
            <w:tcBorders>
              <w:bottom w:val="single" w:sz="8" w:color="0000EE"/>
            </w:tcBorders>
            <w:gridSpan w:val="3"/>
          </w:tcPr>
          <w:p>
            <w:pPr>
              <w:spacing w:after="0"/>
              <w:rPr>
                <w:sz w:val="15"/>
                <w:szCs w:val="15"/>
                <w:color w:val="auto"/>
              </w:rPr>
            </w:pPr>
          </w:p>
        </w:tc>
        <w:tc>
          <w:tcPr>
            <w:tcW w:w="120" w:type="dxa"/>
            <w:vAlign w:val="bottom"/>
            <w:gridSpan w:val="5"/>
          </w:tcPr>
          <w:p>
            <w:pPr>
              <w:spacing w:after="0"/>
              <w:rPr>
                <w:sz w:val="15"/>
                <w:szCs w:val="15"/>
                <w:color w:val="auto"/>
              </w:rPr>
            </w:pPr>
          </w:p>
        </w:tc>
        <w:tc>
          <w:tcPr>
            <w:tcW w:w="140" w:type="dxa"/>
            <w:vAlign w:val="bottom"/>
            <w:gridSpan w:val="3"/>
          </w:tcPr>
          <w:p>
            <w:pPr>
              <w:spacing w:after="0"/>
              <w:rPr>
                <w:sz w:val="15"/>
                <w:szCs w:val="15"/>
                <w:color w:val="auto"/>
              </w:rPr>
            </w:pPr>
          </w:p>
        </w:tc>
        <w:tc>
          <w:tcPr>
            <w:tcW w:w="12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40" w:type="dxa"/>
            <w:vAlign w:val="bottom"/>
            <w:gridSpan w:val="14"/>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Statement on Form S-1 (File No. 333-207300), filed October 6, 2015.</w:t>
              </w:r>
            </w:hyperlink>
          </w:p>
        </w:tc>
        <w:tc>
          <w:tcPr>
            <w:tcW w:w="120" w:type="dxa"/>
            <w:vAlign w:val="bottom"/>
            <w:gridSpan w:val="5"/>
          </w:tcPr>
          <w:p>
            <w:pPr>
              <w:spacing w:after="0"/>
              <w:rPr>
                <w:sz w:val="15"/>
                <w:szCs w:val="15"/>
                <w:color w:val="auto"/>
              </w:rPr>
            </w:pPr>
          </w:p>
        </w:tc>
        <w:tc>
          <w:tcPr>
            <w:tcW w:w="140" w:type="dxa"/>
            <w:vAlign w:val="bottom"/>
            <w:gridSpan w:val="3"/>
          </w:tcPr>
          <w:p>
            <w:pPr>
              <w:spacing w:after="0"/>
              <w:rPr>
                <w:sz w:val="15"/>
                <w:szCs w:val="15"/>
                <w:color w:val="auto"/>
              </w:rPr>
            </w:pPr>
          </w:p>
        </w:tc>
        <w:tc>
          <w:tcPr>
            <w:tcW w:w="12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8"/>
            <w:shd w:val="clear" w:color="auto" w:fill="0000EE"/>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9"/>
          </w:tcPr>
          <w:p>
            <w:pPr>
              <w:spacing w:after="0" w:line="182"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Lease between Schlecht Retail Ventures LLC and Duluth Holdings Inc., dated September 12,</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700" w:type="dxa"/>
            <w:vAlign w:val="bottom"/>
            <w:tcBorders>
              <w:top w:val="single" w:sz="8" w:color="0000EE"/>
            </w:tcBorders>
            <w:gridSpan w:val="22"/>
          </w:tcPr>
          <w:p>
            <w:pPr>
              <w:spacing w:after="0" w:line="182"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2014 (100 First Street, Mt. Horeb, Wisconsin), incorporated by reference to Exhibit 10.18 of</w:t>
              </w:r>
            </w:hyperlink>
          </w:p>
        </w:tc>
        <w:tc>
          <w:tcPr>
            <w:tcW w:w="360" w:type="dxa"/>
            <w:vAlign w:val="bottom"/>
            <w:gridSpan w:val="17"/>
          </w:tcPr>
          <w:p>
            <w:pPr>
              <w:jc w:val="right"/>
              <w:ind w:right="140"/>
              <w:spacing w:after="0" w:line="182" w:lineRule="exact"/>
              <w:rPr>
                <w:rFonts w:ascii="Arial" w:cs="Arial" w:eastAsia="Arial" w:hAnsi="Arial"/>
                <w:sz w:val="18"/>
                <w:szCs w:val="18"/>
                <w:color w:val="0000EE"/>
                <w:w w:val="79"/>
              </w:rPr>
            </w:pPr>
            <w:hyperlink r:id="rId110">
              <w:r>
                <w:rPr>
                  <w:rFonts w:ascii="Arial" w:cs="Arial" w:eastAsia="Arial" w:hAnsi="Arial"/>
                  <w:sz w:val="18"/>
                  <w:szCs w:val="18"/>
                  <w:color w:val="0000EE"/>
                  <w:w w:val="79"/>
                </w:rPr>
                <w:t>the</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940" w:type="dxa"/>
            <w:vAlign w:val="bottom"/>
            <w:tcBorders>
              <w:top w:val="single" w:sz="8" w:color="0000EE"/>
            </w:tcBorders>
            <w:gridSpan w:val="33"/>
          </w:tcPr>
          <w:p>
            <w:pPr>
              <w:spacing w:after="0" w:line="182"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Company’s Registration Statement on Form S-1 (File No. 333-207300), filed October 6, 2015.</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20" w:type="dxa"/>
            <w:vAlign w:val="bottom"/>
            <w:tcBorders>
              <w:top w:val="single" w:sz="8" w:color="0000EE"/>
            </w:tcBorders>
            <w:gridSpan w:val="27"/>
          </w:tcPr>
          <w:p>
            <w:pPr>
              <w:spacing w:after="0" w:line="182"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Commercial Lease between Schlecht Retail Ventures LLC and Duluth Holdings Inc., dated</w:t>
              </w:r>
            </w:hyperlink>
          </w:p>
        </w:tc>
        <w:tc>
          <w:tcPr>
            <w:tcW w:w="40" w:type="dxa"/>
            <w:vAlign w:val="bottom"/>
            <w:gridSpan w:val="2"/>
          </w:tcPr>
          <w:p>
            <w:pPr>
              <w:spacing w:after="0"/>
              <w:rPr>
                <w:sz w:val="15"/>
                <w:szCs w:val="15"/>
                <w:color w:val="auto"/>
              </w:rPr>
            </w:pPr>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56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February 14, 2010 (100 West Main Street, Mt. Horeb, Wisconsin), incorporated by reference</w:t>
              </w:r>
            </w:hyperlink>
          </w:p>
        </w:tc>
        <w:tc>
          <w:tcPr>
            <w:tcW w:w="320" w:type="dxa"/>
            <w:vAlign w:val="bottom"/>
            <w:tcBorders>
              <w:bottom w:val="single" w:sz="8" w:color="0000EE"/>
            </w:tcBorders>
            <w:gridSpan w:val="11"/>
          </w:tcPr>
          <w:p>
            <w:pPr>
              <w:ind w:left="160"/>
              <w:spacing w:after="0" w:line="182"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to</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ind w:left="2380" w:right="280"/>
        <w:spacing w:after="0" w:line="260"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Exhibit 10.19 of the Company’s Registration Statement on Form S-1 (File No. 333-207300),</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filed October 6, 2015.</w:t>
        </w:r>
      </w:hyperlink>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320"/>
          </w:cols>
          <w:pgMar w:left="1200" w:top="108" w:right="13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7980" w:type="dxa"/>
            <w:vAlign w:val="bottom"/>
            <w:gridSpan w:val="41"/>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Retail Space Lease between LDC-728 Milwaukee, LLC and Duluth Holdings Inc., dated January 23, 2012</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(108 North Franklin Street, Port Washington, Wisconsin), incorporated by reference to Exhibit 10.20 of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5"/>
                <w:szCs w:val="15"/>
                <w:color w:val="auto"/>
              </w:rPr>
            </w:pPr>
          </w:p>
        </w:tc>
        <w:tc>
          <w:tcPr>
            <w:tcW w:w="6820" w:type="dxa"/>
            <w:vAlign w:val="bottom"/>
            <w:tcBorders>
              <w:bottom w:val="single" w:sz="8" w:color="0000EE"/>
            </w:tcBorders>
            <w:gridSpan w:val="16"/>
          </w:tcPr>
          <w:p>
            <w:pPr>
              <w:spacing w:after="0" w:line="182"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Company’s Registration Statement on Form S-1 (File No. 333-207300), filed October 6, 2015.</w:t>
              </w:r>
            </w:hyperlink>
          </w:p>
        </w:tc>
        <w:tc>
          <w:tcPr>
            <w:tcW w:w="100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20" w:type="dxa"/>
            <w:vAlign w:val="bottom"/>
            <w:tcBorders>
              <w:bottom w:val="single" w:sz="8" w:color="0000EE"/>
            </w:tcBorders>
            <w:gridSpan w:val="20"/>
          </w:tcPr>
          <w:p>
            <w:pPr>
              <w:spacing w:after="0" w:line="182"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First Amendment to Retail Lease between LDC-728 Milwaukee, LLC and Duluth Holdings Inc., dated</w:t>
              </w:r>
            </w:hyperlink>
          </w:p>
        </w:tc>
        <w:tc>
          <w:tcPr>
            <w:tcW w:w="5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20" w:type="dxa"/>
            <w:vAlign w:val="bottom"/>
            <w:tcBorders>
              <w:bottom w:val="single" w:sz="8" w:color="0000EE"/>
            </w:tcBorders>
            <w:gridSpan w:val="22"/>
          </w:tcPr>
          <w:p>
            <w:pPr>
              <w:spacing w:after="0" w:line="182"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January 23, 2012 (108 North Franklin Street, Port Washington, Wisconsin), incorporated by reference to</w:t>
              </w:r>
            </w:hyperlink>
          </w:p>
        </w:tc>
        <w:tc>
          <w:tcPr>
            <w:tcW w:w="4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Exhibit 10.21 of the Company’s Registration Statement on Form S-1 (File No. 333-207300), filed October 6,</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2015.</w:t>
              </w:r>
            </w:hyperlink>
          </w:p>
        </w:tc>
        <w:tc>
          <w:tcPr>
            <w:tcW w:w="1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5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0000EE"/>
            </w:tcBorders>
          </w:tcPr>
          <w:p>
            <w:pPr>
              <w:spacing w:after="0" w:line="183" w:lineRule="exact"/>
              <w:rPr>
                <w:rFonts w:ascii="Arial" w:cs="Arial" w:eastAsia="Arial" w:hAnsi="Arial"/>
                <w:sz w:val="16"/>
                <w:szCs w:val="16"/>
                <w:color w:val="0000EE"/>
                <w:w w:val="73"/>
              </w:rPr>
            </w:pPr>
            <w:hyperlink r:id="rId115">
              <w:r>
                <w:rPr>
                  <w:rFonts w:ascii="Arial" w:cs="Arial" w:eastAsia="Arial" w:hAnsi="Arial"/>
                  <w:sz w:val="16"/>
                  <w:szCs w:val="16"/>
                  <w:color w:val="0000EE"/>
                  <w:w w:val="73"/>
                </w:rPr>
                <w:t>Second</w:t>
              </w:r>
            </w:hyperlink>
          </w:p>
        </w:tc>
        <w:tc>
          <w:tcPr>
            <w:tcW w:w="7040" w:type="dxa"/>
            <w:vAlign w:val="bottom"/>
            <w:tcBorders>
              <w:bottom w:val="single" w:sz="8" w:color="0000EE"/>
            </w:tcBorders>
            <w:gridSpan w:val="20"/>
          </w:tcPr>
          <w:p>
            <w:pPr>
              <w:ind w:left="160"/>
              <w:spacing w:after="0" w:line="182"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Amendment to Retail Lease between Schlecht Port Washington LLC and Duluth Holdings Inc.,</w:t>
              </w:r>
            </w:hyperlink>
          </w:p>
        </w:tc>
        <w:tc>
          <w:tcPr>
            <w:tcW w:w="52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dated January 23, 2012 (108 North Franklin Street, Port Washington, Wisconsin), incorporated by reference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60" w:type="dxa"/>
            <w:vAlign w:val="bottom"/>
            <w:tcBorders>
              <w:top w:val="single" w:sz="8" w:color="0000EE"/>
              <w:bottom w:val="single" w:sz="8" w:color="0000EE"/>
            </w:tcBorders>
            <w:gridSpan w:val="35"/>
          </w:tcPr>
          <w:p>
            <w:pPr>
              <w:spacing w:after="0" w:line="182"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to Exhibit 10.22 of the Company’s Registration Statement on Form S-1 (File No. 333-207300), filed October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5"/>
                <w:szCs w:val="15"/>
                <w:color w:val="auto"/>
              </w:rPr>
            </w:pPr>
          </w:p>
        </w:tc>
        <w:tc>
          <w:tcPr>
            <w:tcW w:w="60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6, 2015.</w:t>
              </w:r>
            </w:hyperlink>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spacing w:after="0" w:line="182"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Form of</w:t>
              </w:r>
            </w:hyperlink>
          </w:p>
        </w:tc>
        <w:tc>
          <w:tcPr>
            <w:tcW w:w="7380" w:type="dxa"/>
            <w:vAlign w:val="bottom"/>
            <w:gridSpan w:val="39"/>
          </w:tcPr>
          <w:p>
            <w:pPr>
              <w:ind w:left="40"/>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S Corporation Termination, Tax Allocation and Indemnification Agreement among Duluth</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60" w:type="dxa"/>
            <w:vAlign w:val="bottom"/>
            <w:tcBorders>
              <w:top w:val="single" w:sz="8" w:color="0000EE"/>
            </w:tcBorders>
            <w:gridSpan w:val="18"/>
          </w:tcPr>
          <w:p>
            <w:pPr>
              <w:spacing w:after="0" w:line="182"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Holdings Inc. and shareholders of Duluth Holdings Inc., incorporated by reference to Exhibit 10.23</w:t>
              </w:r>
            </w:hyperlink>
          </w:p>
        </w:tc>
        <w:tc>
          <w:tcPr>
            <w:tcW w:w="820" w:type="dxa"/>
            <w:vAlign w:val="bottom"/>
            <w:gridSpan w:val="23"/>
          </w:tcPr>
          <w:p>
            <w:pPr>
              <w:ind w:left="40"/>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of Pre-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4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Effective Amendment No. 1 to the Company’s Registration Statement on Form S-1 (File No. 333-207300),</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5"/>
                <w:szCs w:val="15"/>
                <w:color w:val="auto"/>
              </w:rPr>
            </w:pPr>
          </w:p>
        </w:tc>
        <w:tc>
          <w:tcPr>
            <w:tcW w:w="7800" w:type="dxa"/>
            <w:vAlign w:val="bottom"/>
            <w:gridSpan w:val="32"/>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filed October 13, 2015.</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top w:val="single" w:sz="8" w:color="0000EE"/>
            </w:tcBorders>
            <w:gridSpan w:val="5"/>
          </w:tcPr>
          <w:p>
            <w:pPr>
              <w:spacing w:after="0" w:line="182"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Annual Incentive Plan,</w:t>
              </w:r>
            </w:hyperlink>
          </w:p>
        </w:tc>
        <w:tc>
          <w:tcPr>
            <w:tcW w:w="6300" w:type="dxa"/>
            <w:vAlign w:val="bottom"/>
            <w:gridSpan w:val="36"/>
          </w:tcPr>
          <w:p>
            <w:pPr>
              <w:ind w:left="20"/>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As Amended February 21, 2018.*</w:t>
              </w:r>
            </w:hyperlink>
          </w:p>
        </w:tc>
        <w:tc>
          <w:tcPr>
            <w:tcW w:w="0" w:type="dxa"/>
            <w:vAlign w:val="bottom"/>
          </w:tcPr>
          <w:p>
            <w:pPr>
              <w:spacing w:after="0"/>
              <w:rPr>
                <w:sz w:val="1"/>
                <w:szCs w:val="1"/>
                <w:color w:val="auto"/>
              </w:rPr>
            </w:pPr>
          </w:p>
        </w:tc>
      </w:tr>
      <w:tr>
        <w:trPr>
          <w:trHeight w:val="183"/>
        </w:trPr>
        <w:tc>
          <w:tcPr>
            <w:tcW w:w="1280" w:type="dxa"/>
            <w:vAlign w:val="bottom"/>
          </w:tcPr>
          <w:p>
            <w:pPr>
              <w:ind w:left="200"/>
              <w:spacing w:after="0" w:line="182" w:lineRule="exact"/>
              <w:rPr>
                <w:sz w:val="20"/>
                <w:szCs w:val="20"/>
                <w:color w:val="auto"/>
              </w:rPr>
            </w:pPr>
            <w:r>
              <w:rPr>
                <w:rFonts w:ascii="Arial" w:cs="Arial" w:eastAsia="Arial" w:hAnsi="Arial"/>
                <w:sz w:val="18"/>
                <w:szCs w:val="18"/>
                <w:color w:val="auto"/>
              </w:rPr>
              <w:t>10.20+</w:t>
            </w:r>
          </w:p>
        </w:tc>
        <w:tc>
          <w:tcPr>
            <w:tcW w:w="220" w:type="dxa"/>
            <w:vAlign w:val="bottom"/>
          </w:tcPr>
          <w:p>
            <w:pPr>
              <w:spacing w:after="0"/>
              <w:rPr>
                <w:sz w:val="15"/>
                <w:szCs w:val="15"/>
                <w:color w:val="auto"/>
              </w:rPr>
            </w:pPr>
          </w:p>
        </w:tc>
        <w:tc>
          <w:tcPr>
            <w:tcW w:w="4160" w:type="dxa"/>
            <w:vAlign w:val="bottom"/>
            <w:tcBorders>
              <w:top w:val="single" w:sz="8" w:color="0000EE"/>
            </w:tcBorders>
            <w:gridSpan w:val="12"/>
          </w:tcPr>
          <w:p>
            <w:pPr>
              <w:spacing w:after="0" w:line="182"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Form of Restricted Stock Agreement for executives under</w:t>
              </w:r>
            </w:hyperlink>
          </w:p>
        </w:tc>
        <w:tc>
          <w:tcPr>
            <w:tcW w:w="3820" w:type="dxa"/>
            <w:vAlign w:val="bottom"/>
            <w:gridSpan w:val="29"/>
          </w:tcPr>
          <w:p>
            <w:pPr>
              <w:ind w:left="60"/>
              <w:spacing w:after="0" w:line="182"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the 2015 Equity Incentive Plan, incorporated by</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5"/>
                <w:szCs w:val="15"/>
                <w:color w:val="auto"/>
              </w:rPr>
            </w:pPr>
          </w:p>
        </w:tc>
        <w:tc>
          <w:tcPr>
            <w:tcW w:w="77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reference to Exhibit 10.1 of the Company’s Quarterly Report on Form 10-Q dated May 1, 2016.</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Offer Letter Dated July 14, 2017 by and between Dave Loretta and Duluth Holdings Inc., incorporated by</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5"/>
                <w:szCs w:val="15"/>
                <w:color w:val="auto"/>
              </w:rPr>
            </w:pPr>
          </w:p>
        </w:tc>
        <w:tc>
          <w:tcPr>
            <w:tcW w:w="76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reference to Exhibit 10.1 of the Company’s Current Report on Form 8-K dated July 24, 2017.</w:t>
              </w:r>
            </w:hyperlink>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740" w:type="dxa"/>
            <w:vAlign w:val="bottom"/>
            <w:tcBorders>
              <w:top w:val="single" w:sz="8" w:color="0000EE"/>
            </w:tcBorders>
            <w:gridSpan w:val="15"/>
          </w:tcPr>
          <w:p>
            <w:pPr>
              <w:spacing w:after="0" w:line="182"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Form of Restrictive Covenant Agreement, incorporated by reference to Exhibit 10.2 of the</w:t>
              </w:r>
            </w:hyperlink>
          </w:p>
        </w:tc>
        <w:tc>
          <w:tcPr>
            <w:tcW w:w="1240" w:type="dxa"/>
            <w:vAlign w:val="bottom"/>
            <w:gridSpan w:val="26"/>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Company’s</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Current Report on Form 8-K dated July 24, 2017.</w:t>
              </w:r>
            </w:hyperlink>
          </w:p>
        </w:tc>
        <w:tc>
          <w:tcPr>
            <w:tcW w:w="3800" w:type="dxa"/>
            <w:vAlign w:val="bottom"/>
            <w:tcBorders>
              <w:top w:val="single" w:sz="8" w:color="0000EE"/>
            </w:tcBorders>
            <w:gridSpan w:val="8"/>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Credit Agreement, dated as of May 17, 2018, among Duluth Holdings Inc., as the borrower, BMO Harris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tcBorders>
              <w:top w:val="single" w:sz="8" w:color="0000EE"/>
            </w:tcBorders>
            <w:gridSpan w:val="24"/>
          </w:tcPr>
          <w:p>
            <w:pPr>
              <w:spacing w:after="0" w:line="182"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Bank N.A., as Administrative Agent, Swingline Lender and L/C Issuer, the Other Lenders Party Thereto,</w:t>
              </w:r>
            </w:hyperlink>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and BMO Capital Markets Corp., as Sole Lead Arranger and Sole Book Runner, incorporated by reference</w:t>
              </w:r>
            </w:hyperlink>
          </w:p>
        </w:tc>
        <w:tc>
          <w:tcPr>
            <w:tcW w:w="160" w:type="dxa"/>
            <w:vAlign w:val="bottom"/>
            <w:tcBorders>
              <w:bottom w:val="single" w:sz="8" w:color="0000EE"/>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5"/>
                <w:szCs w:val="15"/>
                <w:color w:val="auto"/>
              </w:rPr>
            </w:pPr>
          </w:p>
        </w:tc>
        <w:tc>
          <w:tcPr>
            <w:tcW w:w="7720" w:type="dxa"/>
            <w:vAlign w:val="bottom"/>
            <w:gridSpan w:val="28"/>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to Exhibit 10.1 of the Company’s Current Report on Form 8-K dated May 17, 2018.</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7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General Security Agreement, dated of May 17, 2018, by and between Duluth Holdings Inc. and BMO Harris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40" w:type="dxa"/>
            <w:vAlign w:val="bottom"/>
            <w:tcBorders>
              <w:top w:val="single" w:sz="8" w:color="0000EE"/>
            </w:tcBorders>
            <w:gridSpan w:val="39"/>
          </w:tcPr>
          <w:p>
            <w:pPr>
              <w:spacing w:after="0" w:line="182"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Bank N.A., incorporated by reference to Exhibit 10.2 of the Company’s Current Report on Form 8-K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5"/>
                <w:szCs w:val="15"/>
                <w:color w:val="auto"/>
              </w:rPr>
            </w:pPr>
          </w:p>
        </w:tc>
        <w:tc>
          <w:tcPr>
            <w:tcW w:w="77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May 17, 2018.</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Form of First</w:t>
              </w:r>
            </w:hyperlink>
          </w:p>
        </w:tc>
        <w:tc>
          <w:tcPr>
            <w:tcW w:w="6920" w:type="dxa"/>
            <w:vAlign w:val="bottom"/>
            <w:gridSpan w:val="38"/>
          </w:tcPr>
          <w:p>
            <w:pPr>
              <w:spacing w:after="0" w:line="182"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Amendment dated October 15, 2018 to Employment Agreement between Duluth Holdings Inc.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60" w:type="dxa"/>
            <w:vAlign w:val="bottom"/>
            <w:tcBorders>
              <w:top w:val="single" w:sz="8" w:color="0000EE"/>
            </w:tcBorders>
            <w:gridSpan w:val="40"/>
          </w:tcPr>
          <w:p>
            <w:pPr>
              <w:spacing w:after="0" w:line="182"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and Al Dittrich dated August 5, 2015, incorporated by reference to Exhibit 10.1 of the Company’s Quarterly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Report on Form 10-Q filed December 7, 2018.</w:t>
              </w:r>
            </w:hyperlink>
          </w:p>
        </w:tc>
        <w:tc>
          <w:tcPr>
            <w:tcW w:w="4500" w:type="dxa"/>
            <w:vAlign w:val="bottom"/>
            <w:tcBorders>
              <w:top w:val="single" w:sz="8" w:color="0000EE"/>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183"/>
        </w:trPr>
        <w:tc>
          <w:tcPr>
            <w:tcW w:w="1280" w:type="dxa"/>
            <w:vAlign w:val="bottom"/>
          </w:tcPr>
          <w:p>
            <w:pPr>
              <w:ind w:left="200"/>
              <w:spacing w:after="0" w:line="182" w:lineRule="exact"/>
              <w:rPr>
                <w:sz w:val="20"/>
                <w:szCs w:val="20"/>
                <w:color w:val="auto"/>
              </w:rPr>
            </w:pPr>
            <w:r>
              <w:rPr>
                <w:rFonts w:ascii="Arial" w:cs="Arial" w:eastAsia="Arial" w:hAnsi="Arial"/>
                <w:sz w:val="18"/>
                <w:szCs w:val="18"/>
                <w:color w:val="auto"/>
              </w:rPr>
              <w:t>24.1</w:t>
            </w:r>
          </w:p>
        </w:tc>
        <w:tc>
          <w:tcPr>
            <w:tcW w:w="22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Power of Attorney*</w:t>
              </w:r>
            </w:hyperlink>
          </w:p>
        </w:tc>
        <w:tc>
          <w:tcPr>
            <w:tcW w:w="3020" w:type="dxa"/>
            <w:vAlign w:val="bottom"/>
            <w:tcBorders>
              <w:top w:val="single" w:sz="8" w:color="0000EE"/>
            </w:tcBorders>
            <w:gridSpan w:val="9"/>
          </w:tcPr>
          <w:p>
            <w:pPr>
              <w:spacing w:after="0"/>
              <w:rPr>
                <w:sz w:val="15"/>
                <w:szCs w:val="15"/>
                <w:color w:val="auto"/>
              </w:rPr>
            </w:pPr>
          </w:p>
        </w:tc>
        <w:tc>
          <w:tcPr>
            <w:tcW w:w="3320" w:type="dxa"/>
            <w:vAlign w:val="bottom"/>
            <w:gridSpan w:val="18"/>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ind w:left="200"/>
              <w:spacing w:after="0" w:line="182"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Certification of Chief Executive Officer pursuant to Rule 13a-14(a) and Rule 15d-14(a) of the Securities and</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5"/>
                <w:szCs w:val="15"/>
                <w:color w:val="auto"/>
              </w:rPr>
            </w:pPr>
          </w:p>
        </w:tc>
        <w:tc>
          <w:tcPr>
            <w:tcW w:w="792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Exchange Act, as amended.*</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2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Certification of Chief Financial Officer pursuant to Rule 13a-14(a) and Rule 15d-14(a) of the Securities and</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5"/>
                <w:szCs w:val="15"/>
                <w:color w:val="auto"/>
              </w:rPr>
            </w:pPr>
          </w:p>
        </w:tc>
        <w:tc>
          <w:tcPr>
            <w:tcW w:w="788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Exchange Act of 1934, as amended.*</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2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41"/>
          </w:tcPr>
          <w:p>
            <w:pPr>
              <w:spacing w:after="0" w:line="182"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Chief Executive Officer pursuant to 18 U.S.C. Section 1350, as adopted pursuant to Section</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5"/>
                <w:szCs w:val="15"/>
                <w:color w:val="auto"/>
              </w:rPr>
            </w:pPr>
          </w:p>
        </w:tc>
        <w:tc>
          <w:tcPr>
            <w:tcW w:w="78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906 of the Sarbanes-Oxley Act of 2002.*</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tcBorders>
              <w:top w:val="single" w:sz="8" w:color="0000EE"/>
            </w:tcBorders>
            <w:gridSpan w:val="9"/>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Certification of Chief Financial Officer</w:t>
              </w:r>
            </w:hyperlink>
          </w:p>
        </w:tc>
        <w:tc>
          <w:tcPr>
            <w:tcW w:w="5000" w:type="dxa"/>
            <w:vAlign w:val="bottom"/>
            <w:gridSpan w:val="32"/>
          </w:tcPr>
          <w:p>
            <w:pPr>
              <w:spacing w:after="0" w:line="182"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pursuant to 18 U.S.C. Section 1350, as adopted pursuant to Section</w:t>
              </w:r>
            </w:hyperlink>
          </w:p>
        </w:tc>
        <w:tc>
          <w:tcPr>
            <w:tcW w:w="0" w:type="dxa"/>
            <w:vAlign w:val="bottom"/>
          </w:tcPr>
          <w:p>
            <w:pPr>
              <w:spacing w:after="0"/>
              <w:rPr>
                <w:sz w:val="1"/>
                <w:szCs w:val="1"/>
                <w:color w:val="auto"/>
              </w:rPr>
            </w:pPr>
          </w:p>
        </w:tc>
      </w:tr>
      <w:tr>
        <w:trPr>
          <w:trHeight w:val="183"/>
        </w:trPr>
        <w:tc>
          <w:tcPr>
            <w:tcW w:w="1500" w:type="dxa"/>
            <w:vAlign w:val="bottom"/>
            <w:gridSpan w:val="2"/>
            <w:vMerge w:val="restart"/>
          </w:tcPr>
          <w:p>
            <w:pPr>
              <w:ind w:left="200"/>
              <w:spacing w:after="0"/>
              <w:rPr>
                <w:sz w:val="20"/>
                <w:szCs w:val="20"/>
                <w:color w:val="auto"/>
              </w:rPr>
            </w:pPr>
            <w:r>
              <w:rPr>
                <w:rFonts w:ascii="Arial" w:cs="Arial" w:eastAsia="Arial" w:hAnsi="Arial"/>
                <w:sz w:val="18"/>
                <w:szCs w:val="18"/>
                <w:color w:val="auto"/>
              </w:rPr>
              <w:t>101.INS</w:t>
            </w:r>
          </w:p>
        </w:tc>
        <w:tc>
          <w:tcPr>
            <w:tcW w:w="77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906 of the Sarbanes-Oxley Act of 2002.*</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500" w:type="dxa"/>
            <w:vAlign w:val="bottom"/>
            <w:gridSpan w:val="2"/>
            <w:vMerge w:val="continue"/>
          </w:tcPr>
          <w:p>
            <w:pPr>
              <w:spacing w:after="0"/>
              <w:rPr>
                <w:sz w:val="16"/>
                <w:szCs w:val="16"/>
                <w:color w:val="auto"/>
              </w:rPr>
            </w:pPr>
          </w:p>
        </w:tc>
        <w:tc>
          <w:tcPr>
            <w:tcW w:w="2960" w:type="dxa"/>
            <w:vAlign w:val="bottom"/>
            <w:tcBorders>
              <w:top w:val="single" w:sz="8" w:color="0000EE"/>
            </w:tcBorders>
            <w:gridSpan w:val="8"/>
          </w:tcPr>
          <w:p>
            <w:pPr>
              <w:spacing w:after="0" w:line="195" w:lineRule="exact"/>
              <w:rPr>
                <w:sz w:val="20"/>
                <w:szCs w:val="20"/>
                <w:color w:val="auto"/>
              </w:rPr>
            </w:pPr>
            <w:r>
              <w:rPr>
                <w:rFonts w:ascii="Arial" w:cs="Arial" w:eastAsia="Arial" w:hAnsi="Arial"/>
                <w:sz w:val="18"/>
                <w:szCs w:val="18"/>
                <w:color w:val="auto"/>
              </w:rPr>
              <w:t>XBRL Instance Document**</w:t>
            </w:r>
          </w:p>
        </w:tc>
        <w:tc>
          <w:tcPr>
            <w:tcW w:w="5020" w:type="dxa"/>
            <w:vAlign w:val="bottom"/>
            <w:gridSpan w:val="3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101.SCH</w:t>
            </w:r>
          </w:p>
        </w:tc>
        <w:tc>
          <w:tcPr>
            <w:tcW w:w="7980" w:type="dxa"/>
            <w:vAlign w:val="bottom"/>
            <w:gridSpan w:val="41"/>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101.CAL</w:t>
            </w:r>
          </w:p>
        </w:tc>
        <w:tc>
          <w:tcPr>
            <w:tcW w:w="7980" w:type="dxa"/>
            <w:vAlign w:val="bottom"/>
            <w:gridSpan w:val="41"/>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101.DEF</w:t>
            </w:r>
          </w:p>
        </w:tc>
        <w:tc>
          <w:tcPr>
            <w:tcW w:w="7980" w:type="dxa"/>
            <w:vAlign w:val="bottom"/>
            <w:gridSpan w:val="41"/>
          </w:tcPr>
          <w:p>
            <w:pPr>
              <w:spacing w:after="0" w:line="202" w:lineRule="exact"/>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101.LAB</w:t>
            </w:r>
          </w:p>
        </w:tc>
        <w:tc>
          <w:tcPr>
            <w:tcW w:w="7980" w:type="dxa"/>
            <w:vAlign w:val="bottom"/>
            <w:gridSpan w:val="41"/>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101.PRE</w:t>
            </w:r>
          </w:p>
        </w:tc>
        <w:tc>
          <w:tcPr>
            <w:tcW w:w="7980" w:type="dxa"/>
            <w:vAlign w:val="bottom"/>
            <w:gridSpan w:val="4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______________________________</w:t>
      </w:r>
    </w:p>
    <w:p>
      <w:pPr>
        <w:ind w:left="20" w:right="5020" w:hanging="10"/>
        <w:spacing w:after="0" w:line="237" w:lineRule="auto"/>
        <w:tabs>
          <w:tab w:leader="none" w:pos="281"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Indicates a management contract or compensation plan or arrangement * Filed herewith</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03504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6035040" cy="25400"/>
                    </a:xfrm>
                    <a:prstGeom prst="rect">
                      <a:avLst/>
                    </a:prstGeom>
                    <a:noFill/>
                  </pic:spPr>
                </pic:pic>
              </a:graphicData>
            </a:graphic>
          </wp:anchor>
        </w:drawing>
      </w:r>
    </w:p>
    <w:p>
      <w:pPr>
        <w:sectPr>
          <w:pgSz w:w="11900" w:h="16838" w:orient="portrait"/>
          <w:cols w:equalWidth="0" w:num="1">
            <w:col w:w="9360"/>
          </w:cols>
          <w:pgMar w:left="1200" w:top="108" w:right="1339" w:bottom="1440" w:gutter="0" w:footer="0" w:header="0"/>
        </w:sectPr>
      </w:pPr>
    </w:p>
    <w:bookmarkStart w:id="71" w:name="page72"/>
    <w:bookmarkEnd w:id="71"/>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0" w:hanging="250"/>
        <w:spacing w:after="0" w:line="313" w:lineRule="auto"/>
        <w:tabs>
          <w:tab w:leader="none" w:pos="259"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accordance with Regulation S-T, the XBRL-related information in Exhibit 101 to this Annual Report on Form 10-K shall be deemed to be “furnished” and not “filed.”</w:t>
      </w:r>
    </w:p>
    <w:p>
      <w:pPr>
        <w:spacing w:after="0" w:line="161" w:lineRule="exact"/>
        <w:rPr>
          <w:sz w:val="20"/>
          <w:szCs w:val="20"/>
          <w:color w:val="auto"/>
        </w:rPr>
      </w:pPr>
    </w:p>
    <w:p>
      <w:pPr>
        <w:jc w:val="center"/>
        <w:ind w:right="-16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603504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310"/>
          </w:cols>
          <w:pgMar w:left="1210" w:top="125" w:right="1379" w:bottom="1440" w:gutter="0" w:footer="0" w:header="0"/>
        </w:sectPr>
      </w:pPr>
    </w:p>
    <w:bookmarkStart w:id="72" w:name="page73"/>
    <w:bookmarkEnd w:id="72"/>
    <w:p>
      <w:pPr>
        <w:jc w:val="right"/>
        <w:ind w:right="199"/>
        <w:spacing w:after="0"/>
        <w:rPr>
          <w:sz w:val="20"/>
          <w:szCs w:val="20"/>
          <w:color w:val="auto"/>
        </w:rPr>
      </w:pPr>
      <w:r>
        <w:rPr>
          <w:rFonts w:ascii="Arial" w:cs="Arial" w:eastAsia="Arial" w:hAnsi="Arial"/>
          <w:sz w:val="20"/>
          <w:szCs w:val="20"/>
          <w:b w:val="1"/>
          <w:bCs w:val="1"/>
          <w:color w:val="auto"/>
        </w:rPr>
        <w:t>Exhibit 4.1</w:t>
      </w:r>
    </w:p>
    <w:p>
      <w:pPr>
        <w:spacing w:after="0" w:line="175"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DULUTH HOLDINGS INC.</w:t>
      </w:r>
    </w:p>
    <w:p>
      <w:pPr>
        <w:spacing w:after="0" w:line="156" w:lineRule="exact"/>
        <w:rPr>
          <w:sz w:val="20"/>
          <w:szCs w:val="20"/>
          <w:color w:val="auto"/>
        </w:rPr>
      </w:pPr>
    </w:p>
    <w:p>
      <w:pPr>
        <w:ind w:left="2540"/>
        <w:spacing w:after="0"/>
        <w:rPr>
          <w:sz w:val="20"/>
          <w:szCs w:val="20"/>
          <w:color w:val="auto"/>
        </w:rPr>
      </w:pPr>
      <w:r>
        <w:rPr>
          <w:rFonts w:ascii="Arial" w:cs="Arial" w:eastAsia="Arial" w:hAnsi="Arial"/>
          <w:sz w:val="20"/>
          <w:szCs w:val="20"/>
          <w:b w:val="1"/>
          <w:bCs w:val="1"/>
          <w:i w:val="1"/>
          <w:iCs w:val="1"/>
          <w:color w:val="auto"/>
        </w:rPr>
        <w:t>Description of Securities Registered Pursuant to</w:t>
      </w:r>
    </w:p>
    <w:p>
      <w:pPr>
        <w:jc w:val="center"/>
        <w:ind w:right="19"/>
        <w:spacing w:after="0"/>
        <w:rPr>
          <w:sz w:val="20"/>
          <w:szCs w:val="20"/>
          <w:color w:val="auto"/>
        </w:rPr>
      </w:pPr>
      <w:r>
        <w:rPr>
          <w:rFonts w:ascii="Arial" w:cs="Arial" w:eastAsia="Arial" w:hAnsi="Arial"/>
          <w:sz w:val="20"/>
          <w:szCs w:val="20"/>
          <w:b w:val="1"/>
          <w:bCs w:val="1"/>
          <w:i w:val="1"/>
          <w:iCs w:val="1"/>
          <w:color w:val="auto"/>
        </w:rPr>
        <w:t>Section 12 of the Securities Exchange Act of 1934</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General</w:t>
      </w:r>
    </w:p>
    <w:p>
      <w:pPr>
        <w:spacing w:after="0" w:line="181" w:lineRule="exact"/>
        <w:rPr>
          <w:sz w:val="20"/>
          <w:szCs w:val="20"/>
          <w:color w:val="auto"/>
        </w:rPr>
      </w:pPr>
    </w:p>
    <w:p>
      <w:pPr>
        <w:ind w:left="180" w:right="259" w:firstLine="648"/>
        <w:spacing w:after="0" w:line="229" w:lineRule="auto"/>
        <w:rPr>
          <w:sz w:val="20"/>
          <w:szCs w:val="20"/>
          <w:color w:val="auto"/>
        </w:rPr>
      </w:pPr>
      <w:r>
        <w:rPr>
          <w:rFonts w:ascii="Arial" w:cs="Arial" w:eastAsia="Arial" w:hAnsi="Arial"/>
          <w:sz w:val="18"/>
          <w:szCs w:val="18"/>
          <w:color w:val="auto"/>
        </w:rPr>
        <w:t>Our authorized capital stock consists of 210,000,000 shares of common stock, no par value, and 10,000,000 shares of preferred stock, no par value. We have not issued any shares of preferred stock. Our common stock is divided into two classes, Class A common stock and Class B common stock. Our authorized Class A common stock consists of 10,000,000 shares and our authorized Class B common stock consists of 200,000,000 shares. As of February 2, 2020, we had 3,364,200 shares of Class A common stock outstanding and 29,172,369 shares of Class B common stock outstanding. Our Class B common stock is our only class of stock registered pursuant to Section 12(b) of the Exchange Act.</w:t>
      </w:r>
    </w:p>
    <w:p>
      <w:pPr>
        <w:spacing w:after="0" w:line="157" w:lineRule="exact"/>
        <w:rPr>
          <w:sz w:val="20"/>
          <w:szCs w:val="20"/>
          <w:color w:val="auto"/>
        </w:rPr>
      </w:pPr>
    </w:p>
    <w:p>
      <w:pPr>
        <w:ind w:left="180" w:right="279" w:firstLine="648"/>
        <w:spacing w:after="0" w:line="233" w:lineRule="auto"/>
        <w:rPr>
          <w:sz w:val="20"/>
          <w:szCs w:val="20"/>
          <w:color w:val="auto"/>
        </w:rPr>
      </w:pPr>
      <w:r>
        <w:rPr>
          <w:rFonts w:ascii="Arial" w:cs="Arial" w:eastAsia="Arial" w:hAnsi="Arial"/>
          <w:sz w:val="18"/>
          <w:szCs w:val="18"/>
          <w:color w:val="auto"/>
        </w:rPr>
        <w:t>The following is a summary of the material terms and rights of our common stock and the provisions of our amended and restated articles of incorporation and our amended and restated bylaws, each of which is incorporated by reference as an exhibit to our Annual Report on Form 10-K for the year ended February 2, 2020, of which this exhibit is a part. This summary is not complete and you should refer to the applicable provisions of our amended and restated articles of incorporation and bylaws.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Common Stock</w:t>
      </w:r>
    </w:p>
    <w:p>
      <w:pPr>
        <w:spacing w:after="0" w:line="181" w:lineRule="exact"/>
        <w:rPr>
          <w:sz w:val="20"/>
          <w:szCs w:val="20"/>
          <w:color w:val="auto"/>
        </w:rPr>
      </w:pPr>
    </w:p>
    <w:p>
      <w:pPr>
        <w:jc w:val="both"/>
        <w:ind w:left="180" w:right="399" w:firstLine="648"/>
        <w:spacing w:after="0" w:line="218" w:lineRule="auto"/>
        <w:rPr>
          <w:sz w:val="20"/>
          <w:szCs w:val="20"/>
          <w:color w:val="auto"/>
        </w:rPr>
      </w:pPr>
      <w:r>
        <w:rPr>
          <w:rFonts w:ascii="Arial" w:cs="Arial" w:eastAsia="Arial" w:hAnsi="Arial"/>
          <w:sz w:val="20"/>
          <w:szCs w:val="20"/>
          <w:color w:val="auto"/>
        </w:rPr>
        <w:t>Except as otherwise expressly provided in our amended and restated articles of incorporation or as required by applicable law, the rights of holders of Class A common stock and Class B common stock are identical, except for voting and conversion rights.</w:t>
      </w:r>
    </w:p>
    <w:p>
      <w:pPr>
        <w:spacing w:after="0" w:line="156" w:lineRule="exact"/>
        <w:rPr>
          <w:sz w:val="20"/>
          <w:szCs w:val="20"/>
          <w:color w:val="auto"/>
        </w:rPr>
      </w:pPr>
    </w:p>
    <w:p>
      <w:pPr>
        <w:ind w:left="180" w:right="219" w:firstLine="648"/>
        <w:spacing w:after="0" w:line="204" w:lineRule="auto"/>
        <w:rPr>
          <w:sz w:val="20"/>
          <w:szCs w:val="20"/>
          <w:color w:val="auto"/>
        </w:rPr>
      </w:pPr>
      <w:r>
        <w:rPr>
          <w:rFonts w:ascii="Arial" w:cs="Arial" w:eastAsia="Arial" w:hAnsi="Arial"/>
          <w:sz w:val="20"/>
          <w:szCs w:val="20"/>
          <w:i w:val="1"/>
          <w:iCs w:val="1"/>
          <w:color w:val="auto"/>
        </w:rPr>
        <w:t>Voting Rights</w:t>
      </w:r>
      <w:r>
        <w:rPr>
          <w:rFonts w:ascii="Arial" w:cs="Arial" w:eastAsia="Arial" w:hAnsi="Arial"/>
          <w:sz w:val="20"/>
          <w:szCs w:val="20"/>
          <w:color w:val="auto"/>
        </w:rPr>
        <w:t>. Holders of our Class A common stock and Class B common stock have identical</w:t>
      </w:r>
      <w:r>
        <w:rPr>
          <w:rFonts w:ascii="Arial" w:cs="Arial" w:eastAsia="Arial" w:hAnsi="Arial"/>
          <w:sz w:val="20"/>
          <w:szCs w:val="20"/>
          <w:i w:val="1"/>
          <w:iCs w:val="1"/>
          <w:color w:val="auto"/>
        </w:rPr>
        <w:t xml:space="preserve"> </w:t>
      </w:r>
      <w:r>
        <w:rPr>
          <w:rFonts w:ascii="Arial" w:cs="Arial" w:eastAsia="Arial" w:hAnsi="Arial"/>
          <w:sz w:val="20"/>
          <w:szCs w:val="20"/>
          <w:color w:val="auto"/>
        </w:rPr>
        <w:t>rights, except for voting and conversion rights. Except as otherwise expressly provided in our amended and restated articles of incorporation or required by applicable law, on any matter that is submitted to a vote of our shareholders, holders of our Class A common stock are entitled to ten votes per share of Class A common stock and holders of our Class B common stock are entitled to one vote per share of Class B common stock. Except as otherwise expressly provided in our amended and restated articles of incorporation or required by applicable law, holders of shares of Class A common stock and Class B common stock will vote together as a single class on all matters (including the election of directors) submitted to a vote of shareholders.</w:t>
      </w:r>
    </w:p>
    <w:p>
      <w:pPr>
        <w:spacing w:after="0" w:line="158" w:lineRule="exact"/>
        <w:rPr>
          <w:sz w:val="20"/>
          <w:szCs w:val="20"/>
          <w:color w:val="auto"/>
        </w:rPr>
      </w:pPr>
    </w:p>
    <w:p>
      <w:pPr>
        <w:ind w:left="180" w:right="239" w:firstLine="648"/>
        <w:spacing w:after="0" w:line="231" w:lineRule="auto"/>
        <w:rPr>
          <w:sz w:val="20"/>
          <w:szCs w:val="20"/>
          <w:color w:val="auto"/>
        </w:rPr>
      </w:pPr>
      <w:r>
        <w:rPr>
          <w:rFonts w:ascii="Arial" w:cs="Arial" w:eastAsia="Arial" w:hAnsi="Arial"/>
          <w:sz w:val="18"/>
          <w:szCs w:val="18"/>
          <w:color w:val="auto"/>
        </w:rPr>
        <w:t>Under our amended and restated articles of incorporation, we may not increase or decrease the authorized number of shares of Class A common stock or Class B common stock without the affirmative vote of the holders of a majority of the voting power of the outstanding shares of our capital stock entitled to vote, voting together as a single class. In addition, we may not issue any shares of Class A common stock (other than in connection with a reclassification or dividend), unless such issuance is approved by the affirmative vote of the holders of a majority of the outstanding shares of Class A common stock.</w:t>
      </w:r>
    </w:p>
    <w:p>
      <w:pPr>
        <w:spacing w:after="0" w:line="155" w:lineRule="exact"/>
        <w:rPr>
          <w:sz w:val="20"/>
          <w:szCs w:val="20"/>
          <w:color w:val="auto"/>
        </w:rPr>
      </w:pPr>
    </w:p>
    <w:p>
      <w:pPr>
        <w:ind w:left="180" w:right="379" w:firstLine="648"/>
        <w:spacing w:after="0" w:line="210" w:lineRule="auto"/>
        <w:rPr>
          <w:sz w:val="20"/>
          <w:szCs w:val="20"/>
          <w:color w:val="auto"/>
        </w:rPr>
      </w:pPr>
      <w:r>
        <w:rPr>
          <w:rFonts w:ascii="Arial" w:cs="Arial" w:eastAsia="Arial" w:hAnsi="Arial"/>
          <w:sz w:val="20"/>
          <w:szCs w:val="20"/>
          <w:color w:val="auto"/>
        </w:rPr>
        <w:t>Our amended and restated articles of incorporation do not provide for cumulative voting for the election of directors. Furthermore, we have not elected to preserve certain supermajority and class voting requirements that could otherwise, or that we could have elected to apply, to shares of our common stock under the Wisconsin Business Corporation Law (“WBCL”) because such common stock was authorized or issued prior to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117475</wp:posOffset>
            </wp:positionV>
            <wp:extent cx="550354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ind w:left="180" w:right="199" w:firstLine="648"/>
        <w:spacing w:after="0" w:line="213" w:lineRule="auto"/>
        <w:rPr>
          <w:sz w:val="20"/>
          <w:szCs w:val="20"/>
          <w:color w:val="auto"/>
        </w:rPr>
      </w:pPr>
      <w:r>
        <w:rPr>
          <w:rFonts w:ascii="Arial" w:cs="Arial" w:eastAsia="Arial" w:hAnsi="Arial"/>
          <w:sz w:val="19"/>
          <w:szCs w:val="19"/>
          <w:i w:val="1"/>
          <w:iCs w:val="1"/>
          <w:color w:val="auto"/>
        </w:rPr>
        <w:t>Conversion Rights</w:t>
      </w:r>
      <w:r>
        <w:rPr>
          <w:rFonts w:ascii="Arial" w:cs="Arial" w:eastAsia="Arial" w:hAnsi="Arial"/>
          <w:sz w:val="19"/>
          <w:szCs w:val="19"/>
          <w:color w:val="auto"/>
        </w:rPr>
        <w:t>. Each share of Class A common stock is convertible at any time at the option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holder into one share of Class B common stock. In addition, each share of Class A common stock will automatically without any further action, convert into one fully paid and nonassessable share of Class B common stock as follows: (i) at such date and time, or upon the occurrence of any event, specified by affirmative vote of holders of at least 66 2/3% of the outstanding shares of Class A common stock, voting as a single voting group; and (ii) upon any transfer, whether or not for value, except for certain transfers described in our amended and restated articles of incorporation, including transfers to family members, trusts solely for the benefit of the shareholder or his or her family members, partnerships, corporations and other entities exclusively owned by the shareholder or his or her family members and certain transfers to organizations that are exempt from taxation under Section 501(c)(3) of the Code. Once converted or transferred and converted into shares of Class B common stock, the Class A common stock will not be reissued.</w:t>
      </w:r>
    </w:p>
    <w:p>
      <w:pPr>
        <w:spacing w:after="0" w:line="159" w:lineRule="exact"/>
        <w:rPr>
          <w:sz w:val="20"/>
          <w:szCs w:val="20"/>
          <w:color w:val="auto"/>
        </w:rPr>
      </w:pPr>
    </w:p>
    <w:p>
      <w:pPr>
        <w:ind w:left="180" w:right="199" w:firstLine="648"/>
        <w:spacing w:after="0" w:line="217" w:lineRule="auto"/>
        <w:rPr>
          <w:sz w:val="20"/>
          <w:szCs w:val="20"/>
          <w:color w:val="auto"/>
        </w:rPr>
      </w:pPr>
      <w:r>
        <w:rPr>
          <w:rFonts w:ascii="Arial" w:cs="Arial" w:eastAsia="Arial" w:hAnsi="Arial"/>
          <w:sz w:val="19"/>
          <w:szCs w:val="19"/>
          <w:i w:val="1"/>
          <w:iCs w:val="1"/>
          <w:color w:val="auto"/>
        </w:rPr>
        <w:t>Dividends</w:t>
      </w:r>
      <w:r>
        <w:rPr>
          <w:rFonts w:ascii="Arial" w:cs="Arial" w:eastAsia="Arial" w:hAnsi="Arial"/>
          <w:sz w:val="19"/>
          <w:szCs w:val="19"/>
          <w:color w:val="auto"/>
        </w:rPr>
        <w:t>. Any dividend or distributions paid or payable to the holders of shares of Class A</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and Class B common stock shall be paid pro rata, on an equal priority, pari passu basis;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56" w:lineRule="exact"/>
        <w:rPr>
          <w:sz w:val="20"/>
          <w:szCs w:val="20"/>
          <w:color w:val="auto"/>
        </w:rPr>
      </w:pPr>
    </w:p>
    <w:p>
      <w:pPr>
        <w:ind w:left="180" w:right="499" w:firstLine="648"/>
        <w:spacing w:after="0" w:line="218" w:lineRule="auto"/>
        <w:rPr>
          <w:sz w:val="20"/>
          <w:szCs w:val="20"/>
          <w:color w:val="auto"/>
        </w:rPr>
      </w:pPr>
      <w:r>
        <w:rPr>
          <w:rFonts w:ascii="Arial" w:cs="Arial" w:eastAsia="Arial" w:hAnsi="Arial"/>
          <w:sz w:val="20"/>
          <w:szCs w:val="20"/>
          <w:i w:val="1"/>
          <w:iCs w:val="1"/>
          <w:color w:val="auto"/>
        </w:rPr>
        <w:t>Subdivisions and Combinations</w:t>
      </w:r>
      <w:r>
        <w:rPr>
          <w:rFonts w:ascii="Arial" w:cs="Arial" w:eastAsia="Arial" w:hAnsi="Arial"/>
          <w:sz w:val="20"/>
          <w:szCs w:val="20"/>
          <w:color w:val="auto"/>
        </w:rPr>
        <w:t>. If we subdivide or combine in any manner outstanding shares of</w:t>
      </w:r>
      <w:r>
        <w:rPr>
          <w:rFonts w:ascii="Arial" w:cs="Arial" w:eastAsia="Arial" w:hAnsi="Arial"/>
          <w:sz w:val="20"/>
          <w:szCs w:val="20"/>
          <w:i w:val="1"/>
          <w:iCs w:val="1"/>
          <w:color w:val="auto"/>
        </w:rPr>
        <w:t xml:space="preserve"> </w:t>
      </w:r>
      <w:r>
        <w:rPr>
          <w:rFonts w:ascii="Arial" w:cs="Arial" w:eastAsia="Arial" w:hAnsi="Arial"/>
          <w:sz w:val="20"/>
          <w:szCs w:val="20"/>
          <w:color w:val="auto"/>
        </w:rPr>
        <w:t>Class A common stock or Class B common stock, the outstanding shares of all common stock will be subdivided or combined in the same proportion and manner.</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Our Class B common stock is not convertible into any of the shares of our capital stock.</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auto"/>
        </w:rPr>
        <w:t>Transfer Agent</w:t>
      </w:r>
    </w:p>
    <w:p>
      <w:pPr>
        <w:spacing w:after="0" w:line="175" w:lineRule="exact"/>
        <w:rPr>
          <w:sz w:val="20"/>
          <w:szCs w:val="20"/>
          <w:color w:val="auto"/>
        </w:rPr>
      </w:pPr>
    </w:p>
    <w:p>
      <w:pPr>
        <w:ind w:left="180" w:right="839" w:firstLine="648"/>
        <w:spacing w:after="0" w:line="229" w:lineRule="auto"/>
        <w:rPr>
          <w:sz w:val="20"/>
          <w:szCs w:val="20"/>
          <w:color w:val="auto"/>
        </w:rPr>
      </w:pPr>
      <w:r>
        <w:rPr>
          <w:rFonts w:ascii="Arial" w:cs="Arial" w:eastAsia="Arial" w:hAnsi="Arial"/>
          <w:sz w:val="20"/>
          <w:szCs w:val="20"/>
          <w:color w:val="auto"/>
        </w:rPr>
        <w:t>The transfer agent and registrar for our Class A common stock and Class B common stock is Computershare Trust Company, N.A.</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auto"/>
        </w:rPr>
        <w:t>NASDAQ Global Select Market</w:t>
      </w:r>
    </w:p>
    <w:p>
      <w:pPr>
        <w:spacing w:after="0" w:line="175" w:lineRule="exact"/>
        <w:rPr>
          <w:sz w:val="20"/>
          <w:szCs w:val="20"/>
          <w:color w:val="auto"/>
        </w:rPr>
      </w:pPr>
    </w:p>
    <w:p>
      <w:pPr>
        <w:ind w:left="180" w:right="799" w:firstLine="648"/>
        <w:spacing w:after="0" w:line="229" w:lineRule="auto"/>
        <w:rPr>
          <w:sz w:val="20"/>
          <w:szCs w:val="20"/>
          <w:color w:val="auto"/>
        </w:rPr>
      </w:pPr>
      <w:r>
        <w:rPr>
          <w:rFonts w:ascii="Arial" w:cs="Arial" w:eastAsia="Arial" w:hAnsi="Arial"/>
          <w:sz w:val="20"/>
          <w:szCs w:val="20"/>
          <w:color w:val="auto"/>
        </w:rPr>
        <w:t>Our Class B common stock is listed on the NASDAQ Global Select Market under the trading symbol “DLTH.”</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auto"/>
        </w:rPr>
        <w:t>Anti-Takeover Effect of Governing Documents</w:t>
      </w:r>
    </w:p>
    <w:p>
      <w:pPr>
        <w:spacing w:after="0" w:line="175" w:lineRule="exact"/>
        <w:rPr>
          <w:sz w:val="20"/>
          <w:szCs w:val="20"/>
          <w:color w:val="auto"/>
        </w:rPr>
      </w:pPr>
    </w:p>
    <w:p>
      <w:pPr>
        <w:ind w:left="180" w:right="219" w:firstLine="648"/>
        <w:spacing w:after="0" w:line="236" w:lineRule="auto"/>
        <w:rPr>
          <w:sz w:val="20"/>
          <w:szCs w:val="20"/>
          <w:color w:val="auto"/>
        </w:rPr>
      </w:pPr>
      <w:r>
        <w:rPr>
          <w:rFonts w:ascii="Arial" w:cs="Arial" w:eastAsia="Arial" w:hAnsi="Arial"/>
          <w:sz w:val="18"/>
          <w:szCs w:val="18"/>
          <w:color w:val="auto"/>
        </w:rPr>
        <w:t>So long as the outstanding shares of our Class A common stock represent a majority of the combined voting power of common stock, Stephen L. Schlecht will effectively control all matters submitted to our shareholders for a vote, as well as the overall management and direction of our company, which will have the effect of delaying, deferring or discouraging another person from acquiring control of our company.</w:t>
      </w:r>
    </w:p>
    <w:p>
      <w:pPr>
        <w:spacing w:after="0" w:line="158" w:lineRule="exact"/>
        <w:rPr>
          <w:sz w:val="20"/>
          <w:szCs w:val="20"/>
          <w:color w:val="auto"/>
        </w:rPr>
      </w:pPr>
    </w:p>
    <w:p>
      <w:pPr>
        <w:ind w:left="180" w:right="319" w:firstLine="648"/>
        <w:spacing w:after="0" w:line="224" w:lineRule="auto"/>
        <w:rPr>
          <w:sz w:val="20"/>
          <w:szCs w:val="20"/>
          <w:color w:val="auto"/>
        </w:rPr>
      </w:pPr>
      <w:r>
        <w:rPr>
          <w:rFonts w:ascii="Arial" w:cs="Arial" w:eastAsia="Arial" w:hAnsi="Arial"/>
          <w:sz w:val="19"/>
          <w:szCs w:val="19"/>
          <w:color w:val="auto"/>
        </w:rPr>
        <w:t>After such time as the shares of our Class A common stock no longer represent a majority of the combined voting power of our common stock, the provisions of Wisconsin law, our amended and restated articles of incorporation and our amended and restated bylaws may have the effect of delaying, deferring or discouraging another person from acquiring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118745</wp:posOffset>
            </wp:positionV>
            <wp:extent cx="550354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4" w:name="page75"/>
    <w:bookmarkEnd w:id="74"/>
    <w:p>
      <w:pPr>
        <w:ind w:left="180" w:right="339" w:firstLine="648"/>
        <w:spacing w:after="0" w:line="219" w:lineRule="auto"/>
        <w:rPr>
          <w:sz w:val="20"/>
          <w:szCs w:val="20"/>
          <w:color w:val="auto"/>
        </w:rPr>
      </w:pPr>
      <w:r>
        <w:rPr>
          <w:rFonts w:ascii="Arial" w:cs="Arial" w:eastAsia="Arial" w:hAnsi="Arial"/>
          <w:sz w:val="19"/>
          <w:szCs w:val="19"/>
          <w:color w:val="auto"/>
        </w:rPr>
        <w:t>Certain provisions of our amended and restated articles of incorporation and bylaws and of the WBCL may delay or make more difficult acquisitions or changes of control of the Company following the time after which we are no longer a controlled company unless they are approved by the board of directors. These provisions could have the effect of discouraging third parties from making proposals which shareholders may otherwise consider to be in their best interests. These provisions may also make it more difficult for third parties to replace our board of directors.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Articles of Incorporation and Bylaws</w:t>
      </w:r>
    </w:p>
    <w:p>
      <w:pPr>
        <w:spacing w:after="0" w:line="181" w:lineRule="exact"/>
        <w:rPr>
          <w:sz w:val="20"/>
          <w:szCs w:val="20"/>
          <w:color w:val="auto"/>
        </w:rPr>
      </w:pPr>
    </w:p>
    <w:p>
      <w:pPr>
        <w:ind w:left="180" w:right="439" w:firstLine="648"/>
        <w:spacing w:after="0" w:line="275" w:lineRule="auto"/>
        <w:rPr>
          <w:sz w:val="20"/>
          <w:szCs w:val="20"/>
          <w:color w:val="auto"/>
        </w:rPr>
      </w:pPr>
      <w:r>
        <w:rPr>
          <w:rFonts w:ascii="Arial" w:cs="Arial" w:eastAsia="Arial" w:hAnsi="Arial"/>
          <w:sz w:val="16"/>
          <w:szCs w:val="16"/>
          <w:color w:val="auto"/>
        </w:rPr>
        <w:t>Our amended and restated articles of incorporated and our amended and restated bylaws include a number of provisions that may have the effect of deterring hostile takeovers or delaying or preventing changes in control of our company, even after such time as the shares of our Class A common stock no longer represent a majority of the combined voting power of our common stock, including the following:</w:t>
      </w:r>
    </w:p>
    <w:p>
      <w:pPr>
        <w:spacing w:after="0" w:line="129" w:lineRule="exact"/>
        <w:rPr>
          <w:sz w:val="20"/>
          <w:szCs w:val="20"/>
          <w:color w:val="auto"/>
        </w:rPr>
      </w:pPr>
    </w:p>
    <w:p>
      <w:pPr>
        <w:ind w:left="1480" w:right="219" w:hanging="324"/>
        <w:spacing w:after="0" w:line="231"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Dual Class Stock</w:t>
      </w:r>
      <w:r>
        <w:rPr>
          <w:rFonts w:ascii="Arial" w:cs="Arial" w:eastAsia="Arial" w:hAnsi="Arial"/>
          <w:sz w:val="18"/>
          <w:szCs w:val="18"/>
          <w:color w:val="auto"/>
        </w:rPr>
        <w:t>. As described above, our amended and restated articles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a dual class common stock structure, which provides Stephen L. Schlecht with the ability to control the outcome of matters requiring shareholder approval, even if he owns significantly less than a majority of the shares of our outstanding Class A and Class B common stock, including the election of directors and significant corporate transactions, such as a merger or other sale of our company or its assets.</w:t>
      </w:r>
    </w:p>
    <w:p>
      <w:pPr>
        <w:spacing w:after="0" w:line="154" w:lineRule="exact"/>
        <w:rPr>
          <w:rFonts w:ascii="Arial" w:cs="Arial" w:eastAsia="Arial" w:hAnsi="Arial"/>
          <w:sz w:val="18"/>
          <w:szCs w:val="18"/>
          <w:color w:val="auto"/>
        </w:rPr>
      </w:pPr>
    </w:p>
    <w:p>
      <w:pPr>
        <w:ind w:left="1480" w:right="219" w:hanging="324"/>
        <w:spacing w:after="0" w:line="205" w:lineRule="auto"/>
        <w:tabs>
          <w:tab w:leader="none" w:pos="148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Separate Class A Common Stock Vote for Certain Transactions</w:t>
      </w:r>
      <w:r>
        <w:rPr>
          <w:rFonts w:ascii="Arial" w:cs="Arial" w:eastAsia="Arial" w:hAnsi="Arial"/>
          <w:sz w:val="20"/>
          <w:szCs w:val="20"/>
          <w:color w:val="auto"/>
        </w:rPr>
        <w:t>. Until the first date on which</w:t>
      </w:r>
      <w:r>
        <w:rPr>
          <w:rFonts w:ascii="Arial" w:cs="Arial" w:eastAsia="Arial" w:hAnsi="Arial"/>
          <w:sz w:val="20"/>
          <w:szCs w:val="20"/>
          <w:i w:val="1"/>
          <w:iCs w:val="1"/>
          <w:color w:val="auto"/>
        </w:rPr>
        <w:t xml:space="preserve"> </w:t>
      </w:r>
      <w:r>
        <w:rPr>
          <w:rFonts w:ascii="Arial" w:cs="Arial" w:eastAsia="Arial" w:hAnsi="Arial"/>
          <w:sz w:val="20"/>
          <w:szCs w:val="20"/>
          <w:color w:val="auto"/>
        </w:rPr>
        <w:t>the outstanding shares of our Class A common stock represent less than 35% of the combined voting power of our common stock, any transaction that would result in a change in control of our company will require the approval of a majority of our outstanding Class A common stock voting as a separate class. This provision could delay or prevent the approval of a change in control that might otherwise be approved by a majority of outstanding shares of our Class A common stock and Class B common stock voting together on a combined basis.</w:t>
      </w:r>
    </w:p>
    <w:p>
      <w:pPr>
        <w:spacing w:after="0" w:line="156" w:lineRule="exact"/>
        <w:rPr>
          <w:rFonts w:ascii="Arial" w:cs="Arial" w:eastAsia="Arial" w:hAnsi="Arial"/>
          <w:sz w:val="20"/>
          <w:szCs w:val="20"/>
          <w:color w:val="auto"/>
        </w:rPr>
      </w:pPr>
    </w:p>
    <w:p>
      <w:pPr>
        <w:ind w:left="1480" w:right="239" w:hanging="324"/>
        <w:spacing w:after="0" w:line="213" w:lineRule="auto"/>
        <w:tabs>
          <w:tab w:leader="none" w:pos="148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Blank-Check Preferred Stock</w:t>
      </w:r>
      <w:r>
        <w:rPr>
          <w:rFonts w:ascii="Arial" w:cs="Arial" w:eastAsia="Arial" w:hAnsi="Arial"/>
          <w:sz w:val="20"/>
          <w:szCs w:val="20"/>
          <w:color w:val="auto"/>
        </w:rPr>
        <w:t>. The authorization of undesignated preferred stock makes it</w:t>
      </w:r>
      <w:r>
        <w:rPr>
          <w:rFonts w:ascii="Arial" w:cs="Arial" w:eastAsia="Arial" w:hAnsi="Arial"/>
          <w:sz w:val="20"/>
          <w:szCs w:val="20"/>
          <w:i w:val="1"/>
          <w:iCs w:val="1"/>
          <w:color w:val="auto"/>
        </w:rPr>
        <w:t xml:space="preserve"> </w:t>
      </w:r>
      <w:r>
        <w:rPr>
          <w:rFonts w:ascii="Arial" w:cs="Arial" w:eastAsia="Arial" w:hAnsi="Arial"/>
          <w:sz w:val="20"/>
          <w:szCs w:val="20"/>
          <w:color w:val="auto"/>
        </w:rPr>
        <w:t>possible for our board of directors to issue preferred stock with voting or other rights or preferences that could impede the success of any attempt to effect a change of control of our company.</w:t>
      </w:r>
    </w:p>
    <w:p>
      <w:pPr>
        <w:spacing w:after="0" w:line="155" w:lineRule="exact"/>
        <w:rPr>
          <w:rFonts w:ascii="Arial" w:cs="Arial" w:eastAsia="Arial" w:hAnsi="Arial"/>
          <w:sz w:val="20"/>
          <w:szCs w:val="20"/>
          <w:color w:val="auto"/>
        </w:rPr>
      </w:pPr>
    </w:p>
    <w:p>
      <w:pPr>
        <w:ind w:left="1480" w:right="219" w:hanging="324"/>
        <w:spacing w:after="0" w:line="216" w:lineRule="auto"/>
        <w:tabs>
          <w:tab w:leader="none" w:pos="1480"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Advance Notice Requirements for Shareholder Proposals and Director Nominations</w:t>
      </w:r>
      <w:r>
        <w:rPr>
          <w:rFonts w:ascii="Arial" w:cs="Arial" w:eastAsia="Arial" w:hAnsi="Arial"/>
          <w:sz w:val="19"/>
          <w:szCs w:val="19"/>
          <w:color w:val="auto"/>
        </w:rPr>
        <w:t>. Our</w:t>
      </w:r>
      <w:r>
        <w:rPr>
          <w:rFonts w:ascii="Arial" w:cs="Arial" w:eastAsia="Arial" w:hAnsi="Arial"/>
          <w:sz w:val="19"/>
          <w:szCs w:val="19"/>
          <w:i w:val="1"/>
          <w:iCs w:val="1"/>
          <w:color w:val="auto"/>
        </w:rPr>
        <w:t xml:space="preserve"> </w:t>
      </w:r>
      <w:r>
        <w:rPr>
          <w:rFonts w:ascii="Arial" w:cs="Arial" w:eastAsia="Arial" w:hAnsi="Arial"/>
          <w:sz w:val="19"/>
          <w:szCs w:val="19"/>
          <w:color w:val="auto"/>
        </w:rPr>
        <w:t>amended and restated bylaws provide advance notice procedures for shareholders seeking to bring business before the annual meeting of shareholders or to nominate candidates for election as directors at any meeting of the shareholders. Our amended and restated bylaws also specify certain requirements regarding the form and content of a shareholder’s notice. These provisions may preclude our shareholders from bringing matters before our annual meeting of shareholders or from making nominations for directors at our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383540</wp:posOffset>
            </wp:positionV>
            <wp:extent cx="550354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ind w:left="1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88" w:lineRule="exact"/>
        <w:rPr>
          <w:sz w:val="20"/>
          <w:szCs w:val="20"/>
          <w:color w:val="auto"/>
        </w:rPr>
      </w:pPr>
    </w:p>
    <w:p>
      <w:pPr>
        <w:jc w:val="both"/>
        <w:ind w:left="180" w:right="199"/>
        <w:spacing w:after="0" w:line="216" w:lineRule="auto"/>
        <w:rPr>
          <w:sz w:val="20"/>
          <w:szCs w:val="20"/>
          <w:color w:val="auto"/>
        </w:rPr>
      </w:pPr>
      <w:r>
        <w:rPr>
          <w:rFonts w:ascii="Arial" w:cs="Arial" w:eastAsia="Arial" w:hAnsi="Arial"/>
          <w:sz w:val="18"/>
          <w:szCs w:val="18"/>
          <w:color w:val="auto"/>
        </w:rPr>
        <w:t>We have issued our report dated March 20, 2020 with respect to the consolidated financial statements included in the Annual Report of Duluth Holdings Inc. on Form 10-K for the year ended February 2, 2020. We consent to the incorporation by reference of said report in the Registration Statements of Duluth Holdings Inc. on Form S-8 (File No. 333-230064, File No. 333-225364, File No. 333-223217, File No. 333-209540, File No. 333-208185, and File No. 333-216128).</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Chicago, Illinois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357505</wp:posOffset>
            </wp:positionV>
            <wp:extent cx="550354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p>
      <w:pPr>
        <w:ind w:left="7700"/>
        <w:spacing w:after="0"/>
        <w:rPr>
          <w:sz w:val="20"/>
          <w:szCs w:val="20"/>
          <w:color w:val="auto"/>
        </w:rPr>
      </w:pPr>
      <w:r>
        <w:rPr>
          <w:rFonts w:ascii="Arial" w:cs="Arial" w:eastAsia="Arial" w:hAnsi="Arial"/>
          <w:sz w:val="19"/>
          <w:szCs w:val="19"/>
          <w:b w:val="1"/>
          <w:bCs w:val="1"/>
          <w:color w:val="auto"/>
        </w:rPr>
        <w:t>Exhibit 24.1</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POWER OF ATTORNEY FOR ANNUAL REPORT ON FORM 10-K</w:t>
      </w:r>
    </w:p>
    <w:p>
      <w:pPr>
        <w:spacing w:after="0" w:line="200" w:lineRule="exact"/>
        <w:rPr>
          <w:sz w:val="20"/>
          <w:szCs w:val="20"/>
          <w:color w:val="auto"/>
        </w:rPr>
      </w:pPr>
    </w:p>
    <w:p>
      <w:pPr>
        <w:spacing w:after="0" w:line="201" w:lineRule="exact"/>
        <w:rPr>
          <w:sz w:val="20"/>
          <w:szCs w:val="20"/>
          <w:color w:val="auto"/>
        </w:rPr>
      </w:pPr>
    </w:p>
    <w:p>
      <w:pPr>
        <w:ind w:left="180" w:right="219" w:firstLine="648"/>
        <w:spacing w:after="0" w:line="219" w:lineRule="auto"/>
        <w:rPr>
          <w:sz w:val="20"/>
          <w:szCs w:val="20"/>
          <w:color w:val="auto"/>
        </w:rPr>
      </w:pPr>
      <w:r>
        <w:rPr>
          <w:rFonts w:ascii="Arial" w:cs="Arial" w:eastAsia="Arial" w:hAnsi="Arial"/>
          <w:sz w:val="21"/>
          <w:szCs w:val="21"/>
          <w:color w:val="auto"/>
        </w:rPr>
        <w:t>Each of the undersigned directors of Duluth Holdings Inc. (the “Corporation”) hereby designates and appoints Stephen Schlecht and David Loretta,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February 2, 2020,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59" w:lineRule="exact"/>
        <w:rPr>
          <w:sz w:val="20"/>
          <w:szCs w:val="20"/>
          <w:color w:val="auto"/>
        </w:rPr>
      </w:pPr>
    </w:p>
    <w:p>
      <w:pPr>
        <w:ind w:left="180" w:right="339" w:firstLine="648"/>
        <w:spacing w:after="0" w:line="271" w:lineRule="auto"/>
        <w:rPr>
          <w:sz w:val="20"/>
          <w:szCs w:val="20"/>
          <w:color w:val="auto"/>
        </w:rPr>
      </w:pPr>
      <w:r>
        <w:rPr>
          <w:rFonts w:ascii="Arial" w:cs="Arial" w:eastAsia="Arial" w:hAnsi="Arial"/>
          <w:sz w:val="20"/>
          <w:szCs w:val="20"/>
          <w:color w:val="auto"/>
        </w:rPr>
        <w:t>IN WITNESS WHEREOF, the undersigned have each executed this Power of Attorney for Annual Report on Form 10-K, on one or more counterparts, as of the 3</w:t>
      </w:r>
      <w:r>
        <w:rPr>
          <w:rFonts w:ascii="Arial" w:cs="Arial" w:eastAsia="Arial" w:hAnsi="Arial"/>
          <w:sz w:val="10"/>
          <w:szCs w:val="10"/>
          <w:color w:val="auto"/>
        </w:rPr>
        <w:t>rd</w:t>
      </w:r>
      <w:r>
        <w:rPr>
          <w:rFonts w:ascii="Arial" w:cs="Arial" w:eastAsia="Arial" w:hAnsi="Arial"/>
          <w:sz w:val="20"/>
          <w:szCs w:val="20"/>
          <w:color w:val="auto"/>
        </w:rPr>
        <w:t xml:space="preserve"> day of March, 2020.</w:t>
      </w:r>
    </w:p>
    <w:p>
      <w:pPr>
        <w:spacing w:after="0" w:line="200" w:lineRule="exact"/>
        <w:rPr>
          <w:sz w:val="20"/>
          <w:szCs w:val="20"/>
          <w:color w:val="auto"/>
        </w:rPr>
      </w:pPr>
    </w:p>
    <w:p>
      <w:pPr>
        <w:spacing w:after="0" w:line="34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20"/>
                <w:szCs w:val="20"/>
                <w:i w:val="1"/>
                <w:iCs w:val="1"/>
                <w:color w:val="auto"/>
                <w:w w:val="86"/>
              </w:rPr>
              <w:t>/s/ Stephen L. Schlecht</w:t>
            </w:r>
          </w:p>
        </w:tc>
        <w:tc>
          <w:tcPr>
            <w:tcW w:w="1660" w:type="dxa"/>
            <w:vAlign w:val="bottom"/>
            <w:gridSpan w:val="3"/>
          </w:tcPr>
          <w:p>
            <w:pPr>
              <w:spacing w:after="0"/>
              <w:rPr>
                <w:sz w:val="19"/>
                <w:szCs w:val="19"/>
                <w:color w:val="auto"/>
              </w:rPr>
            </w:pPr>
          </w:p>
        </w:tc>
        <w:tc>
          <w:tcPr>
            <w:tcW w:w="5220" w:type="dxa"/>
            <w:vAlign w:val="bottom"/>
            <w:gridSpan w:val="7"/>
          </w:tcPr>
          <w:p>
            <w:pPr>
              <w:jc w:val="center"/>
              <w:ind w:right="1060"/>
              <w:spacing w:after="0"/>
              <w:rPr>
                <w:sz w:val="20"/>
                <w:szCs w:val="20"/>
                <w:color w:val="auto"/>
              </w:rPr>
            </w:pPr>
            <w:r>
              <w:rPr>
                <w:rFonts w:ascii="Arial" w:cs="Arial" w:eastAsia="Arial" w:hAnsi="Arial"/>
                <w:sz w:val="20"/>
                <w:szCs w:val="20"/>
                <w:i w:val="1"/>
                <w:iCs w:val="1"/>
                <w:color w:val="auto"/>
                <w:w w:val="91"/>
              </w:rPr>
              <w:t>/s/ Thomas G. Folliard</w:t>
            </w:r>
          </w:p>
        </w:tc>
      </w:tr>
      <w:tr>
        <w:trPr>
          <w:trHeight w:val="362"/>
        </w:trPr>
        <w:tc>
          <w:tcPr>
            <w:tcW w:w="1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9"/>
              </w:rPr>
              <w:t>Stephen L. Schlecht</w:t>
            </w:r>
          </w:p>
        </w:tc>
        <w:tc>
          <w:tcPr>
            <w:tcW w:w="166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Borders>
              <w:top w:val="single" w:sz="8" w:color="auto"/>
            </w:tcBorders>
            <w:gridSpan w:val="5"/>
          </w:tcPr>
          <w:p>
            <w:pPr>
              <w:jc w:val="center"/>
              <w:ind w:right="160"/>
              <w:spacing w:after="0"/>
              <w:rPr>
                <w:sz w:val="20"/>
                <w:szCs w:val="20"/>
                <w:color w:val="auto"/>
              </w:rPr>
            </w:pPr>
            <w:r>
              <w:rPr>
                <w:rFonts w:ascii="Arial" w:cs="Arial" w:eastAsia="Arial" w:hAnsi="Arial"/>
                <w:sz w:val="20"/>
                <w:szCs w:val="20"/>
                <w:color w:val="auto"/>
                <w:w w:val="91"/>
              </w:rPr>
              <w:t>Thomas G. Folliard</w:t>
            </w:r>
          </w:p>
        </w:tc>
        <w:tc>
          <w:tcPr>
            <w:tcW w:w="2240" w:type="dxa"/>
            <w:vAlign w:val="bottom"/>
          </w:tcPr>
          <w:p>
            <w:pPr>
              <w:spacing w:after="0"/>
              <w:rPr>
                <w:sz w:val="24"/>
                <w:szCs w:val="24"/>
                <w:color w:val="auto"/>
              </w:rPr>
            </w:pPr>
          </w:p>
        </w:tc>
      </w:tr>
      <w:tr>
        <w:trPr>
          <w:trHeight w:val="658"/>
        </w:trPr>
        <w:tc>
          <w:tcPr>
            <w:tcW w:w="3460" w:type="dxa"/>
            <w:vAlign w:val="bottom"/>
            <w:gridSpan w:val="5"/>
          </w:tcPr>
          <w:p>
            <w:pPr>
              <w:spacing w:after="0"/>
              <w:rPr>
                <w:sz w:val="20"/>
                <w:szCs w:val="20"/>
                <w:color w:val="auto"/>
              </w:rPr>
            </w:pPr>
            <w:r>
              <w:rPr>
                <w:rFonts w:ascii="Arial" w:cs="Arial" w:eastAsia="Arial" w:hAnsi="Arial"/>
                <w:sz w:val="20"/>
                <w:szCs w:val="20"/>
                <w:i w:val="1"/>
                <w:iCs w:val="1"/>
                <w:color w:val="auto"/>
              </w:rPr>
              <w:t>/s/ E. David Coolidge III</w:t>
            </w:r>
          </w:p>
        </w:tc>
        <w:tc>
          <w:tcPr>
            <w:tcW w:w="1180" w:type="dxa"/>
            <w:vAlign w:val="bottom"/>
          </w:tcPr>
          <w:p>
            <w:pPr>
              <w:spacing w:after="0"/>
              <w:rPr>
                <w:sz w:val="24"/>
                <w:szCs w:val="24"/>
                <w:color w:val="auto"/>
              </w:rPr>
            </w:pPr>
          </w:p>
        </w:tc>
        <w:tc>
          <w:tcPr>
            <w:tcW w:w="4040" w:type="dxa"/>
            <w:vAlign w:val="bottom"/>
            <w:gridSpan w:val="6"/>
          </w:tcPr>
          <w:p>
            <w:pPr>
              <w:jc w:val="center"/>
              <w:ind w:right="2220"/>
              <w:spacing w:after="0"/>
              <w:rPr>
                <w:sz w:val="20"/>
                <w:szCs w:val="20"/>
                <w:color w:val="auto"/>
              </w:rPr>
            </w:pPr>
            <w:r>
              <w:rPr>
                <w:rFonts w:ascii="Arial" w:cs="Arial" w:eastAsia="Arial" w:hAnsi="Arial"/>
                <w:sz w:val="20"/>
                <w:szCs w:val="20"/>
                <w:i w:val="1"/>
                <w:iCs w:val="1"/>
                <w:color w:val="auto"/>
                <w:w w:val="93"/>
              </w:rPr>
              <w:t>/s/ Brenda I. Morris</w:t>
            </w:r>
          </w:p>
        </w:tc>
      </w:tr>
      <w:tr>
        <w:trPr>
          <w:trHeight w:val="362"/>
        </w:trPr>
        <w:tc>
          <w:tcPr>
            <w:tcW w:w="196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E. David Coolidge III</w:t>
            </w:r>
          </w:p>
        </w:tc>
        <w:tc>
          <w:tcPr>
            <w:tcW w:w="15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color w:val="auto"/>
                <w:w w:val="94"/>
              </w:rPr>
              <w:t>Brenda I. Morris</w:t>
            </w:r>
          </w:p>
        </w:tc>
        <w:tc>
          <w:tcPr>
            <w:tcW w:w="2340" w:type="dxa"/>
            <w:vAlign w:val="bottom"/>
            <w:gridSpan w:val="3"/>
          </w:tcPr>
          <w:p>
            <w:pPr>
              <w:spacing w:after="0"/>
              <w:rPr>
                <w:sz w:val="24"/>
                <w:szCs w:val="24"/>
                <w:color w:val="auto"/>
              </w:rPr>
            </w:pPr>
          </w:p>
        </w:tc>
      </w:tr>
      <w:tr>
        <w:trPr>
          <w:trHeight w:val="658"/>
        </w:trPr>
        <w:tc>
          <w:tcPr>
            <w:tcW w:w="3460" w:type="dxa"/>
            <w:vAlign w:val="bottom"/>
            <w:gridSpan w:val="5"/>
          </w:tcPr>
          <w:p>
            <w:pPr>
              <w:spacing w:after="0"/>
              <w:rPr>
                <w:sz w:val="20"/>
                <w:szCs w:val="20"/>
                <w:color w:val="auto"/>
              </w:rPr>
            </w:pPr>
            <w:r>
              <w:rPr>
                <w:rFonts w:ascii="Arial" w:cs="Arial" w:eastAsia="Arial" w:hAnsi="Arial"/>
                <w:sz w:val="20"/>
                <w:szCs w:val="20"/>
                <w:i w:val="1"/>
                <w:iCs w:val="1"/>
                <w:color w:val="auto"/>
              </w:rPr>
              <w:t>/s/ Francesca M. Edwardson</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20"/>
                <w:szCs w:val="20"/>
                <w:i w:val="1"/>
                <w:iCs w:val="1"/>
                <w:color w:val="auto"/>
              </w:rPr>
              <w:t>/s/ Scott K. Williams</w:t>
            </w:r>
          </w:p>
        </w:tc>
      </w:tr>
      <w:tr>
        <w:trPr>
          <w:trHeight w:val="20"/>
        </w:trPr>
        <w:tc>
          <w:tcPr>
            <w:tcW w:w="146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r>
      <w:tr>
        <w:trPr>
          <w:trHeight w:val="362"/>
        </w:trPr>
        <w:tc>
          <w:tcPr>
            <w:tcW w:w="2280" w:type="dxa"/>
            <w:vAlign w:val="bottom"/>
            <w:gridSpan w:val="4"/>
          </w:tcPr>
          <w:p>
            <w:pPr>
              <w:spacing w:after="0"/>
              <w:rPr>
                <w:sz w:val="20"/>
                <w:szCs w:val="20"/>
                <w:color w:val="auto"/>
              </w:rPr>
            </w:pPr>
            <w:r>
              <w:rPr>
                <w:rFonts w:ascii="Arial" w:cs="Arial" w:eastAsia="Arial" w:hAnsi="Arial"/>
                <w:sz w:val="20"/>
                <w:szCs w:val="20"/>
                <w:color w:val="auto"/>
                <w:w w:val="99"/>
              </w:rPr>
              <w:t>Francesca M. Edwardson</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5"/>
          </w:tcPr>
          <w:p>
            <w:pPr>
              <w:jc w:val="center"/>
              <w:ind w:right="2460"/>
              <w:spacing w:after="0"/>
              <w:rPr>
                <w:sz w:val="20"/>
                <w:szCs w:val="20"/>
                <w:color w:val="auto"/>
              </w:rPr>
            </w:pPr>
            <w:r>
              <w:rPr>
                <w:rFonts w:ascii="Arial" w:cs="Arial" w:eastAsia="Arial" w:hAnsi="Arial"/>
                <w:sz w:val="20"/>
                <w:szCs w:val="20"/>
                <w:color w:val="auto"/>
                <w:w w:val="94"/>
              </w:rPr>
              <w:t>Scott K. Williams</w:t>
            </w:r>
          </w:p>
        </w:tc>
      </w:tr>
      <w:tr>
        <w:trPr>
          <w:trHeight w:val="658"/>
        </w:trPr>
        <w:tc>
          <w:tcPr>
            <w:tcW w:w="3460" w:type="dxa"/>
            <w:vAlign w:val="bottom"/>
            <w:gridSpan w:val="5"/>
          </w:tcPr>
          <w:p>
            <w:pPr>
              <w:spacing w:after="0"/>
              <w:rPr>
                <w:sz w:val="20"/>
                <w:szCs w:val="20"/>
                <w:color w:val="auto"/>
              </w:rPr>
            </w:pPr>
            <w:r>
              <w:rPr>
                <w:rFonts w:ascii="Arial" w:cs="Arial" w:eastAsia="Arial" w:hAnsi="Arial"/>
                <w:sz w:val="20"/>
                <w:szCs w:val="20"/>
                <w:i w:val="1"/>
                <w:iCs w:val="1"/>
                <w:color w:val="auto"/>
              </w:rPr>
              <w:t>/s/ David C. Finch</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62"/>
        </w:trPr>
        <w:tc>
          <w:tcPr>
            <w:tcW w:w="14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David C. Finch</w:t>
            </w:r>
          </w:p>
        </w:tc>
        <w:tc>
          <w:tcPr>
            <w:tcW w:w="2000" w:type="dxa"/>
            <w:vAlign w:val="bottom"/>
            <w:gridSpan w:val="4"/>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9"/>
        </w:trPr>
        <w:tc>
          <w:tcPr>
            <w:tcW w:w="14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240" w:type="dxa"/>
            <w:vAlign w:val="bottom"/>
            <w:tcBorders>
              <w:bottom w:val="single" w:sz="8" w:color="9A9A9A"/>
            </w:tcBorders>
          </w:tcPr>
          <w:p>
            <w:pPr>
              <w:spacing w:after="0"/>
              <w:rPr>
                <w:sz w:val="17"/>
                <w:szCs w:val="17"/>
                <w:color w:val="auto"/>
              </w:rPr>
            </w:pPr>
          </w:p>
        </w:tc>
      </w:tr>
      <w:tr>
        <w:trPr>
          <w:trHeight w:val="20"/>
        </w:trPr>
        <w:tc>
          <w:tcPr>
            <w:tcW w:w="14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L. Schlecht, Chief Executive Officer,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Duluth Holdings Inc. (the “registrant”);</w:t>
      </w:r>
    </w:p>
    <w:p>
      <w:pPr>
        <w:spacing w:after="0" w:line="171" w:lineRule="exact"/>
        <w:rPr>
          <w:rFonts w:ascii="Arial" w:cs="Arial" w:eastAsia="Arial" w:hAnsi="Arial"/>
          <w:sz w:val="18"/>
          <w:szCs w:val="18"/>
          <w:color w:val="auto"/>
        </w:rPr>
      </w:pPr>
    </w:p>
    <w:p>
      <w:pPr>
        <w:jc w:val="both"/>
        <w:ind w:left="660" w:right="2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980" w:right="80" w:hanging="324"/>
        <w:spacing w:after="0" w:line="25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660" w:right="160" w:hanging="319"/>
        <w:spacing w:after="0" w:line="263" w:lineRule="auto"/>
        <w:tabs>
          <w:tab w:leader="none" w:pos="640" w:val="left"/>
        </w:tabs>
        <w:rPr>
          <w:sz w:val="20"/>
          <w:szCs w:val="20"/>
          <w:color w:val="auto"/>
        </w:rPr>
      </w:pPr>
      <w:r>
        <w:rPr>
          <w:rFonts w:ascii="Arial" w:cs="Arial" w:eastAsia="Arial" w:hAnsi="Arial"/>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980" w:right="2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2020</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Stephen L. Schlecht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0007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Duluth Holdings Inc. (the “registrant”);</w:t>
      </w:r>
    </w:p>
    <w:p>
      <w:pPr>
        <w:spacing w:after="0" w:line="171" w:lineRule="exact"/>
        <w:rPr>
          <w:rFonts w:ascii="Arial" w:cs="Arial" w:eastAsia="Arial" w:hAnsi="Arial"/>
          <w:sz w:val="18"/>
          <w:szCs w:val="18"/>
          <w:color w:val="auto"/>
        </w:rPr>
      </w:pPr>
    </w:p>
    <w:p>
      <w:pPr>
        <w:jc w:val="both"/>
        <w:ind w:left="660" w:right="2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980" w:right="80" w:hanging="324"/>
        <w:spacing w:after="0" w:line="259"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660" w:right="160" w:hanging="319"/>
        <w:spacing w:after="0" w:line="263" w:lineRule="auto"/>
        <w:tabs>
          <w:tab w:leader="none" w:pos="640" w:val="left"/>
        </w:tabs>
        <w:rPr>
          <w:sz w:val="20"/>
          <w:szCs w:val="20"/>
          <w:color w:val="auto"/>
        </w:rPr>
      </w:pPr>
      <w:r>
        <w:rPr>
          <w:rFonts w:ascii="Arial" w:cs="Arial" w:eastAsia="Arial" w:hAnsi="Arial"/>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980" w:right="28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2020</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288925</wp:posOffset>
            </wp:positionV>
            <wp:extent cx="60007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February 2, 2020 as filed with the Securities and Exchange Commission on the date hereof (the “Report”), I, Stephen L. Schlecht,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Stephen L. Schlecht</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March 20, 2020</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60007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February 2, 2020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March 20, 2020</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60007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Letter"/>
      <w:start w:val="35"/>
    </w:lvl>
  </w:abstractNum>
  <w:abstractNum w:abstractNumId="16">
    <w:nsid w:val="79838CB2"/>
    <w:multiLevelType w:val="hybridMultilevel"/>
    <w:lvl w:ilvl="0">
      <w:lvlJc w:val="left"/>
      <w:lvlText w:val="(%1)"/>
      <w:numFmt w:val="lowerLetter"/>
      <w:start w:val="2"/>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4"/>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decimal"/>
      <w:start w:val="14"/>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112"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44" Type="http://schemas.openxmlformats.org/officeDocument/2006/relationships/hyperlink" Target="http://www.sec.gov/Archives/edgar/data/1649744/000164974419000010/dlth-20190203x10k.htm" TargetMode="External"/><Relationship Id="rId96" Type="http://schemas.openxmlformats.org/officeDocument/2006/relationships/hyperlink" Target="http://www.sec.gov/Archives/edgar/data/1649744/000119312515371181/d70652dex31.htm" TargetMode="External"/><Relationship Id="rId97" Type="http://schemas.openxmlformats.org/officeDocument/2006/relationships/hyperlink" Target="http://www.sec.gov/Archives/edgar/data/1649744/000119312515371181/d70652dex32.htm" TargetMode="External"/><Relationship Id="rId98" Type="http://schemas.openxmlformats.org/officeDocument/2006/relationships/hyperlink" Target="http://www.sec.gov/Archives/edgar/data/1649744/000119312515338287/d70652dex101.htm" TargetMode="External"/><Relationship Id="rId99" Type="http://schemas.openxmlformats.org/officeDocument/2006/relationships/hyperlink" Target="http://www.sec.gov/Archives/edgar/data/1649744/000119312515338287/d70652dex102.htm" TargetMode="External"/><Relationship Id="rId100" Type="http://schemas.openxmlformats.org/officeDocument/2006/relationships/hyperlink" Target="http://www.sec.gov/Archives/edgar/data/1649744/000119312515338287/d70652dex104.htm" TargetMode="External"/><Relationship Id="rId101" Type="http://schemas.openxmlformats.org/officeDocument/2006/relationships/hyperlink" Target="http://www.sec.gov/Archives/edgar/data/1649744/000119312515338287/d70652dex105.htm" TargetMode="External"/><Relationship Id="rId102" Type="http://schemas.openxmlformats.org/officeDocument/2006/relationships/hyperlink" Target="http://www.sec.gov/Archives/edgar/data/1649744/000119312515338287/d70652dex106.htm" TargetMode="External"/><Relationship Id="rId103" Type="http://schemas.openxmlformats.org/officeDocument/2006/relationships/hyperlink" Target="http://www.sec.gov/Archives/edgar/data/1649744/000119312515338287/d70652dex107.htm" TargetMode="External"/><Relationship Id="rId104" Type="http://schemas.openxmlformats.org/officeDocument/2006/relationships/hyperlink" Target="http://www.sec.gov/Archives/edgar/data/1649744/000119312515338287/d70652dex108.htm" TargetMode="External"/><Relationship Id="rId105" Type="http://schemas.openxmlformats.org/officeDocument/2006/relationships/hyperlink" Target="http://www.sec.gov/Archives/edgar/data/1649744/000119312515338287/d70652dex109.htm" TargetMode="External"/><Relationship Id="rId106" Type="http://schemas.openxmlformats.org/officeDocument/2006/relationships/hyperlink" Target="http://www.sec.gov/Archives/edgar/data/1649744/000119312515338287/d70652dex1010.htm" TargetMode="External"/><Relationship Id="rId107" Type="http://schemas.openxmlformats.org/officeDocument/2006/relationships/hyperlink" Target="http://www.sec.gov/Archives/edgar/data/1649744/000164974419000010/dlth-20190203xex10_10.htm" TargetMode="External"/><Relationship Id="rId108" Type="http://schemas.openxmlformats.org/officeDocument/2006/relationships/hyperlink" Target="http://www.sec.gov/Archives/edgar/data/1649744/000164974415000014/dlth-20151101ex107695db3.htm" TargetMode="External"/><Relationship Id="rId109" Type="http://schemas.openxmlformats.org/officeDocument/2006/relationships/hyperlink" Target="http://www.sec.gov/Archives/edgar/data/1649744/000119312515338287/d70652dex1017.htm" TargetMode="External"/><Relationship Id="rId110" Type="http://schemas.openxmlformats.org/officeDocument/2006/relationships/hyperlink" Target="http://www.sec.gov/Archives/edgar/data/1649744/000119312515338287/d70652dex1018.htm" TargetMode="External"/><Relationship Id="rId111" Type="http://schemas.openxmlformats.org/officeDocument/2006/relationships/hyperlink" Target="http://www.sec.gov/Archives/edgar/data/1649744/000119312515338287/d70652dex1019.htm" TargetMode="External"/><Relationship Id="rId113" Type="http://schemas.openxmlformats.org/officeDocument/2006/relationships/hyperlink" Target="http://www.sec.gov/Archives/edgar/data/1649744/000119312515338287/d70652dex1020.htm" TargetMode="External"/><Relationship Id="rId114" Type="http://schemas.openxmlformats.org/officeDocument/2006/relationships/hyperlink" Target="http://www.sec.gov/Archives/edgar/data/1649744/000119312515338287/d70652dex1021.htm" TargetMode="External"/><Relationship Id="rId115" Type="http://schemas.openxmlformats.org/officeDocument/2006/relationships/hyperlink" Target="http://www.sec.gov/Archives/edgar/data/1649744/000119312515338287/d70652dex1022.htm" TargetMode="External"/><Relationship Id="rId116" Type="http://schemas.openxmlformats.org/officeDocument/2006/relationships/hyperlink" Target="http://www.sec.gov/Archives/edgar/data/1649744/000119312515342675/d70652dex1023.htm" TargetMode="External"/><Relationship Id="rId117" Type="http://schemas.openxmlformats.org/officeDocument/2006/relationships/hyperlink" Target="http://www.sec.gov/Archives/edgar/data/1649744/000164974419000010/dlth-20190203xex10_19.htm" TargetMode="External"/><Relationship Id="rId118" Type="http://schemas.openxmlformats.org/officeDocument/2006/relationships/hyperlink" Target="http://www.sec.gov/Archives/edgar/data/1649744/000164974416000030/dlth-20160501xex10_1.htm" TargetMode="External"/><Relationship Id="rId119" Type="http://schemas.openxmlformats.org/officeDocument/2006/relationships/hyperlink" Target="http://www.sec.gov/Archives/edgar/data/1649744/000089271217000564/exhibit101.htm" TargetMode="External"/><Relationship Id="rId120" Type="http://schemas.openxmlformats.org/officeDocument/2006/relationships/hyperlink" Target="http://www.sec.gov/Archives/edgar/data/1649744/000089271217000564/exhibit102.htm" TargetMode="External"/><Relationship Id="rId121" Type="http://schemas.openxmlformats.org/officeDocument/2006/relationships/hyperlink" Target="http://www.sec.gov/Archives/edgar/data/1649744/000089271218000244/exhibit101.htm" TargetMode="External"/><Relationship Id="rId122" Type="http://schemas.openxmlformats.org/officeDocument/2006/relationships/hyperlink" Target="http://www.sec.gov/Archives/edgar/data/1649744/000089271218000244/exhibit102.htm" TargetMode="External"/><Relationship Id="rId123" Type="http://schemas.openxmlformats.org/officeDocument/2006/relationships/hyperlink" Target="http://www.sec.gov/Archives/edgar/data/1649744/000164974418000034/dlth-20181028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2020-03-20T14:59:38Z</dcterms:created>
  <dcterms:modified xsi:type="dcterms:W3CDTF">2020-03-20T14:59:38Z</dcterms:modified>
</cp:coreProperties>
</file>