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lth-20260903.htm"/>
      <w:bookmarkStart w:id="1" w:name="ksdlth2026090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Duluth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3"/>
        <w:gridCol w:w="870"/>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001-37641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39-1564801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 East Front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Mount Horeb, Wisconsin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53572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608</w:t>
            </w:r>
            <w:r>
              <w:rPr>
                <w:rFonts w:ascii="Times New Roman" w:hAnsi="Times New Roman"/>
                <w:color w:val="000000"/>
                <w:sz w:val="20"/>
              </w:rPr>
              <w:t xml:space="preserve"> </w:t>
            </w:r>
            <w:r>
              <w:rPr>
                <w:rFonts w:ascii="Times New Roman" w:hAnsi="Times New Roman"/>
                <w:b/>
                <w:color w:val="000000"/>
                <w:sz w:val="20"/>
              </w:rPr>
              <w:t>424-1544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260" w:type="dxa"/>
        <w:jc w:val="left"/>
        <w:tblInd w:w="0" w:type="dxa"/>
        <w:tblLayout w:type="fixed"/>
        <w:tblCellMar>
          <w:top w:w="28" w:type="dxa"/>
          <w:left w:w="28" w:type="dxa"/>
          <w:bottom w:w="28" w:type="dxa"/>
          <w:right w:w="28" w:type="dxa"/>
        </w:tblCellMar>
      </w:tblPr>
      <w:tblGrid>
        <w:gridCol w:w="3196"/>
        <w:gridCol w:w="146"/>
        <w:gridCol w:w="946"/>
        <w:gridCol w:w="146"/>
        <w:gridCol w:w="382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B 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DLTH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2" w:space="1" w:color="000000"/>
        </w:pBdr>
        <w:bidi w:val="0"/>
        <w:jc w:val="left"/>
        <w:rPr/>
      </w:pPr>
      <w:r>
        <w:rPr/>
        <w:t> </w:t>
      </w:r>
    </w:p>
    <w:p>
      <w:pPr>
        <w:pStyle w:val="TextBody"/>
        <w:bidi w:val="0"/>
        <w:jc w:val="center"/>
        <w:rPr/>
      </w:pPr>
      <w:r>
        <w:rPr/>
        <w:t> </w:t>
      </w:r>
    </w:p>
    <w:p>
      <w:pPr>
        <w:pStyle w:val="TextBody"/>
        <w:bidi w:val="0"/>
        <w:jc w:val="center"/>
        <w:rPr>
          <w:rFonts w:ascii="Arial" w:hAnsi="Arial"/>
          <w:color w:val="000000"/>
          <w:sz w:val="16"/>
        </w:rPr>
      </w:pPr>
      <w:r>
        <w:rPr>
          <w:rFonts w:ascii="Arial" w:hAnsi="Arial"/>
          <w:color w:val="000000"/>
          <w:sz w:val="16"/>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2.02. Results of Operations and Financial Conditions.</w:t>
      </w:r>
    </w:p>
    <w:p>
      <w:pPr>
        <w:pStyle w:val="Heading2"/>
        <w:bidi w:val="0"/>
        <w:spacing w:before="120" w:after="120"/>
        <w:jc w:val="left"/>
        <w:rPr>
          <w:rFonts w:ascii="Times New Roman" w:hAnsi="Times New Roman"/>
          <w:b w:val="false"/>
          <w:color w:val="000000"/>
          <w:sz w:val="20"/>
        </w:rPr>
      </w:pPr>
      <w:r>
        <w:rPr>
          <w:rFonts w:ascii="Times New Roman" w:hAnsi="Times New Roman"/>
          <w:b w:val="false"/>
          <w:color w:val="000000"/>
          <w:sz w:val="20"/>
        </w:rPr>
        <w:t>On September 3, 2026, Duluth Holdings Inc. (the “Company” or “Duluth Trading”) issued a press release (the “Earnings Press Release”) discussing, among other things, its financial results for its fiscal second quarter ended August 2, 2026. A copy of the Earnings Press Release is furnished as Exhibit 99.1 to this report.</w:t>
      </w:r>
    </w:p>
    <w:p>
      <w:pPr>
        <w:pStyle w:val="TextBody"/>
        <w:bidi w:val="0"/>
        <w:spacing w:before="80" w:after="20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On September 3, 2026, the Company issued an Investor Presentation. A copy of the Investor Presentation is attached as Exhibit 99.2 and is incorporated by reference herein.</w:t>
      </w:r>
    </w:p>
    <w:p>
      <w:pPr>
        <w:pStyle w:val="Heading2"/>
        <w:bidi w:val="0"/>
        <w:spacing w:before="240" w:after="120"/>
        <w:jc w:val="left"/>
        <w:rPr>
          <w:rFonts w:ascii="Times New Roman" w:hAnsi="Times New Roman"/>
          <w:b w:val="false"/>
          <w:color w:val="000000"/>
          <w:sz w:val="20"/>
        </w:rPr>
      </w:pPr>
      <w:r>
        <w:rPr>
          <w:rFonts w:ascii="Times New Roman" w:hAnsi="Times New Roman"/>
          <w:b w:val="false"/>
          <w:color w:val="000000"/>
          <w:sz w:val="20"/>
        </w:rPr>
        <w:t>The information reported in Items 2.02 and 7.01 of this Form 8-K, including Exhibits 99.1 and 99.2, is not deemed “filed” for the purposes of Section 18 of the Securities Exchange Act of 1934, or otherwise subject to the liabilities of that section. Further, the information reported in Items 2.02 and 7.01 of this Form 8-K, including the Exhibits 99.1 and 99.2, shall not be deemed to be incorporated by reference into the filings of the registrant under the Securities Act of 1933, as amended, except as shall be expressly set forth by specific reference in such filings.</w:t>
      </w:r>
    </w:p>
    <w:p>
      <w:pPr>
        <w:pStyle w:val="TextBody"/>
        <w:bidi w:val="0"/>
        <w:spacing w:before="80" w:after="200"/>
        <w:jc w:val="left"/>
        <w:rPr>
          <w:rFonts w:ascii="Times New Roman" w:hAnsi="Times New Roman"/>
          <w:b/>
          <w:color w:val="000000"/>
          <w:sz w:val="20"/>
        </w:rPr>
      </w:pPr>
      <w:r>
        <w:rPr>
          <w:rFonts w:ascii="Times New Roman" w:hAnsi="Times New Roman"/>
          <w:b/>
          <w:color w:val="000000"/>
          <w:sz w:val="20"/>
        </w:rPr>
        <w:t>Forward Looking Information</w:t>
      </w:r>
    </w:p>
    <w:p>
      <w:pPr>
        <w:pStyle w:val="TextBody"/>
        <w:bidi w:val="0"/>
        <w:spacing w:before="0" w:after="200"/>
        <w:jc w:val="left"/>
        <w:rPr>
          <w:rFonts w:ascii="Times New Roman" w:hAnsi="Times New Roman"/>
          <w:sz w:val="20"/>
        </w:rPr>
      </w:pPr>
      <w:r>
        <w:rPr>
          <w:rFonts w:ascii="Times New Roman" w:hAnsi="Times New Roman"/>
          <w:i/>
          <w:color w:val="000000"/>
          <w:sz w:val="20"/>
        </w:rPr>
        <w:t>Certain matters discussed in this Current Report on Form 8-K and other oral and written statements by representatives of the Company including, but not limited to, the Company’s ability to meet its fiscal 2026 expectations (including its ability to achieve its projected net sales and adjusted EBITDA) and its ability to execute on its growth strategies and its long-term growth targets, are forward-looking statements within the meaning of the Private Securities Litigation Reform Act of 1995. You can identify forward-looking statements by the use of words such as “may,” “might,” “will,” “should,” “expect,” “plan,” “anticipate,” “could,” “believe,” “estimate,” “project,” “target,” “predict,” “intend,” “future,” “budget,” “goals,” “potential,” “continue,” “design,” “objective,” “forecasted,” “would,” and other similar expressions. The forward-looking statements are not historical facts, and are based upon Duluth Trading’s current expectations, beliefs, estimates, and projections, and various assumptions, many of which, by their nature, are inherently uncertain and beyond Duluth Trading’s control. Duluth Trading’s expectations, beliefs and projections are expressed in good faith, and Duluth Trading believes there is a reasonable basis for them. However, there can be no assurance that management’s expectations, beliefs, estimates, and projections will be achieved and actual results may vary materially from what is expressed in or indicated by the forward-looking statements. Forward-looking statements are subject to risks and uncertainties that could cause actual performance or results to differ materially from those expressed in the forward-looking statements, including, among others, the risks, uncertainties, and factors set forth under Part 1, Item 1A “Risk Factors” in the Company’s Annual Report on Form 10-K filed with the SEC on March 20, 2026 and other factors as may be periodically described in Duluth Trading’s subsequent filings with the SEC. These risks and uncertainties include, but are not limited to, the following: the impact of inflation and measures to control inflation on our results of operations; the prolonged effects of economic uncertainties on store and website traffic; the susceptibility of the price and availability of our merchandise to international trade conditions including tariffs; changes in U.S. and non-U.S. laws affecting the importation and taxation of goods, including imposition of unilateral tariffs on imported goods; our ability to secure the personal and/or financial information of our customers and employees;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and commit adequate resources to support marketing in order to retain and attract new customers;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w:t>
      </w:r>
      <w:r>
        <w:rPr>
          <w:rFonts w:ascii="Times New Roman" w:hAnsi="Times New Roman"/>
          <w:color w:val="000000"/>
          <w:sz w:val="20"/>
        </w:rPr>
        <w:t xml:space="preserve"> </w:t>
      </w:r>
    </w:p>
    <w:p>
      <w:pPr>
        <w:pStyle w:val="TextBody"/>
        <w:bidi w:val="0"/>
        <w:jc w:val="center"/>
        <w:rPr>
          <w:rFonts w:ascii="Arial" w:hAnsi="Arial"/>
          <w:color w:val="000000"/>
          <w:sz w:val="16"/>
        </w:rPr>
      </w:pPr>
      <w:r>
        <w:rPr>
          <w:rFonts w:ascii="Arial" w:hAnsi="Arial"/>
          <w:color w:val="000000"/>
          <w:sz w:val="16"/>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jc w:val="left"/>
        <w:rPr>
          <w:rFonts w:ascii="Times New Roman" w:hAnsi="Times New Roman"/>
          <w:sz w:val="20"/>
        </w:rPr>
      </w:pPr>
      <w:r>
        <w:rPr>
          <w:rFonts w:ascii="Times New Roman" w:hAnsi="Times New Roman"/>
          <w:i/>
          <w:color w:val="000000"/>
          <w:sz w:val="20"/>
        </w:rPr>
        <w:t>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failure to comply with data privacy regulation; our ability to comply with the security standards for the credit card industry; our failure to maintain adequate internal controls over our financial and management systems; acquisition, disposition, and development risks; and other factors that may be</w:t>
      </w:r>
      <w:r>
        <w:rPr>
          <w:rFonts w:ascii="Times New Roman" w:hAnsi="Times New Roman"/>
          <w:color w:val="000000"/>
          <w:sz w:val="20"/>
        </w:rPr>
        <w:t xml:space="preserve"> </w:t>
      </w:r>
      <w:r>
        <w:rPr>
          <w:rFonts w:ascii="Times New Roman" w:hAnsi="Times New Roman"/>
          <w:i/>
          <w:color w:val="000000"/>
          <w:sz w:val="20"/>
        </w:rPr>
        <w:t>disclosed in our SEC filings or otherwise. Forward-looking statements speak only as of the date the statements are made. Duluth Trading assumes no obligation to update forward-looking statements to reflect actual results, subsequent events or circumstances or other changes affecting forward-looking information except to the extent required by applicable securities laws.</w:t>
      </w:r>
    </w:p>
    <w:p>
      <w:pPr>
        <w:pStyle w:val="Heading2"/>
        <w:bidi w:val="0"/>
        <w:spacing w:before="160" w:after="24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being furnished with this Current Report on Form 8-K.</w:t>
      </w:r>
    </w:p>
    <w:p>
      <w:pPr>
        <w:pStyle w:val="TextBody"/>
        <w:bidi w:val="0"/>
        <w:jc w:val="left"/>
        <w:rPr/>
      </w:pPr>
      <w:r>
        <w:rPr/>
        <w:t> </w:t>
      </w:r>
    </w:p>
    <w:tbl>
      <w:tblPr>
        <w:tblW w:w="7273" w:type="dxa"/>
        <w:jc w:val="left"/>
        <w:tblInd w:w="0" w:type="dxa"/>
        <w:tblLayout w:type="fixed"/>
        <w:tblCellMar>
          <w:top w:w="28" w:type="dxa"/>
          <w:left w:w="28" w:type="dxa"/>
          <w:bottom w:w="28" w:type="dxa"/>
          <w:right w:w="28" w:type="dxa"/>
        </w:tblCellMar>
      </w:tblPr>
      <w:tblGrid>
        <w:gridCol w:w="1081"/>
        <w:gridCol w:w="146"/>
        <w:gridCol w:w="60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pPr>
            <w:hyperlink w:anchor="dlth-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Press Release, dated September 3, 2026</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pPr>
            <w:hyperlink w:anchor="dlth-ex99_2.htm">
              <w:r>
                <w:rPr>
                  <w:rStyle w:val="InternetLink"/>
                  <w:rFonts w:ascii="Times New Roman" w:hAnsi="Times New Roman"/>
                  <w:color w:val="0000FF"/>
                  <w:sz w:val="20"/>
                  <w:u w:val="single"/>
                </w:rPr>
                <w:t>99.2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Investor Presentation, dated September 3, 2026</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(embedded with the inline XBRL document)</w:t>
            </w:r>
          </w:p>
        </w:tc>
      </w:tr>
    </w:tbl>
    <w:p>
      <w:pPr>
        <w:pStyle w:val="TextBody"/>
        <w:bidi w:val="0"/>
        <w:jc w:val="left"/>
        <w:rPr/>
      </w:pPr>
      <w:r>
        <w:rPr/>
        <w:t> </w:t>
      </w:r>
    </w:p>
    <w:p>
      <w:pPr>
        <w:pStyle w:val="TextBody"/>
        <w:bidi w:val="0"/>
        <w:jc w:val="center"/>
        <w:rPr>
          <w:rFonts w:ascii="Arial" w:hAnsi="Arial"/>
          <w:color w:val="000000"/>
          <w:sz w:val="16"/>
        </w:rPr>
      </w:pPr>
      <w:r>
        <w:rPr>
          <w:rFonts w:ascii="Arial" w:hAnsi="Arial"/>
          <w:color w:val="000000"/>
          <w:sz w:val="16"/>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49" w:type="dxa"/>
        <w:jc w:val="left"/>
        <w:tblInd w:w="0" w:type="dxa"/>
        <w:tblLayout w:type="fixed"/>
        <w:tblCellMar>
          <w:top w:w="28" w:type="dxa"/>
          <w:left w:w="28" w:type="dxa"/>
          <w:bottom w:w="28" w:type="dxa"/>
          <w:right w:w="28" w:type="dxa"/>
        </w:tblCellMar>
      </w:tblPr>
      <w:tblGrid>
        <w:gridCol w:w="556"/>
        <w:gridCol w:w="1621"/>
        <w:gridCol w:w="63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DULUTH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3,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Heena Agrawal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Heena Agrawal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jc w:val="center"/>
        <w:rPr>
          <w:rFonts w:ascii="Arial" w:hAnsi="Arial"/>
          <w:color w:val="000000"/>
          <w:sz w:val="16"/>
        </w:rPr>
      </w:pPr>
      <w:r>
        <w:rPr>
          <w:rFonts w:ascii="Arial" w:hAnsi="Arial"/>
          <w:color w:val="000000"/>
          <w:sz w:val="16"/>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dlth-ex99_1.htm"/>
      <w:bookmarkStart w:id="3" w:name="ksdlthex99_1"/>
      <w:bookmarkEnd w:id="2"/>
      <w:bookmarkEnd w:id="3"/>
      <w:r>
        <w:rPr>
          <w:rFonts w:ascii="Times New Roman" w:hAnsi="Times New Roman"/>
          <w:b/>
          <w:color w:val="000000"/>
          <w:sz w:val="20"/>
        </w:rPr>
        <w:t>Exhibit 99.1</w:t>
      </w:r>
      <w:r>
        <w:br w:type="page"/>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857500"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9715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Duluth Holdings Inc. Announces Second Quarter 2026 Financial Results</w:t>
      </w:r>
    </w:p>
    <w:p>
      <w:pPr>
        <w:pStyle w:val="TextBody"/>
        <w:bidi w:val="0"/>
        <w:jc w:val="left"/>
        <w:rPr/>
      </w:pPr>
      <w:r>
        <w:rPr/>
        <w:t> </w:t>
      </w:r>
    </w:p>
    <w:p>
      <w:pPr>
        <w:pStyle w:val="TextBody"/>
        <w:bidi w:val="0"/>
        <w:jc w:val="center"/>
        <w:rPr>
          <w:rFonts w:ascii="Times New Roman" w:hAnsi="Times New Roman"/>
          <w:b/>
          <w:i/>
          <w:color w:val="000000"/>
          <w:sz w:val="22"/>
        </w:rPr>
      </w:pPr>
      <w:r>
        <w:rPr>
          <w:rFonts w:ascii="Times New Roman" w:hAnsi="Times New Roman"/>
          <w:b/>
          <w:i/>
          <w:color w:val="000000"/>
          <w:sz w:val="22"/>
        </w:rPr>
        <w:t>Net Income improvement over prior year driven by gross margin expansion</w:t>
      </w:r>
    </w:p>
    <w:p>
      <w:pPr>
        <w:pStyle w:val="TextBody"/>
        <w:bidi w:val="0"/>
        <w:jc w:val="center"/>
        <w:rPr/>
      </w:pPr>
      <w:r>
        <w:rPr/>
        <w:t> </w:t>
      </w:r>
    </w:p>
    <w:p>
      <w:pPr>
        <w:pStyle w:val="TextBody"/>
        <w:bidi w:val="0"/>
        <w:jc w:val="center"/>
        <w:rPr>
          <w:rFonts w:ascii="Times New Roman" w:hAnsi="Times New Roman"/>
          <w:b/>
          <w:i/>
          <w:color w:val="000000"/>
          <w:sz w:val="22"/>
        </w:rPr>
      </w:pPr>
      <w:r>
        <w:rPr>
          <w:rFonts w:ascii="Times New Roman" w:hAnsi="Times New Roman"/>
          <w:b/>
          <w:i/>
          <w:color w:val="000000"/>
          <w:sz w:val="22"/>
        </w:rPr>
        <w:t>Continued improvement in working capital driven by a 15.5% reduction in inventory</w:t>
      </w:r>
    </w:p>
    <w:p>
      <w:pPr>
        <w:pStyle w:val="TextBody"/>
        <w:bidi w:val="0"/>
        <w:jc w:val="center"/>
        <w:rPr/>
      </w:pPr>
      <w:r>
        <w:rPr/>
        <w:t> </w:t>
      </w:r>
    </w:p>
    <w:p>
      <w:pPr>
        <w:pStyle w:val="TextBody"/>
        <w:bidi w:val="0"/>
        <w:jc w:val="center"/>
        <w:rPr>
          <w:rFonts w:ascii="Times New Roman" w:hAnsi="Times New Roman"/>
          <w:b/>
          <w:i/>
          <w:color w:val="000000"/>
          <w:sz w:val="22"/>
        </w:rPr>
      </w:pPr>
      <w:r>
        <w:rPr>
          <w:rFonts w:ascii="Times New Roman" w:hAnsi="Times New Roman"/>
          <w:b/>
          <w:i/>
          <w:color w:val="000000"/>
          <w:sz w:val="22"/>
        </w:rPr>
        <w:t>Strong balance sheet with approximately $96 million of net liquidity and zero debt on the Asset Based Lending facility</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MOUNT HOREB, WI – September 3, 2026</w:t>
      </w:r>
      <w:r>
        <w:rPr>
          <w:rFonts w:ascii="Times New Roman" w:hAnsi="Times New Roman"/>
          <w:color w:val="000000"/>
          <w:sz w:val="20"/>
        </w:rPr>
        <w:t xml:space="preserve"> – Duluth Holdings Inc. (dba, Duluth Trading Company) (“Duluth Trading” or the “Company”) (NASDAQ: DLTH), a lifestyle brand of men’s and women’s workwear, casual wear, outdoor apparel and accessories, today announced its financial results for the fiscal Second Quarter ended August 2,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Summary of the Second Quarter ended August 2, 2026</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income of $18.4 million compared to net income of $1.3 million in the prior year second quarter. This includes the impact of $16.3 million in tariff refunds.</w:t>
      </w:r>
    </w:p>
    <w:p>
      <w:pPr>
        <w:pStyle w:val="TextBody"/>
        <w:bidi w:val="0"/>
        <w:spacing w:before="0" w:after="0"/>
        <w:jc w:val="left"/>
        <w:rPr>
          <w:color w:val="000000"/>
        </w:rPr>
      </w:pPr>
      <w:r>
        <w:rPr>
          <w:color w:val="000000"/>
        </w:rPr>
        <w:t>●</w:t>
      </w:r>
    </w:p>
    <w:p>
      <w:pPr>
        <w:pStyle w:val="TextBody"/>
        <w:bidi w:val="0"/>
        <w:spacing w:lineRule="auto" w:line="360" w:before="0" w:after="0"/>
        <w:jc w:val="left"/>
        <w:rPr>
          <w:rFonts w:ascii="Times New Roman" w:hAnsi="Times New Roman"/>
          <w:sz w:val="13"/>
        </w:rPr>
      </w:pPr>
      <w:r>
        <w:rPr>
          <w:rFonts w:ascii="Times New Roman" w:hAnsi="Times New Roman"/>
          <w:color w:val="000000"/>
          <w:sz w:val="20"/>
        </w:rPr>
        <w:t>Reported and adjusted EPS</w:t>
      </w:r>
      <w:r>
        <w:rPr>
          <w:rFonts w:ascii="Times New Roman" w:hAnsi="Times New Roman"/>
          <w:color w:val="000000"/>
          <w:sz w:val="13"/>
        </w:rPr>
        <w:t xml:space="preserve">1 </w:t>
      </w:r>
      <w:r>
        <w:rPr>
          <w:rFonts w:ascii="Times New Roman" w:hAnsi="Times New Roman"/>
          <w:color w:val="000000"/>
          <w:sz w:val="20"/>
        </w:rPr>
        <w:t>of $0.50. This includes a $0.44 impact from tariff refunds.</w:t>
      </w:r>
    </w:p>
    <w:p>
      <w:pPr>
        <w:pStyle w:val="TextBody"/>
        <w:bidi w:val="0"/>
        <w:spacing w:before="0" w:after="0"/>
        <w:jc w:val="left"/>
        <w:rPr>
          <w:color w:val="000000"/>
        </w:rPr>
      </w:pPr>
      <w:r>
        <w:rPr>
          <w:color w:val="000000"/>
        </w:rPr>
        <w:t>●</w:t>
      </w:r>
    </w:p>
    <w:p>
      <w:pPr>
        <w:pStyle w:val="TextBody"/>
        <w:bidi w:val="0"/>
        <w:spacing w:lineRule="auto" w:line="360" w:before="0" w:after="0"/>
        <w:jc w:val="left"/>
        <w:rPr>
          <w:rFonts w:ascii="Times New Roman" w:hAnsi="Times New Roman"/>
          <w:sz w:val="13"/>
        </w:rPr>
      </w:pPr>
      <w:r>
        <w:rPr>
          <w:rFonts w:ascii="Times New Roman" w:hAnsi="Times New Roman"/>
          <w:color w:val="000000"/>
          <w:sz w:val="20"/>
        </w:rPr>
        <w:t>Adjusted EBITDA</w:t>
      </w:r>
      <w:r>
        <w:rPr>
          <w:rFonts w:ascii="Times New Roman" w:hAnsi="Times New Roman"/>
          <w:color w:val="000000"/>
          <w:sz w:val="13"/>
        </w:rPr>
        <w:t xml:space="preserve">2 </w:t>
      </w:r>
      <w:r>
        <w:rPr>
          <w:rFonts w:ascii="Times New Roman" w:hAnsi="Times New Roman"/>
          <w:color w:val="000000"/>
          <w:sz w:val="20"/>
        </w:rPr>
        <w:t>of $27.0 million compared to $12.0 million in the prior year second quarter. This includes the impact of $16.3 million in tariff refunds.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Inventory down $22.9 million or 15.5% vs. last year.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of $26.8 million with net liquidity of $96.1 million.</w:t>
      </w:r>
    </w:p>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13"/>
        </w:rPr>
        <w:t>1</w:t>
      </w:r>
      <w:r>
        <w:rPr>
          <w:rFonts w:ascii="Times New Roman" w:hAnsi="Times New Roman"/>
          <w:color w:val="000000"/>
          <w:sz w:val="20"/>
        </w:rPr>
        <w:t>See Reconciliation of net income to adjusted net income and EPS to adjusted EPS in the accompanying financial tables.</w:t>
      </w:r>
    </w:p>
    <w:p>
      <w:pPr>
        <w:pStyle w:val="TextBody"/>
        <w:bidi w:val="0"/>
        <w:spacing w:lineRule="auto" w:line="360"/>
        <w:jc w:val="left"/>
        <w:rPr>
          <w:rFonts w:ascii="Times New Roman" w:hAnsi="Times New Roman"/>
          <w:sz w:val="13"/>
        </w:rPr>
      </w:pPr>
      <w:r>
        <w:rPr>
          <w:rFonts w:ascii="Times New Roman" w:hAnsi="Times New Roman"/>
          <w:color w:val="000000"/>
          <w:sz w:val="13"/>
        </w:rPr>
        <w:t>2</w:t>
      </w:r>
      <w:r>
        <w:rPr>
          <w:rFonts w:ascii="Times New Roman" w:hAnsi="Times New Roman"/>
          <w:color w:val="000000"/>
          <w:sz w:val="20"/>
        </w:rPr>
        <w:t>See Reconciliation of net income to EBITDA and EBITDA to Adjusted EBITDA in the accompanying financial tables.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Management Commentary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9"/>
        <w:gridCol w:w="2936"/>
      </w:tblGrid>
      <w:tr>
        <w:trPr/>
        <w:tc>
          <w:tcPr>
            <w:tcW w:w="7269"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r>
      <w:tr>
        <w:trPr/>
        <w:tc>
          <w:tcPr>
            <w:tcW w:w="726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CEO Stephanie Pugliese stated, “Our second quarter performance demonstrates strong execution of our operational priorities, inventory discipline, and successful promotional reset. By combining gross margin expansion with effective inventory management, we have delivered another quarter of improved profitability and free cash flow. Our core products continue to lead the way with customers responding favorably to our high-quality, solution-based workwear.”</w:t>
              <w:br/>
              <w:t> </w:t>
            </w:r>
          </w:p>
          <w:p>
            <w:pPr>
              <w:pStyle w:val="TableContents"/>
              <w:bidi w:val="0"/>
              <w:jc w:val="left"/>
              <w:rPr>
                <w:rFonts w:ascii="Times New Roman" w:hAnsi="Times New Roman"/>
                <w:color w:val="000000"/>
                <w:sz w:val="20"/>
              </w:rPr>
            </w:pPr>
            <w:r>
              <w:rPr>
                <w:rFonts w:ascii="Times New Roman" w:hAnsi="Times New Roman"/>
                <w:color w:val="000000"/>
                <w:sz w:val="20"/>
              </w:rPr>
              <w:t>Pugliese added, “As we enter the second half of the year, we are excited about our enhanced product offering including our new Hellbent work pants, No Quit utility shirts, and Heirloom prints. We remain focused in advancing our ‘Build to Last’ strategy, maximizing channel productivity, and consistently delivering an exceptional customer experience.”</w:t>
            </w:r>
          </w:p>
          <w:p>
            <w:pPr>
              <w:pStyle w:val="TableContents"/>
              <w:bidi w:val="0"/>
              <w:jc w:val="left"/>
              <w:rPr/>
            </w:pPr>
            <w:r>
              <w:rPr/>
              <w:t> </w:t>
            </w:r>
          </w:p>
          <w:p>
            <w:pPr>
              <w:pStyle w:val="TableContents"/>
              <w:bidi w:val="0"/>
              <w:jc w:val="left"/>
              <w:rPr>
                <w:rFonts w:ascii="Times New Roman" w:hAnsi="Times New Roman"/>
                <w:b/>
                <w:color w:val="000000"/>
                <w:sz w:val="20"/>
              </w:rPr>
            </w:pPr>
            <w:r>
              <w:rPr>
                <w:rFonts w:ascii="Times New Roman" w:hAnsi="Times New Roman"/>
                <w:b/>
                <w:color w:val="000000"/>
                <w:sz w:val="20"/>
              </w:rPr>
              <w:t>Operating Results for the Second Quarter ended August 2, 2026</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decreased by $10.3 million, or 7.8%, to $121.4 million for the three months ended August 2, 2026 compared to $131.7 million in the three months ended August 3, 2025. Direct-to-consumer net sales decreased by 11.5% to $70.1 million due to declines in web traffic and web conversion as a result of reduced promotional activity partially offset by higher average order values. Retail store net sales decreased by 2.4% to $51.3</w:t>
            </w:r>
          </w:p>
        </w:tc>
        <w:tc>
          <w:tcPr>
            <w:tcW w:w="293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781175" cy="2686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81175" cy="2686050"/>
                          </a:xfrm>
                          <a:prstGeom prst="rect">
                            <a:avLst/>
                          </a:prstGeom>
                        </pic:spPr>
                      </pic:pic>
                    </a:graphicData>
                  </a:graphic>
                </wp:inline>
              </w:drawing>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14"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million driven by lower traffic, partially offset by higher average order values in comparable stores, coupled with two new stores opened in the third quarter of 2025.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Gross margin expanded by 1,810 basis points to 72.8% of net sales in the three months ended August 2, 2026, compared to 54.7% of net sales in the three months ended August 3, 2025. We recorded a reduction to cost of goods sold of $16.0 million related to refunds of previously incurred tariff charges. Excluding the impact of tariff refunds, gross margin was 59.6% in the three months ended August 2, 2026, an expansion of 490 basis points compared to the prior year. This increase in gross margin rate was primarily driven by an increase in average unit retail prices from reduced promotional activity, coupled with an improvement in product costs from our direct to factory sourcing initiative.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Selling, general and administrative expenses increased $0.7 million, or 1.1%, to $69.5 million in the three months ended August 2, 2026 compared to $68.8 million in the three months ended August 3, 2025. Selling, general and administrative expenses as a percentage of net sales increased by 510 basis points to 57.3% in the three months ended August 2, 2026, compared to 52.2% in the three months ended August 3, 2025. The increase in selling, general and administrative expenses as a percentage of net sales was mainly driven by an increase in advertising and shipping expenses, which was partially offset by leverage in variable expenses in our fulfillment centers and stores coupled with lower overhead expenses.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Balance Sheet and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ended the quarter with $26.8 million of cash and cash equivalents, $85.7 million of net working capital, and zero outstanding debt on the $70.0 million Asset Based Lending facility resulting in approximately $96 million of net liquidity.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Fiscal 2026 Outlook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Fiscal 2026, the Company is:</w:t>
        <w:b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Affirming previously issued fiscal 2026 net sales guidance range of $540 million to $560 million</w:t>
      </w:r>
    </w:p>
    <w:p>
      <w:pPr>
        <w:pStyle w:val="TextBody"/>
        <w:bidi w:val="0"/>
        <w:spacing w:before="0" w:after="0"/>
        <w:jc w:val="left"/>
        <w:rPr>
          <w:color w:val="000000"/>
        </w:rPr>
      </w:pPr>
      <w:r>
        <w:rPr>
          <w:color w:val="000000"/>
        </w:rPr>
        <w:t>●</w:t>
      </w:r>
    </w:p>
    <w:p>
      <w:pPr>
        <w:pStyle w:val="TextBody"/>
        <w:bidi w:val="0"/>
        <w:spacing w:lineRule="auto" w:line="360" w:before="0" w:after="0"/>
        <w:jc w:val="left"/>
        <w:rPr>
          <w:rFonts w:ascii="Times New Roman" w:hAnsi="Times New Roman"/>
          <w:sz w:val="13"/>
        </w:rPr>
      </w:pPr>
      <w:r>
        <w:rPr>
          <w:rFonts w:ascii="Times New Roman" w:hAnsi="Times New Roman"/>
          <w:color w:val="000000"/>
          <w:sz w:val="20"/>
        </w:rPr>
        <w:t>Raising previously issued fiscal 2026 Adjusted EBITDA</w:t>
      </w:r>
      <w:r>
        <w:rPr>
          <w:rFonts w:ascii="Times New Roman" w:hAnsi="Times New Roman"/>
          <w:color w:val="000000"/>
          <w:sz w:val="13"/>
        </w:rPr>
        <w:t xml:space="preserve">1 </w:t>
      </w:r>
      <w:r>
        <w:rPr>
          <w:rFonts w:ascii="Times New Roman" w:hAnsi="Times New Roman"/>
          <w:color w:val="000000"/>
          <w:sz w:val="20"/>
        </w:rPr>
        <w:t>guidance to $38 million to $42 million compared to the previous guidance of $28 million to $32 million, including the impact of tariff refunds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Affirming capital expenditures, inclusive of software hosting implementation costs, of approximately $12 million</w:t>
      </w:r>
    </w:p>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13"/>
        </w:rPr>
        <w:t>1</w:t>
      </w:r>
      <w:r>
        <w:rPr>
          <w:rFonts w:ascii="Times New Roman" w:hAnsi="Times New Roman"/>
          <w:color w:val="000000"/>
          <w:sz w:val="20"/>
        </w:rPr>
        <w:t>See Reconciliation of Forecasted Net Income to Forecasted EBITDA and Forecasted EBITDA to Forecasted Adjusted EBITDA in the accompanying financial tables.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280" w:after="280"/>
        <w:jc w:val="left"/>
        <w:rPr>
          <w:rFonts w:ascii="Times New Roman" w:hAnsi="Times New Roman"/>
          <w:color w:val="000000"/>
          <w:sz w:val="20"/>
        </w:rPr>
      </w:pPr>
      <w:r>
        <w:rPr>
          <w:rFonts w:ascii="Times New Roman" w:hAnsi="Times New Roman"/>
          <w:color w:val="000000"/>
          <w:sz w:val="20"/>
        </w:rPr>
        <w:t>A conference call and audio webcast with analysts and investors will be held on Thursday, September 3, 2026, at 9:30 am Eastern Time to discuss the results and answer questions.</w:t>
      </w:r>
    </w:p>
    <w:p>
      <w:pPr>
        <w:pStyle w:val="TextBody"/>
        <w:bidi w:val="0"/>
        <w:spacing w:before="0" w:after="280"/>
        <w:jc w:val="left"/>
        <w:rPr>
          <w:rFonts w:ascii="Times New Roman" w:hAnsi="Times New Roman"/>
          <w:color w:val="000000"/>
          <w:sz w:val="20"/>
        </w:rPr>
      </w:pPr>
      <w:r>
        <w:rPr>
          <w:rFonts w:ascii="Times New Roman" w:hAnsi="Times New Roman"/>
          <w:color w:val="000000"/>
          <w:sz w:val="20"/>
        </w:rPr>
        <w:t>Links to access earnings information: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color w:val="000000"/>
          <w:sz w:val="20"/>
        </w:rPr>
        <w:t xml:space="preserve">Live Webcast: </w:t>
      </w:r>
      <w:r>
        <w:rPr>
          <w:rFonts w:ascii="Times New Roman" w:hAnsi="Times New Roman"/>
          <w:sz w:val="20"/>
        </w:rPr>
        <w:t>https://edge.media-server.com/mmc/p/ikonm7ds/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color w:val="000000"/>
          <w:sz w:val="20"/>
        </w:rPr>
        <w:t xml:space="preserve">Live Call: </w:t>
      </w:r>
      <w:r>
        <w:rPr>
          <w:rFonts w:ascii="Times New Roman" w:hAnsi="Times New Roman"/>
          <w:sz w:val="20"/>
        </w:rPr>
        <w:t>https://register-conf.media-server.com/register/BI318a2d17c9bf472ab0e924ba22a6be55</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color w:val="000000"/>
          <w:sz w:val="20"/>
        </w:rPr>
        <w:t xml:space="preserve">Webcast Archive: </w:t>
      </w:r>
      <w:r>
        <w:rPr>
          <w:rFonts w:ascii="Times New Roman" w:hAnsi="Times New Roman"/>
          <w:sz w:val="20"/>
        </w:rPr>
        <w:t>https://ir.duluthtrading.com/news-and-events/event-calendar</w:t>
      </w:r>
    </w:p>
    <w:p>
      <w:pPr>
        <w:pStyle w:val="TextBody"/>
        <w:bidi w:val="0"/>
        <w:spacing w:before="280" w:after="280"/>
        <w:jc w:val="left"/>
        <w:rPr>
          <w:rFonts w:ascii="Times New Roman" w:hAnsi="Times New Roman"/>
          <w:sz w:val="20"/>
        </w:rPr>
      </w:pPr>
      <w:r>
        <w:rPr>
          <w:rFonts w:ascii="Times New Roman" w:hAnsi="Times New Roman"/>
          <w:b/>
          <w:color w:val="000000"/>
          <w:sz w:val="20"/>
        </w:rPr>
        <w:t>About Duluth Trading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Duluth Trading is a lifestyle brand for the Modern, Self-Reliant American. Based in Mount Horeb, Wisconsin, we offer high quality, solution-based workwear, casual wear, outdoor apparel and accessories for men and women who lead a hands-on lifestyle and who value a job well-done. We provide our customers an engaging and entertaining experience. Our marketing incorporates humor and storytelling that conveys the uniqueness of our products in a distinctive, fun way, and are available through our content-rich website, catalogs, and “store like no other” retail locations. We are committed to outstanding customer service backed by our “No Bull Guarantee” - if it’s not right, we’ll fix it. Visit our website at </w:t>
      </w:r>
      <w:r>
        <w:rPr>
          <w:rFonts w:ascii="Times New Roman" w:hAnsi="Times New Roman"/>
          <w:sz w:val="20"/>
        </w:rPr>
        <w:t>http://www.duluthtrading.com.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believes that non-GAAP financial measures may be useful in certain instances to provide additional meaningful comparisons between current results and results in prior operating periods. Within this release, including the tables attached hereto, reference is made to adjusted earnings before interest, taxes, depreciation and amortization (EBITDA), Adjusted Net Income (Loss), Adjusted EPS, and Forecasted Adjusted EBITDA. See attached table “Reconciliation of Net Income (Loss) to EBITDA and EBITDA to Adjusted EBITDA,” for a reconciliation of net income (loss) to EBITDA and EBITDA to Adjusted EBITDA and “Reconciliation of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Net Income (Loss) to Adjusted Net Income (Loss) and EPS to Adjusted EPS” for a reconciliation of net income (loss) to adjusted net income (loss) and EPS to adjusted EPS for the three and six months ended August 2, 2026 and August 3, 2025. Also see attached table “Reconciliation of Forecasted Net Income (Loss) to Forecasted EBITDA and Forecasted EBITDA to Forecasted Adjusted EBITDA” for a reconciliation of forecasted Adjusted EBITDA for Fiscal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is a metric used by management and frequently used by the financial community, which provides insight into an organization’s operating trends and facilitates comparisons between peer companies, since interest, taxes, depreciation and amortization can differ greatly between organizations as a result of differing capital structures and tax strategies. Adjusted EBITDA excludes certain other items, which include significant non-cash items, and other charges or benefits resulting from transactions or events that are highly variable, significant in size, and that we do not believe are indicative of ongoing or future business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Net Income (Loss) and Adjusted EPS are metrics used by management and frequently used by the financial community, which provides insight into the effectiveness of our business strategies and to compare our performance against that of peer companies. Adjusted Net Income (Loss) and Adjusted EPS exclude restructuring expenses and impairment expenses that are not comparable from period to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provides this information to investors to assist in comparisons of past, present and future operating results and to assist in highlighting the results of on-going operations. While the Company’s management believes that non-GAAP measurements are useful supplemental information, such adjusted results are not intended to replace the Company’s GAAP financial results and should be read in conjunction with those GAAP results.</w:t>
        <w:b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includes “forward-looking statements” within the meaning of the Private Securities Litigation Reform Act of 1995. All statements, other than statements of historical facts included in this press release, including statements concerning Duluth Trading’s plans, objectives, goals, beliefs, business strategies, future events, business conditions, its results of operations, financial position and its business outlook, business trends and certain other information herein, including statements under the heading “Fiscal 2026 Outlook” are forward-looking statements. You can identify forward-looking statements by the use of words such as “may,” ”might,” “will,” “should,” “expect,” “plan,” “anticipate,” “could,” “believe,” “estimate,” “project,” “target,” “predict,” “intend,” “future,” “budget,” “goals,” “potential,” “continue,” “design,” “objective,” “forecasted,” “would” and other similar expressions. The forward-looking statements are not historical facts, and are based upon Duluth Trading’s current expectations, beliefs, estimates, and projections, and various assumptions, many of which, by their nature, are inherently uncertain and beyond Duluth Trading’s control. Duluth Trading’s expectations, beliefs and projections are expressed in good faith, and Duluth Trading believes there is a reasonable basis for them. However, there can be no assurance that management’s expectations, beliefs, estimates, and projections will be achieved and actual results may vary materially from what is expressed in or indicated by the forward-looking statements. Forward-looking statements are subject to risks and uncertainties that could cause actual performance or results to differ materially from those expressed in the forward-looking statements, including, among others, the risks, uncertainties, and factors set forth under Part 1, Item 1A “Risk Factors” in the Company’s Annual Report on Form 10-K filed with the SEC on March 20, 2026 and other factors as may be periodically described in Duluth Trading’s subsequent filings with the SEC. These risks and uncertainties include, but are not limited to, the following: the impact of inflation and measures to control inflation on our results of operations; the prolonged effects of economic uncertainties on store and website traffic; the susceptibility of the price and availability of our merchandise to international trade conditions including tariffs; changes in U.S. and non-U.S. laws affecting the importation and taxation of goods, including imposition of unilateral tariffs on imported goods; our ability to secure the personal and/or financial information of our customers and employees;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and commit adequate resources to support marketing in order to retain and attract new customers;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failure to comply with data privacy regulation;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 Forward-looking statements speak only as of the date the statements are made. Duluth Trading assumes no obligation to update forward-looking statements to reflect actual results, subsequent events or circumstances or other changes affecting forward-looking information except to the extent required by applicable securities laws.</w:t>
      </w:r>
    </w:p>
    <w:p>
      <w:pPr>
        <w:pStyle w:val="TextBody"/>
        <w:bidi w:val="0"/>
        <w:spacing w:before="0" w:after="24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Contacts:</w:t>
      </w:r>
    </w:p>
    <w:p>
      <w:pPr>
        <w:pStyle w:val="TextBody"/>
        <w:bidi w:val="0"/>
        <w:jc w:val="left"/>
        <w:rPr>
          <w:rFonts w:ascii="Times New Roman" w:hAnsi="Times New Roman"/>
          <w:color w:val="000000"/>
          <w:sz w:val="20"/>
        </w:rPr>
      </w:pPr>
      <w:r>
        <w:rPr>
          <w:rFonts w:ascii="Times New Roman" w:hAnsi="Times New Roman"/>
          <w:color w:val="000000"/>
          <w:sz w:val="20"/>
        </w:rPr>
        <w:t>Heena Agrawal</w:t>
      </w:r>
    </w:p>
    <w:p>
      <w:pPr>
        <w:pStyle w:val="TextBody"/>
        <w:bidi w:val="0"/>
        <w:jc w:val="left"/>
        <w:rPr>
          <w:rFonts w:ascii="Times New Roman" w:hAnsi="Times New Roman"/>
          <w:color w:val="000000"/>
          <w:sz w:val="20"/>
        </w:rPr>
      </w:pPr>
      <w:r>
        <w:rPr>
          <w:rFonts w:ascii="Times New Roman" w:hAnsi="Times New Roman"/>
          <w:color w:val="000000"/>
          <w:sz w:val="20"/>
        </w:rPr>
        <w:t>Senior Vice President and Chief Financial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Chris Steffes</w:t>
      </w:r>
    </w:p>
    <w:p>
      <w:pPr>
        <w:pStyle w:val="TextBody"/>
        <w:bidi w:val="0"/>
        <w:jc w:val="left"/>
        <w:rPr>
          <w:rFonts w:ascii="Times New Roman" w:hAnsi="Times New Roman"/>
          <w:color w:val="000000"/>
          <w:sz w:val="20"/>
        </w:rPr>
      </w:pPr>
      <w:r>
        <w:rPr>
          <w:rFonts w:ascii="Times New Roman" w:hAnsi="Times New Roman"/>
          <w:color w:val="000000"/>
          <w:sz w:val="20"/>
        </w:rPr>
        <w:t>Senior Director of Financial Planning and Analysis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Email: IR@duluthtrading.com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(Tables Follow)</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9"/>
        </w:rPr>
      </w:pPr>
      <w:r>
        <w:rPr>
          <w:rFonts w:ascii="Times New Roman" w:hAnsi="Times New Roman"/>
          <w:b/>
          <w:color w:val="000000"/>
          <w:sz w:val="19"/>
        </w:rPr>
        <w:t>DULUTH HOLDINGS INC.</w:t>
      </w:r>
    </w:p>
    <w:p>
      <w:pPr>
        <w:pStyle w:val="TextBody"/>
        <w:bidi w:val="0"/>
        <w:jc w:val="center"/>
        <w:rPr>
          <w:rFonts w:ascii="Times New Roman" w:hAnsi="Times New Roman"/>
          <w:b/>
          <w:color w:val="000000"/>
          <w:sz w:val="19"/>
        </w:rPr>
      </w:pPr>
      <w:r>
        <w:rPr>
          <w:rFonts w:ascii="Times New Roman" w:hAnsi="Times New Roman"/>
          <w:b/>
          <w:color w:val="000000"/>
          <w:sz w:val="19"/>
        </w:rPr>
        <w:t>Condensed Consolidated Balance Sheets</w:t>
      </w:r>
    </w:p>
    <w:p>
      <w:pPr>
        <w:pStyle w:val="TextBody"/>
        <w:bidi w:val="0"/>
        <w:jc w:val="center"/>
        <w:rPr>
          <w:rFonts w:ascii="Times New Roman" w:hAnsi="Times New Roman"/>
          <w:b/>
          <w:color w:val="000000"/>
          <w:sz w:val="19"/>
        </w:rPr>
      </w:pPr>
      <w:r>
        <w:rPr>
          <w:rFonts w:ascii="Times New Roman" w:hAnsi="Times New Roman"/>
          <w:b/>
          <w:color w:val="000000"/>
          <w:sz w:val="19"/>
        </w:rPr>
        <w:t>(Unaudited)</w:t>
      </w:r>
    </w:p>
    <w:p>
      <w:pPr>
        <w:pStyle w:val="TextBody"/>
        <w:bidi w:val="0"/>
        <w:jc w:val="center"/>
        <w:rPr>
          <w:rFonts w:ascii="Times New Roman" w:hAnsi="Times New Roman"/>
          <w:b/>
          <w:color w:val="000000"/>
          <w:sz w:val="19"/>
        </w:rPr>
      </w:pPr>
      <w:r>
        <w:rPr>
          <w:rFonts w:ascii="Times New Roman" w:hAnsi="Times New Roman"/>
          <w:b/>
          <w:color w:val="000000"/>
          <w:sz w:val="19"/>
        </w:rPr>
        <w:t>(Amounts in thousands)</w:t>
      </w:r>
    </w:p>
    <w:p>
      <w:pPr>
        <w:pStyle w:val="TextBody"/>
        <w:bidi w:val="0"/>
        <w:jc w:val="center"/>
        <w:rPr/>
      </w:pPr>
      <w:r>
        <w:rPr/>
        <w:t> </w:t>
      </w:r>
    </w:p>
    <w:tbl>
      <w:tblPr>
        <w:tblW w:w="9547" w:type="dxa"/>
        <w:jc w:val="left"/>
        <w:tblInd w:w="0" w:type="dxa"/>
        <w:tblLayout w:type="fixed"/>
        <w:tblCellMar>
          <w:top w:w="28" w:type="dxa"/>
          <w:left w:w="28" w:type="dxa"/>
          <w:bottom w:w="28" w:type="dxa"/>
          <w:right w:w="28" w:type="dxa"/>
        </w:tblCellMar>
      </w:tblPr>
      <w:tblGrid>
        <w:gridCol w:w="4486"/>
        <w:gridCol w:w="146"/>
        <w:gridCol w:w="255"/>
        <w:gridCol w:w="945"/>
        <w:gridCol w:w="166"/>
        <w:gridCol w:w="146"/>
        <w:gridCol w:w="293"/>
        <w:gridCol w:w="1087"/>
        <w:gridCol w:w="166"/>
        <w:gridCol w:w="146"/>
        <w:gridCol w:w="255"/>
        <w:gridCol w:w="945"/>
        <w:gridCol w:w="5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148,051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&amp;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172,051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185,932</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103,224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433,800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Current maturities of TRI long-term debt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TRI long-term debt, less current maturities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266,742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shareholders' equity of Duluth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169,994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433,800</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16"/>
        </w:rPr>
      </w:pPr>
      <w:r>
        <w:rPr>
          <w:rFonts w:ascii="Times New Roman" w:hAnsi="Times New Roman"/>
          <w:color w:val="000000"/>
          <w:sz w:val="16"/>
        </w:rPr>
        <w:t xml:space="preserve">(1) Represents debt of the variable interest entity, TRI Holdings, LLC, that is consolidated in accordance with ASC 810, </w:t>
      </w:r>
      <w:r>
        <w:rPr>
          <w:rFonts w:ascii="Times New Roman" w:hAnsi="Times New Roman"/>
          <w:i/>
          <w:color w:val="000000"/>
          <w:sz w:val="16"/>
        </w:rPr>
        <w:t>Consolidation</w:t>
      </w:r>
      <w:r>
        <w:rPr>
          <w:rFonts w:ascii="Times New Roman" w:hAnsi="Times New Roman"/>
          <w:color w:val="000000"/>
          <w:sz w:val="16"/>
        </w:rPr>
        <w:t>. Duluth Holdings Inc. is not the guarantor nor the obligor of this debt.</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figures)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26"/>
        <w:gridCol w:w="146"/>
        <w:gridCol w:w="245"/>
        <w:gridCol w:w="910"/>
        <w:gridCol w:w="146"/>
        <w:gridCol w:w="146"/>
        <w:gridCol w:w="245"/>
        <w:gridCol w:w="910"/>
        <w:gridCol w:w="166"/>
        <w:gridCol w:w="146"/>
        <w:gridCol w:w="245"/>
        <w:gridCol w:w="910"/>
        <w:gridCol w:w="146"/>
        <w:gridCol w:w="146"/>
        <w:gridCol w:w="245"/>
        <w:gridCol w:w="910"/>
        <w:gridCol w:w="217"/>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share (Class A and Class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controlling</w:t>
              <w:br/>
              <w:t>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share (Class A and 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and equivalents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34,081</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controlling</w:t>
              <w:br/>
              <w: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958"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146"/>
        <w:gridCol w:w="146"/>
        <w:gridCol w:w="146"/>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1"/>
        <w:gridCol w:w="146"/>
        <w:gridCol w:w="258"/>
        <w:gridCol w:w="903"/>
        <w:gridCol w:w="166"/>
        <w:gridCol w:w="146"/>
        <w:gridCol w:w="258"/>
        <w:gridCol w:w="903"/>
        <w:gridCol w:w="414"/>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 &amp;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hosting implementation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receipts from available-for-sale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TRI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tax withholding on vested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liability to acquire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Income (Loss) to EBITDA and EBITDA to Adjusted EBITDA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129" w:type="dxa"/>
        <w:jc w:val="left"/>
        <w:tblInd w:w="0" w:type="dxa"/>
        <w:tblLayout w:type="fixed"/>
        <w:tblCellMar>
          <w:top w:w="28" w:type="dxa"/>
          <w:left w:w="28" w:type="dxa"/>
          <w:bottom w:w="28" w:type="dxa"/>
          <w:right w:w="28" w:type="dxa"/>
        </w:tblCellMar>
      </w:tblPr>
      <w:tblGrid>
        <w:gridCol w:w="3896"/>
        <w:gridCol w:w="146"/>
        <w:gridCol w:w="285"/>
        <w:gridCol w:w="915"/>
        <w:gridCol w:w="146"/>
        <w:gridCol w:w="146"/>
        <w:gridCol w:w="285"/>
        <w:gridCol w:w="915"/>
        <w:gridCol w:w="166"/>
        <w:gridCol w:w="146"/>
        <w:gridCol w:w="285"/>
        <w:gridCol w:w="915"/>
        <w:gridCol w:w="146"/>
        <w:gridCol w:w="146"/>
        <w:gridCol w:w="267"/>
        <w:gridCol w:w="933"/>
        <w:gridCol w:w="391"/>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internal-use software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implementation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incentive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Income (Loss) to Adjusted Net Income (Loss) and EPS to Adjusted EPS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98"/>
        <w:gridCol w:w="146"/>
        <w:gridCol w:w="211"/>
        <w:gridCol w:w="676"/>
        <w:gridCol w:w="146"/>
        <w:gridCol w:w="146"/>
        <w:gridCol w:w="212"/>
        <w:gridCol w:w="470"/>
        <w:gridCol w:w="146"/>
        <w:gridCol w:w="146"/>
        <w:gridCol w:w="211"/>
        <w:gridCol w:w="571"/>
        <w:gridCol w:w="166"/>
        <w:gridCol w:w="146"/>
        <w:gridCol w:w="211"/>
        <w:gridCol w:w="528"/>
        <w:gridCol w:w="166"/>
        <w:gridCol w:w="146"/>
        <w:gridCol w:w="211"/>
        <w:gridCol w:w="676"/>
        <w:gridCol w:w="166"/>
        <w:gridCol w:w="146"/>
        <w:gridCol w:w="211"/>
        <w:gridCol w:w="528"/>
        <w:gridCol w:w="166"/>
        <w:gridCol w:w="146"/>
        <w:gridCol w:w="211"/>
        <w:gridCol w:w="736"/>
        <w:gridCol w:w="166"/>
        <w:gridCol w:w="146"/>
        <w:gridCol w:w="211"/>
        <w:gridCol w:w="528"/>
        <w:gridCol w:w="215"/>
      </w:tblGrid>
      <w:tr>
        <w:trPr/>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Plus: Restructuring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Plus: Impairment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pPr>
            <w:r>
              <w:rPr>
                <w:color w:val="000000"/>
              </w:rPr>
              <w:t>    </w:t>
            </w:r>
            <w:r>
              <w:rPr>
                <w:rFonts w:ascii="Times New Roman" w:hAnsi="Times New Roman"/>
                <w:color w:val="000000"/>
                <w:sz w:val="20"/>
              </w:rPr>
              <w:t xml:space="preserve">Income tax effect of adjustments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(loss) attributable to 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(1) The income tax effects of adjustments are calculated using the Company’s estimated 23% tax rate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Forecasted Net Income (Loss) to Forecasted EBITDA and Forecasted EBITDA to Forecasted Adjusted EBITDA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254" w:type="dxa"/>
        <w:jc w:val="left"/>
        <w:tblInd w:w="0" w:type="dxa"/>
        <w:tblLayout w:type="fixed"/>
        <w:tblCellMar>
          <w:top w:w="28" w:type="dxa"/>
          <w:left w:w="28" w:type="dxa"/>
          <w:bottom w:w="28" w:type="dxa"/>
          <w:right w:w="28" w:type="dxa"/>
        </w:tblCellMar>
      </w:tblPr>
      <w:tblGrid>
        <w:gridCol w:w="6731"/>
        <w:gridCol w:w="146"/>
        <w:gridCol w:w="211"/>
        <w:gridCol w:w="676"/>
        <w:gridCol w:w="166"/>
        <w:gridCol w:w="146"/>
        <w:gridCol w:w="211"/>
        <w:gridCol w:w="676"/>
        <w:gridCol w:w="291"/>
      </w:tblGrid>
      <w:tr>
        <w:trPr/>
        <w:tc>
          <w:tcPr>
            <w:tcW w:w="6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Forecasted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internal-use software hosting subscription implementation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incentive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dlth-ex99_2.htm"/>
      <w:bookmarkStart w:id="5" w:name="ksdlthex99_2"/>
      <w:bookmarkEnd w:id="4"/>
      <w:bookmarkEnd w:id="5"/>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Investor Presentation Second Quarter 2026 September 3,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FORWARD-LOOKING STATEMENTS This investor presentation includes “forward-looking statements” within the meaning of the Private Securities Litigation Reform Act of 1995. All statements, other than statements of historical facts included in this investor presentation, including statements concerning Duluth Trading’s plans, objectives, goals, beliefs, business strategies, future events, business conditions, its results of operations, financial position and its business outlook, business trends and certain other information herein, including statements under the heading “Fiscal 2026 Outlook” are forward-looking statements. You can identify forward-looking statements by the use of words such as “may,” ”might,” “will,” “should,” “expect,” “plan,” “anticipate,” “could,” “believe,” “estimate,” “project,” “target,” “predict,” “intend,” “future,” “budget,” “goals,” “potential,” “continue,” “design,” “objective,” “forecasted,” “would” and other similar expressions. The forward-looking statements are not historical facts, and are based upon Duluth Trading’s current expectations, beliefs, estimates, and projections, and various assumptions, many of which, by their nature, are inherently uncertain and beyond Duluth Trading’s control. Duluth Trading’s expectations, beliefs and projections are expressed in good faith, and Duluth Trading believes there is a reasonable basis for them. However, there can be no assurance that management’s expectations, beliefs, estimates, and projections will be achieved and actual results may vary materially from what is expressed in or indicated by the forward-looking statements. Forward-looking statements are subject to risks and uncertainties that could cause actual performance or results to differ materially from those expressed in the forward-looking statements, including, among others, the risks, uncertainties, and factors set forth under Part 1, Item 1A “Risk Factors” in the Company’s Annual Report on Form 10-K filed with the SEC on March 20, 2026 and other factors as may be periodically described in Duluth Trading’s subsequent filings with the SEC. These risks and uncertainties include, but are not limited to, the following: the impact of inflation and measures to control inflation on our results of operations; the prolonged effects of economic uncertainties on store and website traffic; the susceptibility of the price and availability of our merchandise to international trade conditions including tariffs; changes in U.S. and non-U.S. laws affecting the importation and taxation of goods, including imposition of unilateral tariffs on imported goods; our ability to secure the personal and/or financial information of our customers and employees;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and commit adequate resources to support marketing in order to retain and attract new customers;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failure to comply with data privacy regulation;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 Forward-looking statements speak only as of the date the statements are made. Duluth Trading assumes no obligation to update forward-looking statements to reflect actual results, subsequent events or circumstances or other changes affecting forward-looking information except to the extent required by applicable securities laws. 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NON-GAAP MEASUREMENTS Management believes that non-GAAP financial measures may be useful in certain instances to provide additional meaningful comparisons between current results and results in prior operating periods. Within this presentation, including the tables attached hereto, reference is made to adjusted earnings before interest, taxes, depreciation and amortization (EBITDA), Adjusted Net Income (Loss), Adjusted EPS, and Forecasted Adjusted EBITDA. See attached table “Reconciliation of Net Income (Loss) to EBITDA and EBITDA to Adjusted EBITDA,” for a reconciliation of net income (loss) to EBITDA and EBITDA to Adjusted EBITDA and “Reconciliation of Net Income (Loss) to Adjusted Net Income (Loss) and EPS to Adjusted EPS” for a reconciliation of net income (loss) to adjusted net income (loss) and EPS to adjusted EPS for the three and six months ended August 2, 2026 and August 3, 2025. Also see attached table “Reconciliation of Forecasted Net Income (Loss) to Forecasted EBITDA and Forecasted EBITDA to Forecasted Adjusted EBITDA” for a reconciliation of forecasted Adjusted EBITDA for Fiscal 2026.   Adjusted EBITDA is a metric used by management and frequently used by the financial community, which provides insight into an organization’s operating trends and facilitates comparisons between peer companies, since interest, taxes, depreciation and amortization can differ greatly between organizations as a result of differing capital structures and tax strategies. Adjusted EBITDA excludes certain items that are unusual in nature or not comparable from period to period.   Adjusted Net Income (Loss) and Adjusted EPS are metrics used by management and frequently used by the financial community, which provides insight into the effectiveness of our business strategies and to compare our performance against that of peer companies. Adjusted Net Income (Loss) and Adjusted EPS exclude restructuring expenses and impairment expenses that are not comparable from period to period.   The Company provides this information to investors to assist in comparisons of past, present and future operating results and to assist in highlighting the results of on-going operations. While the Company’s management believes that non-GAAP measurements are useful supplemental information, such adjusted results are not intended to replace the Company’s GAAP financial results and should be read in conjunction with those GAAP results. 03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INTRODUCTION TO DULUTH TRADING COMPANY 04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INTRODUCTION TO DULUTH TRADING COMPANY WHO WE ARE The Official Outfitter of Doers. We exist to champion the hands-on way of life. We build high-quality gear for hands-on folks who measure value by how long something lasts — not how much it costs. We are a No Bull Brand. We do what we say and make it right if we miss the mark. We poke average in the eye by finding a better way to create solution-based products for our customers. 05 66 STORES ACROSS?32 STATES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01 PRODUCT IS OUR PASSION. 02 THE CUSTOMER IS OUR COMPASS. 03 PEOPLE SET US APART. 04 ONWARD. ALWAYS. 05 WE POKE AVERAGE IN THE EYE. 06 OUR FIVE WELDS INTRODUCTION TO DULUTH TRADING COMPANY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BUILD TO LAST STRATEGIC FRAMEWORK 2025 SEAL the FOUNDATION FREE CASH FLOW POSITIVE Promotional reset to restore price integrity Inventory and assortment right-sizing Balanced, full-funnel marketing approach Logistics and store fleet optimization Cost and cash discipline New management team in place 2028 + RAISE the ROOF GROW PROFITABLY Loyalty at scale Women’s expansion Selective store growth Additional distribution channels Growth layers added as unit economics proven 07 2026 — 2027 FRAME the STRUCTURE STABILIZE TOP LINE Core-first product strategy Energize core customer, loyalty program pilot Build brand awareness for new customer acquisition Test new distribution Operational excellence FRAME the STRUCTURE STABILIZE TOP LINE 2026 - 2027 INTRODUCTION TO DULUTH TRADING COMPANY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FINANCIAL REVIEW FISCAL 2026 08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EARNINGS PER SHARE 1 Reported and adjusted EPS of $0.50. This includes a $0.44 impact from tariff refunds. FISCAL 2026 SECOND QUARTER?SUMMARY 09 NET INCOME Net income of $18.4 million compared to net income of $1.3 million in the prior year second quarter. This includes the impact of $16.3 million in tariff refunds. INVENTORY Inventory down $22.9 million or 15.5% vs. last year. NET LIQUIDITY Cash and cash equivalents of $26.8 million with net liquidity of $96.1 million. ADJUSTED EBITDA 2 Adjusted EBITDA of $27.0 million compared to $12.0 million in the prior year second quarter. This includes the impact of $16.3 million in tariff refunds. QUARTER ENDED AUGUST 2, 2026 1 See Reconciliation of net income / (loss) to adjusted net income / (loss) and adjusted net income / (loss) to adjusted EPS on slide 15 2 See Reconciliation of net income / (loss) to EBITDA and EBITDA to Adjusted EBITDA on slide 15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NET SALES THREE MONTHS ENDED 10 ADJUSTED EBITDA 1,2,3 1 Adjusted to reflect the add-back of long-term incentive, restructuring, and impairment expenses 2 See Reconciliation of net income / (loss) to EBITDA and EBITDA to Adjusted EBITDA on slide 15 3 2026 Adjusted EBITDA includes $16.3 million of tariff refunds ADJUSTED NET INCOME / (LOSS) 4,5,6 4 Excludes net income / (loss) attributable to noncontrolling interest. 5 See Reconciliation of net income / (loss) to adjusted net income / (loss) on slide 15 6 2026 Adjusted EBITDA includes $16.3 million of tariff refunds QUARTER ENDED AUGUST 2, 2026 ($ IN MILLIONS) ($ IN MILLIONS) ($ IN MILLIONS) 9.1% Margin 22.3% 1.5% Margin 15.1%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NET SALES SIX MONTHS ENDED 11 ADJUSTED EBITDA 1,2,3 ADJUSTED NET INCOME / (LOSS) 4,5,6 QUARTER ENDED AUGUST 2, 2026 ($ IN MILLIONS) ($ IN MILLIONS) ($ IN MILLIONS) 3.5% Margin 13.5% (5.5%) Margin 5.2% 1 Adjusted to reflect the add-back of long-term incentive, restructuring, and impairment expenses 2 See Reconciliation of net income / (loss) to EBITDA and EBITDA to Adjusted EBITDA on slide 16 3 2026 Adjusted EBITDA includes $16.3 million of tariff refunds 4 Excludes net income / (loss) attributable to noncontrolling interest. 5 See Reconciliation of net income / (loss) to adjusted net income / (loss) on slide 16 6 2026 Adjusted EBITDA includes $16.3 million of tariff refunds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12 QUARTER ENDED AUGUST 2, 2026 BALANCE SHEET, LIQUIDITY AND FREE CASH FLOW Debt to Capital 1,2 ($ in millions) As of August 2, 2026 Cash and Cash Equivalents $26.8 Debt: Line of Credit $0.0 Term Loan $0.0 Total Debt $0.0 Total Shareholders’ Equity $175.2 Total Capitalization $202.0 Debt to Capital Ratio $0.0% Free Cash Flow 3 1 Debt balances do not include TRI Holdings, LLC, a variable interest entity that is consolidated for reporting purposes 2 The Asset Based Lending Agreement extends to 2030 and provides for borrowings up to $100.0 million 3 See Reconciliation of Free Cash Flow on slide 16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13 AS OF AUGUST 2, 2026 FISCAL 2026 OUTLOOK Fiscal 2026 Guidance Reconciliation to 2026 Forecasted Adj. EBITDA 1 Inclusive of software hosting implementation costs which are included in Prepaid expenses &amp; other current assets on the Company’s Consolidated Balance Sheet. Fiscal Year Ending January 31, 2027 ($ in millions) Low High Net (loss) / income $(3.0) $1.4 (+) Depreciation and amortization 24.2 24.2 (+) Amortization of internal-use software hosting subscription implementation costs 4.5 4.5 (+) Interest expense 3.8 3.5 (+) Income tax expense (benefit) 0.5 0.5 EBITDA $30.0 $34.0 (+) Long-term incentive expense 3.9 3.9 (+) Impairment expense 2.7 2.7 (+) Restructuring expense 1.4 1.4 Adjusted EBITDA $38.0 $42.0 ($ in millions) Prior Guidance Updated Guidance Net Sales $540 to $560 $540 to $560 Adjusted EBITDA $28 to $32 $38 to $42 Capital Expenditures 1 $12 $12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THANK YOU</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Reconciliation to 2026 Adjusted EBITDA and Adjusted EPS 15 Adjusted EBITDA Three Months Ended ($ in millions) August 2, 2026 August 3, 2025 Net income $18.4 $1.3 (+) Depreciation and amortization 5.6 6.5 (+) Amortization of internal-use software hosting subscription implementation costs 1.1 1.1 (+) Interest expense 0.8 1.5 (+) Income tax expense (benefit) 0.1 (0.4) EBITDA $26.0 $10.0 (+) Long-term incentive expense 1.0 1.2 (+) Impairment expense - - (+) Restructuring expense - 0.9 Adjusted EBITDA $27.0 $12.0 Adjusted EPS Three Months Ended ($ in millions) August 2, 2026 August 3, 2025 Amount Per share Amount Per share Net income attributable to controlling interest $18.4 $0.50 $1.3 $0.04 (+) Restructuring expenses - - 0.9 0.03 (+) Impairment expenses - - - - (-) Income tax effect of adjustments(1) - - (0.2) (0.01) Adjusted net income $18.4 $0.50 $1.9 $0.06 THREE MONTHS ENDED AUGUST 2,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APPENDIX Reconciliation to 2026 Adjusted EBITDA, Adjusted EPS and Free Cash Flow 16 Adjusted EBITDA Six Months Ended ($ in millions) August 2, 2026 August 3, 2025 Net income / (loss) $8.4 $(14.0) (+) Depreciation and amortization 11.4 13.3 (+) Amortization of internal-use software hosting subscription implementation costs 2.2 2.2 (+) Interest expense 1.6 3.0 (+) Income tax expense (benefit) 0.2 0.8 EBITDA $23.7 $5.3 (+) Long-term incentive expense 1.9 1.5 (+) Impairment expense 2.7 0.5 (+) Restructuring expense 1.4 0.9 Adjusted EBITDA $29.7 $8.2 Adjusted EPS Six Months Ended ($ in millions) August 2, 2026 August 3, 2025 Amount Per share Amount Per share Net income / (loss) attributable to controlling interest $8.3 $0.23 $(14.0) $(0.41) (+) Restructuring expenses 1.4 0.04 0.9 0.02 (+) Impairment expenses 2.7 0.07 0.5 0.02 (-) Income tax effect of adjustments (0.9) (0.03) (0.3) (0.01) Adjusted net income $11.4 $0.31 $(13.0) $(0.38) SIX MONTHS ENDED AUGUST 2, 2026 Free Cash Flow Six Months Ended ($ in millions) August 2, 2026 August 3, 2025 Net Cash used in operating activities $15.5 $(24.4) Purchases of property and equipment (2.5) (3.6) Free Cash Flow (non-GAAP) $13.0 $(28.0)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7446</Words>
  <Characters>42213</Characters>
  <CharactersWithSpaces>50155</CharactersWithSpaces>
  <Paragraphs>2031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