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3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42" w:lineRule="exact"/>
        <w:rPr>
          <w:sz w:val="24"/>
          <w:szCs w:val="24"/>
          <w:color w:val="auto"/>
        </w:rPr>
      </w:pPr>
    </w:p>
    <w:p>
      <w:pPr>
        <w:ind w:left="480" w:right="180" w:hanging="472"/>
        <w:spacing w:after="0" w:line="243"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July 30, 2023</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40" w:hanging="492"/>
        <w:spacing w:after="0" w:line="256"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rPr>
          <w:sz w:val="20"/>
          <w:szCs w:val="20"/>
          <w:color w:val="auto"/>
        </w:rPr>
      </w:pPr>
      <w:r>
        <w:rPr>
          <w:rFonts w:ascii="Arial" w:cs="Arial" w:eastAsia="Arial" w:hAnsi="Arial"/>
          <w:sz w:val="14"/>
          <w:szCs w:val="14"/>
          <w:color w:val="auto"/>
        </w:rPr>
        <w:t>_________________________________________</w:t>
      </w:r>
    </w:p>
    <w:p>
      <w:pPr>
        <w:jc w:val="center"/>
        <w:ind w:right="-79"/>
        <w:spacing w:after="0" w:line="227"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62"/>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212"/>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219"/>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19"/>
                <w:szCs w:val="19"/>
                <w:color w:val="auto"/>
              </w:rPr>
            </w:pPr>
          </w:p>
        </w:tc>
      </w:tr>
      <w:tr>
        <w:trPr>
          <w:trHeight w:val="186"/>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6"/>
                <w:szCs w:val="16"/>
                <w:color w:val="auto"/>
              </w:rPr>
            </w:pPr>
          </w:p>
        </w:tc>
      </w:tr>
      <w:tr>
        <w:trPr>
          <w:trHeight w:val="189"/>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6"/>
                <w:szCs w:val="16"/>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3700" w:type="dxa"/>
            <w:vAlign w:val="bottom"/>
          </w:tcPr>
          <w:p>
            <w:pPr>
              <w:jc w:val="center"/>
              <w:ind w:left="73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Class B Common Stock, No Par Value</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DLTH</w:t>
            </w:r>
          </w:p>
        </w:tc>
        <w:tc>
          <w:tcPr>
            <w:tcW w:w="3700" w:type="dxa"/>
            <w:vAlign w:val="bottom"/>
          </w:tcPr>
          <w:p>
            <w:pPr>
              <w:jc w:val="center"/>
              <w:ind w:left="71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w:t>
      </w:r>
    </w:p>
    <w:p>
      <w:pPr>
        <w:spacing w:after="0" w:line="29" w:lineRule="exact"/>
        <w:rPr>
          <w:sz w:val="24"/>
          <w:szCs w:val="24"/>
          <w:color w:val="auto"/>
        </w:rPr>
      </w:pPr>
    </w:p>
    <w:p>
      <w:pPr>
        <w:ind w:right="240"/>
        <w:spacing w:after="0" w:line="191"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5" w:lineRule="exact"/>
        <w:rPr>
          <w:sz w:val="24"/>
          <w:szCs w:val="24"/>
          <w:color w:val="auto"/>
        </w:rPr>
      </w:pPr>
    </w:p>
    <w:p>
      <w:pPr>
        <w:ind w:firstLine="428"/>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93" w:lineRule="exact"/>
        <w:rPr>
          <w:sz w:val="24"/>
          <w:szCs w:val="24"/>
          <w:color w:val="auto"/>
        </w:rPr>
      </w:pPr>
    </w:p>
    <w:p>
      <w:pPr>
        <w:jc w:val="both"/>
        <w:ind w:right="220" w:firstLine="428"/>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40" w:type="dxa"/>
            <w:vAlign w:val="bottom"/>
          </w:tcPr>
          <w:p>
            <w:pPr>
              <w:ind w:left="11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Arial" w:cs="Arial" w:eastAsia="Arial" w:hAnsi="Arial"/>
                <w:sz w:val="16"/>
                <w:szCs w:val="16"/>
                <w:color w:val="auto"/>
              </w:rPr>
              <w:t>o</w:t>
            </w:r>
          </w:p>
        </w:tc>
      </w:tr>
    </w:tbl>
    <w:p>
      <w:pPr>
        <w:spacing w:after="0" w:line="118" w:lineRule="exact"/>
        <w:rPr>
          <w:sz w:val="24"/>
          <w:szCs w:val="24"/>
          <w:color w:val="auto"/>
        </w:rPr>
      </w:pPr>
    </w:p>
    <w:p>
      <w:pPr>
        <w:ind w:right="80" w:firstLine="428"/>
        <w:spacing w:after="0" w:line="25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7"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August 30, 2023, was 3,364,200.</w:t>
      </w:r>
    </w:p>
    <w:p>
      <w:pPr>
        <w:spacing w:after="0" w:line="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August 30, 2023, was 31,212,128.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b w:val="1"/>
          <w:bCs w:val="1"/>
          <w:color w:val="auto"/>
        </w:rPr>
        <w:t>DULUTH HOLDINGS INC.</w:t>
      </w:r>
    </w:p>
    <w:p>
      <w:pPr>
        <w:ind w:left="4000"/>
        <w:spacing w:after="0" w:line="237" w:lineRule="auto"/>
        <w:rPr>
          <w:sz w:val="20"/>
          <w:szCs w:val="20"/>
          <w:color w:val="auto"/>
        </w:rPr>
      </w:pPr>
      <w:r>
        <w:rPr>
          <w:rFonts w:ascii="Arial" w:cs="Arial" w:eastAsia="Arial" w:hAnsi="Arial"/>
          <w:sz w:val="18"/>
          <w:szCs w:val="18"/>
          <w:b w:val="1"/>
          <w:bCs w:val="1"/>
          <w:color w:val="auto"/>
        </w:rPr>
        <w:t>QUARTERLY REPORT ON FORM 10-Q</w:t>
      </w:r>
    </w:p>
    <w:p>
      <w:pPr>
        <w:jc w:val="center"/>
        <w:ind w:right="40"/>
        <w:spacing w:after="0" w:line="234" w:lineRule="auto"/>
        <w:rPr>
          <w:sz w:val="20"/>
          <w:szCs w:val="20"/>
          <w:color w:val="auto"/>
        </w:rPr>
      </w:pPr>
      <w:r>
        <w:rPr>
          <w:rFonts w:ascii="Arial" w:cs="Arial" w:eastAsia="Arial" w:hAnsi="Arial"/>
          <w:sz w:val="18"/>
          <w:szCs w:val="18"/>
          <w:b w:val="1"/>
          <w:bCs w:val="1"/>
          <w:color w:val="auto"/>
        </w:rPr>
        <w:t>FOR QUARTER ENDED July 30,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40" w:type="dxa"/>
            <w:vAlign w:val="bottom"/>
            <w:gridSpan w:val="13"/>
          </w:tcPr>
          <w:p>
            <w:pPr>
              <w:jc w:val="center"/>
              <w:ind w:right="3000"/>
              <w:spacing w:after="0"/>
              <w:rPr>
                <w:sz w:val="20"/>
                <w:szCs w:val="20"/>
                <w:color w:val="auto"/>
              </w:rPr>
            </w:pPr>
            <w:r>
              <w:rPr>
                <w:rFonts w:ascii="Arial" w:cs="Arial" w:eastAsia="Arial" w:hAnsi="Arial"/>
                <w:sz w:val="18"/>
                <w:szCs w:val="18"/>
                <w:color w:val="0000FF"/>
                <w:w w:val="93"/>
              </w:rPr>
              <w:t>Part I—Financial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85"/>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Arial" w:cs="Arial" w:eastAsia="Arial" w:hAnsi="Arial"/>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0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as of July 30, 2023 and January 30, 2022 (Unaudited)</w:t>
            </w: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July 30, 2023 and July 31,</w:t>
            </w: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2022 (Unaudited)</w:t>
            </w:r>
          </w:p>
        </w:tc>
        <w:tc>
          <w:tcPr>
            <w:tcW w:w="6900" w:type="dxa"/>
            <w:vAlign w:val="bottom"/>
            <w:gridSpan w:val="18"/>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w w:val="91"/>
              </w:rPr>
              <w:t>Condensed Consolidated Statements of Comprehensive (Loss) Income for the three and six months ended July</w:t>
            </w: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rPr>
              <w:t>30, 2023 and July 31, 2022 (Unaudited)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w w:val="93"/>
              </w:rPr>
              <w:t>Condensed Consolidated Statement of Shareholders’ Equity for the six months ended July, 2023 (Unaudited)</w:t>
            </w: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Condensed Consolidated Statement of Shareholders’ Equity for the six months ended July 31, 2022 (Unaudited)</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w w:val="92"/>
              </w:rPr>
              <w:t>Condensed Consolidated Statements of Cash Flows for the six months ended July 30, 2023 and July 31, 2022</w:t>
            </w:r>
          </w:p>
        </w:tc>
        <w:tc>
          <w:tcPr>
            <w:tcW w:w="1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(Unaudited)</w:t>
            </w:r>
          </w:p>
        </w:tc>
        <w:tc>
          <w:tcPr>
            <w:tcW w:w="26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72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5"/>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3820" w:type="dxa"/>
            <w:vAlign w:val="bottom"/>
            <w:gridSpan w:val="10"/>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14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18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2"/>
          </w:tcPr>
          <w:p>
            <w:pPr>
              <w:jc w:val="center"/>
              <w:ind w:right="3100"/>
              <w:spacing w:after="0"/>
              <w:rPr>
                <w:sz w:val="20"/>
                <w:szCs w:val="20"/>
                <w:color w:val="auto"/>
              </w:rPr>
            </w:pPr>
            <w:r>
              <w:rPr>
                <w:rFonts w:ascii="Arial" w:cs="Arial" w:eastAsia="Arial" w:hAnsi="Arial"/>
                <w:sz w:val="18"/>
                <w:szCs w:val="18"/>
                <w:color w:val="0000FF"/>
                <w:w w:val="94"/>
              </w:rPr>
              <w:t>Part II—Other Information</w:t>
            </w:r>
          </w:p>
        </w:tc>
        <w:tc>
          <w:tcPr>
            <w:tcW w:w="158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00" w:type="dxa"/>
            <w:vAlign w:val="bottom"/>
            <w:gridSpan w:val="8"/>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14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1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3740" w:type="dxa"/>
            <w:vAlign w:val="bottom"/>
            <w:tcBorders>
              <w:top w:val="single" w:sz="8" w:color="0000FF"/>
            </w:tcBorders>
            <w:gridSpan w:val="10"/>
          </w:tcPr>
          <w:p>
            <w:pPr>
              <w:spacing w:after="0"/>
              <w:rPr>
                <w:sz w:val="24"/>
                <w:szCs w:val="24"/>
                <w:color w:val="auto"/>
              </w:rPr>
            </w:pPr>
          </w:p>
        </w:tc>
        <w:tc>
          <w:tcPr>
            <w:tcW w:w="3840" w:type="dxa"/>
            <w:vAlign w:val="bottom"/>
            <w:gridSpan w:val="11"/>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776"/>
        </w:trPr>
        <w:tc>
          <w:tcPr>
            <w:tcW w:w="148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1"/>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ind w:left="4520"/>
        <w:spacing w:after="0" w:line="237" w:lineRule="auto"/>
        <w:rPr>
          <w:sz w:val="20"/>
          <w:szCs w:val="20"/>
          <w:color w:val="auto"/>
        </w:rPr>
      </w:pPr>
      <w:r>
        <w:rPr>
          <w:rFonts w:ascii="Arial" w:cs="Arial" w:eastAsia="Arial" w:hAnsi="Arial"/>
          <w:sz w:val="18"/>
          <w:szCs w:val="18"/>
          <w:b w:val="1"/>
          <w:bCs w:val="1"/>
          <w:color w:val="auto"/>
        </w:rPr>
        <w:t>DULUTH HOLDINGS INC.</w:t>
      </w:r>
    </w:p>
    <w:p>
      <w:pPr>
        <w:ind w:left="3760"/>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July 30, 2023</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29, 2023</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45,548</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6,041</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receivable</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00" w:type="dxa"/>
            <w:vAlign w:val="bottom"/>
          </w:tcPr>
          <w:p>
            <w:pPr>
              <w:ind w:left="120"/>
              <w:spacing w:after="0"/>
              <w:rPr>
                <w:sz w:val="20"/>
                <w:szCs w:val="20"/>
                <w:color w:val="auto"/>
              </w:rPr>
            </w:pPr>
            <w:r>
              <w:rPr>
                <w:rFonts w:ascii="Arial" w:cs="Arial" w:eastAsia="Arial" w:hAnsi="Arial"/>
                <w:sz w:val="18"/>
                <w:szCs w:val="18"/>
                <w:color w:val="auto"/>
              </w:rPr>
              <w:t>Inventory, less reserves of $1,182 and $1,837, respectively</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157,126</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154,922</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15,154</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191,837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221,665</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112,564</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126,132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131,753</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47,206</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r>
      <w:tr>
        <w:trPr>
          <w:trHeight w:val="229"/>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503,141</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527,454</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ind w:left="4520"/>
        <w:spacing w:after="0"/>
        <w:rPr>
          <w:sz w:val="20"/>
          <w:szCs w:val="20"/>
          <w:color w:val="auto"/>
        </w:rPr>
      </w:pPr>
      <w:r>
        <w:rPr>
          <w:rFonts w:ascii="Arial" w:cs="Arial" w:eastAsia="Arial" w:hAnsi="Arial"/>
          <w:sz w:val="18"/>
          <w:szCs w:val="18"/>
          <w:b w:val="1"/>
          <w:bCs w:val="1"/>
          <w:color w:val="auto"/>
        </w:rPr>
        <w:t>DULUTH HOLDINGS INC.</w:t>
      </w:r>
    </w:p>
    <w:p>
      <w:pPr>
        <w:ind w:left="2600"/>
        <w:spacing w:after="0" w:line="237"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July 30, 2023</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29, 2023</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40,815</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15,571</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29"/>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0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118,304</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Operating lease liabilities,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117,366</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less current maturities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25,538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25,913</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279,681</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300,257</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issued or outstanding as of July 30, 2023 and January 29, 2023</w:t>
            </w:r>
          </w:p>
        </w:tc>
        <w:tc>
          <w:tcPr>
            <w:tcW w:w="4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 3,364 shares</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as of July 30, 2023 and January 29, 2023</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26"/>
        </w:trPr>
        <w:tc>
          <w:tcPr>
            <w:tcW w:w="770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40"/>
              <w:spacing w:after="0" w:line="189" w:lineRule="exact"/>
              <w:rPr>
                <w:sz w:val="20"/>
                <w:szCs w:val="20"/>
                <w:color w:val="auto"/>
              </w:rPr>
            </w:pPr>
            <w:r>
              <w:rPr>
                <w:rFonts w:ascii="Arial" w:cs="Arial" w:eastAsia="Arial" w:hAnsi="Arial"/>
                <w:sz w:val="18"/>
                <w:szCs w:val="18"/>
                <w:color w:val="auto"/>
              </w:rPr>
              <w:t>31,371 shares issued and 31,217 shares outstanding as of July 30, 2023 and</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30,191 shares issued and 30,079 shares outstanding as of January 29, 2023</w:t>
            </w:r>
          </w:p>
        </w:tc>
        <w:tc>
          <w:tcPr>
            <w:tcW w:w="4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154 and 112 shares as of July 30, 2023 and</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29, 2023, respectively</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Capital stock</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98,842</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133,172</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226,686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230,407</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(3,226)</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(3,210)</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223,460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227,197</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503,141</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527,454</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ind w:left="4520"/>
        <w:spacing w:after="0"/>
        <w:rPr>
          <w:sz w:val="20"/>
          <w:szCs w:val="20"/>
          <w:color w:val="auto"/>
        </w:rPr>
      </w:pPr>
      <w:r>
        <w:rPr>
          <w:rFonts w:ascii="Arial" w:cs="Arial" w:eastAsia="Arial" w:hAnsi="Arial"/>
          <w:sz w:val="18"/>
          <w:szCs w:val="18"/>
          <w:b w:val="1"/>
          <w:bCs w:val="1"/>
          <w:color w:val="auto"/>
        </w:rPr>
        <w:t>DULUTH HOLDINGS INC.</w:t>
      </w:r>
    </w:p>
    <w:p>
      <w:pPr>
        <w:ind w:left="3680"/>
        <w:spacing w:after="0" w:line="237"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July 30, 2023</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July 31, 2022</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July 30, 2023</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July 31, 2022</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139,099</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262,858</w:t>
            </w: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65,903</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121,744</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143,126</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139,733</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(loss) income attributable to controlling interest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(2,004)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2,368</w:t>
            </w: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(5,873)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Basic earnings per share (Class A and Class B):</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32,766</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32,912</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income per share attributable to controlling interest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32,766</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32,910</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(loss) income per share attributable to controlling interest</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ind w:left="4520"/>
        <w:spacing w:after="0"/>
        <w:rPr>
          <w:sz w:val="20"/>
          <w:szCs w:val="20"/>
          <w:color w:val="auto"/>
        </w:rPr>
      </w:pPr>
      <w:r>
        <w:rPr>
          <w:rFonts w:ascii="Arial" w:cs="Arial" w:eastAsia="Arial" w:hAnsi="Arial"/>
          <w:sz w:val="18"/>
          <w:szCs w:val="18"/>
          <w:b w:val="1"/>
          <w:bCs w:val="1"/>
          <w:color w:val="auto"/>
        </w:rPr>
        <w:t>DULUTH HOLDINGS INC.</w:t>
      </w:r>
    </w:p>
    <w:p>
      <w:pPr>
        <w:ind w:left="2940"/>
        <w:spacing w:after="0" w:line="237" w:lineRule="auto"/>
        <w:rPr>
          <w:sz w:val="20"/>
          <w:szCs w:val="20"/>
          <w:color w:val="auto"/>
        </w:rPr>
      </w:pPr>
      <w:r>
        <w:rPr>
          <w:rFonts w:ascii="Arial" w:cs="Arial" w:eastAsia="Arial" w:hAnsi="Arial"/>
          <w:sz w:val="18"/>
          <w:szCs w:val="18"/>
          <w:b w:val="1"/>
          <w:bCs w:val="1"/>
          <w:color w:val="auto"/>
        </w:rPr>
        <w:t>Condensed Consolidated Statements of Comprehensive (Loss) Income</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30, 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July 31, 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30, 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rPr>
              <w:t>July 31, 2022</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2,341</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(5,889)</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Unrealized security loss arising during the period</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(loss) income</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(6,036)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w:t>
            </w: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 controlling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DULUTH HOLDINGS INC.</w:t>
      </w:r>
    </w:p>
    <w:p>
      <w:pPr>
        <w:ind w:left="3320"/>
        <w:spacing w:after="0" w:line="237"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rPr>
              <w:t>Six Months Ended July 30, 2023</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0"/>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 in</w:t>
            </w:r>
          </w:p>
        </w:tc>
        <w:tc>
          <w:tcPr>
            <w:tcW w:w="80" w:type="dxa"/>
            <w:vAlign w:val="bottom"/>
          </w:tcPr>
          <w:p>
            <w:pPr>
              <w:spacing w:after="0"/>
              <w:rPr>
                <w:sz w:val="16"/>
                <w:szCs w:val="16"/>
                <w:color w:val="auto"/>
              </w:rPr>
            </w:pPr>
          </w:p>
        </w:tc>
        <w:tc>
          <w:tcPr>
            <w:tcW w:w="94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370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00" w:type="dxa"/>
            <w:vAlign w:val="bottom"/>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29,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133,172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227,197</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Balance at April 30, 2023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99,968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129,303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224,114</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183"/>
        </w:trPr>
        <w:tc>
          <w:tcPr>
            <w:tcW w:w="37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July 30, 2023</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34,581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101,415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127,299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223,460</w:t>
            </w:r>
          </w:p>
        </w:tc>
      </w:tr>
      <w:tr>
        <w:trPr>
          <w:trHeight w:val="20"/>
        </w:trPr>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b w:val="1"/>
          <w:bCs w:val="1"/>
          <w:color w:val="auto"/>
        </w:rPr>
        <w:t>DULUTH HOLDINGS INC.</w:t>
      </w:r>
    </w:p>
    <w:p>
      <w:pPr>
        <w:ind w:left="3320"/>
        <w:spacing w:after="0" w:line="237"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Six Months Ended July 31, 2022</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8"/>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r>
      <w:tr>
        <w:trPr>
          <w:trHeight w:val="197"/>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shareholders'</w:t>
            </w:r>
          </w:p>
        </w:tc>
      </w:tr>
      <w:tr>
        <w:trPr>
          <w:trHeight w:val="215"/>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entity</w:t>
            </w:r>
          </w:p>
        </w:tc>
        <w:tc>
          <w:tcPr>
            <w:tcW w:w="10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equity</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30, 2022</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33,071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95,515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130,868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222,718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Balance at May 1, 2022</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33,329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96,299</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(1,457)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129,575</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(3,181)</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221,389</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July 31, 2022</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33,341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131,943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224,381</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DULUTH HOLDINGS INC.</w:t>
      </w:r>
    </w:p>
    <w:p>
      <w:pPr>
        <w:ind w:left="3660"/>
        <w:spacing w:after="0" w:line="237"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380" w:type="dxa"/>
            <w:vAlign w:val="bottom"/>
            <w:tcBorders>
              <w:bottom w:val="single" w:sz="8" w:color="auto"/>
            </w:tcBorders>
          </w:tcPr>
          <w:p>
            <w:pPr>
              <w:spacing w:after="0"/>
              <w:rPr>
                <w:sz w:val="16"/>
                <w:szCs w:val="16"/>
                <w:color w:val="auto"/>
              </w:rPr>
            </w:pPr>
          </w:p>
        </w:tc>
      </w:tr>
      <w:tr>
        <w:trPr>
          <w:trHeight w:val="196"/>
        </w:trPr>
        <w:tc>
          <w:tcPr>
            <w:tcW w:w="6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July 30, 2023</w:t>
            </w:r>
          </w:p>
        </w:tc>
        <w:tc>
          <w:tcPr>
            <w:tcW w:w="520" w:type="dxa"/>
            <w:vAlign w:val="bottom"/>
          </w:tcPr>
          <w:p>
            <w:pPr>
              <w:spacing w:after="0"/>
              <w:rPr>
                <w:sz w:val="17"/>
                <w:szCs w:val="17"/>
                <w:color w:val="auto"/>
              </w:rPr>
            </w:pPr>
          </w:p>
        </w:tc>
        <w:tc>
          <w:tcPr>
            <w:tcW w:w="1380" w:type="dxa"/>
            <w:vAlign w:val="bottom"/>
          </w:tcPr>
          <w:p>
            <w:pPr>
              <w:jc w:val="right"/>
              <w:ind w:right="451"/>
              <w:spacing w:after="0"/>
              <w:rPr>
                <w:sz w:val="20"/>
                <w:szCs w:val="20"/>
                <w:color w:val="auto"/>
              </w:rPr>
            </w:pPr>
            <w:r>
              <w:rPr>
                <w:rFonts w:ascii="Arial" w:cs="Arial" w:eastAsia="Arial" w:hAnsi="Arial"/>
                <w:sz w:val="14"/>
                <w:szCs w:val="14"/>
                <w:b w:val="1"/>
                <w:bCs w:val="1"/>
                <w:color w:val="auto"/>
                <w:w w:val="94"/>
              </w:rPr>
              <w:t>July 31, 2022</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(loss) income</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(5,889)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14,868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15,374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(1,553)</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38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(1,351)</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Deferred catalog costs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(1,761)</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(6,231)</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(7,343)</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impacts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6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(1,249)</w:t>
            </w:r>
          </w:p>
        </w:tc>
        <w:tc>
          <w:tcPr>
            <w:tcW w:w="1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(41,138)</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(31,483)</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(18,814)</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 from available-for-sale security</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Proceeds from disposals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(31,395)</w:t>
            </w: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(18,727)</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on TRI long term debt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Payments on finance lease obligations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(1,397)</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Payments of tax withholding on vested restricted shares</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9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w:t>
            </w: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(1,817)</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(34,400)</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(61,682)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45,548</w:t>
            </w: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77,051</w:t>
            </w:r>
          </w:p>
        </w:tc>
      </w:tr>
      <w:tr>
        <w:trPr>
          <w:trHeight w:val="223"/>
        </w:trPr>
        <w:tc>
          <w:tcPr>
            <w:tcW w:w="63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11,148</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15,369</w:t>
            </w:r>
          </w:p>
        </w:tc>
      </w:tr>
      <w:tr>
        <w:trPr>
          <w:trHeight w:val="183"/>
        </w:trPr>
        <w:tc>
          <w:tcPr>
            <w:tcW w:w="63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paid</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Unpaid liability to acquire property and equipment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OPERATIONS AND BASIS OF PRESENTATION</w:t>
      </w:r>
    </w:p>
    <w:p>
      <w:pPr>
        <w:spacing w:after="0" w:line="17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38" w:lineRule="exact"/>
        <w:rPr>
          <w:sz w:val="20"/>
          <w:szCs w:val="20"/>
          <w:color w:val="auto"/>
        </w:rPr>
      </w:pPr>
    </w:p>
    <w:p>
      <w:pPr>
        <w:ind w:right="300" w:firstLine="492"/>
        <w:spacing w:after="0"/>
        <w:rPr>
          <w:sz w:val="20"/>
          <w:szCs w:val="20"/>
          <w:color w:val="auto"/>
        </w:rPr>
      </w:pPr>
      <w:r>
        <w:rPr>
          <w:rFonts w:ascii="Arial" w:cs="Arial" w:eastAsia="Arial" w:hAnsi="Arial"/>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9" w:lineRule="exact"/>
        <w:rPr>
          <w:sz w:val="20"/>
          <w:szCs w:val="20"/>
          <w:color w:val="auto"/>
        </w:rPr>
      </w:pPr>
    </w:p>
    <w:p>
      <w:pPr>
        <w:jc w:val="both"/>
        <w:ind w:right="340" w:firstLine="428"/>
        <w:spacing w:after="0" w:line="251"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0" w:firstLine="428"/>
        <w:spacing w:after="0"/>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fiscal year ends on the Sunday nearest to January 31 of the following year. Fiscal 2023 is a 52-week period and ends on January 28,</w:t>
      </w:r>
    </w:p>
    <w:p>
      <w:pPr>
        <w:spacing w:after="0" w:line="2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2024. Fiscal 2022 was a 52-week period and ended on January 29, 2023. The three months of fiscal 2023 and fiscal 2022 represent the Company’s 13-week periods ended July 30, 2023 and July 31, 2022, respectively.</w:t>
      </w:r>
    </w:p>
    <w:p>
      <w:pPr>
        <w:spacing w:after="0" w:line="132"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The accompanying condensed consolidated financial statements as of and for the three and six months ended July 30, 2023 and July 31, 2022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July 30, 2023 and July 31, 2022. These interim condensed consolidated financial statements should be read in conjunction with the consolidated financial statements and notes included in the Company’s annual report on Form 10-K for the fiscal year ended January 29, 2023.</w:t>
      </w:r>
    </w:p>
    <w:p>
      <w:pPr>
        <w:spacing w:after="0" w:line="14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Analysis</w:t>
      </w:r>
    </w:p>
    <w:p>
      <w:pPr>
        <w:spacing w:after="0" w:line="158" w:lineRule="exact"/>
        <w:rPr>
          <w:sz w:val="20"/>
          <w:szCs w:val="20"/>
          <w:color w:val="auto"/>
        </w:rPr>
      </w:pPr>
    </w:p>
    <w:p>
      <w:pPr>
        <w:ind w:right="1700" w:firstLine="428"/>
        <w:spacing w:after="0" w:line="383" w:lineRule="auto"/>
        <w:rPr>
          <w:sz w:val="20"/>
          <w:szCs w:val="20"/>
          <w:color w:val="auto"/>
        </w:rPr>
      </w:pPr>
      <w:r>
        <w:rPr>
          <w:rFonts w:ascii="Arial" w:cs="Arial" w:eastAsia="Arial" w:hAnsi="Arial"/>
          <w:sz w:val="18"/>
          <w:szCs w:val="18"/>
          <w:color w:val="auto"/>
        </w:rPr>
        <w:t xml:space="preserve">As of July 30, 2023 and for the three and six months ended, no triggering events or indicators of asset impairment were noted. </w:t>
      </w:r>
      <w:r>
        <w:rPr>
          <w:rFonts w:ascii="Arial" w:cs="Arial" w:eastAsia="Arial" w:hAnsi="Arial"/>
          <w:sz w:val="18"/>
          <w:szCs w:val="18"/>
          <w:b w:val="1"/>
          <w:bCs w:val="1"/>
          <w:i w:val="1"/>
          <w:iCs w:val="1"/>
          <w:color w:val="auto"/>
        </w:rPr>
        <w:t>D. Inventory</w:t>
      </w:r>
    </w:p>
    <w:p>
      <w:pPr>
        <w:spacing w:after="0" w:line="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$1.2 million as of July 30, 2023 and January 29, 2023.</w:t>
      </w:r>
    </w:p>
    <w:p>
      <w:pPr>
        <w:spacing w:after="0" w:line="5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reserve for retail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 Due to the timing of the inventory counts, an insignificant retail inventory shrinkage reserve was outstanding as of July 30, 2023, compared to $0.6 million as of January 29,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Prepaid Expenses and Other Assets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30, 2023</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2"/>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2960" w:type="dxa"/>
            <w:vAlign w:val="bottom"/>
            <w:gridSpan w:val="2"/>
          </w:tcPr>
          <w:p>
            <w:pPr>
              <w:jc w:val="right"/>
              <w:ind w:right="138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1,878</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2,373</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3,074</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13,108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17,665</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15,154</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2960" w:type="dxa"/>
            <w:vAlign w:val="bottom"/>
            <w:gridSpan w:val="2"/>
          </w:tcPr>
          <w:p>
            <w:pPr>
              <w:jc w:val="right"/>
              <w:ind w:right="138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Non-current software hosting implementation costs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5,358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6,148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1,727</w:t>
            </w: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7,853</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8,727</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Seasonality of Business</w:t>
      </w:r>
    </w:p>
    <w:p>
      <w:pPr>
        <w:spacing w:after="0" w:line="171" w:lineRule="exact"/>
        <w:rPr>
          <w:sz w:val="20"/>
          <w:szCs w:val="20"/>
          <w:color w:val="auto"/>
        </w:rPr>
      </w:pPr>
    </w:p>
    <w:p>
      <w:pPr>
        <w:ind w:right="280" w:firstLine="428"/>
        <w:spacing w:after="0" w:line="307"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71" w:lineRule="exact"/>
        <w:rPr>
          <w:sz w:val="20"/>
          <w:szCs w:val="20"/>
          <w:color w:val="auto"/>
        </w:rPr>
      </w:pPr>
    </w:p>
    <w:p>
      <w:pPr>
        <w:ind w:right="360" w:firstLine="428"/>
        <w:spacing w:after="0"/>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Reclassifications</w:t>
      </w:r>
    </w:p>
    <w:p>
      <w:pPr>
        <w:spacing w:after="0" w:line="171" w:lineRule="exact"/>
        <w:rPr>
          <w:sz w:val="20"/>
          <w:szCs w:val="20"/>
          <w:color w:val="auto"/>
        </w:rPr>
      </w:pPr>
    </w:p>
    <w:p>
      <w:pPr>
        <w:ind w:right="320" w:firstLine="428"/>
        <w:spacing w:after="0" w:line="261" w:lineRule="auto"/>
        <w:rPr>
          <w:sz w:val="20"/>
          <w:szCs w:val="20"/>
          <w:color w:val="auto"/>
        </w:rPr>
      </w:pPr>
      <w:r>
        <w:rPr>
          <w:rFonts w:ascii="Arial" w:cs="Arial" w:eastAsia="Arial" w:hAnsi="Arial"/>
          <w:sz w:val="17"/>
          <w:szCs w:val="17"/>
          <w:color w:val="auto"/>
        </w:rPr>
        <w:t>Certain reclassifications have been made to the 2022 financial statements in order to conform to the 2023 presentation. The Company reclassified $4.2 million and ($4.2) million from Property, Plant &amp; Equipment and Prepaid Expenses, respectively, in the prior period. There were no changes to previously reported shareholders' equity, statement of cash flows or net income (loss) as a result of the reclassifications.</w:t>
      </w:r>
    </w:p>
    <w:p>
      <w:pPr>
        <w:spacing w:after="0" w:line="11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100" w:firstLine="428"/>
        <w:spacing w:after="0" w:line="261" w:lineRule="auto"/>
        <w:rPr>
          <w:sz w:val="20"/>
          <w:szCs w:val="20"/>
          <w:color w:val="auto"/>
        </w:rPr>
      </w:pPr>
      <w:r>
        <w:rPr>
          <w:rFonts w:ascii="Arial" w:cs="Arial" w:eastAsia="Arial" w:hAnsi="Arial"/>
          <w:sz w:val="18"/>
          <w:szCs w:val="18"/>
          <w:color w:val="auto"/>
        </w:rPr>
        <w:t>There have been no significant changes to the Company’s significant accounting policies as described in the Company’s Annual Report on Form 10-K for the year ended January 29,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75" w:lineRule="exact"/>
        <w:rPr>
          <w:sz w:val="20"/>
          <w:szCs w:val="20"/>
          <w:color w:val="auto"/>
        </w:rPr>
      </w:pPr>
    </w:p>
    <w:p>
      <w:pPr>
        <w:ind w:right="340" w:firstLine="492"/>
        <w:spacing w:after="0" w:line="247" w:lineRule="auto"/>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29" w:lineRule="exact"/>
        <w:rPr>
          <w:sz w:val="20"/>
          <w:szCs w:val="20"/>
          <w:color w:val="auto"/>
        </w:rPr>
      </w:pPr>
    </w:p>
    <w:p>
      <w:pPr>
        <w:ind w:right="180" w:firstLine="492"/>
        <w:spacing w:after="0" w:line="257"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21" w:lineRule="exact"/>
        <w:rPr>
          <w:sz w:val="20"/>
          <w:szCs w:val="20"/>
          <w:color w:val="auto"/>
        </w:rPr>
      </w:pPr>
    </w:p>
    <w:p>
      <w:pPr>
        <w:ind w:right="560" w:firstLine="492"/>
        <w:spacing w:after="0" w:line="261"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17" w:lineRule="exact"/>
        <w:rPr>
          <w:sz w:val="20"/>
          <w:szCs w:val="20"/>
          <w:color w:val="auto"/>
        </w:rPr>
      </w:pPr>
    </w:p>
    <w:p>
      <w:pPr>
        <w:ind w:right="200" w:firstLine="492"/>
        <w:spacing w:after="0" w:line="324"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 Statement</w:t>
            </w: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Arial" w:cs="Arial" w:eastAsia="Arial" w:hAnsi="Arial"/>
                <w:sz w:val="14"/>
                <w:szCs w:val="14"/>
                <w:b w:val="1"/>
                <w:bCs w:val="1"/>
                <w:color w:val="auto"/>
              </w:rPr>
              <w:t>of Operations</w:t>
            </w:r>
          </w:p>
        </w:tc>
        <w:tc>
          <w:tcPr>
            <w:tcW w:w="20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30, 2023</w:t>
            </w:r>
          </w:p>
        </w:tc>
        <w:tc>
          <w:tcPr>
            <w:tcW w:w="18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7"/>
                <w:szCs w:val="17"/>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rPr>
              <w:t>July 30, 2023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rPr>
              <w:t>July 31, 2022</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Finance lease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line="161" w:lineRule="exact"/>
              <w:rPr>
                <w:sz w:val="20"/>
                <w:szCs w:val="20"/>
                <w:color w:val="auto"/>
              </w:rPr>
            </w:pPr>
            <w:r>
              <w:rPr>
                <w:rFonts w:ascii="Arial" w:cs="Arial" w:eastAsia="Arial" w:hAnsi="Arial"/>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3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5,051</w:t>
            </w:r>
          </w:p>
        </w:tc>
        <w:tc>
          <w:tcPr>
            <w:tcW w:w="18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10,101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9,202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8,810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7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15240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30, 2023</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July 31, 2022</w:t>
            </w:r>
          </w:p>
        </w:tc>
      </w:tr>
      <w:tr>
        <w:trPr>
          <w:trHeight w:val="196"/>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22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22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22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10,340</w:t>
            </w:r>
          </w:p>
        </w:tc>
        <w:tc>
          <w:tcPr>
            <w:tcW w:w="2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9,166</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non-cancellable leases are as follows as of July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2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w:t>
            </w:r>
          </w:p>
        </w:tc>
      </w:tr>
      <w:tr>
        <w:trPr>
          <w:trHeight w:val="196"/>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fiscal year)</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20,612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19,034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49,337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149,023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 Discount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(10,467)</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(22,031)</w:t>
            </w:r>
          </w:p>
        </w:tc>
      </w:tr>
      <w:tr>
        <w:trPr>
          <w:trHeight w:val="183"/>
        </w:trPr>
        <w:tc>
          <w:tcPr>
            <w:tcW w:w="68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Lease liability</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38,870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126,992</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right="8020" w:hanging="432"/>
        <w:spacing w:after="0" w:line="470" w:lineRule="auto"/>
        <w:tabs>
          <w:tab w:leader="none" w:pos="3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 </w:t>
      </w:r>
      <w:r>
        <w:rPr>
          <w:rFonts w:ascii="Arial" w:cs="Arial" w:eastAsia="Arial" w:hAnsi="Arial"/>
          <w:sz w:val="18"/>
          <w:szCs w:val="18"/>
          <w:color w:val="auto"/>
        </w:rPr>
        <w:t>Debt consists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 2023</w:t>
            </w:r>
          </w:p>
        </w:tc>
        <w:tc>
          <w:tcPr>
            <w:tcW w:w="200" w:type="dxa"/>
            <w:vAlign w:val="bottom"/>
          </w:tcPr>
          <w:p>
            <w:pPr>
              <w:spacing w:after="0"/>
              <w:rPr>
                <w:sz w:val="16"/>
                <w:szCs w:val="16"/>
                <w:color w:val="auto"/>
              </w:rPr>
            </w:pP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7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TRI Note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26,345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26,681</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25,538</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25,913</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71" w:lineRule="exact"/>
        <w:rPr>
          <w:sz w:val="20"/>
          <w:szCs w:val="20"/>
          <w:color w:val="auto"/>
        </w:rPr>
      </w:pPr>
    </w:p>
    <w:p>
      <w:pPr>
        <w:jc w:val="both"/>
        <w:ind w:right="460" w:firstLine="428"/>
        <w:spacing w:after="0" w:line="230"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ind w:right="40" w:firstLine="428"/>
        <w:spacing w:after="0" w:line="245" w:lineRule="auto"/>
        <w:rPr>
          <w:sz w:val="20"/>
          <w:szCs w:val="20"/>
          <w:color w:val="auto"/>
        </w:rPr>
      </w:pPr>
      <w:r>
        <w:rPr>
          <w:rFonts w:ascii="Arial" w:cs="Arial" w:eastAsia="Arial" w:hAnsi="Arial"/>
          <w:sz w:val="17"/>
          <w:szCs w:val="17"/>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July 8, 2022, the Company entered into the First Amendment to the Credit Agreement (the “First Amendment”), which was treated as 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modification for accounting purposes. The First Amendment amends the Credit Agreement in order to (i) increase the revolving commitment from</w:t>
      </w:r>
    </w:p>
    <w:p>
      <w:pPr>
        <w:spacing w:after="0"/>
        <w:rPr>
          <w:sz w:val="20"/>
          <w:szCs w:val="20"/>
          <w:color w:val="auto"/>
        </w:rPr>
      </w:pPr>
      <w:r>
        <w:rPr>
          <w:rFonts w:ascii="Arial" w:cs="Arial" w:eastAsia="Arial" w:hAnsi="Arial"/>
          <w:sz w:val="17"/>
          <w:szCs w:val="17"/>
          <w:color w:val="auto"/>
        </w:rPr>
        <w:t>$150.0 million to $200.0 million; (ii) extend the maturity date from May 14, 2026 to July 8, 2027; (iii) amend the pricing index to replace BSBY with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Term Secured Overnight Financing Rate; and (iv) reduce the commitment fee in some instances.</w:t>
      </w:r>
    </w:p>
    <w:p>
      <w:pPr>
        <w:spacing w:after="0" w:line="142" w:lineRule="exact"/>
        <w:rPr>
          <w:sz w:val="20"/>
          <w:szCs w:val="20"/>
          <w:color w:val="auto"/>
        </w:rPr>
      </w:pPr>
    </w:p>
    <w:p>
      <w:pPr>
        <w:ind w:right="380" w:firstLine="428"/>
        <w:spacing w:after="0" w:line="261" w:lineRule="auto"/>
        <w:rPr>
          <w:sz w:val="20"/>
          <w:szCs w:val="20"/>
          <w:color w:val="auto"/>
        </w:rPr>
      </w:pPr>
      <w:r>
        <w:rPr>
          <w:rFonts w:ascii="Arial" w:cs="Arial" w:eastAsia="Arial" w:hAnsi="Arial"/>
          <w:sz w:val="18"/>
          <w:szCs w:val="18"/>
          <w:color w:val="auto"/>
        </w:rPr>
        <w:t>As of July 30, 2023 and for the six months then ended, the Company was in compliance with all financial and non-financial covenants contained within the Credit Agreement and the First Amendment.</w:t>
      </w:r>
    </w:p>
    <w:p>
      <w:pPr>
        <w:spacing w:after="0" w:line="315" w:lineRule="exact"/>
        <w:rPr>
          <w:sz w:val="20"/>
          <w:szCs w:val="20"/>
          <w:color w:val="auto"/>
        </w:rPr>
      </w:pPr>
    </w:p>
    <w:p>
      <w:pPr>
        <w:ind w:left="440" w:right="5720" w:hanging="432"/>
        <w:spacing w:after="0" w:line="541" w:lineRule="auto"/>
        <w:tabs>
          <w:tab w:leader="none" w:pos="32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5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2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10,249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Product returns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advertising</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r>
      <w:tr>
        <w:trPr>
          <w:trHeight w:val="183"/>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96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28,215</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40,815</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75" w:lineRule="exact"/>
        <w:rPr>
          <w:sz w:val="20"/>
          <w:szCs w:val="20"/>
          <w:color w:val="auto"/>
        </w:rPr>
      </w:pPr>
    </w:p>
    <w:p>
      <w:pPr>
        <w:ind w:right="60" w:firstLine="440"/>
        <w:spacing w:after="0" w:line="251"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right="180" w:firstLine="440"/>
        <w:spacing w:after="0"/>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right="60" w:firstLine="440"/>
        <w:spacing w:after="0" w:line="265" w:lineRule="auto"/>
        <w:rPr>
          <w:sz w:val="20"/>
          <w:szCs w:val="20"/>
          <w:color w:val="auto"/>
        </w:rPr>
      </w:pPr>
      <w:r>
        <w:rPr>
          <w:rFonts w:ascii="Arial" w:cs="Arial" w:eastAsia="Arial" w:hAnsi="Arial"/>
          <w:sz w:val="16"/>
          <w:szCs w:val="16"/>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the six months ended July 30, 2023,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5"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4"/>
              </w:rPr>
              <w:t>July 30, 2023</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7"/>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r>
      <w:tr>
        <w:trPr>
          <w:trHeight w:val="214"/>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3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4,054</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January 29, 2023</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8"/>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r>
      <w:tr>
        <w:trPr>
          <w:trHeight w:val="214"/>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3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25,031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25,031</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securities on a quarterly basis to monitor its exposure to other-than-temporary impairment.</w:t>
      </w:r>
    </w:p>
    <w:p>
      <w:pPr>
        <w:spacing w:after="0" w:line="155" w:lineRule="exact"/>
        <w:rPr>
          <w:sz w:val="20"/>
          <w:szCs w:val="20"/>
          <w:color w:val="auto"/>
        </w:rPr>
      </w:pPr>
    </w:p>
    <w:p>
      <w:pPr>
        <w:ind w:right="480" w:firstLine="492"/>
        <w:spacing w:after="0" w:line="246" w:lineRule="auto"/>
        <w:rPr>
          <w:sz w:val="20"/>
          <w:szCs w:val="20"/>
          <w:color w:val="auto"/>
        </w:rPr>
      </w:pPr>
      <w:r>
        <w:rPr>
          <w:rFonts w:ascii="Arial" w:cs="Arial" w:eastAsia="Arial" w:hAnsi="Arial"/>
          <w:sz w:val="18"/>
          <w:szCs w:val="18"/>
          <w:color w:val="auto"/>
        </w:rPr>
        <w:t>No other-than-temporary impairment was recorded in the unaudited condensed consolidated statements of operations for the six months ended July 30, 2023 or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future principal receipts related to the Company’s available-for-sale security by contractual maturity as of July 30,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5,649</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5,254</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July 30, 2023</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January 29, 2023</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w:t>
            </w: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75" w:lineRule="exact"/>
        <w:rPr>
          <w:sz w:val="20"/>
          <w:szCs w:val="20"/>
          <w:color w:val="auto"/>
        </w:rPr>
      </w:pPr>
    </w:p>
    <w:p>
      <w:pPr>
        <w:ind w:right="340" w:firstLine="492"/>
        <w:spacing w:after="0" w:line="231"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July 30, 2023 and January 29, 2023.</w:t>
      </w:r>
    </w:p>
    <w:p>
      <w:pPr>
        <w:spacing w:after="0" w:line="151" w:lineRule="exact"/>
        <w:rPr>
          <w:sz w:val="20"/>
          <w:szCs w:val="20"/>
          <w:color w:val="auto"/>
        </w:rPr>
      </w:pPr>
    </w:p>
    <w:p>
      <w:pPr>
        <w:ind w:right="40" w:firstLine="428"/>
        <w:spacing w:after="0" w:line="230"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balance sheets include the following amounts as a result of the consolidation of TRI as of July 30, 2023 and January 29,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30, 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23,281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23,632</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3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(3,210)</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23,632</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(LOSS) EARNINGS PER SHARE</w:t>
      </w:r>
    </w:p>
    <w:p>
      <w:pPr>
        <w:spacing w:after="0" w:line="162" w:lineRule="exact"/>
        <w:rPr>
          <w:sz w:val="20"/>
          <w:szCs w:val="20"/>
          <w:color w:val="auto"/>
        </w:rPr>
      </w:pPr>
    </w:p>
    <w:p>
      <w:pPr>
        <w:ind w:right="100" w:firstLine="428"/>
        <w:spacing w:after="0" w:line="251"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30, 2023</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2022</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July 30, 2023</w:t>
            </w:r>
          </w:p>
        </w:tc>
        <w:tc>
          <w:tcPr>
            <w:tcW w:w="240" w:type="dxa"/>
            <w:vAlign w:val="bottom"/>
          </w:tcPr>
          <w:p>
            <w:pPr>
              <w:spacing w:after="0"/>
              <w:rPr>
                <w:sz w:val="15"/>
                <w:szCs w:val="15"/>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July 31, 2022</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 to</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Dilutive shares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32,952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32,912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32,910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(Loss) earnings per share (Class A and Class B)</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18"/>
          <w:szCs w:val="18"/>
          <w:color w:val="auto"/>
        </w:rPr>
        <w:t>The computation of diluted (loss) earnings per share excluded (0.2) million and 0.4 million shares of unvested restricted stock for the three and six months ended July 30, 2023, respectively, because their inclusion would be anti-dilutive due to a net loss.</w:t>
      </w:r>
    </w:p>
    <w:p>
      <w:pPr>
        <w:spacing w:after="0" w:line="14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computation of diluted (loss) earnings per share excluded (0.1) million of unvested restricted stock for the three months ended July 31, 2022, because the inclusion of dilutive potential common shares outstanding would be anti-dilutive.</w:t>
      </w:r>
    </w:p>
    <w:p>
      <w:pPr>
        <w:spacing w:after="0" w:line="200" w:lineRule="exact"/>
        <w:rPr>
          <w:sz w:val="20"/>
          <w:szCs w:val="20"/>
          <w:color w:val="auto"/>
        </w:rPr>
      </w:pPr>
    </w:p>
    <w:p>
      <w:pPr>
        <w:spacing w:after="0" w:line="3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62" w:lineRule="exact"/>
        <w:rPr>
          <w:sz w:val="20"/>
          <w:szCs w:val="20"/>
          <w:color w:val="auto"/>
        </w:rPr>
      </w:pPr>
    </w:p>
    <w:p>
      <w:pPr>
        <w:ind w:right="320" w:firstLine="428"/>
        <w:spacing w:after="0" w:line="291"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93" w:lineRule="exact"/>
        <w:rPr>
          <w:sz w:val="20"/>
          <w:szCs w:val="20"/>
          <w:color w:val="auto"/>
        </w:rPr>
      </w:pPr>
    </w:p>
    <w:p>
      <w:pPr>
        <w:jc w:val="both"/>
        <w:ind w:right="20" w:firstLine="428"/>
        <w:spacing w:after="0" w:line="235" w:lineRule="auto"/>
        <w:rPr>
          <w:sz w:val="20"/>
          <w:szCs w:val="20"/>
          <w:color w:val="auto"/>
        </w:rPr>
      </w:pPr>
      <w:r>
        <w:rPr>
          <w:rFonts w:ascii="Arial" w:cs="Arial" w:eastAsia="Arial" w:hAnsi="Arial"/>
          <w:sz w:val="18"/>
          <w:szCs w:val="18"/>
          <w:color w:val="auto"/>
        </w:rPr>
        <w:t>Total stock compensation expense associated with restricted stock recognized by the Company was $1.3 million and $2.3 million for the three and six months ended July 30, 2023, respectively. The Company’s total stock compensation expense is included in selling, general and administrative expenses on the 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six months ended July 30, 2023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28"/>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29,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618,772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1,155,145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(161,732)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(13,179)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July 30, 2023</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1,599,006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28"/>
        <w:spacing w:after="0" w:line="261" w:lineRule="auto"/>
        <w:rPr>
          <w:sz w:val="20"/>
          <w:szCs w:val="20"/>
          <w:color w:val="auto"/>
        </w:rPr>
      </w:pPr>
      <w:r>
        <w:rPr>
          <w:rFonts w:ascii="Arial" w:cs="Arial" w:eastAsia="Arial" w:hAnsi="Arial"/>
          <w:sz w:val="18"/>
          <w:szCs w:val="18"/>
          <w:color w:val="auto"/>
        </w:rPr>
        <w:t>At July 30, 2023, the Company had unrecognized compensation expense of $10.0 million related to the restricted stock awards, which is expected to be recognized over a weighted average period of 2.6 years.</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7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55,918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49,450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Vehicles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53,713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36,260</w:t>
            </w:r>
          </w:p>
        </w:tc>
      </w:tr>
      <w:tr>
        <w:trPr>
          <w:trHeight w:val="196"/>
        </w:trPr>
        <w:tc>
          <w:tcPr>
            <w:tcW w:w="7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223,191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215,389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(131,680)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(118,989)</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91,511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96,400</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125,970</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112,564</w:t>
            </w: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62" w:lineRule="exact"/>
        <w:rPr>
          <w:sz w:val="20"/>
          <w:szCs w:val="20"/>
          <w:color w:val="auto"/>
        </w:rPr>
      </w:pPr>
    </w:p>
    <w:p>
      <w:pPr>
        <w:ind w:right="220" w:firstLine="570"/>
        <w:spacing w:after="0" w:line="251" w:lineRule="auto"/>
        <w:rPr>
          <w:sz w:val="20"/>
          <w:szCs w:val="20"/>
          <w:color w:val="auto"/>
        </w:rPr>
      </w:pPr>
      <w:r>
        <w:rPr>
          <w:rFonts w:ascii="Arial" w:cs="Arial" w:eastAsia="Arial" w:hAnsi="Arial"/>
          <w:sz w:val="17"/>
          <w:szCs w:val="17"/>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Six Months Ended</w:t>
            </w:r>
          </w:p>
        </w:tc>
      </w:tr>
      <w:tr>
        <w:trPr>
          <w:trHeight w:val="210"/>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8"/>
                <w:szCs w:val="18"/>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rPr>
              <w:t>July 31, 2022</w:t>
            </w:r>
          </w:p>
        </w:tc>
      </w:tr>
      <w:tr>
        <w:trPr>
          <w:trHeight w:val="209"/>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166,347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163,001</w:t>
            </w:r>
          </w:p>
        </w:tc>
      </w:tr>
      <w:tr>
        <w:trPr>
          <w:trHeight w:val="22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Stores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101,414</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139,099</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141,511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262,858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264,415</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ind w:right="160" w:firstLine="492"/>
        <w:spacing w:after="0" w:line="246"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July 30, 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January 29, 2023</w:t>
            </w:r>
          </w:p>
        </w:tc>
      </w:tr>
      <w:tr>
        <w:trPr>
          <w:trHeight w:val="196"/>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7,828</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10,249</w:t>
            </w:r>
          </w:p>
        </w:tc>
      </w:tr>
    </w:tbl>
    <w:p>
      <w:pPr>
        <w:spacing w:after="0" w:line="336" w:lineRule="exact"/>
        <w:rPr>
          <w:sz w:val="20"/>
          <w:szCs w:val="20"/>
          <w:color w:val="auto"/>
        </w:rPr>
      </w:pPr>
    </w:p>
    <w:p>
      <w:pPr>
        <w:ind w:firstLine="570"/>
        <w:spacing w:after="0" w:line="235"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six months ended: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30, 2023</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July 31, 2022</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480" w:type="dxa"/>
            <w:vAlign w:val="bottom"/>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10,249</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Gift cards sold</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4,034</w:t>
            </w: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1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 breakage</w:t>
            </w:r>
          </w:p>
        </w:tc>
        <w:tc>
          <w:tcPr>
            <w:tcW w:w="14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end of period</w:t>
            </w:r>
          </w:p>
        </w:tc>
        <w:tc>
          <w:tcPr>
            <w:tcW w:w="1480" w:type="dxa"/>
            <w:vAlign w:val="bottom"/>
            <w:tcBorders>
              <w:top w:val="single" w:sz="8" w:color="auto"/>
              <w:bottom w:val="single" w:sz="8" w:color="auto"/>
            </w:tcBorders>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8,110</w:t>
            </w: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For the six months ended July 30, 2023, the Company has utilized the discrete effective tax rate method as allowed by Accounting Standards Codification ("ASC") 740-270-30-18, Income Taxes – Interim Reporting to calculate its interim tax provision. The discrete method treats the year-to-date period as if it was the annual period and determines the income tax expense or benefit on that basis. The Company believes that, at this time, the use of this discrete method is more appropriate than the annual effective tax rate method.</w:t>
      </w:r>
    </w:p>
    <w:p>
      <w:pPr>
        <w:spacing w:after="0" w:line="16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effective tax rate related to controlling interest was 22% for the six months ended July 30, 2023 and 21% for the six months ended July 31, 2022. The income from TRI was excluded from the calculation of the Company’s effective tax rate, as TRI is a limited liability company and not subject to income taxes.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16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6"/>
          <w:szCs w:val="16"/>
          <w:color w:val="auto"/>
        </w:rPr>
        <w:t xml:space="preserve">In June 2016, the FASB issued Accounting Standards Update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(“ASU 2016-13”), which amends the impairment model by requiring entities to use a forward-looking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and Leases (Topic 842),” </w:t>
      </w:r>
      <w:r>
        <w:rPr>
          <w:rFonts w:ascii="Arial" w:cs="Arial" w:eastAsia="Arial" w:hAnsi="Arial"/>
          <w:sz w:val="18"/>
          <w:szCs w:val="18"/>
          <w:color w:val="auto"/>
        </w:rPr>
        <w:t>(ASU 2019-10”), which provides a framework to stagger effective dates for future major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adoption of the standard did not have a material impact on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firstLine="428"/>
        <w:spacing w:after="0" w:line="258"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January 29, 2023 (“2022 Form 10-K”).</w:t>
      </w:r>
    </w:p>
    <w:p>
      <w:pPr>
        <w:spacing w:after="0" w:line="165" w:lineRule="exact"/>
        <w:rPr>
          <w:sz w:val="20"/>
          <w:szCs w:val="20"/>
          <w:color w:val="auto"/>
        </w:rPr>
      </w:pPr>
    </w:p>
    <w:p>
      <w:pPr>
        <w:ind w:right="260" w:firstLine="428"/>
        <w:spacing w:after="0" w:line="290" w:lineRule="auto"/>
        <w:rPr>
          <w:sz w:val="20"/>
          <w:szCs w:val="20"/>
          <w:color w:val="auto"/>
        </w:rPr>
      </w:pPr>
      <w:r>
        <w:rPr>
          <w:rFonts w:ascii="Arial" w:cs="Arial" w:eastAsia="Arial" w:hAnsi="Arial"/>
          <w:sz w:val="13"/>
          <w:szCs w:val="13"/>
          <w:i w:val="1"/>
          <w:iCs w:val="1"/>
          <w:color w:val="auto"/>
        </w:rPr>
        <w:t>The Company’s fiscal year ends on the Sunday nearest to January 31 of the following year. Fiscal 2023 is a 52-week period and ends on January 28, 2024. Fiscal 2022 was a 52-week period and ended on January 29, 2023. The three months of fiscal 2023 and fiscal 2022 represent our 13-week periods ended July 30, 2023 and July 31, 2022, respectively.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5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2022 Form 10-K, and other SEC filings, which factors are incorporated by reference herein. These risks and uncertainties include, but are not limited to, the following: the impact of inflation on our results of operations; the prolonged effects of economic uncertainty on store traffic and disruptions to our distribution network, supply chains and operations; our ability to maintain and enhance a strong brand and sub-brand image; adapting to declines in consumer confidence, inflation and decreases in consumer spending; effectively adapting to new challenges associated with our expansion into new geographic markets; our ability to meet customer delivery time expectations;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our inability to deploy marketing tactics to strengthen brand awareness and attract new customers in a cost effective manner; our ability to successfully open new stores;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due to global market constraints; the potential for further increases in price and availability of raw materials; our dependence on third-party vendors to provide us with sufficient quantities of merchandise at acceptable prices; the susceptibility of the price and availability of our merchandise to international trade conditions;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comply with the security standards for the credit card industry; and other factors that may be disclosed in our SEC filings or otherwise.</w:t>
      </w:r>
    </w:p>
    <w:p>
      <w:pPr>
        <w:spacing w:after="0" w:line="332" w:lineRule="exact"/>
        <w:rPr>
          <w:sz w:val="20"/>
          <w:szCs w:val="20"/>
          <w:color w:val="auto"/>
        </w:rPr>
      </w:pPr>
    </w:p>
    <w:p>
      <w:pPr>
        <w:ind w:right="40" w:firstLine="428"/>
        <w:spacing w:after="0" w:line="235" w:lineRule="auto"/>
        <w:rPr>
          <w:sz w:val="20"/>
          <w:szCs w:val="20"/>
          <w:color w:val="auto"/>
        </w:rPr>
      </w:pPr>
      <w:r>
        <w:rPr>
          <w:rFonts w:ascii="Arial" w:cs="Arial" w:eastAsia="Arial" w:hAnsi="Arial"/>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48" w:lineRule="exact"/>
        <w:rPr>
          <w:sz w:val="20"/>
          <w:szCs w:val="20"/>
          <w:color w:val="auto"/>
        </w:rPr>
      </w:pPr>
    </w:p>
    <w:p>
      <w:pPr>
        <w:ind w:left="5540" w:right="1160" w:hanging="5097"/>
        <w:spacing w:after="0" w:line="246"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120" w:firstLine="428"/>
        <w:spacing w:after="0" w:line="261"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July 30, 2023, we operated 62 retail stores and three outlet stores.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5" w:lineRule="exact"/>
        <w:rPr>
          <w:sz w:val="20"/>
          <w:szCs w:val="20"/>
          <w:color w:val="auto"/>
        </w:rPr>
      </w:pPr>
    </w:p>
    <w:p>
      <w:pPr>
        <w:ind w:right="180"/>
        <w:spacing w:after="0" w:line="212"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62" w:lineRule="exact"/>
        <w:rPr>
          <w:sz w:val="20"/>
          <w:szCs w:val="20"/>
          <w:color w:val="auto"/>
        </w:rPr>
      </w:pPr>
    </w:p>
    <w:p>
      <w:pPr>
        <w:ind w:firstLine="428"/>
        <w:spacing w:after="0" w:line="235"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right="80"/>
        <w:spacing w:after="0" w:line="277" w:lineRule="auto"/>
        <w:rPr>
          <w:sz w:val="20"/>
          <w:szCs w:val="20"/>
          <w:color w:val="auto"/>
        </w:rPr>
      </w:pPr>
      <w:r>
        <w:rPr>
          <w:rFonts w:ascii="Arial" w:cs="Arial" w:eastAsia="Arial" w:hAnsi="Arial"/>
          <w:sz w:val="18"/>
          <w:szCs w:val="18"/>
          <w:color w:val="auto"/>
        </w:rPr>
        <w:t>Net sales decreased by 1.7% over the prior year second quarter to $139.1 million, and net sales in the first six months of fiscal 2023 decreased by 0.6% over the first six months of the prior year to $262.9 million;</w:t>
      </w:r>
    </w:p>
    <w:p>
      <w:pPr>
        <w:spacing w:after="0" w:line="21" w:lineRule="exact"/>
        <w:rPr>
          <w:sz w:val="20"/>
          <w:szCs w:val="20"/>
          <w:color w:val="auto"/>
        </w:rPr>
      </w:pPr>
    </w:p>
    <w:p>
      <w:pPr>
        <w:ind w:left="880" w:right="80"/>
        <w:spacing w:after="0" w:line="291" w:lineRule="auto"/>
        <w:rPr>
          <w:sz w:val="20"/>
          <w:szCs w:val="20"/>
          <w:color w:val="auto"/>
        </w:rPr>
      </w:pPr>
      <w:r>
        <w:rPr>
          <w:rFonts w:ascii="Arial" w:cs="Arial" w:eastAsia="Arial" w:hAnsi="Arial"/>
          <w:sz w:val="17"/>
          <w:szCs w:val="17"/>
          <w:color w:val="auto"/>
        </w:rPr>
        <w:t>Net loss of $2.0 million in fiscal 2023 second quarter compared to the prior year second quarter net income of $2.3 million, and net loss in the first six months of fiscal 2023 of $5.9 million compared to net income in the first six months of fiscal 2022 of $1.0 million;</w:t>
      </w:r>
    </w:p>
    <w:p>
      <w:pPr>
        <w:spacing w:after="0" w:line="11" w:lineRule="exact"/>
        <w:rPr>
          <w:sz w:val="20"/>
          <w:szCs w:val="20"/>
          <w:color w:val="auto"/>
        </w:rPr>
      </w:pPr>
    </w:p>
    <w:p>
      <w:pPr>
        <w:ind w:left="880" w:right="40"/>
        <w:spacing w:after="0" w:line="248" w:lineRule="auto"/>
        <w:rPr>
          <w:sz w:val="20"/>
          <w:szCs w:val="20"/>
          <w:color w:val="auto"/>
        </w:rPr>
      </w:pPr>
      <w:r>
        <w:rPr>
          <w:rFonts w:ascii="Arial" w:cs="Arial" w:eastAsia="Arial" w:hAnsi="Arial"/>
          <w:sz w:val="18"/>
          <w:szCs w:val="18"/>
          <w:color w:val="auto"/>
        </w:rPr>
        <w:t>Adjusted EBITDA decreased to $8.6 million in fiscal 2023 second quarter compared to the prior year second quarter Adjusted EBITDA of $13.2 million, and adjusted EBITDA in the first six months of fiscal 2023 of $13.8 million compared to $21.1 million over the first six months of fiscal 2022.</w:t>
      </w:r>
    </w:p>
    <w:p>
      <w:pPr>
        <w:spacing w:after="0" w:line="141" w:lineRule="exact"/>
        <w:rPr>
          <w:sz w:val="20"/>
          <w:szCs w:val="20"/>
          <w:color w:val="auto"/>
        </w:rPr>
      </w:pPr>
    </w:p>
    <w:p>
      <w:pPr>
        <w:jc w:val="both"/>
        <w:ind w:right="20" w:firstLine="402"/>
        <w:spacing w:after="0"/>
        <w:rPr>
          <w:sz w:val="20"/>
          <w:szCs w:val="20"/>
          <w:color w:val="auto"/>
        </w:rPr>
      </w:pPr>
      <w:r>
        <w:rPr>
          <w:rFonts w:ascii="Arial" w:cs="Arial" w:eastAsia="Arial" w:hAnsi="Arial"/>
          <w:sz w:val="18"/>
          <w:szCs w:val="18"/>
          <w:color w:val="auto"/>
        </w:rPr>
        <w:t>See the “Reconciliation of Net (Loss) Income to EBITDA and EBITDA to Adjusted EBITDA” section for a reconciliation of our net (loss)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5" w:lineRule="exact"/>
        <w:rPr>
          <w:sz w:val="20"/>
          <w:szCs w:val="20"/>
          <w:color w:val="auto"/>
        </w:rPr>
      </w:pPr>
    </w:p>
    <w:p>
      <w:pPr>
        <w:jc w:val="both"/>
        <w:ind w:right="60" w:firstLine="402"/>
        <w:spacing w:after="0"/>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w:t>
      </w:r>
    </w:p>
    <w:p>
      <w:pPr>
        <w:spacing w:after="0" w:line="171" w:lineRule="exact"/>
        <w:rPr>
          <w:sz w:val="20"/>
          <w:szCs w:val="20"/>
          <w:color w:val="auto"/>
        </w:rPr>
      </w:pPr>
    </w:p>
    <w:p>
      <w:pPr>
        <w:ind w:right="460" w:firstLine="492"/>
        <w:spacing w:after="0" w:line="246" w:lineRule="auto"/>
        <w:rPr>
          <w:sz w:val="20"/>
          <w:szCs w:val="20"/>
          <w:color w:val="auto"/>
        </w:rPr>
      </w:pPr>
      <w:r>
        <w:rPr>
          <w:rFonts w:ascii="Arial" w:cs="Arial" w:eastAsia="Arial" w:hAnsi="Arial"/>
          <w:sz w:val="18"/>
          <w:szCs w:val="18"/>
          <w:color w:val="auto"/>
        </w:rPr>
        <w:t>The United States economy has experienced continued high inflation during the first half of 2023 and there are expectations in the market that inflation may remain at elevated levels.</w:t>
      </w:r>
    </w:p>
    <w:p>
      <w:pPr>
        <w:spacing w:after="0" w:line="143" w:lineRule="exact"/>
        <w:rPr>
          <w:sz w:val="20"/>
          <w:szCs w:val="20"/>
          <w:color w:val="auto"/>
        </w:rPr>
      </w:pPr>
    </w:p>
    <w:p>
      <w:pPr>
        <w:ind w:right="60" w:firstLine="492"/>
        <w:spacing w:after="0" w:line="274" w:lineRule="auto"/>
        <w:rPr>
          <w:sz w:val="20"/>
          <w:szCs w:val="20"/>
          <w:color w:val="auto"/>
        </w:rPr>
      </w:pPr>
      <w:r>
        <w:rPr>
          <w:rFonts w:ascii="Arial" w:cs="Arial" w:eastAsia="Arial" w:hAnsi="Arial"/>
          <w:sz w:val="17"/>
          <w:szCs w:val="17"/>
          <w:color w:val="auto"/>
        </w:rPr>
        <w:t>The ultimate impact of higher inflationary periods on our operational and financial performance still depends on future developments outside of our control. Given the uncertainty, we cannot reasonably estimate store traffic patterns and the prolonged impact on overall consumer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40" w:firstLine="428"/>
        <w:spacing w:after="0" w:line="236" w:lineRule="auto"/>
        <w:rPr>
          <w:sz w:val="20"/>
          <w:szCs w:val="20"/>
          <w:color w:val="auto"/>
        </w:rPr>
      </w:pPr>
      <w:r>
        <w:rPr>
          <w:rFonts w:ascii="Arial" w:cs="Arial" w:eastAsia="Arial" w:hAnsi="Arial"/>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w:t>
      </w: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7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right="320" w:firstLine="428"/>
        <w:spacing w:after="0" w:line="247" w:lineRule="auto"/>
        <w:rPr>
          <w:sz w:val="20"/>
          <w:szCs w:val="20"/>
          <w:color w:val="auto"/>
        </w:rPr>
      </w:pPr>
      <w:r>
        <w:rPr>
          <w:rFonts w:ascii="Arial" w:cs="Arial" w:eastAsia="Arial" w:hAnsi="Arial"/>
          <w:sz w:val="17"/>
          <w:szCs w:val="17"/>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20" w:firstLine="428"/>
        <w:spacing w:after="0" w:line="257"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21" w:lineRule="exact"/>
        <w:rPr>
          <w:sz w:val="20"/>
          <w:szCs w:val="20"/>
          <w:color w:val="auto"/>
        </w:rPr>
      </w:pPr>
    </w:p>
    <w:p>
      <w:pPr>
        <w:ind w:right="120" w:firstLine="428"/>
        <w:spacing w:after="0" w:line="234"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5"/>
                <w:szCs w:val="15"/>
                <w:color w:val="auto"/>
              </w:rPr>
            </w:pPr>
          </w:p>
        </w:tc>
        <w:tc>
          <w:tcPr>
            <w:tcW w:w="1300" w:type="dxa"/>
            <w:vAlign w:val="bottom"/>
          </w:tcPr>
          <w:p>
            <w:pPr>
              <w:jc w:val="right"/>
              <w:ind w:right="271"/>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July 30, 2023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91"/>
              <w:spacing w:after="0"/>
              <w:rPr>
                <w:sz w:val="20"/>
                <w:szCs w:val="20"/>
                <w:color w:val="auto"/>
              </w:rPr>
            </w:pPr>
            <w:r>
              <w:rPr>
                <w:rFonts w:ascii="Arial" w:cs="Arial" w:eastAsia="Arial" w:hAnsi="Arial"/>
                <w:sz w:val="14"/>
                <w:szCs w:val="14"/>
                <w:b w:val="1"/>
                <w:bCs w:val="1"/>
                <w:color w:val="auto"/>
              </w:rPr>
              <w:t>July 31, 2022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139,099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141,511</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262,858</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Arial" w:cs="Arial" w:eastAsia="Arial" w:hAnsi="Arial"/>
                <w:sz w:val="18"/>
                <w:szCs w:val="18"/>
                <w:color w:val="auto"/>
              </w:rPr>
              <w:t>Cost of goods sold (excluding depreciation and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139,733</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Net (loss) income attributable to controlling interest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(2,004)</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2,368</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(5,873)</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Net sales: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Cost of goods sold (excluding depreciation</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and amortization)</w:t>
            </w:r>
          </w:p>
        </w:tc>
        <w:tc>
          <w:tcPr>
            <w:tcW w:w="2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48.6 %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4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Table of Contents</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52.4 %</w:t>
            </w:r>
          </w:p>
        </w:tc>
        <w:tc>
          <w:tcPr>
            <w:tcW w:w="152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54.4 %</w:t>
            </w:r>
          </w:p>
        </w:tc>
        <w:tc>
          <w:tcPr>
            <w:tcW w:w="154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5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(Loss) income before income taxes</w:t>
            </w: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Arial" w:cs="Arial" w:eastAsia="Arial" w:hAnsi="Arial"/>
                <w:sz w:val="18"/>
                <w:szCs w:val="18"/>
                <w:color w:val="auto"/>
              </w:rPr>
              <w:t>Net (loss) income attributable to controlling interest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720"/>
        <w:spacing w:after="0" w:line="432" w:lineRule="auto"/>
        <w:rPr>
          <w:sz w:val="20"/>
          <w:szCs w:val="20"/>
          <w:color w:val="auto"/>
        </w:rPr>
      </w:pPr>
      <w:r>
        <w:rPr>
          <w:rFonts w:ascii="Arial" w:cs="Arial" w:eastAsia="Arial" w:hAnsi="Arial"/>
          <w:sz w:val="18"/>
          <w:szCs w:val="18"/>
          <w:b w:val="1"/>
          <w:bCs w:val="1"/>
          <w:color w:val="auto"/>
        </w:rPr>
        <w:t xml:space="preserve">Three Months Ended July 30, 2023, Compared to Three Months Ended July 31, 2022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jc w:val="both"/>
        <w:ind w:right="80" w:firstLine="428"/>
        <w:spacing w:after="0" w:line="261" w:lineRule="auto"/>
        <w:rPr>
          <w:sz w:val="20"/>
          <w:szCs w:val="20"/>
          <w:color w:val="auto"/>
        </w:rPr>
      </w:pPr>
      <w:r>
        <w:rPr>
          <w:rFonts w:ascii="Arial" w:cs="Arial" w:eastAsia="Arial" w:hAnsi="Arial"/>
          <w:sz w:val="18"/>
          <w:szCs w:val="18"/>
          <w:color w:val="auto"/>
        </w:rPr>
        <w:t>Net sales decreased $2.4 million, or 1.7%, to $139.1 million in the three months ended July 30, 2023 compared to $141.5 million in the three months ended July 31, 2022.</w:t>
      </w:r>
    </w:p>
    <w:p>
      <w:pPr>
        <w:spacing w:after="0" w:line="117" w:lineRule="exact"/>
        <w:rPr>
          <w:sz w:val="20"/>
          <w:szCs w:val="20"/>
          <w:color w:val="auto"/>
        </w:rPr>
      </w:pPr>
    </w:p>
    <w:p>
      <w:pPr>
        <w:ind w:right="80" w:firstLine="428"/>
        <w:spacing w:after="0"/>
        <w:rPr>
          <w:sz w:val="20"/>
          <w:szCs w:val="20"/>
          <w:color w:val="auto"/>
        </w:rPr>
      </w:pPr>
      <w:r>
        <w:rPr>
          <w:rFonts w:ascii="Arial" w:cs="Arial" w:eastAsia="Arial" w:hAnsi="Arial"/>
          <w:sz w:val="18"/>
          <w:szCs w:val="18"/>
          <w:color w:val="auto"/>
        </w:rPr>
        <w:t>Store market net sales decreased $2.8 million, or 2.8%, to $97.6 million in the three months ended July 30, 2023 compared to $100.4 million in the three months ended July 31, 2022. Non-store market net sales increased by $0.8 million, or 1.9%, to $40.6 million in the three months ended July 30, 2023 compared to $39.9 million in the three months ended July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Gross profit decreased $4.1 million, or 5.5%, to $71.5 million in the three months ended July 30, 2023 compared to $75.6 million in the three months ended July 31, 2022. As a percentage of net sales, gross margin decreased to 51.4% of net sales in the three months ended July 30, 2023, compared to 53.4% of net sales in the three months ended July 31, 2022.</w:t>
      </w:r>
    </w:p>
    <w:p>
      <w:pPr>
        <w:spacing w:after="0" w:line="148" w:lineRule="exact"/>
        <w:rPr>
          <w:sz w:val="20"/>
          <w:szCs w:val="20"/>
          <w:color w:val="auto"/>
        </w:rPr>
      </w:pPr>
    </w:p>
    <w:p>
      <w:pPr>
        <w:ind w:right="1320" w:firstLine="648"/>
        <w:spacing w:after="0" w:line="430" w:lineRule="auto"/>
        <w:rPr>
          <w:sz w:val="20"/>
          <w:szCs w:val="20"/>
          <w:color w:val="auto"/>
        </w:rPr>
      </w:pPr>
      <w:r>
        <w:rPr>
          <w:rFonts w:ascii="Arial" w:cs="Arial" w:eastAsia="Arial" w:hAnsi="Arial"/>
          <w:sz w:val="18"/>
          <w:szCs w:val="18"/>
          <w:color w:val="auto"/>
        </w:rPr>
        <w:t xml:space="preserve">The decrease in gross margin was primarily driven by a higher mix of promotional and clearance sales during the current period. </w:t>
      </w:r>
      <w:r>
        <w:rPr>
          <w:rFonts w:ascii="Arial" w:cs="Arial" w:eastAsia="Arial" w:hAnsi="Arial"/>
          <w:sz w:val="18"/>
          <w:szCs w:val="18"/>
          <w:b w:val="1"/>
          <w:bCs w:val="1"/>
          <w:i w:val="1"/>
          <w:iCs w:val="1"/>
          <w:color w:val="auto"/>
        </w:rPr>
        <w:t>Selling, General and Administrative Expenses</w:t>
      </w:r>
    </w:p>
    <w:p>
      <w:pPr>
        <w:spacing w:after="0" w:line="1" w:lineRule="exact"/>
        <w:rPr>
          <w:sz w:val="20"/>
          <w:szCs w:val="20"/>
          <w:color w:val="auto"/>
        </w:rPr>
      </w:pPr>
    </w:p>
    <w:p>
      <w:pPr>
        <w:jc w:val="both"/>
        <w:ind w:right="180" w:firstLine="428"/>
        <w:spacing w:after="0"/>
        <w:rPr>
          <w:sz w:val="20"/>
          <w:szCs w:val="20"/>
          <w:color w:val="auto"/>
        </w:rPr>
      </w:pPr>
      <w:r>
        <w:rPr>
          <w:rFonts w:ascii="Arial" w:cs="Arial" w:eastAsia="Arial" w:hAnsi="Arial"/>
          <w:sz w:val="18"/>
          <w:szCs w:val="18"/>
          <w:color w:val="auto"/>
        </w:rPr>
        <w:t>Selling, general and administrative expenses increased $1.2 million, or 1.7%, to $72.9 million in the three months ended July 30, 2023 compared to $71.7 million in the three months ended July 31, 2022. Selling, general and administrative expenses as a percentage of net sales increased to 52.4% in the three months ended July 30, 2023, compared to 50.7% in the three months ended July 31, 2022.</w:t>
      </w:r>
    </w:p>
    <w:p>
      <w:pPr>
        <w:spacing w:after="0" w:line="149" w:lineRule="exact"/>
        <w:rPr>
          <w:sz w:val="20"/>
          <w:szCs w:val="20"/>
          <w:color w:val="auto"/>
        </w:rPr>
      </w:pPr>
    </w:p>
    <w:p>
      <w:pPr>
        <w:ind w:right="20" w:firstLine="428"/>
        <w:spacing w:after="0" w:line="246" w:lineRule="auto"/>
        <w:rPr>
          <w:sz w:val="20"/>
          <w:szCs w:val="20"/>
          <w:color w:val="auto"/>
        </w:rPr>
      </w:pPr>
      <w:r>
        <w:rPr>
          <w:rFonts w:ascii="Arial" w:cs="Arial" w:eastAsia="Arial" w:hAnsi="Arial"/>
          <w:sz w:val="18"/>
          <w:szCs w:val="18"/>
          <w:color w:val="auto"/>
        </w:rPr>
        <w:t>The increase in selling, general and administrative expense was partially due to higher occupancy costs from the new automated Southeast fulfillment center, coupled with investments in new headcount to drive ongoing strategic initiatives.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80" w:firstLine="428"/>
        <w:spacing w:after="0" w:line="285" w:lineRule="auto"/>
        <w:rPr>
          <w:sz w:val="20"/>
          <w:szCs w:val="20"/>
          <w:color w:val="auto"/>
        </w:rPr>
      </w:pPr>
      <w:r>
        <w:rPr>
          <w:rFonts w:ascii="Arial" w:cs="Arial" w:eastAsia="Arial" w:hAnsi="Arial"/>
          <w:sz w:val="16"/>
          <w:szCs w:val="16"/>
          <w:color w:val="auto"/>
        </w:rPr>
        <w:t>Income tax benefit was $0.2 million in the three months ended July 30, 2023, compared to income tax expense of $0.7 million in the three months ended July 31, 2022. The effective tax rate related to controlling interest, which was not meaningful for the three months ended July 30, 2023, was impacted by discrete items related to stock compensation activity. The effective tax rate was 23% for the three months ended July 31,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Controlling Interest</w:t>
      </w:r>
    </w:p>
    <w:p>
      <w:pPr>
        <w:spacing w:after="0" w:line="171"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Net loss attributable to controlling interest was $2.0 million, in the three months ended July 30, 2023 compared to net income of $2.4 million in the three months ended July 31, 2022, due to the factors discussed above.</w:t>
      </w:r>
    </w:p>
    <w:p>
      <w:pPr>
        <w:spacing w:after="0" w:line="139" w:lineRule="exact"/>
        <w:rPr>
          <w:sz w:val="20"/>
          <w:szCs w:val="20"/>
          <w:color w:val="auto"/>
        </w:rPr>
      </w:pPr>
    </w:p>
    <w:p>
      <w:pPr>
        <w:ind w:right="5200"/>
        <w:spacing w:after="0" w:line="440" w:lineRule="auto"/>
        <w:rPr>
          <w:sz w:val="20"/>
          <w:szCs w:val="20"/>
          <w:color w:val="auto"/>
        </w:rPr>
      </w:pPr>
      <w:r>
        <w:rPr>
          <w:rFonts w:ascii="Arial" w:cs="Arial" w:eastAsia="Arial" w:hAnsi="Arial"/>
          <w:sz w:val="18"/>
          <w:szCs w:val="18"/>
          <w:b w:val="1"/>
          <w:bCs w:val="1"/>
          <w:color w:val="auto"/>
        </w:rPr>
        <w:t xml:space="preserve">Six Months Ended July 30, 2023 Compared to Six Months Ended July 31, 2022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380" w:firstLine="428"/>
        <w:spacing w:after="0" w:line="228" w:lineRule="auto"/>
        <w:rPr>
          <w:sz w:val="20"/>
          <w:szCs w:val="20"/>
          <w:color w:val="auto"/>
        </w:rPr>
      </w:pPr>
      <w:r>
        <w:rPr>
          <w:rFonts w:ascii="Arial" w:cs="Arial" w:eastAsia="Arial" w:hAnsi="Arial"/>
          <w:sz w:val="18"/>
          <w:szCs w:val="18"/>
          <w:color w:val="auto"/>
        </w:rPr>
        <w:t>Net sales decreased $1.5 million, or 0.6%, to $262.9 million in the six months ended July 30, 2023 compared to $264.4 million in the six months ended July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28"/>
        <w:spacing w:after="0" w:line="285" w:lineRule="auto"/>
        <w:rPr>
          <w:sz w:val="20"/>
          <w:szCs w:val="20"/>
          <w:color w:val="auto"/>
        </w:rPr>
      </w:pPr>
      <w:r>
        <w:rPr>
          <w:rFonts w:ascii="Arial" w:cs="Arial" w:eastAsia="Arial" w:hAnsi="Arial"/>
          <w:sz w:val="16"/>
          <w:szCs w:val="16"/>
          <w:color w:val="auto"/>
        </w:rPr>
        <w:t>Store market net sales decreased $2.5 million, or 1.4%, to $183.0 million in the six months ended July 30, 2023 compared to $185.5 million in the six months ended July 31, 2022. The decrease was driven by slower store traffic compared to the prior year. Non-store market net sales increased by $1.4 million, or 1.8%, to $78.0 million in the six months ended July 30, 2023 compared to $76.6 million in the six months ended July 31,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Gross profit decreased $5.6 million, or 3.9%, to $137.1 million in the six months ended July 30, 2023 compared to $142.7 million in the six months ended July 31, 2022. As a percentage of net sales, gross margin decreased to 52.2% of net sales in the six months ended July 30, 2023, compared to 54.0% of net sales in the six months ended July 31, 2022.</w:t>
      </w:r>
    </w:p>
    <w:p>
      <w:pPr>
        <w:spacing w:after="0" w:line="149" w:lineRule="exact"/>
        <w:rPr>
          <w:sz w:val="20"/>
          <w:szCs w:val="20"/>
          <w:color w:val="auto"/>
        </w:rPr>
      </w:pPr>
    </w:p>
    <w:p>
      <w:pPr>
        <w:ind w:right="2000" w:firstLine="693"/>
        <w:spacing w:after="0" w:line="430" w:lineRule="auto"/>
        <w:rPr>
          <w:sz w:val="20"/>
          <w:szCs w:val="20"/>
          <w:color w:val="auto"/>
        </w:rPr>
      </w:pPr>
      <w:r>
        <w:rPr>
          <w:rFonts w:ascii="Arial" w:cs="Arial" w:eastAsia="Arial" w:hAnsi="Arial"/>
          <w:sz w:val="18"/>
          <w:szCs w:val="18"/>
          <w:color w:val="auto"/>
        </w:rPr>
        <w:t xml:space="preserve">The decrease in gross margin was primarily driven by a lower mix of full price sales, coupled with deeper discounting. </w:t>
      </w:r>
      <w:r>
        <w:rPr>
          <w:rFonts w:ascii="Arial" w:cs="Arial" w:eastAsia="Arial" w:hAnsi="Arial"/>
          <w:sz w:val="18"/>
          <w:szCs w:val="18"/>
          <w:b w:val="1"/>
          <w:bCs w:val="1"/>
          <w:i w:val="1"/>
          <w:iCs w:val="1"/>
          <w:color w:val="auto"/>
        </w:rPr>
        <w:t>Selling, General and Administrative Expenses</w:t>
      </w:r>
    </w:p>
    <w:p>
      <w:pPr>
        <w:spacing w:after="0" w:line="1" w:lineRule="exact"/>
        <w:rPr>
          <w:sz w:val="20"/>
          <w:szCs w:val="20"/>
          <w:color w:val="auto"/>
        </w:rPr>
      </w:pPr>
    </w:p>
    <w:p>
      <w:pPr>
        <w:jc w:val="both"/>
        <w:ind w:right="240" w:firstLine="428"/>
        <w:spacing w:after="0"/>
        <w:rPr>
          <w:sz w:val="20"/>
          <w:szCs w:val="20"/>
          <w:color w:val="auto"/>
        </w:rPr>
      </w:pPr>
      <w:r>
        <w:rPr>
          <w:rFonts w:ascii="Arial" w:cs="Arial" w:eastAsia="Arial" w:hAnsi="Arial"/>
          <w:sz w:val="18"/>
          <w:szCs w:val="18"/>
          <w:color w:val="auto"/>
        </w:rPr>
        <w:t>Selling, general and administrative expenses increased $3.4 million, or 2.4%, to $143.1 million in the six months ended July 30, 2023 compared to $139.7 million in the six months ended July 31, 2022. Selling, general and administrative expenses as a percentage of net sales increased to 54.4% in the six months ended July 30, 2023, compared to 52.8% in the six months ended July 31, 2022.</w:t>
      </w:r>
    </w:p>
    <w:p>
      <w:pPr>
        <w:spacing w:after="0" w:line="135" w:lineRule="exact"/>
        <w:rPr>
          <w:sz w:val="20"/>
          <w:szCs w:val="20"/>
          <w:color w:val="auto"/>
        </w:rPr>
      </w:pPr>
    </w:p>
    <w:p>
      <w:pPr>
        <w:ind w:right="20" w:firstLine="428"/>
        <w:spacing w:after="0" w:line="261" w:lineRule="auto"/>
        <w:rPr>
          <w:sz w:val="20"/>
          <w:szCs w:val="20"/>
          <w:color w:val="auto"/>
        </w:rPr>
      </w:pPr>
      <w:r>
        <w:rPr>
          <w:rFonts w:ascii="Arial" w:cs="Arial" w:eastAsia="Arial" w:hAnsi="Arial"/>
          <w:sz w:val="18"/>
          <w:szCs w:val="18"/>
          <w:color w:val="auto"/>
        </w:rPr>
        <w:t>The increase in selling, general and administrative expense was partially due to higher occupancy costs from the new automated Southeast fulfillment center, as well as investments in new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20" w:firstLine="428"/>
        <w:spacing w:after="0"/>
        <w:rPr>
          <w:sz w:val="20"/>
          <w:szCs w:val="20"/>
          <w:color w:val="auto"/>
        </w:rPr>
      </w:pPr>
      <w:r>
        <w:rPr>
          <w:rFonts w:ascii="Arial" w:cs="Arial" w:eastAsia="Arial" w:hAnsi="Arial"/>
          <w:sz w:val="18"/>
          <w:szCs w:val="18"/>
          <w:color w:val="auto"/>
        </w:rPr>
        <w:t>Income tax benefit was $1.7 million in the six months ended July 30, 2023, compared to income tax expense of $0.3 million in the six months ended July 31, 2022. The effective tax rate related to controlling interest was 22% for the six months ended July 30, 2023 compared to 21% for the six months ended July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Controlling Interest</w:t>
      </w:r>
    </w:p>
    <w:p>
      <w:pPr>
        <w:spacing w:after="0" w:line="17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Net loss attributable to controlling interest was $5.9 million in the six months ended July 30, 2023 compared to net income of $1.1 million in the six months ended July 31, 2022,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to EBITDA and EBITDA to Adjusted EBITDA</w:t>
      </w:r>
    </w:p>
    <w:p>
      <w:pPr>
        <w:spacing w:after="0" w:line="162" w:lineRule="exact"/>
        <w:rPr>
          <w:sz w:val="20"/>
          <w:szCs w:val="20"/>
          <w:color w:val="auto"/>
        </w:rPr>
      </w:pPr>
    </w:p>
    <w:p>
      <w:pPr>
        <w:jc w:val="both"/>
        <w:ind w:right="100" w:firstLine="428"/>
        <w:spacing w:after="0"/>
        <w:rPr>
          <w:sz w:val="20"/>
          <w:szCs w:val="20"/>
          <w:color w:val="auto"/>
        </w:rPr>
      </w:pPr>
      <w:r>
        <w:rPr>
          <w:rFonts w:ascii="Arial" w:cs="Arial" w:eastAsia="Arial" w:hAnsi="Arial"/>
          <w:sz w:val="18"/>
          <w:szCs w:val="18"/>
          <w:color w:val="auto"/>
        </w:rPr>
        <w:t>The following table presents reconciliations of net (loss) income to EBITDA and EBITDA to Adjusted EBITDA, both of which are non-U.S. GAAP financial measures, for the periods indicated below. See the above section titled “How We Assess the Performance of Our Business,” for our definition of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2022</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July 31, 2022</w:t>
            </w:r>
          </w:p>
        </w:tc>
      </w:tr>
      <w:tr>
        <w:trPr>
          <w:trHeight w:val="196"/>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(5,889)</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15,374</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subscription implementation costs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7,271</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12,588</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11,553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19,856</w:t>
            </w:r>
          </w:p>
        </w:tc>
      </w:tr>
      <w:tr>
        <w:trPr>
          <w:trHeight w:val="216"/>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r>
      <w:tr>
        <w:trPr>
          <w:trHeight w:val="183"/>
        </w:trPr>
        <w:tc>
          <w:tcPr>
            <w:tcW w:w="4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8,565</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13,244</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13,837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21,130</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80" w:firstLine="428"/>
        <w:spacing w:after="0" w:line="285" w:lineRule="auto"/>
        <w:rPr>
          <w:sz w:val="20"/>
          <w:szCs w:val="20"/>
          <w:color w:val="auto"/>
        </w:rPr>
      </w:pPr>
      <w:r>
        <w:rPr>
          <w:rFonts w:ascii="Arial" w:cs="Arial" w:eastAsia="Arial" w:hAnsi="Arial"/>
          <w:sz w:val="16"/>
          <w:szCs w:val="16"/>
          <w:color w:val="auto"/>
        </w:rPr>
        <w:t>As a result of the factors discussed above in the “Results of Operations” section, Adjusted EBITDA decreased $4.6 million to $8.6 million in the three months ended July 30, 2023 compared to $13.2 million in the three months ended July 31, 2022. As a percentage of net sales, Adjusted EBITDA decreased to 6.2% of net sales in the three months ended July 30, 2023 compared to 9.4% of net sales in the three months ended July 31, 2022.</w:t>
      </w:r>
    </w:p>
    <w:p>
      <w:pPr>
        <w:spacing w:after="0" w:line="114" w:lineRule="exact"/>
        <w:rPr>
          <w:sz w:val="20"/>
          <w:szCs w:val="20"/>
          <w:color w:val="auto"/>
        </w:rPr>
      </w:pPr>
    </w:p>
    <w:p>
      <w:pPr>
        <w:jc w:val="both"/>
        <w:ind w:firstLine="428"/>
        <w:spacing w:after="0" w:line="244"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$7.3 million to $13.8 million in the six months ended July 30, 2023 compared to $21.1 million in the six months ended July 31, 2022. As a percentage of net sales, Adjusted EBITDA decreased to 5.3% of net sales in the six months ended July 30, 2023 compared to 8.0% of net sales in the six months ended July 31, 2022.</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40" w:firstLine="428"/>
        <w:spacing w:after="0" w:line="235"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and information technology. The most significant components of our working capital are cash, inventory, accounts payable and other current liabilities. At July 30, 2023, our net working capital was $84.6 million, including $11.1 million of cash and cash equivalents.</w:t>
      </w:r>
    </w:p>
    <w:p>
      <w:pPr>
        <w:spacing w:after="0" w:line="148" w:lineRule="exact"/>
        <w:rPr>
          <w:sz w:val="20"/>
          <w:szCs w:val="20"/>
          <w:color w:val="auto"/>
        </w:rPr>
      </w:pPr>
    </w:p>
    <w:p>
      <w:pPr>
        <w:ind w:right="60" w:firstLine="428"/>
        <w:spacing w:after="0" w:line="235" w:lineRule="auto"/>
        <w:rPr>
          <w:sz w:val="20"/>
          <w:szCs w:val="20"/>
          <w:color w:val="auto"/>
        </w:rPr>
      </w:pPr>
      <w:r>
        <w:rPr>
          <w:rFonts w:ascii="Arial" w:cs="Arial" w:eastAsia="Arial" w:hAnsi="Arial"/>
          <w:sz w:val="18"/>
          <w:szCs w:val="18"/>
          <w:color w:val="auto"/>
        </w:rPr>
        <w:t>We expect to spend approximately $55.0 million in fiscal 2023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8"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30, 2023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July 31, 2022</w:t>
            </w:r>
          </w:p>
        </w:tc>
      </w:tr>
      <w:tr>
        <w:trPr>
          <w:trHeight w:val="25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w:t>
            </w:r>
          </w:p>
        </w:tc>
        <w:tc>
          <w:tcPr>
            <w:tcW w:w="5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(41,138)</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(31,395)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(18,727)</w:t>
            </w: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196"/>
        </w:trPr>
        <w:tc>
          <w:tcPr>
            <w:tcW w:w="7080" w:type="dxa"/>
            <w:vAlign w:val="bottom"/>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(34,400)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(61,682)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43" w:lineRule="exact"/>
        <w:rPr>
          <w:sz w:val="20"/>
          <w:szCs w:val="20"/>
          <w:color w:val="auto"/>
        </w:rPr>
      </w:pPr>
    </w:p>
    <w:p>
      <w:pPr>
        <w:ind w:right="260" w:firstLine="428"/>
        <w:spacing w:after="0" w:line="285" w:lineRule="auto"/>
        <w:rPr>
          <w:sz w:val="20"/>
          <w:szCs w:val="20"/>
          <w:color w:val="auto"/>
        </w:rPr>
      </w:pPr>
      <w:r>
        <w:rPr>
          <w:rFonts w:ascii="Arial" w:cs="Arial" w:eastAsia="Arial" w:hAnsi="Arial"/>
          <w:sz w:val="16"/>
          <w:szCs w:val="16"/>
          <w:color w:val="auto"/>
        </w:rPr>
        <w:t>For the six months ended July 30, 2023, net cash used in operating activities was $1.2 million, which primarily consisted of cash used in operating assets and liabilities of $11.0 million and a net loss for the six months ended July 30, 2023 offset by depreciation of $14.9 million. The cash used in operating assets and liabilities of $11.0 million was primarily due to a $7.3 million decrease in accrued expenses and $2.2 million increase in inventory.</w:t>
      </w:r>
    </w:p>
    <w:p>
      <w:pPr>
        <w:spacing w:after="0" w:line="114" w:lineRule="exact"/>
        <w:rPr>
          <w:sz w:val="20"/>
          <w:szCs w:val="20"/>
          <w:color w:val="auto"/>
        </w:rPr>
      </w:pPr>
    </w:p>
    <w:p>
      <w:pPr>
        <w:ind w:right="180" w:firstLine="428"/>
        <w:spacing w:after="0" w:line="253" w:lineRule="auto"/>
        <w:rPr>
          <w:sz w:val="20"/>
          <w:szCs w:val="20"/>
          <w:color w:val="auto"/>
        </w:rPr>
      </w:pPr>
      <w:r>
        <w:rPr>
          <w:rFonts w:ascii="Arial" w:cs="Arial" w:eastAsia="Arial" w:hAnsi="Arial"/>
          <w:sz w:val="17"/>
          <w:szCs w:val="17"/>
          <w:color w:val="auto"/>
        </w:rPr>
        <w:t>For the six months ended July 31, 2022, net cash used in operating activities was $41.1 million, which primarily consisted of cash used in operating assets and liabilities of $58.9 million. The cash used in operating assets and liabilities of $58.9 million was primarily due to a $41.8 million increase in inventory and a $19.0 million decrease in accrued expenses, partially offset by a $9.5 million increase in trade accounts payable.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Investing activities consist primarily of capital expenditures for growth related to investments in infrastructure and information technology.</w:t>
      </w:r>
    </w:p>
    <w:p>
      <w:pPr>
        <w:spacing w:after="0" w:line="183"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For the six months ended July 30, 2023 and July 31, 2022, net cash used in investing activities was $31.4 million and $18.7 million, respectively, and was primarily driven by new investments in the fulfillment network and information technology.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58" w:lineRule="exact"/>
        <w:rPr>
          <w:sz w:val="20"/>
          <w:szCs w:val="20"/>
          <w:color w:val="auto"/>
        </w:rPr>
      </w:pPr>
    </w:p>
    <w:p>
      <w:pPr>
        <w:ind w:right="720" w:firstLine="428"/>
        <w:spacing w:after="0" w:line="23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28"/>
        <w:spacing w:after="0" w:line="246" w:lineRule="auto"/>
        <w:rPr>
          <w:sz w:val="20"/>
          <w:szCs w:val="20"/>
          <w:color w:val="auto"/>
        </w:rPr>
      </w:pPr>
      <w:r>
        <w:rPr>
          <w:rFonts w:ascii="Arial" w:cs="Arial" w:eastAsia="Arial" w:hAnsi="Arial"/>
          <w:sz w:val="18"/>
          <w:szCs w:val="18"/>
          <w:color w:val="auto"/>
        </w:rPr>
        <w:t>For the six months ended July 30, 2023 an July 31, 2022, net cash used in financing activities was $1.8 million, primarily consisting of payments on finance lease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29,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66"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of this filing, there were no significant changes to any of the critical accounting policies and estimates described in our 2022 Form 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There have been no significant changes in the market risks described in our 2022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28"/>
        <w:spacing w:after="0" w:line="234"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220" w:firstLine="428"/>
        <w:spacing w:after="0"/>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160" w:firstLine="428"/>
        <w:spacing w:after="0" w:line="238"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40" w:firstLine="440"/>
        <w:spacing w:after="0" w:line="238"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2022 Form 10-K, or other SEC filings. There have been no material changes to our risk factors as previously disclosed in our fiscal 2022 Annual Report on Form 10-K.</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July 30, 2023,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July 30, 2023.</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purchased under the</w:t>
            </w:r>
          </w:p>
        </w:tc>
      </w:tr>
      <w:tr>
        <w:trPr>
          <w:trHeight w:val="20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2023 - May 28, 2023</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May 29, 2023 - July 2, 2023</w:t>
            </w:r>
          </w:p>
        </w:tc>
        <w:tc>
          <w:tcPr>
            <w:tcW w:w="130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2023 - July 30, 2023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4"/>
        </w:trPr>
        <w:tc>
          <w:tcPr>
            <w:tcW w:w="3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r>
      <w:tr>
        <w:trPr>
          <w:trHeight w:val="931"/>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20"/>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80" w:type="dxa"/>
            <w:vAlign w:val="bottom"/>
            <w:gridSpan w:val="5"/>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0"/>
        </w:trPr>
        <w:tc>
          <w:tcPr>
            <w:tcW w:w="10960" w:type="dxa"/>
            <w:vAlign w:val="bottom"/>
            <w:gridSpan w:val="7"/>
          </w:tcPr>
          <w:p>
            <w:pPr>
              <w:spacing w:after="0"/>
              <w:rPr>
                <w:sz w:val="20"/>
                <w:szCs w:val="20"/>
                <w:color w:val="auto"/>
              </w:rPr>
            </w:pPr>
            <w:r>
              <w:rPr>
                <w:rFonts w:ascii="Arial" w:cs="Arial" w:eastAsia="Arial" w:hAnsi="Arial"/>
                <w:sz w:val="18"/>
                <w:szCs w:val="18"/>
                <w:color w:val="auto"/>
              </w:rPr>
              <w:t>Exhibit No.</w:t>
            </w:r>
          </w:p>
        </w:tc>
        <w:tc>
          <w:tcPr>
            <w:tcW w:w="0" w:type="dxa"/>
            <w:vAlign w:val="bottom"/>
          </w:tcPr>
          <w:p>
            <w:pPr>
              <w:spacing w:after="0"/>
              <w:rPr>
                <w:sz w:val="1"/>
                <w:szCs w:val="1"/>
                <w:color w:val="auto"/>
              </w:rPr>
            </w:pPr>
          </w:p>
        </w:tc>
      </w:tr>
      <w:tr>
        <w:trPr>
          <w:trHeight w:val="176"/>
        </w:trPr>
        <w:tc>
          <w:tcPr>
            <w:tcW w:w="700" w:type="dxa"/>
            <w:vAlign w:val="bottom"/>
          </w:tcPr>
          <w:p>
            <w:pPr>
              <w:spacing w:after="0" w:line="157" w:lineRule="exact"/>
              <w:rPr>
                <w:sz w:val="20"/>
                <w:szCs w:val="20"/>
                <w:color w:val="auto"/>
              </w:rPr>
            </w:pPr>
            <w:r>
              <w:rPr>
                <w:rFonts w:ascii="Arial" w:cs="Arial" w:eastAsia="Arial" w:hAnsi="Arial"/>
                <w:sz w:val="18"/>
                <w:szCs w:val="18"/>
                <w:color w:val="auto"/>
              </w:rPr>
              <w:t>31.1</w:t>
            </w:r>
          </w:p>
        </w:tc>
        <w:tc>
          <w:tcPr>
            <w:tcW w:w="580" w:type="dxa"/>
            <w:vAlign w:val="bottom"/>
          </w:tcPr>
          <w:p>
            <w:pPr>
              <w:spacing w:after="0"/>
              <w:rPr>
                <w:sz w:val="15"/>
                <w:szCs w:val="15"/>
                <w:color w:val="auto"/>
              </w:rPr>
            </w:pPr>
          </w:p>
        </w:tc>
        <w:tc>
          <w:tcPr>
            <w:tcW w:w="8960" w:type="dxa"/>
            <w:vAlign w:val="bottom"/>
            <w:tcBorders>
              <w:bottom w:val="single" w:sz="8" w:color="0000FF"/>
            </w:tcBorders>
          </w:tcPr>
          <w:p>
            <w:pPr>
              <w:spacing w:after="0" w:line="156" w:lineRule="exact"/>
              <w:rPr>
                <w:sz w:val="20"/>
                <w:szCs w:val="20"/>
                <w:color w:val="auto"/>
              </w:rPr>
            </w:pPr>
            <w:r>
              <w:rPr>
                <w:rFonts w:ascii="Arial" w:cs="Arial" w:eastAsia="Arial" w:hAnsi="Arial"/>
                <w:sz w:val="16"/>
                <w:szCs w:val="16"/>
                <w:color w:val="0000FF"/>
                <w:w w:val="92"/>
              </w:rPr>
              <w:t>Certification of Chief Executive Officer pursuant to Rule 13a-14(a) and Rule 15d-14(a) of the Securities and Exchange Act, as amended.*</w:t>
            </w:r>
          </w:p>
        </w:tc>
        <w:tc>
          <w:tcPr>
            <w:tcW w:w="20" w:type="dxa"/>
            <w:vAlign w:val="bottom"/>
            <w:tcBorders>
              <w:bottom w:val="single" w:sz="8" w:color="0000EE"/>
            </w:tcBorders>
          </w:tcPr>
          <w:p>
            <w:pPr>
              <w:spacing w:after="0"/>
              <w:rPr>
                <w:sz w:val="15"/>
                <w:szCs w:val="15"/>
                <w:color w:val="auto"/>
              </w:rPr>
            </w:pPr>
          </w:p>
        </w:tc>
        <w:tc>
          <w:tcPr>
            <w:tcW w:w="7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Arial" w:cs="Arial" w:eastAsia="Arial" w:hAnsi="Arial"/>
                <w:sz w:val="17"/>
                <w:szCs w:val="17"/>
                <w:color w:val="auto"/>
              </w:rPr>
              <w:t>31.2</w:t>
            </w:r>
          </w:p>
        </w:tc>
        <w:tc>
          <w:tcPr>
            <w:tcW w:w="580" w:type="dxa"/>
            <w:vAlign w:val="bottom"/>
          </w:tcPr>
          <w:p>
            <w:pPr>
              <w:spacing w:after="0"/>
              <w:rPr>
                <w:sz w:val="14"/>
                <w:szCs w:val="14"/>
                <w:color w:val="auto"/>
              </w:rPr>
            </w:pPr>
          </w:p>
        </w:tc>
        <w:tc>
          <w:tcPr>
            <w:tcW w:w="9680" w:type="dxa"/>
            <w:vAlign w:val="bottom"/>
            <w:gridSpan w:val="5"/>
          </w:tcPr>
          <w:p>
            <w:pPr>
              <w:spacing w:after="0" w:line="155" w:lineRule="exact"/>
              <w:rPr>
                <w:sz w:val="20"/>
                <w:szCs w:val="20"/>
                <w:color w:val="auto"/>
              </w:rPr>
            </w:pPr>
            <w:r>
              <w:rPr>
                <w:rFonts w:ascii="Arial" w:cs="Arial" w:eastAsia="Arial" w:hAnsi="Arial"/>
                <w:sz w:val="16"/>
                <w:szCs w:val="16"/>
                <w:color w:val="0000FF"/>
                <w:w w:val="94"/>
              </w:rPr>
              <w:t>Certification of Chief Financial Officer pursuant to Rule 13a-14(a) and Rule 15d-14(a) of the Securities and Exchange Act of 1934, as amended.*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32.1</w:t>
            </w:r>
          </w:p>
        </w:tc>
        <w:tc>
          <w:tcPr>
            <w:tcW w:w="580" w:type="dxa"/>
            <w:vAlign w:val="bottom"/>
          </w:tcPr>
          <w:p>
            <w:pPr>
              <w:spacing w:after="0" w:line="20" w:lineRule="exact"/>
              <w:rPr>
                <w:sz w:val="1"/>
                <w:szCs w:val="1"/>
                <w:color w:val="auto"/>
              </w:rPr>
            </w:pPr>
          </w:p>
        </w:tc>
        <w:tc>
          <w:tcPr>
            <w:tcW w:w="946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tcBorders>
              <w:bottom w:val="single" w:sz="8" w:color="0000FF"/>
            </w:tcBorders>
            <w:gridSpan w:val="5"/>
          </w:tcPr>
          <w:p>
            <w:pPr>
              <w:spacing w:after="0" w:line="155" w:lineRule="exact"/>
              <w:rPr>
                <w:sz w:val="20"/>
                <w:szCs w:val="20"/>
                <w:color w:val="auto"/>
              </w:rPr>
            </w:pPr>
            <w:r>
              <w:rPr>
                <w:rFonts w:ascii="Arial" w:cs="Arial" w:eastAsia="Arial" w:hAnsi="Arial"/>
                <w:sz w:val="16"/>
                <w:szCs w:val="16"/>
                <w:color w:val="0000FF"/>
                <w:w w:val="92"/>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Arial" w:cs="Arial" w:eastAsia="Arial" w:hAnsi="Arial"/>
                <w:sz w:val="17"/>
                <w:szCs w:val="17"/>
                <w:color w:val="auto"/>
              </w:rPr>
              <w:t>32.2</w:t>
            </w:r>
          </w:p>
        </w:tc>
        <w:tc>
          <w:tcPr>
            <w:tcW w:w="580" w:type="dxa"/>
            <w:vAlign w:val="bottom"/>
          </w:tcPr>
          <w:p>
            <w:pPr>
              <w:spacing w:after="0"/>
              <w:rPr>
                <w:sz w:val="14"/>
                <w:szCs w:val="14"/>
                <w:color w:val="auto"/>
              </w:rPr>
            </w:pPr>
          </w:p>
        </w:tc>
        <w:tc>
          <w:tcPr>
            <w:tcW w:w="9680" w:type="dxa"/>
            <w:vAlign w:val="bottom"/>
            <w:gridSpan w:val="5"/>
          </w:tcPr>
          <w:p>
            <w:pPr>
              <w:spacing w:after="0" w:line="155" w:lineRule="exact"/>
              <w:rPr>
                <w:sz w:val="20"/>
                <w:szCs w:val="20"/>
                <w:color w:val="auto"/>
              </w:rPr>
            </w:pPr>
            <w:r>
              <w:rPr>
                <w:rFonts w:ascii="Arial" w:cs="Arial" w:eastAsia="Arial" w:hAnsi="Arial"/>
                <w:sz w:val="16"/>
                <w:szCs w:val="16"/>
                <w:color w:val="0000FF"/>
                <w:w w:val="92"/>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2"/>
        </w:trPr>
        <w:tc>
          <w:tcPr>
            <w:tcW w:w="700" w:type="dxa"/>
            <w:vAlign w:val="bottom"/>
          </w:tcPr>
          <w:p>
            <w:pPr>
              <w:spacing w:after="0" w:line="182" w:lineRule="exact"/>
              <w:rPr>
                <w:sz w:val="20"/>
                <w:szCs w:val="20"/>
                <w:color w:val="auto"/>
              </w:rPr>
            </w:pPr>
            <w:r>
              <w:rPr>
                <w:rFonts w:ascii="Arial" w:cs="Arial" w:eastAsia="Arial" w:hAnsi="Arial"/>
                <w:sz w:val="18"/>
                <w:szCs w:val="18"/>
                <w:color w:val="auto"/>
              </w:rPr>
              <w:t>101.INS</w:t>
            </w:r>
          </w:p>
        </w:tc>
        <w:tc>
          <w:tcPr>
            <w:tcW w:w="580" w:type="dxa"/>
            <w:vAlign w:val="bottom"/>
          </w:tcPr>
          <w:p>
            <w:pPr>
              <w:spacing w:after="0"/>
              <w:rPr>
                <w:sz w:val="15"/>
                <w:szCs w:val="15"/>
                <w:color w:val="auto"/>
              </w:rPr>
            </w:pPr>
          </w:p>
        </w:tc>
        <w:tc>
          <w:tcPr>
            <w:tcW w:w="9640" w:type="dxa"/>
            <w:vAlign w:val="bottom"/>
            <w:tcBorders>
              <w:top w:val="single" w:sz="8" w:color="0000FF"/>
            </w:tcBorders>
            <w:gridSpan w:val="4"/>
          </w:tcPr>
          <w:p>
            <w:pPr>
              <w:spacing w:after="0" w:line="181" w:lineRule="exact"/>
              <w:rPr>
                <w:sz w:val="20"/>
                <w:szCs w:val="20"/>
                <w:color w:val="auto"/>
              </w:rPr>
            </w:pPr>
            <w:r>
              <w:rPr>
                <w:rFonts w:ascii="Arial" w:cs="Arial" w:eastAsia="Arial" w:hAnsi="Arial"/>
                <w:sz w:val="16"/>
                <w:szCs w:val="16"/>
                <w:color w:val="auto"/>
              </w:rPr>
              <w:t>XBRL Instance Document**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580" w:type="dxa"/>
            <w:vAlign w:val="bottom"/>
          </w:tcPr>
          <w:p>
            <w:pPr>
              <w:spacing w:after="0"/>
              <w:rPr>
                <w:sz w:val="16"/>
                <w:szCs w:val="16"/>
                <w:color w:val="auto"/>
              </w:rPr>
            </w:pPr>
          </w:p>
        </w:tc>
        <w:tc>
          <w:tcPr>
            <w:tcW w:w="968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7"/>
              </w:rPr>
              <w:t>101.CAL</w:t>
            </w:r>
          </w:p>
        </w:tc>
        <w:tc>
          <w:tcPr>
            <w:tcW w:w="580" w:type="dxa"/>
            <w:vAlign w:val="bottom"/>
          </w:tcPr>
          <w:p>
            <w:pPr>
              <w:spacing w:after="0"/>
              <w:rPr>
                <w:sz w:val="16"/>
                <w:szCs w:val="16"/>
                <w:color w:val="auto"/>
              </w:rPr>
            </w:pPr>
          </w:p>
        </w:tc>
        <w:tc>
          <w:tcPr>
            <w:tcW w:w="968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580" w:type="dxa"/>
            <w:vAlign w:val="bottom"/>
          </w:tcPr>
          <w:p>
            <w:pPr>
              <w:spacing w:after="0"/>
              <w:rPr>
                <w:sz w:val="16"/>
                <w:szCs w:val="16"/>
                <w:color w:val="auto"/>
              </w:rPr>
            </w:pPr>
          </w:p>
        </w:tc>
        <w:tc>
          <w:tcPr>
            <w:tcW w:w="9680" w:type="dxa"/>
            <w:vAlign w:val="bottom"/>
            <w:gridSpan w:val="5"/>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8"/>
              </w:rPr>
              <w:t>101.LAB</w:t>
            </w:r>
          </w:p>
        </w:tc>
        <w:tc>
          <w:tcPr>
            <w:tcW w:w="580" w:type="dxa"/>
            <w:vAlign w:val="bottom"/>
          </w:tcPr>
          <w:p>
            <w:pPr>
              <w:spacing w:after="0"/>
              <w:rPr>
                <w:sz w:val="16"/>
                <w:szCs w:val="16"/>
                <w:color w:val="auto"/>
              </w:rPr>
            </w:pPr>
          </w:p>
        </w:tc>
        <w:tc>
          <w:tcPr>
            <w:tcW w:w="968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4"/>
              </w:rPr>
              <w:t>101.PRE</w:t>
            </w:r>
          </w:p>
        </w:tc>
        <w:tc>
          <w:tcPr>
            <w:tcW w:w="580" w:type="dxa"/>
            <w:vAlign w:val="bottom"/>
          </w:tcPr>
          <w:p>
            <w:pPr>
              <w:spacing w:after="0"/>
              <w:rPr>
                <w:sz w:val="17"/>
                <w:szCs w:val="17"/>
                <w:color w:val="auto"/>
              </w:rPr>
            </w:pPr>
          </w:p>
        </w:tc>
        <w:tc>
          <w:tcPr>
            <w:tcW w:w="968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80" w:hanging="1272"/>
        <w:spacing w:after="0" w:line="243"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July 30, 2023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28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11" w:lineRule="exact"/>
        <w:rPr>
          <w:sz w:val="20"/>
          <w:szCs w:val="20"/>
          <w:color w:val="auto"/>
        </w:rPr>
      </w:pPr>
    </w:p>
    <w:p>
      <w:pPr>
        <w:sectPr>
          <w:pgSz w:w="11900" w:h="16838" w:orient="portrait"/>
          <w:cols w:equalWidth="0" w:num="2">
            <w:col w:w="860" w:space="720"/>
            <w:col w:w="9380"/>
          </w:cols>
          <w:pgMar w:left="320" w:top="287" w:right="6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380"/>
          </w:cols>
          <w:pgMar w:left="320" w:top="287"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87" w:right="6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 2023</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5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David Loretta</w:t>
      </w:r>
    </w:p>
    <w:p>
      <w:pPr>
        <w:ind w:left="482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Michael Murphy</w:t>
      </w:r>
    </w:p>
    <w:p>
      <w:pPr>
        <w:ind w:left="4820"/>
        <w:spacing w:after="0" w:line="219"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00"/>
          </w:cols>
          <w:pgMar w:left="320" w:top="287" w:right="8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2023</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625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2023</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ectPr>
          <w:pgSz w:w="11900" w:h="16838" w:orient="portrait"/>
          <w:cols w:equalWidth="0" w:num="1">
            <w:col w:w="9440"/>
          </w:cols>
          <w:pgMar w:left="1220" w:top="121" w:right="1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July 30, 2023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120" w:right="7620" w:firstLine="760"/>
        <w:spacing w:after="0" w:line="302" w:lineRule="auto"/>
        <w:rPr>
          <w:sz w:val="20"/>
          <w:szCs w:val="20"/>
          <w:color w:val="auto"/>
        </w:rPr>
      </w:pPr>
      <w:r>
        <w:rPr>
          <w:rFonts w:ascii="Arial" w:cs="Arial" w:eastAsia="Arial" w:hAnsi="Arial"/>
          <w:sz w:val="16"/>
          <w:szCs w:val="16"/>
          <w:b w:val="1"/>
          <w:bCs w:val="1"/>
          <w:color w:val="auto"/>
        </w:rPr>
        <w:t xml:space="preserve">/s/ Sam Sato </w:t>
      </w:r>
      <w:r>
        <w:rPr>
          <w:rFonts w:ascii="Arial" w:cs="Arial" w:eastAsia="Arial" w:hAnsi="Arial"/>
          <w:sz w:val="16"/>
          <w:szCs w:val="16"/>
          <w:color w:val="auto"/>
        </w:rPr>
        <w:t xml:space="preserve">Name: </w:t>
      </w:r>
      <w:r>
        <w:rPr>
          <w:rFonts w:ascii="Arial" w:cs="Arial" w:eastAsia="Arial" w:hAnsi="Arial"/>
          <w:sz w:val="16"/>
          <w:szCs w:val="16"/>
          <w:b w:val="1"/>
          <w:bCs w:val="1"/>
          <w:color w:val="auto"/>
        </w:rPr>
        <w:t>Sam Sato</w:t>
      </w:r>
    </w:p>
    <w:p>
      <w:pPr>
        <w:ind w:left="120"/>
        <w:spacing w:after="0"/>
        <w:rPr>
          <w:sz w:val="20"/>
          <w:szCs w:val="20"/>
          <w:color w:val="auto"/>
        </w:rPr>
      </w:pPr>
      <w:r>
        <w:rPr>
          <w:rFonts w:ascii="Arial" w:cs="Arial" w:eastAsia="Arial" w:hAnsi="Arial"/>
          <w:sz w:val="18"/>
          <w:szCs w:val="18"/>
          <w:color w:val="auto"/>
        </w:rPr>
        <w:t>Title:</w:t>
      </w:r>
      <w:r>
        <w:rPr>
          <w:rFonts w:ascii="Arial" w:cs="Arial" w:eastAsia="Arial" w:hAnsi="Arial"/>
          <w:sz w:val="16"/>
          <w:szCs w:val="16"/>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6" w:lineRule="exact"/>
        <w:rPr>
          <w:sz w:val="20"/>
          <w:szCs w:val="20"/>
          <w:color w:val="auto"/>
        </w:rPr>
      </w:pPr>
    </w:p>
    <w:p>
      <w:pPr>
        <w:ind w:right="360" w:firstLine="432"/>
        <w:spacing w:after="0" w:line="23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July 30, 2023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5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ind w:left="120" w:right="7260" w:firstLine="760"/>
        <w:spacing w:after="0" w:line="299" w:lineRule="auto"/>
        <w:rPr>
          <w:sz w:val="20"/>
          <w:szCs w:val="20"/>
          <w:color w:val="auto"/>
        </w:rPr>
      </w:pPr>
      <w:r>
        <w:rPr>
          <w:rFonts w:ascii="Arial" w:cs="Arial" w:eastAsia="Arial" w:hAnsi="Arial"/>
          <w:sz w:val="16"/>
          <w:szCs w:val="16"/>
          <w:b w:val="1"/>
          <w:bCs w:val="1"/>
          <w:color w:val="auto"/>
        </w:rPr>
        <w:t xml:space="preserve">/s/ David Loretta </w:t>
      </w:r>
      <w:r>
        <w:rPr>
          <w:rFonts w:ascii="Arial" w:cs="Arial" w:eastAsia="Arial" w:hAnsi="Arial"/>
          <w:sz w:val="16"/>
          <w:szCs w:val="16"/>
          <w:color w:val="auto"/>
        </w:rPr>
        <w:t xml:space="preserve">Name: </w:t>
      </w:r>
      <w:r>
        <w:rPr>
          <w:rFonts w:ascii="Arial" w:cs="Arial" w:eastAsia="Arial" w:hAnsi="Arial"/>
          <w:sz w:val="16"/>
          <w:szCs w:val="16"/>
          <w:b w:val="1"/>
          <w:bCs w:val="1"/>
          <w:color w:val="auto"/>
        </w:rPr>
        <w:t>David Loretta</w:t>
      </w:r>
    </w:p>
    <w:p>
      <w:pPr>
        <w:ind w:left="120"/>
        <w:spacing w:after="0"/>
        <w:rPr>
          <w:sz w:val="20"/>
          <w:szCs w:val="20"/>
          <w:color w:val="auto"/>
        </w:rPr>
      </w:pPr>
      <w:r>
        <w:rPr>
          <w:rFonts w:ascii="Arial" w:cs="Arial" w:eastAsia="Arial" w:hAnsi="Arial"/>
          <w:sz w:val="18"/>
          <w:szCs w:val="18"/>
          <w:color w:val="auto"/>
        </w:rPr>
        <w:t>Title:</w:t>
      </w:r>
      <w:r>
        <w:rPr>
          <w:rFonts w:ascii="Arial" w:cs="Arial" w:eastAsia="Arial" w:hAnsi="Arial"/>
          <w:sz w:val="16"/>
          <w:szCs w:val="16"/>
          <w:b w:val="1"/>
          <w:bCs w:val="1"/>
          <w:color w:val="auto"/>
        </w:rPr>
        <w:t>Chief Financial Officer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6" w:lineRule="exact"/>
        <w:rPr>
          <w:sz w:val="20"/>
          <w:szCs w:val="20"/>
          <w:color w:val="auto"/>
        </w:rPr>
      </w:pPr>
    </w:p>
    <w:p>
      <w:pPr>
        <w:ind w:right="360" w:firstLine="432"/>
        <w:spacing w:after="0" w:line="23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3"/>
    </w:lvl>
  </w:abstractNum>
  <w:abstractNum w:abstractNumId="5">
    <w:nsid w:val="66EF438D"/>
    <w:multiLevelType w:val="hybridMultilevel"/>
    <w:lvl w:ilvl="0">
      <w:lvlJc w:val="left"/>
      <w:lvlText w:val="%1."/>
      <w:numFmt w:val="upperLetter"/>
      <w:start w:val="6"/>
    </w:lvl>
  </w:abstractNum>
  <w:abstractNum w:abstractNumId="6">
    <w:nsid w:val="140E0F76"/>
    <w:multiLevelType w:val="hybridMultilevel"/>
    <w:lvl w:ilvl="0">
      <w:lvlJc w:val="left"/>
      <w:lvlText w:val="%1."/>
      <w:numFmt w:val="upperLetter"/>
      <w:start w:val="9"/>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2023-09-01T10:39:23Z</dcterms:created>
  <dcterms:modified xsi:type="dcterms:W3CDTF">2023-09-01T10:39:23Z</dcterms:modified>
</cp:coreProperties>
</file>