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99"/>
        <w:spacing w:after="0" w:line="236"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1" w:lineRule="exact"/>
        <w:rPr>
          <w:sz w:val="24"/>
          <w:szCs w:val="24"/>
          <w:color w:val="auto"/>
        </w:rPr>
      </w:pPr>
    </w:p>
    <w:p>
      <w:pPr>
        <w:ind w:left="380" w:hanging="359"/>
        <w:spacing w:after="0"/>
        <w:tabs>
          <w:tab w:leader="none" w:pos="3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 the Fiscal Year Ended February 2, 2025</w:t>
      </w:r>
    </w:p>
    <w:p>
      <w:pPr>
        <w:spacing w:after="0" w:line="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36" w:lineRule="exact"/>
        <w:rPr>
          <w:sz w:val="24"/>
          <w:szCs w:val="24"/>
          <w:color w:val="auto"/>
        </w:rPr>
      </w:pPr>
    </w:p>
    <w:p>
      <w:pPr>
        <w:ind w:left="380" w:hanging="359"/>
        <w:spacing w:after="0"/>
        <w:tabs>
          <w:tab w:leader="none" w:pos="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w:t>
            </w:r>
          </w:p>
        </w:tc>
        <w:tc>
          <w:tcPr>
            <w:tcW w:w="1760" w:type="dxa"/>
            <w:vAlign w:val="bottom"/>
          </w:tcPr>
          <w:p>
            <w:pPr>
              <w:spacing w:after="0"/>
              <w:rPr>
                <w:sz w:val="17"/>
                <w:szCs w:val="17"/>
                <w:color w:val="auto"/>
              </w:rPr>
            </w:pPr>
          </w:p>
        </w:tc>
      </w:tr>
      <w:tr>
        <w:trPr>
          <w:trHeight w:val="184"/>
        </w:trPr>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920" w:type="dxa"/>
            <w:vAlign w:val="bottom"/>
          </w:tcPr>
          <w:p>
            <w:pPr>
              <w:jc w:val="center"/>
              <w:ind w:left="239"/>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Commission file No. 001-37641</w:t>
            </w:r>
          </w:p>
        </w:tc>
        <w:tc>
          <w:tcPr>
            <w:tcW w:w="15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407"/>
        </w:trPr>
        <w:tc>
          <w:tcPr>
            <w:tcW w:w="660" w:type="dxa"/>
            <w:vAlign w:val="bottom"/>
          </w:tcPr>
          <w:p>
            <w:pPr>
              <w:spacing w:after="0"/>
              <w:rPr>
                <w:sz w:val="24"/>
                <w:szCs w:val="24"/>
                <w:color w:val="auto"/>
              </w:rPr>
            </w:pPr>
          </w:p>
        </w:tc>
        <w:tc>
          <w:tcPr>
            <w:tcW w:w="7500" w:type="dxa"/>
            <w:vAlign w:val="bottom"/>
            <w:gridSpan w:val="3"/>
          </w:tcPr>
          <w:p>
            <w:pPr>
              <w:jc w:val="center"/>
              <w:ind w:left="1653"/>
              <w:spacing w:after="0" w:line="408" w:lineRule="exact"/>
              <w:rPr>
                <w:sz w:val="20"/>
                <w:szCs w:val="20"/>
                <w:color w:val="auto"/>
              </w:rPr>
            </w:pPr>
            <w:r>
              <w:rPr>
                <w:rFonts w:ascii="Times New Roman" w:cs="Times New Roman" w:eastAsia="Times New Roman" w:hAnsi="Times New Roman"/>
                <w:sz w:val="36"/>
                <w:szCs w:val="36"/>
                <w:b w:val="1"/>
                <w:bCs w:val="1"/>
                <w:color w:val="auto"/>
                <w:w w:val="99"/>
              </w:rPr>
              <w:t>DULUTH HOLDINGS INC.</w:t>
            </w:r>
          </w:p>
        </w:tc>
        <w:tc>
          <w:tcPr>
            <w:tcW w:w="1760" w:type="dxa"/>
            <w:vAlign w:val="bottom"/>
          </w:tcPr>
          <w:p>
            <w:pPr>
              <w:spacing w:after="0"/>
              <w:rPr>
                <w:sz w:val="24"/>
                <w:szCs w:val="24"/>
                <w:color w:val="auto"/>
              </w:rPr>
            </w:pPr>
          </w:p>
        </w:tc>
      </w:tr>
      <w:tr>
        <w:trPr>
          <w:trHeight w:val="190"/>
        </w:trPr>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00" w:type="dxa"/>
            <w:vAlign w:val="bottom"/>
            <w:gridSpan w:val="2"/>
          </w:tcPr>
          <w:p>
            <w:pPr>
              <w:jc w:val="center"/>
              <w:ind w:right="116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760" w:type="dxa"/>
            <w:vAlign w:val="bottom"/>
          </w:tcPr>
          <w:p>
            <w:pPr>
              <w:spacing w:after="0"/>
              <w:rPr>
                <w:sz w:val="16"/>
                <w:szCs w:val="16"/>
                <w:color w:val="auto"/>
              </w:rPr>
            </w:pPr>
          </w:p>
        </w:tc>
      </w:tr>
      <w:tr>
        <w:trPr>
          <w:trHeight w:val="544"/>
        </w:trPr>
        <w:tc>
          <w:tcPr>
            <w:tcW w:w="660" w:type="dxa"/>
            <w:vAlign w:val="bottom"/>
          </w:tcPr>
          <w:p>
            <w:pPr>
              <w:spacing w:after="0"/>
              <w:rPr>
                <w:sz w:val="24"/>
                <w:szCs w:val="24"/>
                <w:color w:val="auto"/>
              </w:rPr>
            </w:pPr>
          </w:p>
        </w:tc>
        <w:tc>
          <w:tcPr>
            <w:tcW w:w="3000" w:type="dxa"/>
            <w:vAlign w:val="bottom"/>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rPr>
              <w:t>Wisconsin</w:t>
            </w:r>
          </w:p>
        </w:tc>
        <w:tc>
          <w:tcPr>
            <w:tcW w:w="2920" w:type="dxa"/>
            <w:vAlign w:val="bottom"/>
          </w:tcPr>
          <w:p>
            <w:pPr>
              <w:spacing w:after="0"/>
              <w:rPr>
                <w:sz w:val="24"/>
                <w:szCs w:val="24"/>
                <w:color w:val="auto"/>
              </w:rPr>
            </w:pPr>
          </w:p>
        </w:tc>
        <w:tc>
          <w:tcPr>
            <w:tcW w:w="3340" w:type="dxa"/>
            <w:vAlign w:val="bottom"/>
            <w:gridSpan w:val="2"/>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39-1564801</w:t>
            </w:r>
          </w:p>
        </w:tc>
      </w:tr>
      <w:tr>
        <w:trPr>
          <w:trHeight w:val="211"/>
        </w:trPr>
        <w:tc>
          <w:tcPr>
            <w:tcW w:w="660" w:type="dxa"/>
            <w:vAlign w:val="bottom"/>
          </w:tcPr>
          <w:p>
            <w:pPr>
              <w:spacing w:after="0"/>
              <w:rPr>
                <w:sz w:val="18"/>
                <w:szCs w:val="18"/>
                <w:color w:val="auto"/>
              </w:rPr>
            </w:pPr>
          </w:p>
        </w:tc>
        <w:tc>
          <w:tcPr>
            <w:tcW w:w="3000" w:type="dxa"/>
            <w:vAlign w:val="bottom"/>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20" w:type="dxa"/>
            <w:vAlign w:val="bottom"/>
          </w:tcPr>
          <w:p>
            <w:pPr>
              <w:spacing w:after="0"/>
              <w:rPr>
                <w:sz w:val="18"/>
                <w:szCs w:val="18"/>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60" w:type="dxa"/>
            <w:vAlign w:val="bottom"/>
          </w:tcPr>
          <w:p>
            <w:pPr>
              <w:spacing w:after="0"/>
              <w:rPr>
                <w:sz w:val="16"/>
                <w:szCs w:val="16"/>
                <w:color w:val="auto"/>
              </w:rPr>
            </w:pPr>
          </w:p>
        </w:tc>
        <w:tc>
          <w:tcPr>
            <w:tcW w:w="3000" w:type="dxa"/>
            <w:vAlign w:val="bottom"/>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20" w:type="dxa"/>
            <w:vAlign w:val="bottom"/>
          </w:tcPr>
          <w:p>
            <w:pPr>
              <w:spacing w:after="0"/>
              <w:rPr>
                <w:sz w:val="16"/>
                <w:szCs w:val="16"/>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69"/>
        </w:trPr>
        <w:tc>
          <w:tcPr>
            <w:tcW w:w="660" w:type="dxa"/>
            <w:vAlign w:val="bottom"/>
          </w:tcPr>
          <w:p>
            <w:pPr>
              <w:spacing w:after="0"/>
              <w:rPr>
                <w:sz w:val="24"/>
                <w:szCs w:val="24"/>
                <w:color w:val="auto"/>
              </w:rPr>
            </w:pPr>
          </w:p>
        </w:tc>
        <w:tc>
          <w:tcPr>
            <w:tcW w:w="5920" w:type="dxa"/>
            <w:vAlign w:val="bottom"/>
            <w:gridSpan w:val="2"/>
          </w:tcPr>
          <w:p>
            <w:pPr>
              <w:jc w:val="center"/>
              <w:ind w:right="2319"/>
              <w:spacing w:after="0"/>
              <w:rPr>
                <w:sz w:val="20"/>
                <w:szCs w:val="20"/>
                <w:color w:val="auto"/>
              </w:rPr>
            </w:pPr>
            <w:r>
              <w:rPr>
                <w:rFonts w:ascii="Times New Roman" w:cs="Times New Roman" w:eastAsia="Times New Roman" w:hAnsi="Times New Roman"/>
                <w:sz w:val="16"/>
                <w:szCs w:val="16"/>
                <w:b w:val="1"/>
                <w:bCs w:val="1"/>
                <w:color w:val="auto"/>
              </w:rPr>
              <w:t>201 East Front Street, Mount Horeb, Wisconsin</w:t>
            </w:r>
          </w:p>
        </w:tc>
        <w:tc>
          <w:tcPr>
            <w:tcW w:w="3340" w:type="dxa"/>
            <w:vAlign w:val="bottom"/>
            <w:gridSpan w:val="2"/>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53572</w:t>
            </w:r>
          </w:p>
        </w:tc>
      </w:tr>
      <w:tr>
        <w:trPr>
          <w:trHeight w:val="212"/>
        </w:trPr>
        <w:tc>
          <w:tcPr>
            <w:tcW w:w="660" w:type="dxa"/>
            <w:vAlign w:val="bottom"/>
          </w:tcPr>
          <w:p>
            <w:pPr>
              <w:spacing w:after="0"/>
              <w:rPr>
                <w:sz w:val="18"/>
                <w:szCs w:val="18"/>
                <w:color w:val="auto"/>
              </w:rPr>
            </w:pPr>
          </w:p>
        </w:tc>
        <w:tc>
          <w:tcPr>
            <w:tcW w:w="3000" w:type="dxa"/>
            <w:vAlign w:val="bottom"/>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20" w:type="dxa"/>
            <w:vAlign w:val="bottom"/>
          </w:tcPr>
          <w:p>
            <w:pPr>
              <w:spacing w:after="0"/>
              <w:rPr>
                <w:sz w:val="18"/>
                <w:szCs w:val="18"/>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7"/>
        </w:trPr>
        <w:tc>
          <w:tcPr>
            <w:tcW w:w="660" w:type="dxa"/>
            <w:vAlign w:val="bottom"/>
          </w:tcPr>
          <w:p>
            <w:pPr>
              <w:spacing w:after="0"/>
              <w:rPr>
                <w:sz w:val="24"/>
                <w:szCs w:val="24"/>
                <w:color w:val="auto"/>
              </w:rPr>
            </w:pPr>
          </w:p>
        </w:tc>
        <w:tc>
          <w:tcPr>
            <w:tcW w:w="7500" w:type="dxa"/>
            <w:vAlign w:val="bottom"/>
            <w:gridSpan w:val="3"/>
          </w:tcPr>
          <w:p>
            <w:pPr>
              <w:jc w:val="center"/>
              <w:ind w:left="167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(608) 424-1544</w:t>
            </w:r>
          </w:p>
        </w:tc>
        <w:tc>
          <w:tcPr>
            <w:tcW w:w="1760" w:type="dxa"/>
            <w:vAlign w:val="bottom"/>
          </w:tcPr>
          <w:p>
            <w:pPr>
              <w:spacing w:after="0"/>
              <w:rPr>
                <w:sz w:val="24"/>
                <w:szCs w:val="24"/>
                <w:color w:val="auto"/>
              </w:rPr>
            </w:pPr>
          </w:p>
        </w:tc>
      </w:tr>
      <w:tr>
        <w:trPr>
          <w:trHeight w:val="212"/>
        </w:trPr>
        <w:tc>
          <w:tcPr>
            <w:tcW w:w="660" w:type="dxa"/>
            <w:vAlign w:val="bottom"/>
          </w:tcPr>
          <w:p>
            <w:pPr>
              <w:spacing w:after="0"/>
              <w:rPr>
                <w:sz w:val="18"/>
                <w:szCs w:val="18"/>
                <w:color w:val="auto"/>
              </w:rPr>
            </w:pPr>
          </w:p>
        </w:tc>
        <w:tc>
          <w:tcPr>
            <w:tcW w:w="7500" w:type="dxa"/>
            <w:vAlign w:val="bottom"/>
            <w:gridSpan w:val="3"/>
          </w:tcPr>
          <w:p>
            <w:pPr>
              <w:jc w:val="center"/>
              <w:ind w:left="165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760" w:type="dxa"/>
            <w:vAlign w:val="bottom"/>
          </w:tcPr>
          <w:p>
            <w:pPr>
              <w:spacing w:after="0"/>
              <w:rPr>
                <w:sz w:val="18"/>
                <w:szCs w:val="18"/>
                <w:color w:val="auto"/>
              </w:rPr>
            </w:pPr>
          </w:p>
        </w:tc>
      </w:tr>
      <w:tr>
        <w:trPr>
          <w:trHeight w:val="220"/>
        </w:trPr>
        <w:tc>
          <w:tcPr>
            <w:tcW w:w="660" w:type="dxa"/>
            <w:vAlign w:val="bottom"/>
          </w:tcPr>
          <w:p>
            <w:pPr>
              <w:spacing w:after="0"/>
              <w:rPr>
                <w:sz w:val="19"/>
                <w:szCs w:val="19"/>
                <w:color w:val="auto"/>
              </w:rPr>
            </w:pPr>
          </w:p>
        </w:tc>
        <w:tc>
          <w:tcPr>
            <w:tcW w:w="300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0"/>
        </w:trPr>
        <w:tc>
          <w:tcPr>
            <w:tcW w:w="660" w:type="dxa"/>
            <w:vAlign w:val="bottom"/>
          </w:tcPr>
          <w:p>
            <w:pPr>
              <w:spacing w:after="0"/>
              <w:rPr>
                <w:sz w:val="20"/>
                <w:szCs w:val="20"/>
                <w:color w:val="auto"/>
              </w:rPr>
            </w:pPr>
          </w:p>
        </w:tc>
        <w:tc>
          <w:tcPr>
            <w:tcW w:w="3000" w:type="dxa"/>
            <w:vAlign w:val="bottom"/>
          </w:tcPr>
          <w:p>
            <w:pPr>
              <w:jc w:val="center"/>
              <w:ind w:left="173"/>
              <w:spacing w:after="0"/>
              <w:rPr>
                <w:sz w:val="20"/>
                <w:szCs w:val="20"/>
                <w:color w:val="auto"/>
              </w:rPr>
            </w:pPr>
            <w:r>
              <w:rPr>
                <w:rFonts w:ascii="Times New Roman" w:cs="Times New Roman" w:eastAsia="Times New Roman" w:hAnsi="Times New Roman"/>
                <w:sz w:val="16"/>
                <w:szCs w:val="16"/>
                <w:color w:val="auto"/>
              </w:rPr>
              <w:t>Class B Common Stock, No Par Value</w:t>
            </w:r>
          </w:p>
        </w:tc>
        <w:tc>
          <w:tcPr>
            <w:tcW w:w="29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8"/>
              </w:rPr>
              <w:t>DLTH</w:t>
            </w:r>
          </w:p>
        </w:tc>
        <w:tc>
          <w:tcPr>
            <w:tcW w:w="33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60"/>
        </w:trPr>
        <w:tc>
          <w:tcPr>
            <w:tcW w:w="660" w:type="dxa"/>
            <w:vAlign w:val="bottom"/>
          </w:tcPr>
          <w:p>
            <w:pPr>
              <w:spacing w:after="0"/>
              <w:rPr>
                <w:sz w:val="22"/>
                <w:szCs w:val="22"/>
                <w:color w:val="auto"/>
              </w:rPr>
            </w:pPr>
          </w:p>
        </w:tc>
        <w:tc>
          <w:tcPr>
            <w:tcW w:w="7500" w:type="dxa"/>
            <w:vAlign w:val="bottom"/>
            <w:gridSpan w:val="3"/>
          </w:tcPr>
          <w:p>
            <w:pPr>
              <w:jc w:val="center"/>
              <w:ind w:left="165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1760" w:type="dxa"/>
            <w:vAlign w:val="bottom"/>
          </w:tcPr>
          <w:p>
            <w:pPr>
              <w:spacing w:after="0"/>
              <w:rPr>
                <w:sz w:val="22"/>
                <w:szCs w:val="22"/>
                <w:color w:val="auto"/>
              </w:rPr>
            </w:pPr>
          </w:p>
        </w:tc>
      </w:tr>
      <w:tr>
        <w:trPr>
          <w:trHeight w:val="196"/>
        </w:trPr>
        <w:tc>
          <w:tcPr>
            <w:tcW w:w="6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92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None</w:t>
            </w:r>
          </w:p>
        </w:tc>
        <w:tc>
          <w:tcPr>
            <w:tcW w:w="15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9"/>
        </w:trPr>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1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x</w:t>
            </w:r>
          </w:p>
        </w:tc>
      </w:tr>
      <w:tr>
        <w:trPr>
          <w:trHeight w:val="272"/>
        </w:trPr>
        <w:tc>
          <w:tcPr>
            <w:tcW w:w="8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w:t>
            </w:r>
          </w:p>
        </w:tc>
        <w:tc>
          <w:tcPr>
            <w:tcW w:w="17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tc>
      </w:tr>
    </w:tbl>
    <w:p>
      <w:pPr>
        <w:jc w:val="both"/>
        <w:ind w:right="280" w:firstLine="324"/>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firstLine="324"/>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220" w:firstLine="324"/>
        <w:spacing w:after="0" w:line="24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20" w:type="dxa"/>
            <w:vAlign w:val="bottom"/>
          </w:tcPr>
          <w:p>
            <w:pPr>
              <w:ind w:left="360"/>
              <w:spacing w:after="0"/>
              <w:rPr>
                <w:sz w:val="20"/>
                <w:szCs w:val="20"/>
                <w:color w:val="auto"/>
              </w:rPr>
            </w:pPr>
            <w:r>
              <w:rPr>
                <w:rFonts w:ascii="Wingdings" w:cs="Wingdings" w:eastAsia="Wingdings" w:hAnsi="Wingdings"/>
                <w:sz w:val="16"/>
                <w:szCs w:val="16"/>
                <w:b w:val="1"/>
                <w:bCs w:val="1"/>
                <w:color w:val="auto"/>
              </w:rPr>
              <w:t>o</w:t>
            </w:r>
          </w:p>
        </w:tc>
        <w:tc>
          <w:tcPr>
            <w:tcW w:w="478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40"/>
              <w:spacing w:after="0"/>
              <w:rPr>
                <w:sz w:val="20"/>
                <w:szCs w:val="20"/>
                <w:color w:val="auto"/>
              </w:rPr>
            </w:pPr>
            <w:r>
              <w:rPr>
                <w:rFonts w:ascii="Wingdings" w:cs="Wingdings" w:eastAsia="Wingdings" w:hAnsi="Wingdings"/>
                <w:sz w:val="16"/>
                <w:szCs w:val="16"/>
                <w:b w:val="1"/>
                <w:bCs w:val="1"/>
                <w:color w:val="auto"/>
              </w:rPr>
              <w:t>o</w:t>
            </w:r>
          </w:p>
        </w:tc>
      </w:tr>
      <w:tr>
        <w:trPr>
          <w:trHeight w:val="351"/>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20" w:type="dxa"/>
            <w:vAlign w:val="bottom"/>
          </w:tcPr>
          <w:p>
            <w:pPr>
              <w:ind w:left="360"/>
              <w:spacing w:after="0"/>
              <w:rPr>
                <w:sz w:val="20"/>
                <w:szCs w:val="20"/>
                <w:color w:val="auto"/>
              </w:rPr>
            </w:pPr>
            <w:r>
              <w:rPr>
                <w:rFonts w:ascii="Wingdings" w:cs="Wingdings" w:eastAsia="Wingdings" w:hAnsi="Wingdings"/>
                <w:sz w:val="16"/>
                <w:szCs w:val="16"/>
                <w:b w:val="1"/>
                <w:bCs w:val="1"/>
                <w:color w:val="auto"/>
              </w:rPr>
              <w:t>x</w:t>
            </w:r>
          </w:p>
        </w:tc>
        <w:tc>
          <w:tcPr>
            <w:tcW w:w="478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4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020" w:type="dxa"/>
            <w:vAlign w:val="bottom"/>
          </w:tcPr>
          <w:p>
            <w:pPr>
              <w:ind w:left="360"/>
              <w:spacing w:after="0"/>
              <w:rPr>
                <w:sz w:val="20"/>
                <w:szCs w:val="20"/>
                <w:color w:val="auto"/>
              </w:rPr>
            </w:pPr>
            <w:r>
              <w:rPr>
                <w:rFonts w:ascii="Wingdings" w:cs="Wingdings" w:eastAsia="Wingdings" w:hAnsi="Wingdings"/>
                <w:sz w:val="16"/>
                <w:szCs w:val="16"/>
                <w:b w:val="1"/>
                <w:bCs w:val="1"/>
                <w:color w:val="auto"/>
              </w:rPr>
              <w:t>o</w:t>
            </w:r>
          </w:p>
        </w:tc>
        <w:tc>
          <w:tcPr>
            <w:tcW w:w="478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19" w:lineRule="exact"/>
        <w:rPr>
          <w:sz w:val="24"/>
          <w:szCs w:val="24"/>
          <w:color w:val="auto"/>
        </w:rPr>
      </w:pPr>
    </w:p>
    <w:p>
      <w:pPr>
        <w:ind w:right="180" w:firstLine="324"/>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w:t>
      </w: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 xml:space="preserve">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o</w:t>
      </w:r>
    </w:p>
    <w:p>
      <w:pPr>
        <w:spacing w:after="0" w:line="29" w:lineRule="exact"/>
        <w:rPr>
          <w:sz w:val="24"/>
          <w:szCs w:val="24"/>
          <w:color w:val="auto"/>
        </w:rPr>
      </w:pPr>
    </w:p>
    <w:p>
      <w:pPr>
        <w:ind w:right="140" w:firstLine="324"/>
        <w:spacing w:after="0" w:line="263"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x</w:t>
      </w:r>
    </w:p>
    <w:p>
      <w:pPr>
        <w:spacing w:after="0" w:line="2" w:lineRule="exact"/>
        <w:rPr>
          <w:sz w:val="24"/>
          <w:szCs w:val="24"/>
          <w:color w:val="auto"/>
        </w:rPr>
      </w:pPr>
    </w:p>
    <w:p>
      <w:pPr>
        <w:ind w:right="160" w:firstLine="324"/>
        <w:spacing w:after="0" w:line="251"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x</w:t>
      </w:r>
    </w:p>
    <w:p>
      <w:pPr>
        <w:spacing w:after="0" w:line="1" w:lineRule="exact"/>
        <w:rPr>
          <w:sz w:val="24"/>
          <w:szCs w:val="24"/>
          <w:color w:val="auto"/>
        </w:rPr>
      </w:pPr>
    </w:p>
    <w:p>
      <w:pPr>
        <w:ind w:left="340"/>
        <w:spacing w:after="0" w:line="184" w:lineRule="exact"/>
        <w:tabs>
          <w:tab w:leader="none" w:pos="7820" w:val="left"/>
          <w:tab w:leader="none" w:pos="8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72" w:lineRule="exact"/>
        <w:rPr>
          <w:sz w:val="24"/>
          <w:szCs w:val="24"/>
          <w:color w:val="auto"/>
        </w:rPr>
      </w:pPr>
    </w:p>
    <w:p>
      <w:pPr>
        <w:ind w:right="100" w:firstLine="324"/>
        <w:spacing w:after="0" w:line="254"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was approximately $51.2 million based upon the closing price on the last business day of the registrant’s most recently completed second fiscal quarter (July 28, 2024).</w:t>
      </w:r>
    </w:p>
    <w:p>
      <w:pPr>
        <w:spacing w:after="0" w:line="9" w:lineRule="exact"/>
        <w:rPr>
          <w:sz w:val="24"/>
          <w:szCs w:val="24"/>
          <w:color w:val="auto"/>
        </w:rPr>
      </w:pPr>
    </w:p>
    <w:p>
      <w:pPr>
        <w:ind w:right="20" w:firstLine="324"/>
        <w:spacing w:after="0" w:line="263" w:lineRule="auto"/>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March 19, 2025, was 3,364,200. The number of shares outstanding of the Registrant’s Class B common stock, no par value, as of March 19, 2025 was 31,774,348.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426085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6"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0"/>
          <w:szCs w:val="20"/>
          <w:color w:val="auto"/>
        </w:rPr>
      </w:pPr>
    </w:p>
    <w:p>
      <w:pPr>
        <w:ind w:firstLine="324"/>
        <w:spacing w:after="0" w:line="263"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within 120 days of February 2, 2025 are incorporated by reference in this Annual Report on Form 10-K in response to Part III, Items 10, 11, 12, 13 and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20" w:type="dxa"/>
            <w:vAlign w:val="bottom"/>
            <w:gridSpan w:val="11"/>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0"/>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40" w:type="dxa"/>
            <w:vAlign w:val="bottom"/>
            <w:gridSpan w:val="10"/>
            <w:vMerge w:val="restart"/>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40" w:type="dxa"/>
            <w:vAlign w:val="bottom"/>
            <w:gridSpan w:val="10"/>
            <w:vMerge w:val="continue"/>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872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1A.</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1B.</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1C.</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40" w:type="dxa"/>
            <w:vAlign w:val="bottom"/>
            <w:gridSpan w:val="10"/>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872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THE REGISTRANT’S COMMON EQUITY, RELATED SHAREHOLDER MATTERS AND ISSUER</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00" w:type="dxa"/>
            <w:vAlign w:val="bottom"/>
            <w:tcBorders>
              <w:top w:val="single" w:sz="8" w:color="0000FF"/>
            </w:tcBorders>
            <w:gridSpan w:val="25"/>
          </w:tcPr>
          <w:p>
            <w:pPr>
              <w:spacing w:after="0" w:line="169"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31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[RESERVED]</w:t>
            </w:r>
          </w:p>
        </w:tc>
        <w:tc>
          <w:tcPr>
            <w:tcW w:w="5620" w:type="dxa"/>
            <w:vAlign w:val="bottom"/>
            <w:gridSpan w:val="11"/>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7.</w:t>
            </w: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1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6"/>
              </w:rPr>
              <w:t>OPERATIONS</w:t>
            </w:r>
          </w:p>
        </w:tc>
        <w:tc>
          <w:tcPr>
            <w:tcW w:w="6700" w:type="dxa"/>
            <w:vAlign w:val="bottom"/>
            <w:tcBorders>
              <w:top w:val="single" w:sz="8" w:color="0000FF"/>
            </w:tcBorders>
            <w:gridSpan w:val="18"/>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w:t>
            </w: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1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7"/>
              </w:rPr>
              <w:t>DISCLOSURE</w:t>
            </w:r>
          </w:p>
        </w:tc>
        <w:tc>
          <w:tcPr>
            <w:tcW w:w="6880" w:type="dxa"/>
            <w:vAlign w:val="bottom"/>
            <w:tcBorders>
              <w:top w:val="single" w:sz="8" w:color="0000FF"/>
            </w:tcBorders>
            <w:gridSpan w:val="19"/>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9A.</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9B.</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9C.</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99"/>
        </w:trPr>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980" w:type="dxa"/>
            <w:vAlign w:val="bottom"/>
            <w:tcBorders>
              <w:top w:val="single" w:sz="8" w:color="0000FF"/>
            </w:tcBorders>
            <w:gridSpan w:val="5"/>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760" w:type="dxa"/>
            <w:vAlign w:val="bottom"/>
            <w:gridSpan w:val="5"/>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ITEM 10.</w:t>
            </w:r>
          </w:p>
        </w:tc>
        <w:tc>
          <w:tcPr>
            <w:tcW w:w="400" w:type="dxa"/>
            <w:vAlign w:val="bottom"/>
          </w:tcPr>
          <w:p>
            <w:pPr>
              <w:spacing w:after="0"/>
              <w:rPr>
                <w:sz w:val="16"/>
                <w:szCs w:val="16"/>
                <w:color w:val="auto"/>
              </w:rPr>
            </w:pPr>
          </w:p>
        </w:tc>
        <w:tc>
          <w:tcPr>
            <w:tcW w:w="872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11.</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12.</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18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7"/>
              </w:rPr>
              <w:t>SHAREHOLDER MATTERS</w:t>
            </w:r>
          </w:p>
        </w:tc>
        <w:tc>
          <w:tcPr>
            <w:tcW w:w="5860" w:type="dxa"/>
            <w:vAlign w:val="bottom"/>
            <w:tcBorders>
              <w:top w:val="single" w:sz="8" w:color="0000FF"/>
            </w:tcBorders>
            <w:gridSpan w:val="15"/>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13.</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14.</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64"/>
        </w:trPr>
        <w:tc>
          <w:tcPr>
            <w:tcW w:w="6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4740" w:type="dxa"/>
            <w:vAlign w:val="bottom"/>
            <w:gridSpan w:val="10"/>
          </w:tcPr>
          <w:p>
            <w:pPr>
              <w:jc w:val="center"/>
              <w:ind w:right="3700"/>
              <w:spacing w:after="0" w:line="164" w:lineRule="exact"/>
              <w:rPr>
                <w:sz w:val="20"/>
                <w:szCs w:val="20"/>
                <w:color w:val="auto"/>
              </w:rPr>
            </w:pPr>
            <w:r>
              <w:rPr>
                <w:rFonts w:ascii="Times New Roman" w:cs="Times New Roman" w:eastAsia="Times New Roman" w:hAnsi="Times New Roman"/>
                <w:sz w:val="18"/>
                <w:szCs w:val="18"/>
                <w:b w:val="1"/>
                <w:bCs w:val="1"/>
                <w:color w:val="auto"/>
                <w:w w:val="97"/>
              </w:rPr>
              <w:t>PART IV</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ITEM 15.</w:t>
            </w:r>
          </w:p>
        </w:tc>
        <w:tc>
          <w:tcPr>
            <w:tcW w:w="400" w:type="dxa"/>
            <w:vAlign w:val="bottom"/>
          </w:tcPr>
          <w:p>
            <w:pPr>
              <w:spacing w:after="0"/>
              <w:rPr>
                <w:sz w:val="16"/>
                <w:szCs w:val="16"/>
                <w:color w:val="auto"/>
              </w:rPr>
            </w:pPr>
          </w:p>
        </w:tc>
        <w:tc>
          <w:tcPr>
            <w:tcW w:w="872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STATEMENTS AND SCHEDULE</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580" w:type="dxa"/>
            <w:vAlign w:val="bottom"/>
            <w:gridSpan w:val="9"/>
            <w:shd w:val="clear" w:color="auto" w:fill="0000FF"/>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16.</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6820" w:type="dxa"/>
            <w:vAlign w:val="bottom"/>
            <w:gridSpan w:val="1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591"/>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3560" w:type="dxa"/>
            <w:vAlign w:val="bottom"/>
            <w:gridSpan w:val="15"/>
          </w:tcPr>
          <w:p>
            <w:pPr>
              <w:jc w:val="center"/>
              <w:ind w:left="3168"/>
              <w:spacing w:after="0"/>
              <w:rPr>
                <w:sz w:val="20"/>
                <w:szCs w:val="20"/>
                <w:color w:val="auto"/>
              </w:rPr>
            </w:pPr>
            <w:r>
              <w:rPr>
                <w:rFonts w:ascii="Times New Roman" w:cs="Times New Roman" w:eastAsia="Times New Roman" w:hAnsi="Times New Roman"/>
                <w:sz w:val="14"/>
                <w:szCs w:val="14"/>
                <w:color w:val="auto"/>
              </w:rPr>
              <w:t>1</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1995 that are subject to risks and uncertainties. All statements other than statements of historical or current facts included in this Annual Report on Form 10-K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66" w:lineRule="exact"/>
        <w:rPr>
          <w:sz w:val="20"/>
          <w:szCs w:val="20"/>
          <w:color w:val="auto"/>
        </w:rPr>
      </w:pPr>
    </w:p>
    <w:p>
      <w:pPr>
        <w:ind w:left="880" w:right="4220"/>
        <w:spacing w:after="0" w:line="367" w:lineRule="auto"/>
        <w:rPr>
          <w:sz w:val="20"/>
          <w:szCs w:val="20"/>
          <w:color w:val="auto"/>
        </w:rPr>
      </w:pPr>
      <w:r>
        <w:rPr>
          <w:rFonts w:ascii="Times New Roman" w:cs="Times New Roman" w:eastAsia="Times New Roman" w:hAnsi="Times New Roman"/>
          <w:sz w:val="18"/>
          <w:szCs w:val="18"/>
          <w:color w:val="auto"/>
        </w:rPr>
        <w:t>the impact of inflation and measures to control inflation on our results of operations; the prolonged effects of economic uncertainties on store and website traffic;</w:t>
      </w:r>
    </w:p>
    <w:p>
      <w:pPr>
        <w:spacing w:after="0" w:line="1" w:lineRule="exact"/>
        <w:rPr>
          <w:sz w:val="20"/>
          <w:szCs w:val="20"/>
          <w:color w:val="auto"/>
        </w:rPr>
      </w:pPr>
    </w:p>
    <w:p>
      <w:pPr>
        <w:ind w:left="880" w:right="5300"/>
        <w:spacing w:after="0" w:line="367" w:lineRule="auto"/>
        <w:rPr>
          <w:sz w:val="20"/>
          <w:szCs w:val="20"/>
          <w:color w:val="auto"/>
        </w:rPr>
      </w:pPr>
      <w:r>
        <w:rPr>
          <w:rFonts w:ascii="Times New Roman" w:cs="Times New Roman" w:eastAsia="Times New Roman" w:hAnsi="Times New Roman"/>
          <w:sz w:val="18"/>
          <w:szCs w:val="18"/>
          <w:color w:val="auto"/>
        </w:rPr>
        <w:t>disruptions to our distribution network, supply chains and operations; failure to effectively manage inventory levels;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ability to maintain and enhance a strong brand and sub-brand image;</w:t>
      </w:r>
    </w:p>
    <w:p>
      <w:pPr>
        <w:spacing w:after="0" w:line="103" w:lineRule="exact"/>
        <w:rPr>
          <w:sz w:val="20"/>
          <w:szCs w:val="20"/>
          <w:color w:val="auto"/>
        </w:rPr>
      </w:pPr>
    </w:p>
    <w:p>
      <w:pPr>
        <w:ind w:left="880" w:right="3700"/>
        <w:spacing w:after="0" w:line="367" w:lineRule="auto"/>
        <w:rPr>
          <w:sz w:val="20"/>
          <w:szCs w:val="20"/>
          <w:color w:val="auto"/>
        </w:rPr>
      </w:pPr>
      <w:r>
        <w:rPr>
          <w:rFonts w:ascii="Times New Roman" w:cs="Times New Roman" w:eastAsia="Times New Roman" w:hAnsi="Times New Roman"/>
          <w:sz w:val="18"/>
          <w:szCs w:val="18"/>
          <w:color w:val="auto"/>
        </w:rPr>
        <w:t>adapting to declines in consumer confidence, inflation and decreases in consumer spending; disruptions to our e-commerce platform;</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ability to meet customer delivery time expectations;</w:t>
      </w:r>
    </w:p>
    <w:p>
      <w:pPr>
        <w:spacing w:after="0" w:line="103" w:lineRule="exact"/>
        <w:rPr>
          <w:sz w:val="20"/>
          <w:szCs w:val="20"/>
          <w:color w:val="auto"/>
        </w:rPr>
      </w:pPr>
    </w:p>
    <w:p>
      <w:pPr>
        <w:ind w:left="880" w:right="2760"/>
        <w:spacing w:after="0" w:line="367" w:lineRule="auto"/>
        <w:rPr>
          <w:sz w:val="20"/>
          <w:szCs w:val="20"/>
          <w:color w:val="auto"/>
        </w:rPr>
      </w:pPr>
      <w:r>
        <w:rPr>
          <w:rFonts w:ascii="Times New Roman" w:cs="Times New Roman" w:eastAsia="Times New Roman" w:hAnsi="Times New Roman"/>
          <w:sz w:val="18"/>
          <w:szCs w:val="18"/>
          <w:color w:val="auto"/>
        </w:rPr>
        <w:t>our ability to properly allocate inventory throughout our distribution network to fulfill customer demand; our failure to meet our debt covenant ratios;</w:t>
      </w:r>
    </w:p>
    <w:p>
      <w:pPr>
        <w:spacing w:after="0" w:line="1" w:lineRule="exact"/>
        <w:rPr>
          <w:sz w:val="20"/>
          <w:szCs w:val="20"/>
          <w:color w:val="auto"/>
        </w:rPr>
      </w:pPr>
    </w:p>
    <w:p>
      <w:pPr>
        <w:ind w:left="880" w:right="260"/>
        <w:spacing w:after="0" w:line="282" w:lineRule="auto"/>
        <w:rPr>
          <w:sz w:val="20"/>
          <w:szCs w:val="20"/>
          <w:color w:val="auto"/>
        </w:rPr>
      </w:pPr>
      <w:r>
        <w:rPr>
          <w:rFonts w:ascii="Times New Roman" w:cs="Times New Roman" w:eastAsia="Times New Roman" w:hAnsi="Times New Roman"/>
          <w:sz w:val="18"/>
          <w:szCs w:val="18"/>
          <w:color w:val="auto"/>
        </w:rPr>
        <w:t>natural disasters, unusually adverse weather conditions, boycotts, prolonged public health crises, epidemics or pandemics and unanticipated events;</w:t>
      </w:r>
    </w:p>
    <w:p>
      <w:pPr>
        <w:spacing w:after="0" w:line="26" w:lineRule="exact"/>
        <w:rPr>
          <w:sz w:val="20"/>
          <w:szCs w:val="20"/>
          <w:color w:val="auto"/>
        </w:rPr>
      </w:pPr>
    </w:p>
    <w:p>
      <w:pPr>
        <w:ind w:left="880" w:right="3940"/>
        <w:spacing w:after="0" w:line="367" w:lineRule="auto"/>
        <w:rPr>
          <w:sz w:val="20"/>
          <w:szCs w:val="20"/>
          <w:color w:val="auto"/>
        </w:rPr>
      </w:pPr>
      <w:r>
        <w:rPr>
          <w:rFonts w:ascii="Times New Roman" w:cs="Times New Roman" w:eastAsia="Times New Roman" w:hAnsi="Times New Roman"/>
          <w:sz w:val="18"/>
          <w:szCs w:val="18"/>
          <w:color w:val="auto"/>
        </w:rPr>
        <w:t>generating adequate cash from our existing stores and direct sales to support our growth; the impact of changes in corporate tax regulations and sales tax;</w:t>
      </w:r>
    </w:p>
    <w:p>
      <w:pPr>
        <w:spacing w:after="0" w:line="1" w:lineRule="exact"/>
        <w:rPr>
          <w:sz w:val="20"/>
          <w:szCs w:val="20"/>
          <w:color w:val="auto"/>
        </w:rPr>
      </w:pPr>
    </w:p>
    <w:p>
      <w:pPr>
        <w:ind w:left="880" w:right="5200"/>
        <w:spacing w:after="0" w:line="367" w:lineRule="auto"/>
        <w:rPr>
          <w:sz w:val="20"/>
          <w:szCs w:val="20"/>
          <w:color w:val="auto"/>
        </w:rPr>
      </w:pPr>
      <w:r>
        <w:rPr>
          <w:rFonts w:ascii="Times New Roman" w:cs="Times New Roman" w:eastAsia="Times New Roman" w:hAnsi="Times New Roman"/>
          <w:sz w:val="18"/>
          <w:szCs w:val="18"/>
          <w:color w:val="auto"/>
        </w:rPr>
        <w:t>identifying and responding to new and changing customer preferences; the success of the locations in which our stores are located;</w:t>
      </w:r>
    </w:p>
    <w:p>
      <w:pPr>
        <w:spacing w:after="0" w:line="1" w:lineRule="exact"/>
        <w:rPr>
          <w:sz w:val="20"/>
          <w:szCs w:val="20"/>
          <w:color w:val="auto"/>
        </w:rPr>
      </w:pPr>
    </w:p>
    <w:p>
      <w:pPr>
        <w:ind w:left="880" w:right="5000"/>
        <w:spacing w:after="0" w:line="381" w:lineRule="auto"/>
        <w:rPr>
          <w:sz w:val="20"/>
          <w:szCs w:val="20"/>
          <w:color w:val="auto"/>
        </w:rPr>
      </w:pPr>
      <w:r>
        <w:rPr>
          <w:rFonts w:ascii="Times New Roman" w:cs="Times New Roman" w:eastAsia="Times New Roman" w:hAnsi="Times New Roman"/>
          <w:sz w:val="17"/>
          <w:szCs w:val="17"/>
          <w:color w:val="auto"/>
        </w:rPr>
        <w:t>effectively relying on sources for merchandise located in foreign markets; transportation delays and interruptions, including port congestion;</w:t>
      </w:r>
    </w:p>
    <w:p>
      <w:pPr>
        <w:ind w:left="880" w:right="1020"/>
        <w:spacing w:after="0" w:line="367" w:lineRule="auto"/>
        <w:rPr>
          <w:sz w:val="20"/>
          <w:szCs w:val="20"/>
          <w:color w:val="auto"/>
        </w:rPr>
      </w:pPr>
      <w:r>
        <w:rPr>
          <w:rFonts w:ascii="Times New Roman" w:cs="Times New Roman" w:eastAsia="Times New Roman" w:hAnsi="Times New Roman"/>
          <w:sz w:val="18"/>
          <w:szCs w:val="18"/>
          <w:color w:val="auto"/>
        </w:rPr>
        <w:t>our inability to timely and effectively obtain shipments of products from our suppliers and deliver merchandise to our customers; the inability to maintain the performance of our maturing store portfolio;</w:t>
      </w:r>
    </w:p>
    <w:p>
      <w:pPr>
        <w:spacing w:after="0" w:line="1" w:lineRule="exact"/>
        <w:rPr>
          <w:sz w:val="20"/>
          <w:szCs w:val="20"/>
          <w:color w:val="auto"/>
        </w:rPr>
      </w:pPr>
    </w:p>
    <w:p>
      <w:pPr>
        <w:ind w:left="880" w:right="1340"/>
        <w:spacing w:after="0" w:line="367" w:lineRule="auto"/>
        <w:rPr>
          <w:sz w:val="20"/>
          <w:szCs w:val="20"/>
          <w:color w:val="auto"/>
        </w:rPr>
      </w:pPr>
      <w:r>
        <w:rPr>
          <w:rFonts w:ascii="Times New Roman" w:cs="Times New Roman" w:eastAsia="Times New Roman" w:hAnsi="Times New Roman"/>
          <w:sz w:val="18"/>
          <w:szCs w:val="18"/>
          <w:color w:val="auto"/>
        </w:rPr>
        <w:t>our inability to deploy marketing tactics to strengthen brand awareness and attract new customers in a cost effective manner; our ability to successfully open new stores;</w:t>
      </w:r>
    </w:p>
    <w:p>
      <w:pPr>
        <w:spacing w:after="0" w:line="1" w:lineRule="exact"/>
        <w:rPr>
          <w:sz w:val="20"/>
          <w:szCs w:val="20"/>
          <w:color w:val="auto"/>
        </w:rPr>
      </w:pPr>
    </w:p>
    <w:p>
      <w:pPr>
        <w:ind w:left="880" w:right="3160"/>
        <w:spacing w:after="0" w:line="367" w:lineRule="auto"/>
        <w:rPr>
          <w:sz w:val="20"/>
          <w:szCs w:val="20"/>
          <w:color w:val="auto"/>
        </w:rPr>
      </w:pPr>
      <w:r>
        <w:rPr>
          <w:rFonts w:ascii="Times New Roman" w:cs="Times New Roman" w:eastAsia="Times New Roman" w:hAnsi="Times New Roman"/>
          <w:sz w:val="18"/>
          <w:szCs w:val="18"/>
          <w:color w:val="auto"/>
        </w:rPr>
        <w:t>effectively adapting to new challenges associated with our expansion into new geographic markets; competing effectively in an environment of intense competition or elevated promotions;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ability to adapt to significant changes in sales due to the seasonality of our business;</w:t>
      </w:r>
    </w:p>
    <w:p>
      <w:pPr>
        <w:spacing w:after="0" w:line="103" w:lineRule="exact"/>
        <w:rPr>
          <w:sz w:val="20"/>
          <w:szCs w:val="20"/>
          <w:color w:val="auto"/>
        </w:rPr>
      </w:pPr>
    </w:p>
    <w:p>
      <w:pPr>
        <w:ind w:left="880" w:right="420"/>
        <w:spacing w:after="0" w:line="266" w:lineRule="auto"/>
        <w:rPr>
          <w:sz w:val="20"/>
          <w:szCs w:val="20"/>
          <w:color w:val="auto"/>
        </w:rPr>
      </w:pPr>
      <w:r>
        <w:rPr>
          <w:rFonts w:ascii="Times New Roman" w:cs="Times New Roman" w:eastAsia="Times New Roman" w:hAnsi="Times New Roman"/>
          <w:sz w:val="18"/>
          <w:szCs w:val="18"/>
          <w:color w:val="auto"/>
        </w:rPr>
        <w:t>price reductions or inventory shortages resulting from failure to purchase the appropriate amount of inventory in advance of the season in which it will be sold;</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potential for further increases in price and lack of availability of raw materials;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left="880" w:right="1920"/>
        <w:spacing w:after="0" w:line="365" w:lineRule="auto"/>
        <w:rPr>
          <w:sz w:val="20"/>
          <w:szCs w:val="20"/>
          <w:color w:val="auto"/>
        </w:rPr>
      </w:pPr>
      <w:r>
        <w:rPr>
          <w:rFonts w:ascii="Times New Roman" w:cs="Times New Roman" w:eastAsia="Times New Roman" w:hAnsi="Times New Roman"/>
          <w:sz w:val="18"/>
          <w:szCs w:val="18"/>
          <w:color w:val="auto"/>
        </w:rPr>
        <w:t>our dependence on third-party vendors to provide us with sufficient quantities of merchandise at acceptable prices; the susceptibility of the price and availability of our merchandise to international trade conditions including tariffs; failure of our vendors and their manufacturing sources to use acceptable labor or other practices;</w:t>
      </w:r>
    </w:p>
    <w:p>
      <w:pPr>
        <w:ind w:left="880" w:right="1760"/>
        <w:spacing w:after="0" w:line="367" w:lineRule="auto"/>
        <w:rPr>
          <w:sz w:val="20"/>
          <w:szCs w:val="20"/>
          <w:color w:val="auto"/>
        </w:rPr>
      </w:pPr>
      <w:r>
        <w:rPr>
          <w:rFonts w:ascii="Times New Roman" w:cs="Times New Roman" w:eastAsia="Times New Roman" w:hAnsi="Times New Roman"/>
          <w:sz w:val="18"/>
          <w:szCs w:val="18"/>
          <w:color w:val="auto"/>
        </w:rPr>
        <w:t>our dependence upon key executive management or our inability to hire or retain the talent required for our business; increases in costs of fuel or other energy, transportation or utility costs and in the costs of labor and employment;</w:t>
      </w:r>
    </w:p>
    <w:p>
      <w:pPr>
        <w:spacing w:after="0" w:line="1" w:lineRule="exact"/>
        <w:rPr>
          <w:sz w:val="20"/>
          <w:szCs w:val="20"/>
          <w:color w:val="auto"/>
        </w:rPr>
      </w:pPr>
    </w:p>
    <w:p>
      <w:pPr>
        <w:ind w:left="880" w:right="800"/>
        <w:spacing w:after="0" w:line="367" w:lineRule="auto"/>
        <w:rPr>
          <w:sz w:val="20"/>
          <w:szCs w:val="20"/>
          <w:color w:val="auto"/>
        </w:rPr>
      </w:pPr>
      <w:r>
        <w:rPr>
          <w:rFonts w:ascii="Times New Roman" w:cs="Times New Roman" w:eastAsia="Times New Roman" w:hAnsi="Times New Roman"/>
          <w:sz w:val="18"/>
          <w:szCs w:val="18"/>
          <w:color w:val="auto"/>
        </w:rPr>
        <w:t>failure of our information technology systems to support our current and growing business, before and after our planned upgrades; disruptions in our supply chain and fulfillment centers;</w:t>
      </w:r>
    </w:p>
    <w:p>
      <w:pPr>
        <w:spacing w:after="0" w:line="1" w:lineRule="exact"/>
        <w:rPr>
          <w:sz w:val="20"/>
          <w:szCs w:val="20"/>
          <w:color w:val="auto"/>
        </w:rPr>
      </w:pPr>
    </w:p>
    <w:p>
      <w:pPr>
        <w:ind w:left="880" w:right="4840"/>
        <w:spacing w:after="0" w:line="367" w:lineRule="auto"/>
        <w:rPr>
          <w:sz w:val="20"/>
          <w:szCs w:val="20"/>
          <w:color w:val="auto"/>
        </w:rPr>
      </w:pPr>
      <w:r>
        <w:rPr>
          <w:rFonts w:ascii="Times New Roman" w:cs="Times New Roman" w:eastAsia="Times New Roman" w:hAnsi="Times New Roman"/>
          <w:sz w:val="18"/>
          <w:szCs w:val="18"/>
          <w:color w:val="auto"/>
        </w:rPr>
        <w:t>our inability to protect our trademarks or other intellectual property rights; infringement on the intellectual property of third parties;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acts of war, terrorism or civil unrest;</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impact of governmental laws and regulations and the outcomes of legal proceedings;</w:t>
      </w:r>
    </w:p>
    <w:p>
      <w:pPr>
        <w:spacing w:after="0" w:line="117" w:lineRule="exact"/>
        <w:rPr>
          <w:sz w:val="20"/>
          <w:szCs w:val="20"/>
          <w:color w:val="auto"/>
        </w:rPr>
      </w:pPr>
    </w:p>
    <w:p>
      <w:pPr>
        <w:ind w:left="880" w:right="360"/>
        <w:spacing w:after="0" w:line="266" w:lineRule="auto"/>
        <w:rPr>
          <w:sz w:val="20"/>
          <w:szCs w:val="20"/>
          <w:color w:val="auto"/>
        </w:rPr>
      </w:pPr>
      <w:r>
        <w:rPr>
          <w:rFonts w:ascii="Times New Roman" w:cs="Times New Roman" w:eastAsia="Times New Roman" w:hAnsi="Times New Roman"/>
          <w:sz w:val="18"/>
          <w:szCs w:val="18"/>
          <w:color w:val="auto"/>
        </w:rPr>
        <w:t>changes in U.S. and non-U.S. laws affecting the importation and taxation of goods, including imposition of unilateral tariffs on imported goods;</w:t>
      </w:r>
    </w:p>
    <w:p>
      <w:pPr>
        <w:spacing w:after="0" w:line="40" w:lineRule="exact"/>
        <w:rPr>
          <w:sz w:val="20"/>
          <w:szCs w:val="20"/>
          <w:color w:val="auto"/>
        </w:rPr>
      </w:pPr>
    </w:p>
    <w:p>
      <w:pPr>
        <w:ind w:left="880" w:right="3340"/>
        <w:spacing w:after="0" w:line="367" w:lineRule="auto"/>
        <w:rPr>
          <w:sz w:val="20"/>
          <w:szCs w:val="20"/>
          <w:color w:val="auto"/>
        </w:rPr>
      </w:pPr>
      <w:r>
        <w:rPr>
          <w:rFonts w:ascii="Times New Roman" w:cs="Times New Roman" w:eastAsia="Times New Roman" w:hAnsi="Times New Roman"/>
          <w:sz w:val="18"/>
          <w:szCs w:val="18"/>
          <w:color w:val="auto"/>
        </w:rPr>
        <w:t>our ability to secure the personal and/or financial information of our customers and employees; failure to comply with data privacy regulations;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ability to comply with the security standards for the credit card industry;</w:t>
      </w:r>
    </w:p>
    <w:p>
      <w:pPr>
        <w:spacing w:after="0" w:line="117" w:lineRule="exact"/>
        <w:rPr>
          <w:sz w:val="20"/>
          <w:szCs w:val="20"/>
          <w:color w:val="auto"/>
        </w:rPr>
      </w:pPr>
    </w:p>
    <w:p>
      <w:pPr>
        <w:ind w:left="880" w:right="3120"/>
        <w:spacing w:after="0" w:line="391" w:lineRule="auto"/>
        <w:rPr>
          <w:sz w:val="20"/>
          <w:szCs w:val="20"/>
          <w:color w:val="auto"/>
        </w:rPr>
      </w:pPr>
      <w:r>
        <w:rPr>
          <w:rFonts w:ascii="Times New Roman" w:cs="Times New Roman" w:eastAsia="Times New Roman" w:hAnsi="Times New Roman"/>
          <w:sz w:val="18"/>
          <w:szCs w:val="18"/>
          <w:color w:val="auto"/>
        </w:rPr>
        <w:t>our failure to maintain adequate internal controls over our financial and management systems; and acquisition, disposition, and development risks.</w:t>
      </w:r>
    </w:p>
    <w:p>
      <w:pPr>
        <w:spacing w:after="0" w:line="28"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45"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See the “Risk Factors” section of this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annual report and hereafter in our other SEC filings and public communications. You should evaluate all forward-looking statements made by us in the context of these risks and uncertainties.</w:t>
      </w:r>
    </w:p>
    <w:p>
      <w:pPr>
        <w:spacing w:after="0" w:line="144" w:lineRule="exact"/>
        <w:rPr>
          <w:sz w:val="20"/>
          <w:szCs w:val="20"/>
          <w:color w:val="auto"/>
        </w:rPr>
      </w:pPr>
    </w:p>
    <w:p>
      <w:pPr>
        <w:jc w:val="both"/>
        <w:ind w:right="200" w:firstLine="440"/>
        <w:spacing w:after="0" w:line="242"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Annual Report on Form 10-K are made only as of the date hereof. We undertake no obligation to publicly update or revise any forward-looking statement as a result of new information, future events or otherwise, except as otherwise required by law.</w:t>
      </w:r>
    </w:p>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color w:val="auto"/>
        </w:rPr>
        <w:t>BUSINESS</w:t>
      </w:r>
    </w:p>
    <w:p>
      <w:pPr>
        <w:spacing w:after="0" w:line="210"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the terms the “Company,” “Duluth,” “Duluth Trading,” “Duluth Holdings,” “Duluth Trading Company,” “Duluth Trading Co.,” “we,” “our” or “us” are used to refer to Duluth Holdings Inc.</w:t>
      </w:r>
    </w:p>
    <w:p>
      <w:pPr>
        <w:spacing w:after="0" w:line="118"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contains references to fiscal years 2024 and 2023, which refer to our fiscal years ended February 2, 2025 and January 28, 2024, respectively. Fiscal year 2024 was a 53-week period and 2023 was a 52-week period.</w:t>
      </w:r>
    </w:p>
    <w:p>
      <w:pPr>
        <w:spacing w:after="0" w:line="133" w:lineRule="exact"/>
        <w:rPr>
          <w:sz w:val="20"/>
          <w:szCs w:val="20"/>
          <w:color w:val="auto"/>
        </w:rPr>
      </w:pPr>
    </w:p>
    <w:p>
      <w:pPr>
        <w:jc w:val="both"/>
        <w:ind w:right="260" w:firstLine="440"/>
        <w:spacing w:after="0" w:line="236" w:lineRule="auto"/>
        <w:rPr>
          <w:sz w:val="20"/>
          <w:szCs w:val="20"/>
          <w:color w:val="auto"/>
        </w:rPr>
      </w:pPr>
      <w:r>
        <w:rPr>
          <w:rFonts w:ascii="Times New Roman" w:cs="Times New Roman" w:eastAsia="Times New Roman" w:hAnsi="Times New Roman"/>
          <w:sz w:val="18"/>
          <w:szCs w:val="18"/>
          <w:color w:val="auto"/>
        </w:rPr>
        <w:t>Duluth Trading is a lifestyle brand of men’s and women’s workwear, casual wear, outdoor apparel and accessories primarily sold through our own omnichannel platform. We offer products nationwide through our website. In 2010, we initiated our omnichannel platform with the opening of our first store. Since then, we have expanded our retail presence, and as of February 2, 2025, we operated 62 retail stores and three outlet stores.</w:t>
      </w:r>
    </w:p>
    <w:p>
      <w:pPr>
        <w:spacing w:after="0" w:line="145"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Duluth Trading was founded in 1989 when two brothers in the home construction industry were tired of dragging tools from job to job using discarded five-gallon drywall compound buckets. The two brothers were never satisfied with the status quo and believed “there’s gotta be a better way.” So, they invented the Bucket Boss® - a ruggedly durable canvas tool organizer that fits around a drywall bucket and transformed the way construction workers organized their tools. Capitalizing on their initial success, these brothers launched a catalog that later became known as Duluth Trading Company. Under the initial philosophy of “Job Tough, Job Smart,” this catalog was dedicated to improving and expanding on existing methods of tool storage, organization and transport. In December 2000, GEMPLER’S Inc., a Wisconsin corporation and an agricultural and horticultural supply catalog business founded and owned by Stephen L. Schlecht, acquired Duluth Trading and brought the two mail order companies together. Both catalogs had customers who worked outside and embraced the spirit of hands-on, self-reliant Americans. In February 2003, the GEMPLER’s catalog business was sold to W.W. Grainger (NYSE:GWW) and proceeds from that sale were used to fund the growth of Duluth Trading. With that transaction, GEMPLER’S changed its corporate name to Duluth Holdings Inc.</w:t>
      </w:r>
    </w:p>
    <w:p>
      <w:pPr>
        <w:spacing w:after="0" w:line="136" w:lineRule="exact"/>
        <w:rPr>
          <w:sz w:val="20"/>
          <w:szCs w:val="20"/>
          <w:color w:val="auto"/>
        </w:rPr>
      </w:pPr>
    </w:p>
    <w:p>
      <w:pPr>
        <w:ind w:right="180" w:firstLine="440"/>
        <w:spacing w:after="0" w:line="251" w:lineRule="auto"/>
        <w:rPr>
          <w:sz w:val="20"/>
          <w:szCs w:val="20"/>
          <w:color w:val="auto"/>
        </w:rPr>
      </w:pPr>
      <w:r>
        <w:rPr>
          <w:rFonts w:ascii="Times New Roman" w:cs="Times New Roman" w:eastAsia="Times New Roman" w:hAnsi="Times New Roman"/>
          <w:sz w:val="17"/>
          <w:szCs w:val="17"/>
          <w:color w:val="auto"/>
        </w:rPr>
        <w:t xml:space="preserve">From what began as an idea aimed at those working in the building trades, Duluth Trading has become a widely recognized brand and proprietary line of innovative and functional apparel and gear. We have created strong brand awareness and built a loyal customer base. We believe the foundation of our success is our culture of “poking average in the eye” </w:t>
      </w:r>
      <w:r>
        <w:rPr>
          <w:rFonts w:ascii="Times New Roman" w:cs="Times New Roman" w:eastAsia="Times New Roman" w:hAnsi="Times New Roman"/>
          <w:sz w:val="17"/>
          <w:szCs w:val="17"/>
          <w:i w:val="1"/>
          <w:iCs w:val="1"/>
          <w:color w:val="auto"/>
        </w:rPr>
        <w:t>by seeing things for what they could be and should be and finding a way to make them exactly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that, and we like to do it all with a big, toothy grin.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08" w:lineRule="exact"/>
        <w:rPr>
          <w:sz w:val="20"/>
          <w:szCs w:val="20"/>
          <w:color w:val="auto"/>
        </w:rPr>
      </w:pPr>
    </w:p>
    <w:p>
      <w:pPr>
        <w:ind w:right="80" w:firstLine="440"/>
        <w:spacing w:after="0" w:line="236" w:lineRule="auto"/>
        <w:rPr>
          <w:sz w:val="20"/>
          <w:szCs w:val="20"/>
          <w:color w:val="auto"/>
        </w:rPr>
      </w:pPr>
      <w:r>
        <w:rPr>
          <w:rFonts w:ascii="Times New Roman" w:cs="Times New Roman" w:eastAsia="Times New Roman" w:hAnsi="Times New Roman"/>
          <w:sz w:val="18"/>
          <w:szCs w:val="18"/>
          <w:color w:val="auto"/>
        </w:rPr>
        <w:t>In 2021, the Company completed a comprehensive review of current operations, logistics networks, marketing and technology capabilities, and unique brands and products. The Company formulated the “Big Dam Blueprint”, which management believes will unlock the Company’s full potential for long-term, sustainable growth.</w:t>
      </w:r>
    </w:p>
    <w:p>
      <w:pPr>
        <w:spacing w:after="0" w:line="74" w:lineRule="exact"/>
        <w:rPr>
          <w:sz w:val="20"/>
          <w:szCs w:val="20"/>
          <w:color w:val="auto"/>
        </w:rPr>
      </w:pPr>
    </w:p>
    <w:p>
      <w:pPr>
        <w:ind w:left="880" w:right="5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Begin with a digital-first mindset </w:t>
      </w:r>
      <w:r>
        <w:rPr>
          <w:rFonts w:ascii="Times New Roman" w:cs="Times New Roman" w:eastAsia="Times New Roman" w:hAnsi="Times New Roman"/>
          <w:sz w:val="18"/>
          <w:szCs w:val="18"/>
          <w:color w:val="auto"/>
        </w:rPr>
        <w:t>that integrates technology into all areas of the business, fundamentally changing how we operate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value to customers.</w:t>
      </w:r>
    </w:p>
    <w:p>
      <w:pPr>
        <w:spacing w:after="0" w:line="45" w:lineRule="exact"/>
        <w:rPr>
          <w:sz w:val="20"/>
          <w:szCs w:val="20"/>
          <w:color w:val="auto"/>
        </w:rPr>
      </w:pPr>
    </w:p>
    <w:p>
      <w:pPr>
        <w:ind w:left="880" w:right="24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Intensify efforts to optimize Duluth Trading’s owned retail channels </w:t>
      </w:r>
      <w:r>
        <w:rPr>
          <w:rFonts w:ascii="Times New Roman" w:cs="Times New Roman" w:eastAsia="Times New Roman" w:hAnsi="Times New Roman"/>
          <w:sz w:val="18"/>
          <w:szCs w:val="18"/>
          <w:color w:val="auto"/>
        </w:rPr>
        <w:t>by increasing focus and investments in our direct channel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growth vehicle. We are conducting strategic research that will inform decisions on future stores regarding new locations and market share potential, size, format, and assortment.</w:t>
      </w:r>
    </w:p>
    <w:p>
      <w:pPr>
        <w:spacing w:after="0" w:line="68" w:lineRule="exact"/>
        <w:rPr>
          <w:sz w:val="20"/>
          <w:szCs w:val="20"/>
          <w:color w:val="auto"/>
        </w:rPr>
      </w:pPr>
    </w:p>
    <w:p>
      <w:pPr>
        <w:jc w:val="both"/>
        <w:ind w:left="88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Evolve the Company’s platform to grow into a multi-brand and multi-channel business. </w:t>
      </w:r>
      <w:r>
        <w:rPr>
          <w:rFonts w:ascii="Times New Roman" w:cs="Times New Roman" w:eastAsia="Times New Roman" w:hAnsi="Times New Roman"/>
          <w:sz w:val="18"/>
          <w:szCs w:val="18"/>
          <w:color w:val="auto"/>
        </w:rPr>
        <w:t>Create unique brand positions, across men’s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women’s, for Duluth and AKHG, as well as for our important Buck Naked franchise to address customer needs for various occasions including work, outdoor recreation, casual lifestyle, and first layer. Invest in the evolution of the Duluth Trading platform to enable the integration of new brands and channels, expand our product offering and broaden our customer base.</w:t>
      </w:r>
    </w:p>
    <w:p>
      <w:pPr>
        <w:spacing w:after="0" w:line="59" w:lineRule="exact"/>
        <w:rPr>
          <w:sz w:val="20"/>
          <w:szCs w:val="20"/>
          <w:color w:val="auto"/>
        </w:rPr>
      </w:pPr>
    </w:p>
    <w:p>
      <w:pPr>
        <w:ind w:left="880"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Prioritize test and learn to unlock long-term growth potential. </w:t>
      </w:r>
      <w:r>
        <w:rPr>
          <w:rFonts w:ascii="Times New Roman" w:cs="Times New Roman" w:eastAsia="Times New Roman" w:hAnsi="Times New Roman"/>
          <w:sz w:val="18"/>
          <w:szCs w:val="18"/>
          <w:color w:val="auto"/>
        </w:rPr>
        <w:t>Explore new opportunities to engage current and potential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products, services and touchpoints that they expect and value.</w:t>
      </w:r>
    </w:p>
    <w:p>
      <w:pPr>
        <w:spacing w:after="0" w:line="19" w:lineRule="exact"/>
        <w:rPr>
          <w:sz w:val="20"/>
          <w:szCs w:val="20"/>
          <w:color w:val="auto"/>
        </w:rPr>
      </w:pPr>
    </w:p>
    <w:p>
      <w:pPr>
        <w:ind w:left="88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Future proof the business through investments in capabilities and infrastructure. </w:t>
      </w:r>
      <w:r>
        <w:rPr>
          <w:rFonts w:ascii="Times New Roman" w:cs="Times New Roman" w:eastAsia="Times New Roman" w:hAnsi="Times New Roman"/>
          <w:sz w:val="18"/>
          <w:szCs w:val="18"/>
          <w:color w:val="auto"/>
        </w:rPr>
        <w:t>Including logistics, operations, and planning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and talent needed to scale the business and enable a multi-brand and multi-channel strategy.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Omnichannel</w:t>
      </w:r>
    </w:p>
    <w:p>
      <w:pPr>
        <w:spacing w:after="0" w:line="175"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Our omnichannel business strategy allows our sales channels to work in synergy to seamlessly deliver a consistent brand experience to the customer, including consistent marketing, pricing and product presentation. All sales channels are fully integrated, including stores, website, catalogs and customer contact centers. Our omnichannel services include order-in-store, buy-online-pickup-in-store, and ship-from-store as well as retail store and mobile shopping experiences.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Store Environment</w:t>
      </w:r>
    </w:p>
    <w:p>
      <w:pPr>
        <w:spacing w:after="0" w:line="175"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Our retail stores are designed to bring our brand to life by creating a unique and entertaining experience, including engaging sales associates, a compelling and complete product assortment, and custom-made fixtures to fit our brand. We also showcase unique attractions at each retail store that celebrate the heritage of the local area, such as the tool museum in our Mt. Horeb, Wisconsin store and the “Exploded Tractor” exhibit in our Ankeny, Iowa store. We believe these local community elements help promote customer loyalty and drive repeat purchases.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62"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We offer a comprehensive line of innovative, durable and functional workwear, casual wear, outdoor apparel and accessories for both men and women. Our product assortment includes shirts, pants, shorts, underwear, outerwear, footwear, accessories and hard goods. Our products feature proprietary designs and distinct names, such as our Longtail T® shirts, Buck Naked® underwear, Fire Hose® work pants and No-Yank® Tank.</w:t>
      </w:r>
    </w:p>
    <w:p>
      <w:pPr>
        <w:spacing w:after="0" w:line="143" w:lineRule="exact"/>
        <w:rPr>
          <w:sz w:val="20"/>
          <w:szCs w:val="20"/>
          <w:color w:val="auto"/>
        </w:rPr>
      </w:pPr>
    </w:p>
    <w:p>
      <w:pPr>
        <w:jc w:val="both"/>
        <w:ind w:right="200" w:firstLine="440"/>
        <w:spacing w:after="0" w:line="242" w:lineRule="auto"/>
        <w:rPr>
          <w:sz w:val="20"/>
          <w:szCs w:val="20"/>
          <w:color w:val="auto"/>
        </w:rPr>
      </w:pPr>
      <w:r>
        <w:rPr>
          <w:rFonts w:ascii="Times New Roman" w:cs="Times New Roman" w:eastAsia="Times New Roman" w:hAnsi="Times New Roman"/>
          <w:sz w:val="18"/>
          <w:szCs w:val="18"/>
          <w:color w:val="auto"/>
        </w:rPr>
        <w:t>Our product assortment appeals to our customers for their everyday and on-the-job use. The majority of our products represent enduring styles that go beyond short-lived fashion trends. We believe many of our customers’ purchases are driven by our thoughtful design and high-quality craftsmanship, and our best-selling styles tend to be items that carry over year to year with only minor updates.</w:t>
      </w:r>
    </w:p>
    <w:p>
      <w:pPr>
        <w:spacing w:after="0" w:line="130"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7"/>
          <w:szCs w:val="17"/>
          <w:color w:val="auto"/>
        </w:rPr>
        <w:t>We believe the authenticity of our products is driven by a number of factors, including our solution-based design process, use of technical materials, sophisticated manufacturing methods and innovative product features. Our products are sold at competitive prices and are designed to offer superior performance with added features such as underarm panels for more freedom of movement, triple-stitched seams for durability and mid-leg utility pockets for functionality. We also collaborate with our suppliers to develop advanced fabrics that we sell under our trademarks. For example, we incorporate our</w:t>
      </w:r>
    </w:p>
    <w:p>
      <w:pPr>
        <w:spacing w:after="0" w:line="1" w:lineRule="exact"/>
        <w:rPr>
          <w:sz w:val="20"/>
          <w:szCs w:val="20"/>
          <w:color w:val="auto"/>
        </w:rPr>
      </w:pPr>
    </w:p>
    <w:p>
      <w:pPr>
        <w:ind w:right="1480"/>
        <w:spacing w:after="0" w:line="360" w:lineRule="auto"/>
        <w:rPr>
          <w:sz w:val="20"/>
          <w:szCs w:val="20"/>
          <w:color w:val="auto"/>
        </w:rPr>
      </w:pPr>
      <w:r>
        <w:rPr>
          <w:rFonts w:ascii="Times New Roman" w:cs="Times New Roman" w:eastAsia="Times New Roman" w:hAnsi="Times New Roman"/>
          <w:sz w:val="18"/>
          <w:szCs w:val="18"/>
          <w:color w:val="auto"/>
        </w:rPr>
        <w:t>DuluthFlex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Fire Hose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cotton canvas into products to provide strength and abrasion resistance with stretch for freedom of movement. </w:t>
      </w:r>
      <w:r>
        <w:rPr>
          <w:rFonts w:ascii="Times New Roman" w:cs="Times New Roman" w:eastAsia="Times New Roman" w:hAnsi="Times New Roman"/>
          <w:sz w:val="18"/>
          <w:szCs w:val="18"/>
          <w:b w:val="1"/>
          <w:bCs w:val="1"/>
          <w:color w:val="auto"/>
        </w:rPr>
        <w:t>Product Development</w:t>
      </w:r>
    </w:p>
    <w:p>
      <w:pPr>
        <w:spacing w:after="0" w:line="2"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We are focused on developing apparel and gear that builds upon the Duluth Trading brand’s product heritage of “there’s gotta be a better way,” resulting in distinctive products with enhanced features. Members of our product development team also regularly read online customer product reviews, attend tradeshows and collaborate with our vendors, which facilitates new product innovation. Our product development team incorporates all of this input to develop new product solutions and features, ensure consistent fit, style and color and design functional and durable fabrics.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62" w:lineRule="exact"/>
        <w:rPr>
          <w:sz w:val="20"/>
          <w:szCs w:val="20"/>
          <w:color w:val="auto"/>
        </w:rPr>
      </w:pPr>
    </w:p>
    <w:p>
      <w:pPr>
        <w:ind w:right="140" w:firstLine="440"/>
        <w:spacing w:after="0" w:line="233" w:lineRule="auto"/>
        <w:rPr>
          <w:sz w:val="20"/>
          <w:szCs w:val="20"/>
          <w:color w:val="auto"/>
        </w:rPr>
      </w:pPr>
      <w:r>
        <w:rPr>
          <w:rFonts w:ascii="Times New Roman" w:cs="Times New Roman" w:eastAsia="Times New Roman" w:hAnsi="Times New Roman"/>
          <w:sz w:val="18"/>
          <w:szCs w:val="18"/>
          <w:color w:val="auto"/>
        </w:rPr>
        <w:t>Our marketing strategy is designed to build brand awareness, acquire new customers, enhance customer loyalty and drive sales transactions. We are nationally known for our creative, irreverent and quirky advertising that features our Giant Angry Beaver, Buck Naked Guy and Grab-Happy Grizzly characters to showcase our brand philosophy, humor and innovation. We also feature testimonials in our marketing campaigns, which put our products in context, tying them to the individuals who represent our core customer, who leads a hands-on lifestyle, values a job well-done and is often outdoors for work and hobbies. We believe our customers identify with the inspiring stories of real men and women, recognize our products’ versatility and appreciate the extreme and demanding conditions our products can withstand.</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pursue our marketing strategy through multiple forms of media, which gives our products an identity and enhances our brand:</w:t>
      </w:r>
    </w:p>
    <w:p>
      <w:pPr>
        <w:spacing w:after="0" w:line="88" w:lineRule="exact"/>
        <w:rPr>
          <w:sz w:val="20"/>
          <w:szCs w:val="20"/>
          <w:color w:val="auto"/>
        </w:rPr>
      </w:pPr>
    </w:p>
    <w:p>
      <w:pPr>
        <w:ind w:left="880" w:right="20"/>
        <w:spacing w:after="0" w:line="251" w:lineRule="auto"/>
        <w:rPr>
          <w:sz w:val="20"/>
          <w:szCs w:val="20"/>
          <w:color w:val="auto"/>
        </w:rPr>
      </w:pPr>
      <w:r>
        <w:rPr>
          <w:rFonts w:ascii="Times New Roman" w:cs="Times New Roman" w:eastAsia="Times New Roman" w:hAnsi="Times New Roman"/>
          <w:sz w:val="18"/>
          <w:szCs w:val="18"/>
          <w:i w:val="1"/>
          <w:iCs w:val="1"/>
          <w:color w:val="auto"/>
        </w:rPr>
        <w:t>Digital and Email Marketing</w:t>
      </w:r>
      <w:r>
        <w:rPr>
          <w:rFonts w:ascii="Times New Roman" w:cs="Times New Roman" w:eastAsia="Times New Roman" w:hAnsi="Times New Roman"/>
          <w:sz w:val="18"/>
          <w:szCs w:val="18"/>
          <w:color w:val="auto"/>
        </w:rPr>
        <w:t>. We employ a variety of digital and online advertising strategies. These efforts include display advertising,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video advertising, search engine marketing and optimization and targeted email, which we send to customers to introduce new products and offer promotions on select merchandise.</w:t>
      </w:r>
    </w:p>
    <w:p>
      <w:pPr>
        <w:spacing w:after="0" w:line="66" w:lineRule="exact"/>
        <w:rPr>
          <w:sz w:val="20"/>
          <w:szCs w:val="20"/>
          <w:color w:val="auto"/>
        </w:rPr>
      </w:pPr>
    </w:p>
    <w:p>
      <w:pPr>
        <w:ind w:left="880" w:right="20"/>
        <w:spacing w:after="0" w:line="253" w:lineRule="auto"/>
        <w:rPr>
          <w:sz w:val="20"/>
          <w:szCs w:val="20"/>
          <w:color w:val="auto"/>
        </w:rPr>
      </w:pPr>
      <w:r>
        <w:rPr>
          <w:rFonts w:ascii="Times New Roman" w:cs="Times New Roman" w:eastAsia="Times New Roman" w:hAnsi="Times New Roman"/>
          <w:sz w:val="17"/>
          <w:szCs w:val="17"/>
          <w:i w:val="1"/>
          <w:iCs w:val="1"/>
          <w:color w:val="auto"/>
        </w:rPr>
        <w:t>Television and Radio</w:t>
      </w:r>
      <w:r>
        <w:rPr>
          <w:rFonts w:ascii="Times New Roman" w:cs="Times New Roman" w:eastAsia="Times New Roman" w:hAnsi="Times New Roman"/>
          <w:sz w:val="17"/>
          <w:szCs w:val="17"/>
          <w:color w:val="auto"/>
        </w:rPr>
        <w:t>. We advertise in online video channels, streaming television, on cable and broadcast television networks, as well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streaming and on-demand audio channels to build brand awareness for both men’s and women’s products and to reach a large, national</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audience. These advertisements feature both our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2" w:lineRule="exact"/>
        <w:rPr>
          <w:sz w:val="20"/>
          <w:szCs w:val="20"/>
          <w:color w:val="auto"/>
        </w:rPr>
      </w:pPr>
    </w:p>
    <w:p>
      <w:pPr>
        <w:ind w:left="880" w:right="200"/>
        <w:spacing w:after="0" w:line="250" w:lineRule="auto"/>
        <w:rPr>
          <w:sz w:val="20"/>
          <w:szCs w:val="20"/>
          <w:color w:val="auto"/>
        </w:rPr>
      </w:pPr>
      <w:r>
        <w:rPr>
          <w:rFonts w:ascii="Times New Roman" w:cs="Times New Roman" w:eastAsia="Times New Roman" w:hAnsi="Times New Roman"/>
          <w:sz w:val="18"/>
          <w:szCs w:val="18"/>
          <w:color w:val="auto"/>
        </w:rPr>
        <w:t>animated characters and female models, and are intended to be humorous, irreverent and quirky in order to grab the viewer’s attention, while highlighting the particularly innovative, solution-based features of our core products and the Duluth Trading name.</w:t>
      </w:r>
    </w:p>
    <w:p>
      <w:pPr>
        <w:spacing w:after="0" w:line="66" w:lineRule="exact"/>
        <w:rPr>
          <w:sz w:val="20"/>
          <w:szCs w:val="20"/>
          <w:color w:val="auto"/>
        </w:rPr>
      </w:pPr>
    </w:p>
    <w:p>
      <w:pPr>
        <w:ind w:left="880" w:right="80"/>
        <w:spacing w:after="0" w:line="243" w:lineRule="auto"/>
        <w:rPr>
          <w:sz w:val="20"/>
          <w:szCs w:val="20"/>
          <w:color w:val="auto"/>
        </w:rPr>
      </w:pPr>
      <w:r>
        <w:rPr>
          <w:rFonts w:ascii="Times New Roman" w:cs="Times New Roman" w:eastAsia="Times New Roman" w:hAnsi="Times New Roman"/>
          <w:sz w:val="18"/>
          <w:szCs w:val="18"/>
          <w:i w:val="1"/>
          <w:iCs w:val="1"/>
          <w:color w:val="auto"/>
        </w:rPr>
        <w:t>Social Media</w:t>
      </w:r>
      <w:r>
        <w:rPr>
          <w:rFonts w:ascii="Times New Roman" w:cs="Times New Roman" w:eastAsia="Times New Roman" w:hAnsi="Times New Roman"/>
          <w:sz w:val="18"/>
          <w:szCs w:val="18"/>
          <w:color w:val="auto"/>
        </w:rPr>
        <w:t>. We have an engaged social media community, which allows us to personally connect with our customers online, and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raises brand awareness. We maintain a social media presence on Facebook, Instagram, Pinterest, YouTube and X (formerly known as Twitter).</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Catalogs</w:t>
      </w:r>
      <w:r>
        <w:rPr>
          <w:rFonts w:ascii="Times New Roman" w:cs="Times New Roman" w:eastAsia="Times New Roman" w:hAnsi="Times New Roman"/>
          <w:sz w:val="18"/>
          <w:szCs w:val="18"/>
          <w:color w:val="auto"/>
        </w:rPr>
        <w:t>. Our catalogs are an important part of our heritage and represent a tangible vehicle for our authentic and humorous storytelling.</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E-Commerce</w:t>
      </w:r>
      <w:r>
        <w:rPr>
          <w:rFonts w:ascii="Times New Roman" w:cs="Times New Roman" w:eastAsia="Times New Roman" w:hAnsi="Times New Roman"/>
          <w:sz w:val="18"/>
          <w:szCs w:val="18"/>
          <w:color w:val="auto"/>
        </w:rPr>
        <w:t>. Our website is an integral part of our marketing strategy where we use humor and authentic storytelling to engage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75" w:lineRule="exact"/>
        <w:rPr>
          <w:sz w:val="20"/>
          <w:szCs w:val="20"/>
          <w:color w:val="auto"/>
        </w:rPr>
      </w:pPr>
    </w:p>
    <w:p>
      <w:pPr>
        <w:ind w:right="100" w:firstLine="440"/>
        <w:spacing w:after="0" w:line="236" w:lineRule="auto"/>
        <w:rPr>
          <w:sz w:val="20"/>
          <w:szCs w:val="20"/>
          <w:color w:val="auto"/>
        </w:rPr>
      </w:pPr>
      <w:r>
        <w:rPr>
          <w:rFonts w:ascii="Times New Roman" w:cs="Times New Roman" w:eastAsia="Times New Roman" w:hAnsi="Times New Roman"/>
          <w:sz w:val="18"/>
          <w:szCs w:val="18"/>
          <w:color w:val="auto"/>
        </w:rPr>
        <w:t>We are committed to providing outstanding customer service and believe in treating our customers like next-door neighbors. Our retail stores are stocked with a comprehensive assortment of our products and staffed with knowledgeable and well-trained sales associates. We stand behind all purchases with our “No Bull Guarantee.”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5" w:lineRule="exact"/>
        <w:rPr>
          <w:sz w:val="20"/>
          <w:szCs w:val="20"/>
          <w:color w:val="auto"/>
        </w:rPr>
      </w:pPr>
    </w:p>
    <w:p>
      <w:pPr>
        <w:jc w:val="both"/>
        <w:ind w:right="120" w:firstLine="440"/>
        <w:spacing w:after="0" w:line="236" w:lineRule="auto"/>
        <w:rPr>
          <w:sz w:val="20"/>
          <w:szCs w:val="20"/>
          <w:color w:val="auto"/>
        </w:rPr>
      </w:pPr>
      <w:r>
        <w:rPr>
          <w:rFonts w:ascii="Times New Roman" w:cs="Times New Roman" w:eastAsia="Times New Roman" w:hAnsi="Times New Roman"/>
          <w:sz w:val="18"/>
          <w:szCs w:val="18"/>
          <w:color w:val="auto"/>
        </w:rPr>
        <w:t>We do not own or operate any manufacturing facilities. Instead, we arrange with third-party vendors for the manufacturing of our merchandise. We have built strong, long-term relationships with our vendors. In fiscal 2024, 43% of our purchases came from our largest supplier, an agent partner in Hong Kong. Goods manufactured on our behalf, ("non-market buy") are sourced from multiple factories across the globe, including concentrations in Vietnam, Indonesia, Pakistan, Bangladesh, and Cambodia.</w:t>
      </w:r>
    </w:p>
    <w:p>
      <w:pPr>
        <w:spacing w:after="0" w:line="144" w:lineRule="exact"/>
        <w:rPr>
          <w:sz w:val="20"/>
          <w:szCs w:val="20"/>
          <w:color w:val="auto"/>
        </w:rPr>
      </w:pPr>
    </w:p>
    <w:p>
      <w:pPr>
        <w:ind w:right="60" w:firstLine="440"/>
        <w:spacing w:after="0" w:line="232" w:lineRule="auto"/>
        <w:rPr>
          <w:sz w:val="20"/>
          <w:szCs w:val="20"/>
          <w:color w:val="auto"/>
        </w:rPr>
      </w:pPr>
      <w:r>
        <w:rPr>
          <w:rFonts w:ascii="Times New Roman" w:cs="Times New Roman" w:eastAsia="Times New Roman" w:hAnsi="Times New Roman"/>
          <w:sz w:val="18"/>
          <w:szCs w:val="18"/>
          <w:color w:val="auto"/>
        </w:rPr>
        <w:t>Our sourcing strategy focuses on identifying and employing vendors that provide quality materials and fine craftsmanship that our customers expect of our brand. To ensure that our high standards of quality and timely delivery of merchandise are met, we work closely with our third-party partners. All of our products are produced according to our specifications, and we require all of our manufacturers to adhere to strict regulatory compliance and standards of conduct. We seek to ensure the consistent product quality by training Duluth Trading-certified factory auditors to selectively examine pre-production samples, conduct periodic site visits to certain of our vendors’ production facilities and inspect inbound shipments at our fulfillment centers.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Fulfillment Centers</w:t>
      </w:r>
    </w:p>
    <w:p>
      <w:pPr>
        <w:spacing w:after="0" w:line="175" w:lineRule="exact"/>
        <w:rPr>
          <w:sz w:val="20"/>
          <w:szCs w:val="20"/>
          <w:color w:val="auto"/>
        </w:rPr>
      </w:pPr>
    </w:p>
    <w:p>
      <w:pPr>
        <w:ind w:right="280" w:firstLine="440"/>
        <w:spacing w:after="0" w:line="250" w:lineRule="auto"/>
        <w:rPr>
          <w:sz w:val="20"/>
          <w:szCs w:val="20"/>
          <w:color w:val="auto"/>
        </w:rPr>
      </w:pPr>
      <w:r>
        <w:rPr>
          <w:rFonts w:ascii="Times New Roman" w:cs="Times New Roman" w:eastAsia="Times New Roman" w:hAnsi="Times New Roman"/>
          <w:sz w:val="18"/>
          <w:szCs w:val="18"/>
          <w:color w:val="auto"/>
        </w:rPr>
        <w:t>We operate fulfillment centers located in Belleville, Wisconsin, Salt Lake City, Utah and Adairsville, Georgia. The approximate square footage of each facility is included in Item 2 of Part I of this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75" w:lineRule="exact"/>
        <w:rPr>
          <w:sz w:val="20"/>
          <w:szCs w:val="20"/>
          <w:color w:val="auto"/>
        </w:rPr>
      </w:pPr>
    </w:p>
    <w:p>
      <w:pPr>
        <w:jc w:val="both"/>
        <w:ind w:right="80" w:firstLine="440"/>
        <w:spacing w:after="0" w:line="236" w:lineRule="auto"/>
        <w:rPr>
          <w:sz w:val="20"/>
          <w:szCs w:val="20"/>
          <w:color w:val="auto"/>
        </w:rPr>
      </w:pPr>
      <w:r>
        <w:rPr>
          <w:rFonts w:ascii="Times New Roman" w:cs="Times New Roman" w:eastAsia="Times New Roman" w:hAnsi="Times New Roman"/>
          <w:sz w:val="18"/>
          <w:szCs w:val="18"/>
          <w:color w:val="auto"/>
        </w:rPr>
        <w:t>We use technology to provide customer service, business process support and business intelligence across our sales channels. We continually aim to have more efficient supply chain and distribution systems operations. Our distributed order management systems provide us with omnichannel capabilities that have a global view of available-to-promise inventory management.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200" w:firstLine="440"/>
        <w:spacing w:after="0" w:line="232" w:lineRule="auto"/>
        <w:rPr>
          <w:sz w:val="20"/>
          <w:szCs w:val="20"/>
          <w:color w:val="auto"/>
        </w:rPr>
      </w:pPr>
      <w:r>
        <w:rPr>
          <w:rFonts w:ascii="Times New Roman" w:cs="Times New Roman" w:eastAsia="Times New Roman" w:hAnsi="Times New Roman"/>
          <w:sz w:val="18"/>
          <w:szCs w:val="18"/>
          <w:color w:val="auto"/>
        </w:rPr>
        <w:t>We operate primarily in the apparel, footwear and accessories industry, which is highly competitive. We compete with a diverse group of direct-to-consumer companies and retailers, including men’s and women’s specialty apparel chains, department stores, outdoor specialty stores, apparel catalog businesses and online apparel businesses. We compete principally on the basis of brand recognition, innovation, product quality, customer service and price. To stay ahead of our competition, we continue to develop innovative solution-based products for which we create unique selling propositions that incorporate humor and storytelling.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ind w:right="180" w:firstLine="440"/>
        <w:spacing w:after="0" w:line="245" w:lineRule="auto"/>
        <w:rPr>
          <w:sz w:val="20"/>
          <w:szCs w:val="20"/>
          <w:color w:val="auto"/>
        </w:rPr>
      </w:pPr>
      <w:r>
        <w:rPr>
          <w:rFonts w:ascii="Times New Roman" w:cs="Times New Roman" w:eastAsia="Times New Roman" w:hAnsi="Times New Roman"/>
          <w:sz w:val="17"/>
          <w:szCs w:val="17"/>
          <w:color w:val="auto"/>
        </w:rPr>
        <w:t>Our trademarks are important to our marketing efforts. We own or have the rights to use certain trademarks, service marks and trade names that are registered with the U.S. Patent and Trademark Office, trademark offices in other jurisdictions, or exist under common law in the United States and other jurisdictions. The “Duluth Trading Co” trade name and trademark is used both in the United States and internationally and is material to our business.</w:t>
      </w:r>
    </w:p>
    <w:p>
      <w:pPr>
        <w:spacing w:after="0" w:line="227" w:lineRule="auto"/>
        <w:rPr>
          <w:sz w:val="20"/>
          <w:szCs w:val="20"/>
          <w:color w:val="auto"/>
        </w:rPr>
      </w:pPr>
      <w:r>
        <w:rPr>
          <w:rFonts w:ascii="Times New Roman" w:cs="Times New Roman" w:eastAsia="Times New Roman" w:hAnsi="Times New Roman"/>
          <w:sz w:val="18"/>
          <w:szCs w:val="18"/>
          <w:color w:val="auto"/>
        </w:rPr>
        <w:t>Trademarks that are important in identifying</w:t>
      </w: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9" w:lineRule="exact"/>
        <w:rPr>
          <w:sz w:val="20"/>
          <w:szCs w:val="20"/>
          <w:color w:val="auto"/>
        </w:rPr>
      </w:pPr>
    </w:p>
    <w:p>
      <w:pPr>
        <w:ind w:right="200"/>
        <w:spacing w:after="0" w:line="211" w:lineRule="auto"/>
        <w:rPr>
          <w:sz w:val="20"/>
          <w:szCs w:val="20"/>
          <w:color w:val="auto"/>
        </w:rPr>
      </w:pPr>
      <w:r>
        <w:rPr>
          <w:rFonts w:ascii="Times New Roman" w:cs="Times New Roman" w:eastAsia="Times New Roman" w:hAnsi="Times New Roman"/>
          <w:sz w:val="17"/>
          <w:szCs w:val="17"/>
          <w:color w:val="auto"/>
        </w:rPr>
        <w:t>and distinguishing our products and services are AKHG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Alaskan Hardgear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Armachillo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Ballroom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Buck Naked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Bullpen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Cab Commander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Crouch Gusset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Dang Soft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Dry on the Fly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Duluth Trading Co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DuluthFlex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Fire Hose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Flexpedition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Longtail 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NoGA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No Polo Shirt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No</w:t>
      </w:r>
    </w:p>
    <w:p>
      <w:pPr>
        <w:spacing w:after="0" w:line="1" w:lineRule="exact"/>
        <w:rPr>
          <w:sz w:val="20"/>
          <w:szCs w:val="20"/>
          <w:color w:val="auto"/>
        </w:rPr>
      </w:pPr>
    </w:p>
    <w:p>
      <w:pPr>
        <w:ind w:right="160"/>
        <w:spacing w:after="0" w:line="199" w:lineRule="auto"/>
        <w:rPr>
          <w:sz w:val="20"/>
          <w:szCs w:val="20"/>
          <w:color w:val="auto"/>
        </w:rPr>
      </w:pPr>
      <w:r>
        <w:rPr>
          <w:rFonts w:ascii="Times New Roman" w:cs="Times New Roman" w:eastAsia="Times New Roman" w:hAnsi="Times New Roman"/>
          <w:sz w:val="18"/>
          <w:szCs w:val="18"/>
          <w:color w:val="auto"/>
        </w:rPr>
        <w:t>Yank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Spit &amp; Polish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Wild Boar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rights to some of these trademarks may be limited to select markets. We also own domain names, including “duluthtrading.com.”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As of February 2, 2025, we employed 807 full-time and 1,441 part-time and flexible part-time employees, 1,085 of which were employed at our retail stores. The number of employees, particularly part-time employees, fluctuates depending upon seasonal needs. Our employees are not represented by a labor union and are not party to a collective bargaining agreement. We consider our relations with our employees to be good.</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ind w:firstLine="440"/>
        <w:spacing w:after="0"/>
        <w:rPr>
          <w:sz w:val="20"/>
          <w:szCs w:val="20"/>
          <w:color w:val="auto"/>
        </w:rPr>
      </w:pPr>
      <w:r>
        <w:rPr>
          <w:rFonts w:ascii="Times New Roman" w:cs="Times New Roman" w:eastAsia="Times New Roman" w:hAnsi="Times New Roman"/>
          <w:sz w:val="18"/>
          <w:szCs w:val="18"/>
          <w:color w:val="auto"/>
        </w:rPr>
        <w:t>Our business experiences seasonal fluctuations. Our net sales and net income are generally highest in the fourth fiscal quarter, which includes the holiday sales period. As a result, our quarterly operating results and working capital requirements fluctuate significantly from quarter to quarter. Further, the impact of certain unusual or non-recurring items, economic conditions, weather or other factors affecting our operations may vary from one year to the next.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162" w:lineRule="exact"/>
        <w:rPr>
          <w:sz w:val="20"/>
          <w:szCs w:val="20"/>
          <w:color w:val="auto"/>
        </w:rPr>
      </w:pPr>
    </w:p>
    <w:p>
      <w:pPr>
        <w:jc w:val="both"/>
        <w:ind w:right="60" w:firstLine="440"/>
        <w:spacing w:after="0" w:line="242" w:lineRule="auto"/>
        <w:rPr>
          <w:sz w:val="20"/>
          <w:szCs w:val="20"/>
          <w:color w:val="auto"/>
        </w:rPr>
      </w:pPr>
      <w:r>
        <w:rPr>
          <w:rFonts w:ascii="Times New Roman" w:cs="Times New Roman" w:eastAsia="Times New Roman" w:hAnsi="Times New Roman"/>
          <w:sz w:val="18"/>
          <w:szCs w:val="18"/>
          <w:color w:val="auto"/>
        </w:rPr>
        <w:t>We are subject to labor and employment laws, truth-in-advertising laws, privacy laws, safety regulations, consumer protection regulations and other laws that regulate retailers and govern the promotion and sale of merchandise and the operation of stores and warehouse facilities. We monitor changes in these laws and believe that we are in material compliance with applicable laws.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7"/>
          <w:szCs w:val="17"/>
          <w:color w:val="auto"/>
        </w:rPr>
        <w:t>Our Annual Reports on Form 10-K, Quarterly Reports on Form 10-Q, Current Reports on Form 8-K and amendments to reports filed pursuant to Sections 13(a) and 15(d) of the Securities Exchange Act of 1934, as amended (the “Exchange Act”), are made available free of charge on or through our website at www.duluthtrading.com under the “Investors” tab as soon as reasonably practicable after such reports are filed with, or furnished to the SEC.</w:t>
      </w:r>
    </w:p>
    <w:p>
      <w:pPr>
        <w:spacing w:after="0" w:line="1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200" w:lineRule="exact"/>
        <w:rPr>
          <w:sz w:val="20"/>
          <w:szCs w:val="20"/>
          <w:color w:val="auto"/>
        </w:rPr>
      </w:pPr>
    </w:p>
    <w:p>
      <w:pPr>
        <w:spacing w:after="0" w:line="226"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products that customers want to purchase, our business and results of operations could be adversely affected.</w:t>
      </w:r>
    </w:p>
    <w:p>
      <w:pPr>
        <w:spacing w:after="0" w:line="175" w:lineRule="exact"/>
        <w:rPr>
          <w:sz w:val="20"/>
          <w:szCs w:val="20"/>
          <w:color w:val="auto"/>
        </w:rPr>
      </w:pPr>
    </w:p>
    <w:p>
      <w:pPr>
        <w:jc w:val="both"/>
        <w:ind w:right="160" w:firstLine="440"/>
        <w:spacing w:after="0" w:line="242" w:lineRule="auto"/>
        <w:rPr>
          <w:sz w:val="20"/>
          <w:szCs w:val="20"/>
          <w:color w:val="auto"/>
        </w:rPr>
      </w:pPr>
      <w:r>
        <w:rPr>
          <w:rFonts w:ascii="Times New Roman" w:cs="Times New Roman" w:eastAsia="Times New Roman" w:hAnsi="Times New Roman"/>
          <w:sz w:val="18"/>
          <w:szCs w:val="18"/>
          <w:color w:val="auto"/>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spacing w:after="0" w:line="143"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Factors that could affect our ability to accurately forecast consumer demand for our products include:</w:t>
      </w:r>
    </w:p>
    <w:p>
      <w:pPr>
        <w:spacing w:after="0" w:line="104" w:lineRule="exact"/>
        <w:rPr>
          <w:sz w:val="20"/>
          <w:szCs w:val="20"/>
          <w:color w:val="auto"/>
        </w:rPr>
      </w:pPr>
    </w:p>
    <w:p>
      <w:pPr>
        <w:ind w:left="880" w:right="360"/>
        <w:spacing w:after="0" w:line="266" w:lineRule="auto"/>
        <w:rPr>
          <w:sz w:val="20"/>
          <w:szCs w:val="20"/>
          <w:color w:val="auto"/>
        </w:rPr>
      </w:pPr>
      <w:r>
        <w:rPr>
          <w:rFonts w:ascii="Times New Roman" w:cs="Times New Roman" w:eastAsia="Times New Roman" w:hAnsi="Times New Roman"/>
          <w:sz w:val="18"/>
          <w:szCs w:val="18"/>
          <w:color w:val="auto"/>
        </w:rPr>
        <w:t>a failure in our solution-based design process to accurately identify the problems our customers are experiencing with commonly available apparel and gear or a lack of customer acceptance of new products or product features we design;</w:t>
      </w:r>
    </w:p>
    <w:p>
      <w:pPr>
        <w:spacing w:after="0" w:line="54" w:lineRule="exact"/>
        <w:rPr>
          <w:sz w:val="20"/>
          <w:szCs w:val="20"/>
          <w:color w:val="auto"/>
        </w:rPr>
      </w:pPr>
    </w:p>
    <w:p>
      <w:pPr>
        <w:ind w:left="880" w:right="500"/>
        <w:spacing w:after="0" w:line="266" w:lineRule="auto"/>
        <w:rPr>
          <w:sz w:val="20"/>
          <w:szCs w:val="20"/>
          <w:color w:val="auto"/>
        </w:rPr>
      </w:pPr>
      <w:r>
        <w:rPr>
          <w:rFonts w:ascii="Times New Roman" w:cs="Times New Roman" w:eastAsia="Times New Roman" w:hAnsi="Times New Roman"/>
          <w:sz w:val="18"/>
          <w:szCs w:val="18"/>
          <w:color w:val="auto"/>
        </w:rPr>
        <w:t>customer unwillingness to attribute premium value to our new products or product features we design relative to the commonly available apparel and gear they were intended to replace;</w:t>
      </w:r>
    </w:p>
    <w:p>
      <w:pPr>
        <w:spacing w:after="0" w:line="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well-received product introductions by competitors;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weak economic conditions or consumer confidence, which reduce demand for our products; and</w:t>
      </w:r>
    </w:p>
    <w:p>
      <w:pPr>
        <w:spacing w:after="0" w:line="103" w:lineRule="exact"/>
        <w:rPr>
          <w:sz w:val="20"/>
          <w:szCs w:val="20"/>
          <w:color w:val="auto"/>
        </w:rPr>
      </w:pPr>
    </w:p>
    <w:p>
      <w:pPr>
        <w:ind w:left="880" w:right="800"/>
        <w:spacing w:after="0" w:line="282" w:lineRule="auto"/>
        <w:rPr>
          <w:sz w:val="20"/>
          <w:szCs w:val="20"/>
          <w:color w:val="auto"/>
        </w:rPr>
      </w:pPr>
      <w:r>
        <w:rPr>
          <w:rFonts w:ascii="Times New Roman" w:cs="Times New Roman" w:eastAsia="Times New Roman" w:hAnsi="Times New Roman"/>
          <w:sz w:val="18"/>
          <w:szCs w:val="18"/>
          <w:color w:val="auto"/>
        </w:rPr>
        <w:t>terrorism, civil unrest or acts of war, or the threat thereof, which adversely affect consumer confidence and spending and/or interrupt production and distribution of products and raw materials.</w:t>
      </w:r>
    </w:p>
    <w:p>
      <w:pPr>
        <w:spacing w:after="0" w:line="94"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anticipate or identify our customers’ needs and preferences and design products and product features in response. These risks could have a material adverse effect on our brand as well as our results of operations and financial condition.</w:t>
      </w:r>
    </w:p>
    <w:p>
      <w:pPr>
        <w:spacing w:after="0" w:line="104" w:lineRule="exact"/>
        <w:rPr>
          <w:sz w:val="20"/>
          <w:szCs w:val="20"/>
          <w:color w:val="auto"/>
        </w:rPr>
      </w:pPr>
    </w:p>
    <w:p>
      <w:pPr>
        <w:ind w:firstLine="25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strong brands and sub brands. We may not be able to maintain and enhance the Duluth Trading brands if we receive unfavorable complaints, negative publicity or otherwise fail to live up to consumers’ expectations, which could materially adversely affect our business, results of operations and growth prospects.</w:t>
      </w:r>
    </w:p>
    <w:p>
      <w:pPr>
        <w:spacing w:after="0" w:line="140"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spacing w:after="0" w:line="144" w:lineRule="exact"/>
        <w:rPr>
          <w:sz w:val="20"/>
          <w:szCs w:val="20"/>
          <w:color w:val="auto"/>
        </w:rPr>
      </w:pPr>
    </w:p>
    <w:p>
      <w:pPr>
        <w:ind w:right="20" w:firstLine="440"/>
        <w:spacing w:after="0" w:line="231" w:lineRule="auto"/>
        <w:rPr>
          <w:sz w:val="20"/>
          <w:szCs w:val="20"/>
          <w:color w:val="auto"/>
        </w:rPr>
      </w:pPr>
      <w:r>
        <w:rPr>
          <w:rFonts w:ascii="Times New Roman" w:cs="Times New Roman" w:eastAsia="Times New Roman" w:hAnsi="Times New Roman"/>
          <w:sz w:val="18"/>
          <w:szCs w:val="18"/>
          <w:color w:val="auto"/>
        </w:rPr>
        <w:t>Customer complaints or negative reactions to, or unfavorable publicity about, our product quality or product features, our storytelling or irreverent advertising, the shopping experience on our website or in our retail stores, product delivery times, customer data privacy and security practices or customer support, especially on blogs, social media, other third-party websites and our website, could rapidly and severely diminish consumer use of our website and catalogs, visits to our retail stores and consumer confidence in us and result in harm to our brand. Furthermore, these factors could cause our customers to no longer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feel a personal connection with the Duluth Trading brand, which could result in the loss of customers and materially adversely affect our business, results of operations and growth prospects.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and challenges if we pursue further geographic expansion.</w:t>
      </w:r>
    </w:p>
    <w:p>
      <w:pPr>
        <w:spacing w:after="0" w:line="175"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Our expansion into new geographic markets could result in increased competition and merchandising, distribution and other challenges. We may encounter difficulties in attracting customers in our new retail store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spacing w:after="0" w:line="145" w:lineRule="exact"/>
        <w:rPr>
          <w:sz w:val="20"/>
          <w:szCs w:val="20"/>
          <w:color w:val="auto"/>
        </w:rPr>
      </w:pPr>
    </w:p>
    <w:p>
      <w:pPr>
        <w:jc w:val="both"/>
        <w:ind w:right="200" w:firstLine="440"/>
        <w:spacing w:after="0" w:line="242" w:lineRule="auto"/>
        <w:rPr>
          <w:sz w:val="20"/>
          <w:szCs w:val="20"/>
          <w:color w:val="auto"/>
        </w:rPr>
      </w:pPr>
      <w:r>
        <w:rPr>
          <w:rFonts w:ascii="Times New Roman" w:cs="Times New Roman" w:eastAsia="Times New Roman" w:hAnsi="Times New Roman"/>
          <w:sz w:val="18"/>
          <w:szCs w:val="18"/>
          <w:color w:val="auto"/>
        </w:rPr>
        <w:t>Furthermore, our retail stores may be located in regions that will be far from our Mount Horeb,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spacing w:after="0" w:line="126" w:lineRule="exact"/>
        <w:rPr>
          <w:sz w:val="20"/>
          <w:szCs w:val="20"/>
          <w:color w:val="auto"/>
        </w:rPr>
      </w:pPr>
    </w:p>
    <w:p>
      <w:pPr>
        <w:ind w:right="240" w:firstLine="259"/>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direct-to-consumer channel depends on customers’ use of our digital platform, including our website, and response to digital marketing; if our overall marketing strategies are not successful, including our maintenance of a robust customer list and ability to effectively customize our marketing efforts based on understanding customers preferences, our business and results of operations could be materially adversely affected.</w:t>
      </w:r>
    </w:p>
    <w:p>
      <w:pPr>
        <w:spacing w:after="0" w:line="131" w:lineRule="exact"/>
        <w:rPr>
          <w:sz w:val="20"/>
          <w:szCs w:val="20"/>
          <w:color w:val="auto"/>
        </w:rPr>
      </w:pPr>
    </w:p>
    <w:p>
      <w:pPr>
        <w:jc w:val="both"/>
        <w:ind w:right="100" w:firstLine="440"/>
        <w:spacing w:after="0" w:line="236" w:lineRule="auto"/>
        <w:rPr>
          <w:sz w:val="20"/>
          <w:szCs w:val="20"/>
          <w:color w:val="auto"/>
        </w:rPr>
      </w:pPr>
      <w:r>
        <w:rPr>
          <w:rFonts w:ascii="Times New Roman" w:cs="Times New Roman" w:eastAsia="Times New Roman" w:hAnsi="Times New Roman"/>
          <w:sz w:val="18"/>
          <w:szCs w:val="18"/>
          <w:color w:val="auto"/>
        </w:rPr>
        <w:t>The level of customer traffic and volume of customer purchases through our direct-to-consumer channel is substantially dependent on our ability to provide a content-rich and user-friendly website, a fun, easy and hassle-free customer experience and reliable delivery of our products. If we are unable to maintain and increase customers’ use of our e-commerce platform, including our website, and the volume of purchases decline, our business and results of operations could be adversely affected.</w:t>
      </w:r>
    </w:p>
    <w:p>
      <w:pPr>
        <w:spacing w:after="0" w:line="144" w:lineRule="exact"/>
        <w:rPr>
          <w:sz w:val="20"/>
          <w:szCs w:val="20"/>
          <w:color w:val="auto"/>
        </w:rPr>
      </w:pPr>
    </w:p>
    <w:p>
      <w:pPr>
        <w:ind w:right="20" w:firstLine="440"/>
        <w:spacing w:after="0" w:line="235" w:lineRule="auto"/>
        <w:rPr>
          <w:sz w:val="20"/>
          <w:szCs w:val="20"/>
          <w:color w:val="auto"/>
        </w:rPr>
      </w:pPr>
      <w:r>
        <w:rPr>
          <w:rFonts w:ascii="Times New Roman" w:cs="Times New Roman" w:eastAsia="Times New Roman" w:hAnsi="Times New Roman"/>
          <w:sz w:val="18"/>
          <w:szCs w:val="18"/>
          <w:color w:val="auto"/>
        </w:rPr>
        <w:t>Customer response to our digital marketing is substantially dependent on merchandise assortment, merchandise availability and creative presentation, as well as the selection of customers to whom our digital marketing is directed and our catalogs are sent. Our maintenance of a robust customer list, which we believe includes desirable demographic characteristics for the products we offer, has also been a key component of our overall strategy. If the performance of our website and email declines, or if our overall marketing strategy is not successful, our business, results of operations and stock price could be adversely affected.</w:t>
      </w:r>
    </w:p>
    <w:p>
      <w:pPr>
        <w:spacing w:after="0" w:line="130" w:lineRule="exact"/>
        <w:rPr>
          <w:sz w:val="20"/>
          <w:szCs w:val="20"/>
          <w:color w:val="auto"/>
        </w:rPr>
      </w:pPr>
    </w:p>
    <w:p>
      <w:pPr>
        <w:ind w:right="58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new customers, or fail to do so in a cost-effective manner, we may not be able to increase net revenue or profit per active customer.</w:t>
      </w:r>
    </w:p>
    <w:p>
      <w:pPr>
        <w:spacing w:after="0" w:line="117" w:lineRule="exact"/>
        <w:rPr>
          <w:sz w:val="20"/>
          <w:szCs w:val="20"/>
          <w:color w:val="auto"/>
        </w:rPr>
      </w:pPr>
    </w:p>
    <w:p>
      <w:pPr>
        <w:ind w:right="20" w:firstLine="440"/>
        <w:spacing w:after="0" w:line="232" w:lineRule="auto"/>
        <w:rPr>
          <w:sz w:val="20"/>
          <w:szCs w:val="20"/>
          <w:color w:val="auto"/>
        </w:rPr>
      </w:pPr>
      <w:r>
        <w:rPr>
          <w:rFonts w:ascii="Times New Roman" w:cs="Times New Roman" w:eastAsia="Times New Roman" w:hAnsi="Times New Roman"/>
          <w:sz w:val="18"/>
          <w:szCs w:val="18"/>
          <w:color w:val="auto"/>
        </w:rPr>
        <w:t>Our success depends on our ability to acquire customers in a cost-effective manner. In order to expand our customer base, we must appeal to and acquire customers who identify with the Duluth Trading brand. We have made significant investments related to customer acquisition and expect to continue to spend significant amounts to acquire additional customers. For example, our national television advertising campaigns are expensive and may not result in the cost-effective acquisition of customers. Furthermore, as our brand has become more widely known in the market, our marketing campaigns have not resulted in acquisition of new customers at the same rate as past campaigns, and this trend may continue in the future.</w:t>
      </w:r>
    </w:p>
    <w:p>
      <w:pPr>
        <w:spacing w:after="0" w:line="147" w:lineRule="exact"/>
        <w:rPr>
          <w:sz w:val="20"/>
          <w:szCs w:val="20"/>
          <w:color w:val="auto"/>
        </w:rPr>
      </w:pPr>
    </w:p>
    <w:p>
      <w:pPr>
        <w:ind w:right="60" w:firstLine="440"/>
        <w:spacing w:after="0" w:line="227" w:lineRule="auto"/>
        <w:rPr>
          <w:sz w:val="20"/>
          <w:szCs w:val="20"/>
          <w:color w:val="auto"/>
        </w:rPr>
      </w:pPr>
      <w:r>
        <w:rPr>
          <w:rFonts w:ascii="Times New Roman" w:cs="Times New Roman" w:eastAsia="Times New Roman" w:hAnsi="Times New Roman"/>
          <w:sz w:val="18"/>
          <w:szCs w:val="18"/>
          <w:color w:val="auto"/>
        </w:rPr>
        <w:t>We also use other paid and non-paid advertising. Our paid advertising includes search engine marketing, display advertising and paid social media. Our non-paid advertising efforts include search engine optimization, non-paid social media and email. We obtain a significant amount of traffic via search engines and, therefore, rely on search engines such as Google.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 our ability to acquire new customers in a cost-effective manner. As usage of these channels by our customer base has not grown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as expected, we have suffered a decline in customer growth and net sales. A continued decrease in the level of usage or customer growth may have a material adverse effect on our business, financial condition and operating results.</w:t>
      </w:r>
    </w:p>
    <w:p>
      <w:pPr>
        <w:spacing w:after="0" w:line="108" w:lineRule="exact"/>
        <w:rPr>
          <w:sz w:val="20"/>
          <w:szCs w:val="20"/>
          <w:color w:val="auto"/>
        </w:rPr>
      </w:pPr>
    </w:p>
    <w:p>
      <w:pPr>
        <w:ind w:right="100" w:firstLine="440"/>
        <w:spacing w:after="0" w:line="242" w:lineRule="auto"/>
        <w:rPr>
          <w:sz w:val="20"/>
          <w:szCs w:val="20"/>
          <w:color w:val="auto"/>
        </w:rPr>
      </w:pPr>
      <w:r>
        <w:rPr>
          <w:rFonts w:ascii="Times New Roman" w:cs="Times New Roman" w:eastAsia="Times New Roman" w:hAnsi="Times New Roman"/>
          <w:sz w:val="18"/>
          <w:szCs w:val="18"/>
          <w:color w:val="auto"/>
        </w:rPr>
        <w:t>We cannot assure you that the net profit from new customers we acquire will ultimately exceed the cost of acquiring those customers. If we fail to deliver an outstanding customer experience, or if consumers do not perceive the products we offer to be manufactured with high quality craftsmanship, we may not be able to acquire new customers. If we are unable to acquire new customers, our growth prospects may be materially adversely affected.</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cannot compete effectively in the apparel, footwear and accessories industry, our business and results of operations may be adversely affected.</w:t>
      </w:r>
    </w:p>
    <w:p>
      <w:pPr>
        <w:spacing w:after="0" w:line="175" w:lineRule="exact"/>
        <w:rPr>
          <w:sz w:val="20"/>
          <w:szCs w:val="20"/>
          <w:color w:val="auto"/>
        </w:rPr>
      </w:pPr>
    </w:p>
    <w:p>
      <w:pPr>
        <w:ind w:right="60" w:firstLine="440"/>
        <w:spacing w:after="0" w:line="231" w:lineRule="auto"/>
        <w:rPr>
          <w:sz w:val="20"/>
          <w:szCs w:val="20"/>
          <w:color w:val="auto"/>
        </w:rPr>
      </w:pPr>
      <w:r>
        <w:rPr>
          <w:rFonts w:ascii="Times New Roman" w:cs="Times New Roman" w:eastAsia="Times New Roman" w:hAnsi="Times New Roman"/>
          <w:sz w:val="18"/>
          <w:szCs w:val="18"/>
          <w:color w:val="auto"/>
        </w:rPr>
        <w:t>The apparel, footwear and accessories industry is highly competitive. We compete with a diverse group of direct-to-consumer companies and retailers, including men’s and women’s specialty apparel chains, outdoor specialty stores, apparel catalog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spacing w:after="0" w:line="140" w:lineRule="exact"/>
        <w:rPr>
          <w:sz w:val="20"/>
          <w:szCs w:val="20"/>
          <w:color w:val="auto"/>
        </w:rPr>
      </w:pPr>
    </w:p>
    <w:p>
      <w:pPr>
        <w:ind w:right="36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negatively impact our liquidity, increase our expenses and present significant distractions to management.</w:t>
      </w:r>
    </w:p>
    <w:p>
      <w:pPr>
        <w:spacing w:after="0" w:line="131"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achieve our growth strategy, our business, financial condition and operating results could be harmed.</w:t>
      </w:r>
    </w:p>
    <w:p>
      <w:pPr>
        <w:spacing w:after="0" w:line="162" w:lineRule="exact"/>
        <w:rPr>
          <w:sz w:val="20"/>
          <w:szCs w:val="20"/>
          <w:color w:val="auto"/>
        </w:rPr>
      </w:pPr>
    </w:p>
    <w:p>
      <w:pPr>
        <w:ind w:right="80" w:firstLine="440"/>
        <w:spacing w:after="0"/>
        <w:rPr>
          <w:sz w:val="20"/>
          <w:szCs w:val="20"/>
          <w:color w:val="auto"/>
        </w:rPr>
      </w:pPr>
      <w:r>
        <w:rPr>
          <w:rFonts w:ascii="Times New Roman" w:cs="Times New Roman" w:eastAsia="Times New Roman" w:hAnsi="Times New Roman"/>
          <w:sz w:val="18"/>
          <w:szCs w:val="18"/>
          <w:color w:val="auto"/>
        </w:rPr>
        <w:t>To achieve our growth strategy, we must continue to implement our operational plans and strategies, improve and expand our infrastructure of people, information systems and facilities and expand, train and manage our employee base. To support growth, we must effectively integrate, develop and motivate a large number of employees. Failure to improve and expand our infrastructure of employees may have a material adverse effect on our business, financial condition and operating results.</w:t>
      </w:r>
    </w:p>
    <w:p>
      <w:pPr>
        <w:spacing w:after="0" w:line="131" w:lineRule="exact"/>
        <w:rPr>
          <w:sz w:val="20"/>
          <w:szCs w:val="20"/>
          <w:color w:val="auto"/>
        </w:rPr>
      </w:pPr>
    </w:p>
    <w:p>
      <w:pPr>
        <w:ind w:right="220" w:firstLine="440"/>
        <w:spacing w:after="0" w:line="233" w:lineRule="auto"/>
        <w:rPr>
          <w:sz w:val="20"/>
          <w:szCs w:val="20"/>
          <w:color w:val="auto"/>
        </w:rPr>
      </w:pPr>
      <w:r>
        <w:rPr>
          <w:rFonts w:ascii="Times New Roman" w:cs="Times New Roman" w:eastAsia="Times New Roman" w:hAnsi="Times New Roman"/>
          <w:sz w:val="18"/>
          <w:szCs w:val="18"/>
          <w:color w:val="auto"/>
        </w:rPr>
        <w:t>Additionally, the growth strategy of our business places significant demands on our management and other employees. The growth of our business may require significant additional resources to meet these daily demands, which may not scale in a cost-effective manner or may negatively affect the quality of our website, retail stores, fulfillment centers, call center and other aspects of the customer experience. We are also required to manage relationships with a growing number of suppliers, customers and other third parties. Our information technology systems and our internal controls and procedures may not be adequate to support future growth of these relationships. If we are unable to achieve the growth strategy of our organization, our business, financial condition and operating results may be materially adversely affected.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8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uncertainties may continue to adversely affect our business operations, store and website traffic, employee availability, financial condition, liquidity, and cash flow for an extended period of time.</w:t>
      </w:r>
    </w:p>
    <w:p>
      <w:pPr>
        <w:spacing w:after="0" w:line="145" w:lineRule="exact"/>
        <w:rPr>
          <w:sz w:val="20"/>
          <w:szCs w:val="20"/>
          <w:color w:val="auto"/>
        </w:rPr>
      </w:pPr>
    </w:p>
    <w:p>
      <w:pPr>
        <w:ind w:right="20" w:firstLine="440"/>
        <w:spacing w:after="0" w:line="250" w:lineRule="auto"/>
        <w:rPr>
          <w:sz w:val="20"/>
          <w:szCs w:val="20"/>
          <w:color w:val="auto"/>
        </w:rPr>
      </w:pPr>
      <w:r>
        <w:rPr>
          <w:rFonts w:ascii="Times New Roman" w:cs="Times New Roman" w:eastAsia="Times New Roman" w:hAnsi="Times New Roman"/>
          <w:sz w:val="18"/>
          <w:szCs w:val="18"/>
          <w:color w:val="auto"/>
        </w:rPr>
        <w:t>The ongoing economic uncertainty continues to affect our business operations and it is impossible to predict the effect and ultimate impact of ongoing economic uncertainties.</w:t>
      </w:r>
    </w:p>
    <w:p>
      <w:pPr>
        <w:spacing w:after="0" w:line="149" w:lineRule="exact"/>
        <w:rPr>
          <w:sz w:val="20"/>
          <w:szCs w:val="20"/>
          <w:color w:val="auto"/>
        </w:rPr>
      </w:pPr>
    </w:p>
    <w:p>
      <w:pPr>
        <w:jc w:val="both"/>
        <w:ind w:firstLine="440"/>
        <w:spacing w:after="0" w:line="250" w:lineRule="auto"/>
        <w:rPr>
          <w:sz w:val="20"/>
          <w:szCs w:val="20"/>
          <w:color w:val="auto"/>
        </w:rPr>
      </w:pPr>
      <w:r>
        <w:rPr>
          <w:rFonts w:ascii="Times New Roman" w:cs="Times New Roman" w:eastAsia="Times New Roman" w:hAnsi="Times New Roman"/>
          <w:sz w:val="18"/>
          <w:szCs w:val="18"/>
          <w:color w:val="auto"/>
        </w:rPr>
        <w:t>Business activities continue to face economic uncertainties, including but not limited to increased inflation and interest rates, tariffs and global supply chain constraints. The economic uncertainties may continue for an extended period and have adversely impacted, and may continue to impact, our business.</w:t>
      </w:r>
    </w:p>
    <w:p>
      <w:pPr>
        <w:spacing w:after="0" w:line="149"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As inflationary periods continue, consumer fear may adversely affect traffic to our stores and website. Reductions in customer visits to, and spending at, our stores and website caused by economic uncertainties have resulted in a loss of retail store sales and profits and other material adverse effects. The extent of the impact on our business, financial results, liquidity and cash flows will depend largely on future developments, all of which are highly uncertain and cannot be predicted.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These and other potential impacts of economic uncertainties could therefore materially and adversely affect our business, financial condition and results of operations.</w:t>
      </w:r>
    </w:p>
    <w:p>
      <w:pPr>
        <w:spacing w:after="0" w:line="104" w:lineRule="exact"/>
        <w:rPr>
          <w:sz w:val="20"/>
          <w:szCs w:val="20"/>
          <w:color w:val="auto"/>
        </w:rPr>
      </w:pPr>
    </w:p>
    <w:p>
      <w:pPr>
        <w:ind w:right="6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sources for merchandise located in foreign markets, and our business may therefore be adversely affected by legal, regulatory, economic and political risks associated with international trade and those markets.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reliance on suppliers in foreign markets creates risks inherent in doing business in foreign jurisdictions, including:</w:t>
      </w:r>
    </w:p>
    <w:p>
      <w:pPr>
        <w:spacing w:after="0" w:line="77" w:lineRule="exact"/>
        <w:rPr>
          <w:sz w:val="20"/>
          <w:szCs w:val="20"/>
          <w:color w:val="auto"/>
        </w:rPr>
      </w:pPr>
    </w:p>
    <w:p>
      <w:pPr>
        <w:ind w:left="880" w:right="460"/>
        <w:spacing w:after="0" w:line="266" w:lineRule="auto"/>
        <w:rPr>
          <w:sz w:val="20"/>
          <w:szCs w:val="20"/>
          <w:color w:val="auto"/>
        </w:rPr>
      </w:pPr>
      <w:r>
        <w:rPr>
          <w:rFonts w:ascii="Times New Roman" w:cs="Times New Roman" w:eastAsia="Times New Roman" w:hAnsi="Times New Roman"/>
          <w:sz w:val="18"/>
          <w:szCs w:val="18"/>
          <w:color w:val="auto"/>
        </w:rPr>
        <w:t>transportation delays and interruptions, including due to port congestion and the failure of suppliers or distributors to comply with import regulations;</w:t>
      </w:r>
    </w:p>
    <w:p>
      <w:pPr>
        <w:spacing w:after="0" w:line="27" w:lineRule="exact"/>
        <w:rPr>
          <w:sz w:val="20"/>
          <w:szCs w:val="20"/>
          <w:color w:val="auto"/>
        </w:rPr>
      </w:pPr>
    </w:p>
    <w:p>
      <w:pPr>
        <w:ind w:left="880" w:right="700"/>
        <w:spacing w:after="0" w:line="266" w:lineRule="auto"/>
        <w:rPr>
          <w:sz w:val="20"/>
          <w:szCs w:val="20"/>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 import/export laws and regulations, and local intellectual property laws and rights owned by third parties;</w:t>
      </w:r>
    </w:p>
    <w:p>
      <w:pPr>
        <w:spacing w:after="0" w:line="27" w:lineRule="exact"/>
        <w:rPr>
          <w:sz w:val="20"/>
          <w:szCs w:val="20"/>
          <w:color w:val="auto"/>
        </w:rPr>
      </w:pPr>
    </w:p>
    <w:p>
      <w:pPr>
        <w:ind w:left="880" w:right="120"/>
        <w:spacing w:after="0" w:line="250" w:lineRule="auto"/>
        <w:rPr>
          <w:sz w:val="20"/>
          <w:szCs w:val="20"/>
          <w:color w:val="auto"/>
        </w:rPr>
      </w:pPr>
      <w:r>
        <w:rPr>
          <w:rFonts w:ascii="Times New Roman" w:cs="Times New Roman" w:eastAsia="Times New Roman" w:hAnsi="Times New Roman"/>
          <w:sz w:val="18"/>
          <w:szCs w:val="18"/>
          <w:color w:val="auto"/>
        </w:rPr>
        <w:t>changes in U.S. and non-U.S. laws (or changes in the enforcement of those laws) affecting the importation and taxation of goods, including disallowance of tax deductions for imported merchandise, imposition of unilateral tariffs on imported goods, duties, quotas, enhanced security measures at U.S. ports or imposition of new legislation relating to import quotas;</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economic and political instability in the countries and regions where our suppliers are located;</w:t>
      </w:r>
    </w:p>
    <w:p>
      <w:pPr>
        <w:spacing w:after="0" w:line="90" w:lineRule="exact"/>
        <w:rPr>
          <w:sz w:val="20"/>
          <w:szCs w:val="20"/>
          <w:color w:val="auto"/>
        </w:rPr>
      </w:pPr>
    </w:p>
    <w:p>
      <w:pPr>
        <w:ind w:left="880" w:right="140"/>
        <w:spacing w:after="0" w:line="282" w:lineRule="auto"/>
        <w:rPr>
          <w:sz w:val="20"/>
          <w:szCs w:val="20"/>
          <w:color w:val="auto"/>
        </w:rPr>
      </w:pPr>
      <w:r>
        <w:rPr>
          <w:rFonts w:ascii="Times New Roman" w:cs="Times New Roman" w:eastAsia="Times New Roman" w:hAnsi="Times New Roman"/>
          <w:sz w:val="18"/>
          <w:szCs w:val="18"/>
          <w:color w:val="auto"/>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increases in shipping, labor, fuel, travel and other transportation costs;</w:t>
      </w:r>
    </w:p>
    <w:p>
      <w:pPr>
        <w:spacing w:after="0" w:line="90" w:lineRule="exact"/>
        <w:rPr>
          <w:sz w:val="20"/>
          <w:szCs w:val="20"/>
          <w:color w:val="auto"/>
        </w:rPr>
      </w:pPr>
    </w:p>
    <w:p>
      <w:pPr>
        <w:ind w:left="880" w:right="960"/>
        <w:spacing w:after="0" w:line="266" w:lineRule="auto"/>
        <w:rPr>
          <w:sz w:val="20"/>
          <w:szCs w:val="20"/>
          <w:color w:val="auto"/>
        </w:rPr>
      </w:pPr>
      <w:r>
        <w:rPr>
          <w:rFonts w:ascii="Times New Roman" w:cs="Times New Roman" w:eastAsia="Times New Roman" w:hAnsi="Times New Roman"/>
          <w:sz w:val="18"/>
          <w:szCs w:val="18"/>
          <w:color w:val="auto"/>
        </w:rPr>
        <w:t>the imposition of anti-dumping or countervailing duty proceedings resulting in the potential assessment of special anti-dumping or countervailing duties;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political instability, war and acts of terrorism; and</w:t>
      </w:r>
    </w:p>
    <w:p>
      <w:pPr>
        <w:spacing w:after="0" w:line="90" w:lineRule="exact"/>
        <w:rPr>
          <w:sz w:val="20"/>
          <w:szCs w:val="20"/>
          <w:color w:val="auto"/>
        </w:rPr>
      </w:pPr>
    </w:p>
    <w:p>
      <w:pPr>
        <w:ind w:left="880" w:right="60"/>
        <w:spacing w:after="0" w:line="282" w:lineRule="auto"/>
        <w:rPr>
          <w:sz w:val="20"/>
          <w:szCs w:val="20"/>
          <w:color w:val="auto"/>
        </w:rPr>
      </w:pPr>
      <w:r>
        <w:rPr>
          <w:rFonts w:ascii="Times New Roman" w:cs="Times New Roman" w:eastAsia="Times New Roman" w:hAnsi="Times New Roman"/>
          <w:sz w:val="18"/>
          <w:szCs w:val="18"/>
          <w:color w:val="auto"/>
        </w:rPr>
        <w:t>the occurrence of a natural disaster, unusual weather conditions, or prolonged public health crises, epidemics or pandemics in foreign countries from which we source our products.</w:t>
      </w:r>
    </w:p>
    <w:p>
      <w:pPr>
        <w:spacing w:after="0" w:line="94"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The occurrence of one or more of these events could result in disruptions to our operations, which in turn could increase our cost of goods sold, decrease our gross profit, or impact our ability to deliver to our customers.</w:t>
      </w:r>
    </w:p>
    <w:p>
      <w:pPr>
        <w:spacing w:after="0" w:line="122" w:lineRule="exact"/>
        <w:rPr>
          <w:sz w:val="20"/>
          <w:szCs w:val="20"/>
          <w:color w:val="auto"/>
        </w:rPr>
      </w:pPr>
    </w:p>
    <w:p>
      <w:pPr>
        <w:ind w:right="260" w:firstLine="440"/>
        <w:spacing w:after="0" w:line="236" w:lineRule="auto"/>
        <w:rPr>
          <w:sz w:val="20"/>
          <w:szCs w:val="20"/>
          <w:color w:val="auto"/>
        </w:rPr>
      </w:pPr>
      <w:r>
        <w:rPr>
          <w:rFonts w:ascii="Times New Roman" w:cs="Times New Roman" w:eastAsia="Times New Roman" w:hAnsi="Times New Roman"/>
          <w:sz w:val="18"/>
          <w:szCs w:val="18"/>
          <w:color w:val="auto"/>
        </w:rPr>
        <w:t>New initiatives have been and may be proposed in the United States that may have an impact on the trading status of certain countries and may include retaliatory duties or other trade sanctions that, if enacted, would increase the cost of products purchased from suppliers in such countries with which we do business. Any inability on our part to rely on our foreign sources of production due to any of the factors listed above could have an adverse effect on our business, results of operations and financial condition.</w:t>
      </w:r>
    </w:p>
    <w:p>
      <w:pPr>
        <w:spacing w:after="0" w:line="127" w:lineRule="exact"/>
        <w:rPr>
          <w:sz w:val="20"/>
          <w:szCs w:val="20"/>
          <w:color w:val="auto"/>
        </w:rPr>
      </w:pPr>
    </w:p>
    <w:p>
      <w:pPr>
        <w:ind w:right="40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timely and effectively obtain shipments of products from our suppliers and deliver merchandise to our customers, our business and operating results could be adversely affected.</w:t>
      </w:r>
    </w:p>
    <w:p>
      <w:pPr>
        <w:spacing w:after="0" w:line="117" w:lineRule="exact"/>
        <w:rPr>
          <w:sz w:val="20"/>
          <w:szCs w:val="20"/>
          <w:color w:val="auto"/>
        </w:rPr>
      </w:pPr>
    </w:p>
    <w:p>
      <w:pPr>
        <w:ind w:firstLine="440"/>
        <w:spacing w:after="0" w:line="226" w:lineRule="auto"/>
        <w:rPr>
          <w:sz w:val="20"/>
          <w:szCs w:val="20"/>
          <w:color w:val="auto"/>
        </w:rPr>
      </w:pPr>
      <w:r>
        <w:rPr>
          <w:rFonts w:ascii="Times New Roman" w:cs="Times New Roman" w:eastAsia="Times New Roman" w:hAnsi="Times New Roman"/>
          <w:sz w:val="18"/>
          <w:szCs w:val="18"/>
          <w:color w:val="auto"/>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fulfillment centers in Wisconsin, Georgia and Utah. While our reliance on a limited number of fulfillment centers provides certain efficiencies, it also makes us more vulnerable to natural disasters, weather-related disruptions, accidents, system failures, public health pandemics, or other unforeseen causes that could delay or impair our 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fulfillment center or at points of export or import, organized labor strikes and work stoppages,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as has happened in the past,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Competitive pricing pressures with respect to shipping our products to our customers may harm our business and results of operations.</w:t>
      </w:r>
    </w:p>
    <w:p>
      <w:pPr>
        <w:spacing w:after="0" w:line="162" w:lineRule="exact"/>
        <w:rPr>
          <w:sz w:val="20"/>
          <w:szCs w:val="20"/>
          <w:color w:val="auto"/>
        </w:rPr>
      </w:pPr>
    </w:p>
    <w:p>
      <w:pPr>
        <w:ind w:right="200" w:firstLine="440"/>
        <w:spacing w:after="0" w:line="230" w:lineRule="auto"/>
        <w:rPr>
          <w:sz w:val="20"/>
          <w:szCs w:val="20"/>
          <w:color w:val="auto"/>
        </w:rPr>
      </w:pPr>
      <w:r>
        <w:rPr>
          <w:rFonts w:ascii="Times New Roman" w:cs="Times New Roman" w:eastAsia="Times New Roman" w:hAnsi="Times New Roman"/>
          <w:sz w:val="18"/>
          <w:szCs w:val="18"/>
          <w:color w:val="auto"/>
        </w:rPr>
        <w:t>Given the size of our direct-to-consumer net sales relative to our total net sales, shipping and handling revenue has had a significant impact on our gross profit and gross profit margin. Historically, this revenue has partially offset our shipping and handling expense included in selling, general and administrative expenses. Online and omnichannel retailers are increasing their focus on delivery services, with customers increasingly seeking faster, guaranteed delivery times and low-price or free shipping. Higher direct-to-consumer net sales has resulted and may continue to result in additional peak surcharges assessed by our delivery partners. To remain competitive, we have been required to offer discounted, free or other more competitive shipping options to our customers, which has resulted in declines in our shipping and handling revenue and increased shipping and handling expense. We expect further declines in shipping and handling revenues as compared to prior years. Further declines in shipping and handling revenues may have a material adverse effect on our gross profit and gross profit margin, as well as our Adjusted EBITDA to the extent there are not commensurate declines, or if there are increases, in our shipping and handling expense.</w:t>
      </w:r>
    </w:p>
    <w:p>
      <w:pPr>
        <w:spacing w:after="0" w:line="141" w:lineRule="exact"/>
        <w:rPr>
          <w:sz w:val="20"/>
          <w:szCs w:val="20"/>
          <w:color w:val="auto"/>
        </w:rPr>
      </w:pPr>
    </w:p>
    <w:p>
      <w:pPr>
        <w:ind w:right="14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to deliver products purchased through our direct-to-consumer channel to our customers and our business could be negatively impacted by disruptions in the operations of these third-party service providers.</w:t>
      </w:r>
    </w:p>
    <w:p>
      <w:pPr>
        <w:spacing w:after="0" w:line="104" w:lineRule="exact"/>
        <w:rPr>
          <w:sz w:val="20"/>
          <w:szCs w:val="20"/>
          <w:color w:val="auto"/>
        </w:rPr>
      </w:pPr>
    </w:p>
    <w:p>
      <w:pPr>
        <w:ind w:right="120" w:firstLine="440"/>
        <w:spacing w:after="0" w:line="233" w:lineRule="auto"/>
        <w:rPr>
          <w:sz w:val="20"/>
          <w:szCs w:val="20"/>
          <w:color w:val="auto"/>
        </w:rPr>
      </w:pPr>
      <w:r>
        <w:rPr>
          <w:rFonts w:ascii="Times New Roman" w:cs="Times New Roman" w:eastAsia="Times New Roman" w:hAnsi="Times New Roman"/>
          <w:sz w:val="18"/>
          <w:szCs w:val="18"/>
          <w:color w:val="auto"/>
        </w:rPr>
        <w:t>Relying on third-party service providers puts us at risk from disruptions in their operations, such as employee strikes, inclement weather and their inability to meet our shipping demands.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We may be subject to shipping surcharges and thresholds during the peak holiday shopping season, which may have a negative impact on our earnings. Our efforts to mitigate the impact of future thresholds may not be successful or may result in similar surcharges. These factors may negatively impact our financial condition and results of operations.</w:t>
      </w:r>
    </w:p>
    <w:p>
      <w:pPr>
        <w:spacing w:after="0" w:line="140" w:lineRule="exact"/>
        <w:rPr>
          <w:sz w:val="20"/>
          <w:szCs w:val="20"/>
          <w:color w:val="auto"/>
        </w:rPr>
      </w:pPr>
    </w:p>
    <w:p>
      <w:pPr>
        <w:ind w:right="26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Dependence on our e-commerce sales channel subjects us to numerous risks that could have a material adverse effect on our business, financial condition and results of operations.</w:t>
      </w:r>
    </w:p>
    <w:p>
      <w:pPr>
        <w:spacing w:after="0" w:line="131" w:lineRule="exact"/>
        <w:rPr>
          <w:sz w:val="20"/>
          <w:szCs w:val="20"/>
          <w:color w:val="auto"/>
        </w:rPr>
      </w:pPr>
    </w:p>
    <w:p>
      <w:pPr>
        <w:ind w:right="80" w:firstLine="440"/>
        <w:spacing w:after="0" w:line="250" w:lineRule="auto"/>
        <w:rPr>
          <w:sz w:val="20"/>
          <w:szCs w:val="20"/>
          <w:color w:val="auto"/>
        </w:rPr>
      </w:pPr>
      <w:r>
        <w:rPr>
          <w:rFonts w:ascii="Times New Roman" w:cs="Times New Roman" w:eastAsia="Times New Roman" w:hAnsi="Times New Roman"/>
          <w:sz w:val="18"/>
          <w:szCs w:val="18"/>
          <w:color w:val="auto"/>
        </w:rPr>
        <w:t>Our results of operations and financial condition are dependent on maintaining our e-commerce business and expanding our e-commerce business is an important part of our growth strategy. Dependence on our e-commerce business and its continued growth subjects us to certain risks, including:</w:t>
      </w:r>
    </w:p>
    <w:p>
      <w:pPr>
        <w:spacing w:after="0" w:line="68" w:lineRule="exact"/>
        <w:rPr>
          <w:sz w:val="20"/>
          <w:szCs w:val="20"/>
          <w:color w:val="auto"/>
        </w:rPr>
      </w:pPr>
    </w:p>
    <w:p>
      <w:pPr>
        <w:ind w:left="880" w:right="7780"/>
        <w:spacing w:after="0" w:line="367" w:lineRule="auto"/>
        <w:rPr>
          <w:sz w:val="20"/>
          <w:szCs w:val="20"/>
          <w:color w:val="auto"/>
        </w:rPr>
      </w:pPr>
      <w:r>
        <w:rPr>
          <w:rFonts w:ascii="Times New Roman" w:cs="Times New Roman" w:eastAsia="Times New Roman" w:hAnsi="Times New Roman"/>
          <w:sz w:val="18"/>
          <w:szCs w:val="18"/>
          <w:color w:val="auto"/>
        </w:rPr>
        <w:t>diversion of traffic from our stores; liability for online content;</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need to keep pace with rapid technological change;</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government regulation of the Internet, including data privacy and taxation; and</w:t>
      </w:r>
    </w:p>
    <w:p>
      <w:pPr>
        <w:spacing w:after="0" w:line="103" w:lineRule="exact"/>
        <w:rPr>
          <w:sz w:val="20"/>
          <w:szCs w:val="20"/>
          <w:color w:val="auto"/>
        </w:rPr>
      </w:pPr>
    </w:p>
    <w:p>
      <w:pPr>
        <w:ind w:left="880" w:right="300"/>
        <w:spacing w:after="0" w:line="282" w:lineRule="auto"/>
        <w:rPr>
          <w:sz w:val="20"/>
          <w:szCs w:val="20"/>
          <w:color w:val="auto"/>
        </w:rPr>
      </w:pPr>
      <w:r>
        <w:rPr>
          <w:rFonts w:ascii="Times New Roman" w:cs="Times New Roman" w:eastAsia="Times New Roman" w:hAnsi="Times New Roman"/>
          <w:sz w:val="18"/>
          <w:szCs w:val="18"/>
          <w:color w:val="auto"/>
        </w:rPr>
        <w:t>threats to the computer systems that operate our website and related support systems, including viruses, malware and other malicious code, misconfiguration, systems failure or inadequacy, compromise or unauthorized access and similar disruptions.</w:t>
      </w:r>
    </w:p>
    <w:p>
      <w:pPr>
        <w:spacing w:after="0" w:line="108" w:lineRule="exact"/>
        <w:rPr>
          <w:sz w:val="20"/>
          <w:szCs w:val="20"/>
          <w:color w:val="auto"/>
        </w:rPr>
      </w:pPr>
    </w:p>
    <w:p>
      <w:pPr>
        <w:ind w:right="460" w:firstLine="440"/>
        <w:spacing w:after="0" w:line="250" w:lineRule="auto"/>
        <w:rPr>
          <w:sz w:val="20"/>
          <w:szCs w:val="20"/>
          <w:color w:val="auto"/>
        </w:rPr>
      </w:pPr>
      <w:r>
        <w:rPr>
          <w:rFonts w:ascii="Times New Roman" w:cs="Times New Roman" w:eastAsia="Times New Roman" w:hAnsi="Times New Roman"/>
          <w:sz w:val="18"/>
          <w:szCs w:val="18"/>
          <w:color w:val="auto"/>
        </w:rPr>
        <w:t>Our failure to successfully respond to these risks and uncertainties could reduce our e-commerce sales, increase our costs, diminish our growth prospects, and damage our brand and reputation, which could negatively impact our business, financial condition and results of operations.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Increases in the price of raw materials, fuel and labor, or their reduced availability, could increase our cost of goods and cause delays.</w:t>
      </w:r>
    </w:p>
    <w:p>
      <w:pPr>
        <w:spacing w:after="0" w:line="162" w:lineRule="exact"/>
        <w:rPr>
          <w:sz w:val="20"/>
          <w:szCs w:val="20"/>
          <w:color w:val="auto"/>
        </w:rPr>
      </w:pPr>
    </w:p>
    <w:p>
      <w:pPr>
        <w:ind w:firstLine="440"/>
        <w:spacing w:after="0" w:line="231" w:lineRule="auto"/>
        <w:rPr>
          <w:sz w:val="20"/>
          <w:szCs w:val="20"/>
          <w:color w:val="auto"/>
        </w:rPr>
      </w:pPr>
      <w:r>
        <w:rPr>
          <w:rFonts w:ascii="Times New Roman" w:cs="Times New Roman" w:eastAsia="Times New Roman" w:hAnsi="Times New Roman"/>
          <w:sz w:val="18"/>
          <w:szCs w:val="18"/>
          <w:color w:val="auto"/>
        </w:rPr>
        <w:t>The price and availability of raw materials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affect our cost of goods 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 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8"/>
          <w:szCs w:val="18"/>
          <w:color w:val="auto"/>
        </w:rPr>
        <w:t>We rely upon third-party land-based and air freight carriers for merchandise shipments from our fulfillment centers to customers and our retail stores. Accordingly, we are subject to the risks, including labor disputes, union organizing activity, inclement weather and increased transportation costs, associated with such carriers’ ability to provide delivery services to meet outbound shipping needs. In addition, if the cost of fuel rises, the cost to deliver merchandise from fulfillment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spacing w:after="0" w:line="128" w:lineRule="exact"/>
        <w:rPr>
          <w:sz w:val="20"/>
          <w:szCs w:val="20"/>
          <w:color w:val="auto"/>
        </w:rPr>
      </w:pPr>
    </w:p>
    <w:p>
      <w:pPr>
        <w:ind w:right="18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key suppliers or service providers were unable or unwilling to provide the products and services we require, our business could be adversely affected.</w:t>
      </w:r>
    </w:p>
    <w:p>
      <w:pPr>
        <w:spacing w:after="0" w:line="104"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Our products are sourced through third-party purchasing agents and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cannot assure that any or all of our relationships will not be terminated or that such relationships will continue as presently in effect. Furthermore, if any of our significant suppliers were to become subject to bankruptcy, receivership or similar proceedings, customs actions, or other legal actions, we may be unable to arrange for alternate or replacement relationships on terms as favorable as our current terms, which could adversely affect our sales and operating results.</w:t>
      </w:r>
    </w:p>
    <w:p>
      <w:pPr>
        <w:spacing w:after="0" w:line="144"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color w:val="auto"/>
        </w:rPr>
        <w:t>Our growth strategy is influenced by the willingness and ability of our suppliers to efficiently manufacture our products in a manner that is consistent with our standards for quality and value. If we cannot obtain a sufficient amount and variety of quality products at acceptable prices, it could have a negative impact on our competitive position. This could result in lower revenue and decreased customer interest in our product offerings, which, in turn, could adversely affect our business and results of operations. Our arrangements with our suppliers are generally not exclusive. As a result, our suppliers might be able to sell similar or identical products to certain of our competitors, some of which purchase products in significantly greater volume. Our competitors may enter into arrangements with suppliers that could impair our ability to obtain our products from those suppliers, including by requiring suppliers to enter into exclusive arrangements, which could limit our access to such arrangements or products.</w:t>
      </w:r>
    </w:p>
    <w:p>
      <w:pPr>
        <w:spacing w:after="0" w:line="140" w:lineRule="exact"/>
        <w:rPr>
          <w:sz w:val="20"/>
          <w:szCs w:val="20"/>
          <w:color w:val="auto"/>
        </w:rPr>
      </w:pPr>
    </w:p>
    <w:p>
      <w:pPr>
        <w:ind w:right="50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us with services in connection with certain aspects of our business, and any failure by these third parties to perform their obligations could have an adverse effect on our business and results of operations.</w:t>
      </w:r>
    </w:p>
    <w:p>
      <w:pPr>
        <w:spacing w:after="0" w:line="104"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We have entered into agreements with third parties for logistics services, information technology systems (including hosting our website), operating our call center during certain hours, software development and support, catalog production, select marketing services, processing gift card activity,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Inventory shrinkage could have a material adverse effect on our business, financial condition and results of operations.</w:t>
      </w:r>
    </w:p>
    <w:p>
      <w:pPr>
        <w:spacing w:after="0" w:line="175" w:lineRule="exact"/>
        <w:rPr>
          <w:sz w:val="20"/>
          <w:szCs w:val="20"/>
          <w:color w:val="auto"/>
        </w:rPr>
      </w:pPr>
    </w:p>
    <w:p>
      <w:pPr>
        <w:ind w:right="40" w:firstLine="440"/>
        <w:spacing w:after="0" w:line="232" w:lineRule="auto"/>
        <w:rPr>
          <w:sz w:val="20"/>
          <w:szCs w:val="20"/>
          <w:color w:val="auto"/>
        </w:rPr>
      </w:pPr>
      <w:r>
        <w:rPr>
          <w:rFonts w:ascii="Times New Roman" w:cs="Times New Roman" w:eastAsia="Times New Roman" w:hAnsi="Times New Roman"/>
          <w:sz w:val="18"/>
          <w:szCs w:val="18"/>
          <w:color w:val="auto"/>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that could negatively affect our results, operations or reputation.</w:t>
      </w:r>
    </w:p>
    <w:p>
      <w:pPr>
        <w:spacing w:after="0" w:line="175" w:lineRule="exact"/>
        <w:rPr>
          <w:sz w:val="20"/>
          <w:szCs w:val="20"/>
          <w:color w:val="auto"/>
        </w:rPr>
      </w:pPr>
    </w:p>
    <w:p>
      <w:pPr>
        <w:ind w:right="80" w:firstLine="440"/>
        <w:spacing w:after="0" w:line="229" w:lineRule="auto"/>
        <w:rPr>
          <w:sz w:val="20"/>
          <w:szCs w:val="20"/>
          <w:color w:val="auto"/>
        </w:rPr>
      </w:pPr>
      <w:r>
        <w:rPr>
          <w:rFonts w:ascii="Times New Roman" w:cs="Times New Roman" w:eastAsia="Times New Roman" w:hAnsi="Times New Roman"/>
          <w:sz w:val="18"/>
          <w:szCs w:val="18"/>
          <w:color w:val="auto"/>
        </w:rPr>
        <w:t>In the normal course of business we often collect, retain and transmit customer personal and credit card information, employee personal information, and other sensitive and confidential information. The protection of customer and employee information, and the Company’s intellectual property, from potential threats is vitally important to the Company. Consumers and employees continue to have significant concerns about the security of personal information, especially when transmitted over the Internet, and the use, retention, disclosure, and privacy of such information. We continually evaluate and upgrade our information systems, security measures, and practices to combat the ever-evolving cyber risks and to comply with our legal and regulatory obligations, and we provide cybersecurity awareness training around phishing, social engineering, and other cyber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risks to our employees, in an effort to elevate our cybersecurity posture and give our workforce the skills to both avoid and report cyber threats. Despite our risk management efforts, vendor due diligence, and security measures, our facilities and systems and those of our third-party service providers, are subject to increasingly complex cyber risks, including cyber extortion, data breaches, unauthorized access, denial of service, vendor or employee misconduct, ransomware and other malicious software, and data exfiltration. We and our employees and customers could suffer significant harm if any personal, financial, or credit card information was accessed or disclosed by an unauthorized third party, or our information technology systems or those of our third party providers were compromised or subject to data loss, exfiltration, corruption, or disruption. Any security incident or data breach could severely damage our reputation and our relationships with customers, business partners and employees, cause us to incur significant costs and expenses to investigate, remediate and notify affected individuals, and expose us to an increased risk of litigation, regulatory enforcement, fines and penalties, and other losses and liabilities. In addition, the media and public scrutiny of information security and privacy has become more intense and the regulatory environment has become more complex and uncertain due to recent high-profile privacy and security incidents and legislative efforts across the globe. As a result, we may incur significant costs to comply with laws regarding the use, retention, disclosure, security, and privacy of personal information.</w:t>
      </w:r>
    </w:p>
    <w:p>
      <w:pPr>
        <w:spacing w:after="0" w:line="146" w:lineRule="exact"/>
        <w:rPr>
          <w:sz w:val="20"/>
          <w:szCs w:val="20"/>
          <w:color w:val="auto"/>
        </w:rPr>
      </w:pPr>
    </w:p>
    <w:p>
      <w:pPr>
        <w:ind w:right="22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and any inadequacy, interruption, integration failure or security failure of this technology could harm our ability to effectively operate our business.</w:t>
      </w:r>
    </w:p>
    <w:p>
      <w:pPr>
        <w:spacing w:after="0" w:line="131"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color w:val="auto"/>
        </w:rPr>
        <w:t>Our ability to effectively manage and operate our business depends significantly on information technology systems. We rely heavily on information technology to track sales and inventory and manage our supply chain. We are also dependent on information technology, including the Internet, for our direct-to-consumer sales, including our e-commerce and catalog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of security of these systems has and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spacing w:after="0" w:line="130" w:lineRule="exact"/>
        <w:rPr>
          <w:sz w:val="20"/>
          <w:szCs w:val="20"/>
          <w:color w:val="auto"/>
        </w:rPr>
      </w:pPr>
    </w:p>
    <w:p>
      <w:pPr>
        <w:ind w:right="46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retain our executive management team and to attract qualified new personnel could adversely affect our business and results of operations.</w:t>
      </w:r>
    </w:p>
    <w:p>
      <w:pPr>
        <w:spacing w:after="0" w:line="117" w:lineRule="exact"/>
        <w:rPr>
          <w:sz w:val="20"/>
          <w:szCs w:val="20"/>
          <w:color w:val="auto"/>
        </w:rPr>
      </w:pPr>
    </w:p>
    <w:p>
      <w:pPr>
        <w:ind w:right="60" w:firstLine="440"/>
        <w:spacing w:after="0" w:line="230" w:lineRule="auto"/>
        <w:rPr>
          <w:sz w:val="20"/>
          <w:szCs w:val="20"/>
          <w:color w:val="auto"/>
        </w:rPr>
      </w:pPr>
      <w:r>
        <w:rPr>
          <w:rFonts w:ascii="Times New Roman" w:cs="Times New Roman" w:eastAsia="Times New Roman" w:hAnsi="Times New Roman"/>
          <w:sz w:val="18"/>
          <w:szCs w:val="18"/>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spacing w:after="0" w:line="142" w:lineRule="exact"/>
        <w:rPr>
          <w:sz w:val="20"/>
          <w:szCs w:val="20"/>
          <w:color w:val="auto"/>
        </w:rPr>
      </w:pPr>
    </w:p>
    <w:p>
      <w:pPr>
        <w:ind w:right="40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qualified employees to meet our staffing needs in our corporate office, stores, fulfillment centers or call center could result in higher payroll costs and adversely affect our operating results.</w:t>
      </w:r>
    </w:p>
    <w:p>
      <w:pPr>
        <w:spacing w:after="0" w:line="104"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Our performance is dependent on attracting and retaining a large number of qualified employees. Many of our strategic initiatives require that we hire and/or develop associates with appropriate experience. Attracting and retaining a sufficient number of qualified employees to meet our staffing needs may be difficult, because the competition for these types of personnel is intense. Many of our staffing needs in our stores, fulfillment centers and call center are entry-level or part-time positions with historically high rates of turnover. If we cannot attract and retain employees with the qualifications we deem necessary to meet our staffing needs in our corporate office, stores, fulfillment centers and call center, our ability to effectively operate may be adversely affected. In addition, our staffing needs are especially high during the peak holiday season. We cannot be sure that we will be able to attract and retain a sufficient number of qualified personnel in future periods.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seasonal, and if we do not efficiently manage inventory levels and allocation, our results of operations could be adversely affected.</w:t>
      </w:r>
    </w:p>
    <w:p>
      <w:pPr>
        <w:spacing w:after="0" w:line="175" w:lineRule="exact"/>
        <w:rPr>
          <w:sz w:val="20"/>
          <w:szCs w:val="20"/>
          <w:color w:val="auto"/>
        </w:rPr>
      </w:pPr>
    </w:p>
    <w:p>
      <w:pPr>
        <w:ind w:right="360" w:firstLine="440"/>
        <w:spacing w:after="0" w:line="250" w:lineRule="auto"/>
        <w:rPr>
          <w:sz w:val="20"/>
          <w:szCs w:val="20"/>
          <w:color w:val="auto"/>
        </w:rPr>
      </w:pPr>
      <w:r>
        <w:rPr>
          <w:rFonts w:ascii="Times New Roman" w:cs="Times New Roman" w:eastAsia="Times New Roman" w:hAnsi="Times New Roman"/>
          <w:sz w:val="18"/>
          <w:szCs w:val="18"/>
          <w:color w:val="auto"/>
        </w:rPr>
        <w:t>Our business is subject to seasonal influences, with increased net sales and net income realized during the fourth quarter of our fiscal year, which includes the holiday season.</w:t>
      </w:r>
    </w:p>
    <w:p>
      <w:pPr>
        <w:spacing w:after="0" w:line="163" w:lineRule="exact"/>
        <w:rPr>
          <w:sz w:val="20"/>
          <w:szCs w:val="20"/>
          <w:color w:val="auto"/>
        </w:rPr>
      </w:pPr>
    </w:p>
    <w:p>
      <w:pPr>
        <w:ind w:right="480" w:firstLine="440"/>
        <w:spacing w:after="0" w:line="234" w:lineRule="auto"/>
        <w:rPr>
          <w:sz w:val="20"/>
          <w:szCs w:val="20"/>
          <w:color w:val="auto"/>
        </w:rPr>
      </w:pPr>
      <w:r>
        <w:rPr>
          <w:rFonts w:ascii="Times New Roman" w:cs="Times New Roman" w:eastAsia="Times New Roman" w:hAnsi="Times New Roman"/>
          <w:sz w:val="18"/>
          <w:szCs w:val="18"/>
          <w:color w:val="auto"/>
        </w:rPr>
        <w:t>We must maintain sufficient inventory levels and properly allocate inventory throughout our distribution network to operate our business successfully, but we must also avoid accumulating excess inventory, which increases working capital needs and potentially lowers gross margins. We obtain substantially all of our inventory from suppliers located outside the</w:t>
      </w: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8"/>
          <w:szCs w:val="18"/>
          <w:color w:val="auto"/>
        </w:rPr>
        <w:t>United States. Some of these suppliers often require lengthy advance notice of 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spacing w:after="0" w:line="148" w:lineRule="exact"/>
        <w:rPr>
          <w:sz w:val="20"/>
          <w:szCs w:val="20"/>
          <w:color w:val="auto"/>
        </w:rPr>
      </w:pPr>
    </w:p>
    <w:p>
      <w:pPr>
        <w:ind w:right="80" w:firstLine="440"/>
        <w:spacing w:after="0" w:line="229" w:lineRule="auto"/>
        <w:rPr>
          <w:sz w:val="20"/>
          <w:szCs w:val="20"/>
          <w:color w:val="auto"/>
        </w:rPr>
      </w:pPr>
      <w:r>
        <w:rPr>
          <w:rFonts w:ascii="Times New Roman" w:cs="Times New Roman" w:eastAsia="Times New Roman" w:hAnsi="Times New Roman"/>
          <w:sz w:val="18"/>
          <w:szCs w:val="18"/>
          <w:color w:val="auto"/>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 commitment costs, as well as incur costs related to a pack-and-hold approach for inventory,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 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 For example, during the holiday season in 2024, there were challenges in inventory planning resulting in delays in processing at a legacy fulfillment center.</w:t>
      </w:r>
    </w:p>
    <w:p>
      <w:pPr>
        <w:spacing w:after="0" w:line="145" w:lineRule="exact"/>
        <w:rPr>
          <w:sz w:val="20"/>
          <w:szCs w:val="20"/>
          <w:color w:val="auto"/>
        </w:rPr>
      </w:pPr>
    </w:p>
    <w:p>
      <w:pPr>
        <w:ind w:right="80" w:firstLine="440"/>
        <w:spacing w:after="0" w:line="236" w:lineRule="auto"/>
        <w:rPr>
          <w:sz w:val="20"/>
          <w:szCs w:val="20"/>
          <w:color w:val="auto"/>
        </w:rPr>
      </w:pPr>
      <w:r>
        <w:rPr>
          <w:rFonts w:ascii="Times New Roman" w:cs="Times New Roman" w:eastAsia="Times New Roman" w:hAnsi="Times New Roman"/>
          <w:sz w:val="18"/>
          <w:szCs w:val="18"/>
          <w:color w:val="auto"/>
        </w:rPr>
        <w:t>As a result of holiday sales, inventories, accounts payable and borrowings under our revolving line of credit typically reach their highest levels in October or November of each year (other than as a result of cash flow provided by or used in investing and financing activities). Inventories, accounts payable and borrowings under our revolving line of credit then typically decline steadily during the holiday season, resulting in our cash typically reaching its highest level, and borrowings under our revolving line of credit reaching their lowest level, typically near December 31 of each year.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71" w:lineRule="exact"/>
        <w:rPr>
          <w:sz w:val="20"/>
          <w:szCs w:val="20"/>
          <w:color w:val="auto"/>
        </w:rPr>
      </w:pPr>
    </w:p>
    <w:p>
      <w:pPr>
        <w:ind w:right="260" w:firstLine="25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Our net sales and profits depend on the level of consumer spending for apparel, footwear and accessories, which is sensitive to general economic conditions and other factors. An economic recession or a decline in consumer spending or consumer sensitivity to pricing could have a material adverse effect on our business and results of operations.</w:t>
      </w:r>
    </w:p>
    <w:p>
      <w:pPr>
        <w:spacing w:after="0" w:line="140" w:lineRule="exact"/>
        <w:rPr>
          <w:sz w:val="20"/>
          <w:szCs w:val="20"/>
          <w:color w:val="auto"/>
        </w:rPr>
      </w:pPr>
    </w:p>
    <w:p>
      <w:pPr>
        <w:ind w:right="20" w:firstLine="440"/>
        <w:spacing w:after="0" w:line="233" w:lineRule="auto"/>
        <w:rPr>
          <w:sz w:val="20"/>
          <w:szCs w:val="20"/>
          <w:color w:val="auto"/>
        </w:rPr>
      </w:pPr>
      <w:r>
        <w:rPr>
          <w:rFonts w:ascii="Times New Roman" w:cs="Times New Roman" w:eastAsia="Times New Roman" w:hAnsi="Times New Roman"/>
          <w:sz w:val="18"/>
          <w:szCs w:val="18"/>
          <w:color w:val="auto"/>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inflation,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175" w:lineRule="exact"/>
        <w:rPr>
          <w:sz w:val="20"/>
          <w:szCs w:val="20"/>
          <w:color w:val="auto"/>
        </w:rPr>
      </w:pPr>
    </w:p>
    <w:p>
      <w:pPr>
        <w:ind w:firstLine="440"/>
        <w:spacing w:after="0" w:line="227"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cards, debit cards, Paypal,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as well as fraud.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suffer a data breach, or become unwilling or unable to provide these services to us. We are also subject to payment card association operating rules, including data privacy and security rules, certification requirements and rules governing electronic funds transfers, which could change or be reinterpreted to make it difficult or impossible for us to comply. If we fail to comply with these rules or requirements, or if our systems containing payment information are breached or compromised, we may be liable for card issuing banks’ costs, subject to fines and higher transaction fees and/or lose our ability to accept credit and debit card payments from our customers and process electronic funds transfers or facilitate other types of payments, and our business and operating results could be adversely affected.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depend on cash generated from our operations to support our growth, which could strain our growth.</w:t>
      </w:r>
    </w:p>
    <w:p>
      <w:pPr>
        <w:spacing w:after="0" w:line="162"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We primarily rely on cash flow generated from our direct-to-consumer and retail store sales and borrowings under our credit facility to fund our current operations and our growth initiatives. As we expand our business, we will need significant amounts of cash to pay our existing and future lease obligations, purchase inventory, pay personnel and invest in our infrastructure and facilities. If our business does not generate sufficient cash flow from operations to fund these activities and 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investments and other activities.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our operating results.</w:t>
      </w:r>
    </w:p>
    <w:p>
      <w:pPr>
        <w:spacing w:after="0" w:line="175"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We may not be able to accurately forecast our operating results. We use a variety of factors in our forecasting and planning processes, including historical results, recent history and assessments of economic and market conditions, among other things. The changes in net sales and profitability that we forecast may not be achieved. Our sales and profitability depends on the growth of demand for the products we offer at the prices we offer, and our business is affected by general economic and business conditions. A softening of demand, whether caused by changes in customer preferences or a weakening of the economy or other factors, may result in decreased net sales.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 sales results. Failure to accurately forecast our operating results could cause investors’ perceptions of our business to be adversely affected, and the market price of our Class B common stock could decline.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restrictive covenants under our revolving credit facility and other debt instruments could trigger prepayment obligations.</w:t>
      </w:r>
    </w:p>
    <w:p>
      <w:pPr>
        <w:spacing w:after="0" w:line="162" w:lineRule="exact"/>
        <w:rPr>
          <w:sz w:val="20"/>
          <w:szCs w:val="20"/>
          <w:color w:val="auto"/>
        </w:rPr>
      </w:pPr>
    </w:p>
    <w:p>
      <w:pPr>
        <w:jc w:val="both"/>
        <w:ind w:right="80" w:firstLine="440"/>
        <w:spacing w:after="0" w:line="242" w:lineRule="auto"/>
        <w:rPr>
          <w:sz w:val="20"/>
          <w:szCs w:val="20"/>
          <w:color w:val="auto"/>
        </w:rPr>
      </w:pPr>
      <w:r>
        <w:rPr>
          <w:rFonts w:ascii="Times New Roman" w:cs="Times New Roman" w:eastAsia="Times New Roman" w:hAnsi="Times New Roman"/>
          <w:sz w:val="18"/>
          <w:szCs w:val="18"/>
          <w:color w:val="auto"/>
        </w:rPr>
        <w:t>Our failure to comply with the restrictive covenants under our revolving credit facility and other debt instruments could result in an event of default, which, if not cured or waived, could result in us being required to repay these borrowings before their due date with penalties. If we are forced to refinance these borrowings on less favorable terms, our results of operations and financial condition could be adversely affected by increased costs and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Compliance, Reputation and Other Risks</w:t>
      </w:r>
    </w:p>
    <w:p>
      <w:pPr>
        <w:spacing w:after="0" w:line="171" w:lineRule="exact"/>
        <w:rPr>
          <w:sz w:val="20"/>
          <w:szCs w:val="20"/>
          <w:color w:val="auto"/>
        </w:rPr>
      </w:pPr>
    </w:p>
    <w:p>
      <w:pPr>
        <w:ind w:right="96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increased labor costs due to external factors, including changes in laws and regulations, and we may be subject to unionization, work stoppages or slowdowns.</w:t>
      </w:r>
    </w:p>
    <w:p>
      <w:pPr>
        <w:spacing w:after="0" w:line="131" w:lineRule="exact"/>
        <w:rPr>
          <w:sz w:val="20"/>
          <w:szCs w:val="20"/>
          <w:color w:val="auto"/>
        </w:rPr>
      </w:pPr>
    </w:p>
    <w:p>
      <w:pPr>
        <w:ind w:right="40" w:firstLine="259"/>
        <w:spacing w:after="0" w:line="231" w:lineRule="auto"/>
        <w:rPr>
          <w:sz w:val="20"/>
          <w:szCs w:val="20"/>
          <w:color w:val="auto"/>
        </w:rPr>
      </w:pPr>
      <w:r>
        <w:rPr>
          <w:rFonts w:ascii="Times New Roman" w:cs="Times New Roman" w:eastAsia="Times New Roman" w:hAnsi="Times New Roman"/>
          <w:sz w:val="18"/>
          <w:szCs w:val="18"/>
          <w:color w:val="auto"/>
        </w:rPr>
        <w:t>Our ability to meet our labor needs while controlling costs is subject to external factors such as unemployment levels, prevailing wage rates, minimum wage legislation, actions by our competitors with respect to compensation levels and changing demographics. Currently none of our employees are represented by a union, but our employees have the right to be under the National Labor Relations Act.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 wage laws and other laws and regulations relating to employee benefits could cause us to incur additional wage and benefit costs, which could negatively impact our business, financial condition and results of operations.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Unseasonal or severe weather conditions may adversely affect our merchandise sales.</w:t>
      </w:r>
    </w:p>
    <w:p>
      <w:pPr>
        <w:spacing w:after="0" w:line="175" w:lineRule="exact"/>
        <w:rPr>
          <w:sz w:val="20"/>
          <w:szCs w:val="20"/>
          <w:color w:val="auto"/>
        </w:rPr>
      </w:pPr>
    </w:p>
    <w:p>
      <w:pPr>
        <w:ind w:right="100" w:firstLine="440"/>
        <w:spacing w:after="0" w:line="229" w:lineRule="auto"/>
        <w:rPr>
          <w:sz w:val="20"/>
          <w:szCs w:val="20"/>
          <w:color w:val="auto"/>
        </w:rPr>
      </w:pPr>
      <w:r>
        <w:rPr>
          <w:rFonts w:ascii="Times New Roman" w:cs="Times New Roman" w:eastAsia="Times New Roman" w:hAnsi="Times New Roman"/>
          <w:sz w:val="18"/>
          <w:szCs w:val="18"/>
          <w:color w:val="auto"/>
        </w:rPr>
        <w:t>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 retail stores, deliver orders to customers on schedule and staff our retail stores, fulfillment centers and call center, which could have an adverse effect on our business and results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product designs are not protected by substantial intellectual property rights.</w:t>
      </w:r>
    </w:p>
    <w:p>
      <w:pPr>
        <w:spacing w:after="0" w:line="162" w:lineRule="exact"/>
        <w:rPr>
          <w:sz w:val="20"/>
          <w:szCs w:val="20"/>
          <w:color w:val="auto"/>
        </w:rPr>
      </w:pPr>
    </w:p>
    <w:p>
      <w:pPr>
        <w:ind w:firstLine="440"/>
        <w:spacing w:after="0" w:line="235" w:lineRule="auto"/>
        <w:rPr>
          <w:sz w:val="20"/>
          <w:szCs w:val="20"/>
          <w:color w:val="auto"/>
        </w:rPr>
      </w:pPr>
      <w:r>
        <w:rPr>
          <w:rFonts w:ascii="Times New Roman" w:cs="Times New Roman" w:eastAsia="Times New Roman" w:hAnsi="Times New Roman"/>
          <w:sz w:val="18"/>
          <w:szCs w:val="18"/>
          <w:color w:val="auto"/>
        </w:rPr>
        <w:t>Due to the rapid pace of change in the apparel, footwear and accessories industry, the length of time it takes to obtain patents and the expense and uncertainty of obtaining patent protection, we have not taken steps to obtain patent protection for many of our innovative product designs. Competitors have attempted to copy our product designs in the past, and we expect that if we are able to raise our national profile, our products may be subject to greater imitation by existing and new competitors. If we are not able to continue rapid innovation of new products and product features, our brand may be harmed and our results of operations may be materially adversely affected.</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or preserve our brand image and our proprietary rights, our business may be adversely affected.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regard our trademarks, copyrights, trade secrets and similar proprietary rights as critical to our success. As such, we rely on trademark and</w:t>
      </w:r>
    </w:p>
    <w:p>
      <w:pPr>
        <w:spacing w:after="0" w:line="16"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color w:val="auto"/>
        </w:rPr>
        <w:t>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 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 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if we infringe upon the intellectual property rights of third parties.</w:t>
      </w:r>
    </w:p>
    <w:p>
      <w:pPr>
        <w:spacing w:after="0" w:line="162" w:lineRule="exact"/>
        <w:rPr>
          <w:sz w:val="20"/>
          <w:szCs w:val="20"/>
          <w:color w:val="auto"/>
        </w:rPr>
      </w:pPr>
    </w:p>
    <w:p>
      <w:pPr>
        <w:ind w:right="60" w:firstLine="440"/>
        <w:spacing w:after="0" w:line="231" w:lineRule="auto"/>
        <w:rPr>
          <w:sz w:val="20"/>
          <w:szCs w:val="20"/>
          <w:color w:val="auto"/>
        </w:rPr>
      </w:pPr>
      <w:r>
        <w:rPr>
          <w:rFonts w:ascii="Times New Roman" w:cs="Times New Roman" w:eastAsia="Times New Roman" w:hAnsi="Times New Roman"/>
          <w:sz w:val="18"/>
          <w:szCs w:val="18"/>
          <w:color w:val="auto"/>
        </w:rPr>
        <w:t>Third parties may sue us for alleged infringement of their proprietary rights or use intellectual property rights to interfere with or attempt to interfere with the manufacture of products for us or the supply of products to us.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spacing w:after="0" w:line="144" w:lineRule="exact"/>
        <w:rPr>
          <w:sz w:val="20"/>
          <w:szCs w:val="20"/>
          <w:color w:val="auto"/>
        </w:rPr>
      </w:pPr>
    </w:p>
    <w:p>
      <w:pPr>
        <w:ind w:right="78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our independent suppliers do not use ethical business practices or comply with applicable regulations and laws, our reputation could be materially harmed and our business and results of operations may be adversely affected.</w:t>
      </w:r>
    </w:p>
    <w:p>
      <w:pPr>
        <w:spacing w:after="0" w:line="131" w:lineRule="exact"/>
        <w:rPr>
          <w:sz w:val="20"/>
          <w:szCs w:val="20"/>
          <w:color w:val="auto"/>
        </w:rPr>
      </w:pPr>
    </w:p>
    <w:p>
      <w:pPr>
        <w:ind w:right="140" w:firstLine="440"/>
        <w:spacing w:after="0" w:line="231" w:lineRule="auto"/>
        <w:rPr>
          <w:sz w:val="20"/>
          <w:szCs w:val="20"/>
          <w:color w:val="auto"/>
        </w:rPr>
      </w:pPr>
      <w:r>
        <w:rPr>
          <w:rFonts w:ascii="Times New Roman" w:cs="Times New Roman" w:eastAsia="Times New Roman" w:hAnsi="Times New Roman"/>
          <w:sz w:val="18"/>
          <w:szCs w:val="18"/>
          <w:color w:val="auto"/>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 of a supplier’s labor practices from those generally accepted as ethical in the United States, could materially hurt our reputation, which could have an adverse effect on our business and results of operations.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assessments for additional taxes, including sales taxes, which could adversely affect our business.</w:t>
      </w:r>
    </w:p>
    <w:p>
      <w:pPr>
        <w:spacing w:after="0" w:line="175"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In accordance with current law, we pay, collect and/or remit taxes in those states where we or our subsidiary, as applicable, maintain a physical presence.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spacing w:after="0" w:line="144" w:lineRule="exact"/>
        <w:rPr>
          <w:sz w:val="20"/>
          <w:szCs w:val="20"/>
          <w:color w:val="auto"/>
        </w:rPr>
      </w:pPr>
    </w:p>
    <w:p>
      <w:pPr>
        <w:ind w:right="20" w:firstLine="402"/>
        <w:spacing w:after="0" w:line="230"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have adopted, or begun to enforce, laws requiring us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and decrease our future sales, which could have an impact on our business, financial condition and results of operations.</w:t>
      </w:r>
    </w:p>
    <w:p>
      <w:pPr>
        <w:spacing w:after="0" w:line="144" w:lineRule="exact"/>
        <w:rPr>
          <w:sz w:val="20"/>
          <w:szCs w:val="20"/>
          <w:color w:val="auto"/>
        </w:rPr>
      </w:pPr>
    </w:p>
    <w:p>
      <w:pPr>
        <w:ind w:right="30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a number of legal proceedings and audits, and outcomes of such legal proceedings and audits could adversely affect our business, financial condition and results of operations.</w:t>
      </w:r>
    </w:p>
    <w:p>
      <w:pPr>
        <w:spacing w:after="0" w:line="131" w:lineRule="exact"/>
        <w:rPr>
          <w:sz w:val="20"/>
          <w:szCs w:val="20"/>
          <w:color w:val="auto"/>
        </w:rPr>
      </w:pPr>
    </w:p>
    <w:p>
      <w:pPr>
        <w:ind w:firstLine="440"/>
        <w:spacing w:after="0" w:line="229" w:lineRule="auto"/>
        <w:rPr>
          <w:sz w:val="20"/>
          <w:szCs w:val="20"/>
          <w:color w:val="auto"/>
        </w:rPr>
      </w:pPr>
      <w:r>
        <w:rPr>
          <w:rFonts w:ascii="Times New Roman" w:cs="Times New Roman" w:eastAsia="Times New Roman" w:hAnsi="Times New Roman"/>
          <w:sz w:val="18"/>
          <w:szCs w:val="18"/>
          <w:color w:val="auto"/>
        </w:rPr>
        <w:t>Our business requires compliance with many laws and regulations, including labor and employment, customs, truth-in-advertising, data privacy and security, consumer protection and zoning and occupancy laws and ordinances that regulate retailers generally and/or govern the importation, promotion and sale of merchandise and the operation of stores and warehouse facilities. Failure to achieve compliance could subject us to lawsuits and other proceedings, and could also lead to damage awards, fines and penalties. We 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 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to accounting rules or regulations could significantly affect our financial results.</w:t>
      </w:r>
    </w:p>
    <w:p>
      <w:pPr>
        <w:spacing w:after="0" w:line="175" w:lineRule="exact"/>
        <w:rPr>
          <w:sz w:val="20"/>
          <w:szCs w:val="20"/>
          <w:color w:val="auto"/>
        </w:rPr>
      </w:pPr>
    </w:p>
    <w:p>
      <w:pPr>
        <w:ind w:right="300" w:firstLine="440"/>
        <w:spacing w:after="0" w:line="242"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B Common Stock</w:t>
      </w:r>
    </w:p>
    <w:p>
      <w:pPr>
        <w:spacing w:after="0" w:line="171" w:lineRule="exact"/>
        <w:rPr>
          <w:sz w:val="20"/>
          <w:szCs w:val="20"/>
          <w:color w:val="auto"/>
        </w:rPr>
      </w:pPr>
    </w:p>
    <w:p>
      <w:pPr>
        <w:ind w:right="100" w:firstLine="25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spacing w:after="0" w:line="140" w:lineRule="exact"/>
        <w:rPr>
          <w:sz w:val="20"/>
          <w:szCs w:val="20"/>
          <w:color w:val="auto"/>
        </w:rPr>
      </w:pPr>
    </w:p>
    <w:p>
      <w:pPr>
        <w:ind w:firstLine="440"/>
        <w:spacing w:after="0" w:line="229" w:lineRule="auto"/>
        <w:rPr>
          <w:sz w:val="20"/>
          <w:szCs w:val="20"/>
          <w:color w:val="auto"/>
        </w:rPr>
      </w:pPr>
      <w:r>
        <w:rPr>
          <w:rFonts w:ascii="Times New Roman" w:cs="Times New Roman" w:eastAsia="Times New Roman" w:hAnsi="Times New Roman"/>
          <w:sz w:val="18"/>
          <w:szCs w:val="18"/>
          <w:color w:val="auto"/>
        </w:rPr>
        <w:t>Our Class A common stock has ten votes per share, and our Class B common stock has one vote per share. Given the greater number of votes per share attributed to our Class A common stock, our Chairman, Stephen L. Schlecht, who through his voting trust is our only Class A shareholder, beneficially owns shares representing more than 50%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Mr. Schlecht together with our other executive officers, directors and their affiliates, owns shares representing the majority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spacing w:after="0" w:line="145"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Additionally, the holder of our Class A common stock may cause us to make strategic decisions or pursue acquisitions that could involve risks to you or may not be aligned with your interests. The holder of our Class A common stock will also be entitled to a separate vote in the event we seek to amend our articles of incorporation in a manner that alters or changes the powers, preferences or special rights of the Class A common stock in a manner that affects its holder adversely.</w:t>
      </w:r>
    </w:p>
    <w:p>
      <w:pPr>
        <w:spacing w:after="0" w:line="140" w:lineRule="exact"/>
        <w:rPr>
          <w:sz w:val="20"/>
          <w:szCs w:val="20"/>
          <w:color w:val="auto"/>
        </w:rPr>
      </w:pPr>
    </w:p>
    <w:p>
      <w:pPr>
        <w:ind w:right="14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we rely on exemptions from certain corporate governance requirements that provide protection to shareholders of other companies.</w:t>
      </w:r>
    </w:p>
    <w:p>
      <w:pPr>
        <w:spacing w:after="0" w:line="131" w:lineRule="exact"/>
        <w:rPr>
          <w:sz w:val="20"/>
          <w:szCs w:val="20"/>
          <w:color w:val="auto"/>
        </w:rPr>
      </w:pPr>
    </w:p>
    <w:p>
      <w:pPr>
        <w:ind w:right="680" w:firstLine="440"/>
        <w:spacing w:after="0" w:line="241" w:lineRule="auto"/>
        <w:rPr>
          <w:sz w:val="20"/>
          <w:szCs w:val="20"/>
          <w:color w:val="auto"/>
        </w:rPr>
      </w:pPr>
      <w:r>
        <w:rPr>
          <w:rFonts w:ascii="Times New Roman" w:cs="Times New Roman" w:eastAsia="Times New Roman" w:hAnsi="Times New Roman"/>
          <w:sz w:val="18"/>
          <w:szCs w:val="18"/>
          <w:color w:val="auto"/>
        </w:rPr>
        <w:t>Mr. Schlecht controls more than 50% of the total voting power of our common stock, and we are considered a controlled company under the NASDAQ corporate governance listing standards. As a controlled company, certain exemptions under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960"/>
        <w:spacing w:after="0" w:line="266" w:lineRule="auto"/>
        <w:rPr>
          <w:sz w:val="20"/>
          <w:szCs w:val="20"/>
          <w:color w:val="auto"/>
        </w:rPr>
      </w:pPr>
      <w:r>
        <w:rPr>
          <w:rFonts w:ascii="Times New Roman" w:cs="Times New Roman" w:eastAsia="Times New Roman" w:hAnsi="Times New Roman"/>
          <w:sz w:val="18"/>
          <w:szCs w:val="18"/>
          <w:color w:val="auto"/>
        </w:rPr>
        <w:t>NASDAQ listing standards exempt us from the obligation to comply with certain NASDAQ corporate governance requirements, including the requirements: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that a majority of our board of directors consist of independent directors, as defined under the rules of NASDAQ;</w:t>
      </w:r>
    </w:p>
    <w:p>
      <w:pPr>
        <w:spacing w:after="0" w:line="90" w:lineRule="exact"/>
        <w:rPr>
          <w:sz w:val="20"/>
          <w:szCs w:val="20"/>
          <w:color w:val="auto"/>
        </w:rPr>
      </w:pPr>
    </w:p>
    <w:p>
      <w:pPr>
        <w:ind w:left="880" w:right="420"/>
        <w:spacing w:after="0" w:line="266" w:lineRule="auto"/>
        <w:rPr>
          <w:sz w:val="20"/>
          <w:szCs w:val="20"/>
          <w:color w:val="auto"/>
        </w:rPr>
      </w:pPr>
      <w:r>
        <w:rPr>
          <w:rFonts w:ascii="Times New Roman" w:cs="Times New Roman" w:eastAsia="Times New Roman" w:hAnsi="Times New Roman"/>
          <w:sz w:val="18"/>
          <w:szCs w:val="18"/>
          <w:color w:val="auto"/>
        </w:rPr>
        <w:t>that we have a nominating committee that is composed entirely of independent directors with a written charter addressing the committee’s purpose and responsibilities; and</w:t>
      </w:r>
    </w:p>
    <w:p>
      <w:pPr>
        <w:spacing w:after="0" w:line="27" w:lineRule="exact"/>
        <w:rPr>
          <w:sz w:val="20"/>
          <w:szCs w:val="20"/>
          <w:color w:val="auto"/>
        </w:rPr>
      </w:pPr>
    </w:p>
    <w:p>
      <w:pPr>
        <w:ind w:left="880" w:right="240"/>
        <w:spacing w:after="0" w:line="282" w:lineRule="auto"/>
        <w:rPr>
          <w:sz w:val="20"/>
          <w:szCs w:val="20"/>
          <w:color w:val="auto"/>
        </w:rPr>
      </w:pPr>
      <w:r>
        <w:rPr>
          <w:rFonts w:ascii="Times New Roman" w:cs="Times New Roman" w:eastAsia="Times New Roman" w:hAnsi="Times New Roman"/>
          <w:sz w:val="18"/>
          <w:szCs w:val="18"/>
          <w:color w:val="auto"/>
        </w:rPr>
        <w:t>that we have a compensation committee that is composed entirely of independent directors with a written charter addressing the committee’s purpose and responsibilities.</w:t>
      </w:r>
    </w:p>
    <w:p>
      <w:pPr>
        <w:spacing w:after="0" w:line="94" w:lineRule="exact"/>
        <w:rPr>
          <w:sz w:val="20"/>
          <w:szCs w:val="20"/>
          <w:color w:val="auto"/>
        </w:rPr>
      </w:pPr>
    </w:p>
    <w:p>
      <w:pPr>
        <w:ind w:right="20" w:firstLine="440"/>
        <w:spacing w:after="0" w:line="242" w:lineRule="auto"/>
        <w:rPr>
          <w:sz w:val="20"/>
          <w:szCs w:val="20"/>
          <w:color w:val="auto"/>
        </w:rPr>
      </w:pPr>
      <w:r>
        <w:rPr>
          <w:rFonts w:ascii="Times New Roman" w:cs="Times New Roman" w:eastAsia="Times New Roman" w:hAnsi="Times New Roman"/>
          <w:sz w:val="18"/>
          <w:szCs w:val="18"/>
          <w:color w:val="auto"/>
        </w:rPr>
        <w:t>Although we have a majority of independent directors on our board, we are a controlled company. As such,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resulting in substantial losses for investors.</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market price of our Class B common stock may fluctuate significantly in response to numerous factors, many of which are beyond our control, including:</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actual or anticipated fluctuations in our results of operations, particularly in our growth rates and margins;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90" w:lineRule="exact"/>
        <w:rPr>
          <w:sz w:val="20"/>
          <w:szCs w:val="20"/>
          <w:color w:val="auto"/>
        </w:rPr>
      </w:pPr>
    </w:p>
    <w:p>
      <w:pPr>
        <w:ind w:left="880" w:right="20"/>
        <w:spacing w:after="0" w:line="266" w:lineRule="auto"/>
        <w:rPr>
          <w:sz w:val="20"/>
          <w:szCs w:val="20"/>
          <w:color w:val="auto"/>
        </w:rPr>
      </w:pPr>
      <w:r>
        <w:rPr>
          <w:rFonts w:ascii="Times New Roman" w:cs="Times New Roman" w:eastAsia="Times New Roman" w:hAnsi="Times New Roman"/>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27" w:lineRule="exact"/>
        <w:rPr>
          <w:sz w:val="20"/>
          <w:szCs w:val="20"/>
          <w:color w:val="auto"/>
        </w:rPr>
      </w:pPr>
    </w:p>
    <w:p>
      <w:pPr>
        <w:ind w:left="880" w:right="440"/>
        <w:spacing w:after="0" w:line="282" w:lineRule="auto"/>
        <w:rPr>
          <w:sz w:val="20"/>
          <w:szCs w:val="20"/>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operating results or capital commitments;</w:t>
      </w:r>
    </w:p>
    <w:p>
      <w:pPr>
        <w:spacing w:after="0" w:line="13" w:lineRule="exact"/>
        <w:rPr>
          <w:sz w:val="20"/>
          <w:szCs w:val="20"/>
          <w:color w:val="auto"/>
        </w:rPr>
      </w:pPr>
    </w:p>
    <w:p>
      <w:pPr>
        <w:ind w:left="880" w:right="560"/>
        <w:spacing w:after="0" w:line="344" w:lineRule="auto"/>
        <w:rPr>
          <w:sz w:val="20"/>
          <w:szCs w:val="20"/>
          <w:color w:val="auto"/>
        </w:rPr>
      </w:pPr>
      <w:r>
        <w:rPr>
          <w:rFonts w:ascii="Times New Roman" w:cs="Times New Roman" w:eastAsia="Times New Roman" w:hAnsi="Times New Roman"/>
          <w:sz w:val="18"/>
          <w:szCs w:val="18"/>
          <w:color w:val="auto"/>
        </w:rPr>
        <w:t>changes in operating performance and stock market valuations of other retail companies generally, or those in our industry in particular; price and volume fluctuations in the overall stock market, including as a result of trends in the economy as a whole;</w:t>
      </w:r>
    </w:p>
    <w:p>
      <w:pPr>
        <w:ind w:left="440"/>
        <w:spacing w:after="0"/>
        <w:rPr>
          <w:sz w:val="20"/>
          <w:szCs w:val="20"/>
          <w:color w:val="auto"/>
        </w:rPr>
      </w:pPr>
      <w:r>
        <w:rPr>
          <w:rFonts w:ascii="Times New Roman" w:cs="Times New Roman" w:eastAsia="Times New Roman" w:hAnsi="Times New Roman"/>
          <w:sz w:val="18"/>
          <w:szCs w:val="18"/>
          <w:color w:val="auto"/>
        </w:rPr>
        <w:t>changes in our board of directors or management;</w:t>
      </w:r>
    </w:p>
    <w:p>
      <w:pPr>
        <w:spacing w:after="0" w:line="90" w:lineRule="exact"/>
        <w:rPr>
          <w:sz w:val="20"/>
          <w:szCs w:val="20"/>
          <w:color w:val="auto"/>
        </w:rPr>
      </w:pPr>
    </w:p>
    <w:p>
      <w:pPr>
        <w:ind w:left="880" w:right="880"/>
        <w:spacing w:after="0" w:line="344" w:lineRule="auto"/>
        <w:rPr>
          <w:sz w:val="20"/>
          <w:szCs w:val="20"/>
          <w:color w:val="auto"/>
        </w:rPr>
      </w:pPr>
      <w:r>
        <w:rPr>
          <w:rFonts w:ascii="Times New Roman" w:cs="Times New Roman" w:eastAsia="Times New Roman" w:hAnsi="Times New Roman"/>
          <w:sz w:val="18"/>
          <w:szCs w:val="18"/>
          <w:color w:val="auto"/>
        </w:rPr>
        <w:t>sales of large blocks of our Class B common stock, including sales by our executive officers, directors and significant shareholders; lawsuits threatened or filed against us;</w:t>
      </w:r>
    </w:p>
    <w:p>
      <w:pPr>
        <w:ind w:left="440"/>
        <w:spacing w:after="0"/>
        <w:rPr>
          <w:sz w:val="20"/>
          <w:szCs w:val="20"/>
          <w:color w:val="auto"/>
        </w:rPr>
      </w:pPr>
      <w:r>
        <w:rPr>
          <w:rFonts w:ascii="Times New Roman" w:cs="Times New Roman" w:eastAsia="Times New Roman" w:hAnsi="Times New Roman"/>
          <w:sz w:val="18"/>
          <w:szCs w:val="18"/>
          <w:color w:val="auto"/>
        </w:rPr>
        <w:t>changes in laws or regulations applicable to our business;</w:t>
      </w:r>
    </w:p>
    <w:p>
      <w:pPr>
        <w:spacing w:after="0" w:line="90" w:lineRule="exact"/>
        <w:rPr>
          <w:sz w:val="20"/>
          <w:szCs w:val="20"/>
          <w:color w:val="auto"/>
        </w:rPr>
      </w:pPr>
    </w:p>
    <w:p>
      <w:pPr>
        <w:ind w:left="880" w:right="4280"/>
        <w:spacing w:after="0" w:line="344" w:lineRule="auto"/>
        <w:rPr>
          <w:sz w:val="20"/>
          <w:szCs w:val="20"/>
          <w:color w:val="auto"/>
        </w:rPr>
      </w:pPr>
      <w:r>
        <w:rPr>
          <w:rFonts w:ascii="Times New Roman" w:cs="Times New Roman" w:eastAsia="Times New Roman" w:hAnsi="Times New Roman"/>
          <w:sz w:val="18"/>
          <w:szCs w:val="18"/>
          <w:color w:val="auto"/>
        </w:rPr>
        <w:t>changes in our capital structure, such as future issuances of debt or equity securities; short sales, hedging and other derivative transactions involving our capital stock; general economic conditions in the United States and abroad; and</w:t>
      </w:r>
    </w:p>
    <w:p>
      <w:pPr>
        <w:ind w:left="440"/>
        <w:spacing w:after="0"/>
        <w:rPr>
          <w:sz w:val="20"/>
          <w:szCs w:val="20"/>
          <w:color w:val="auto"/>
        </w:rPr>
      </w:pPr>
      <w:r>
        <w:rPr>
          <w:rFonts w:ascii="Times New Roman" w:cs="Times New Roman" w:eastAsia="Times New Roman" w:hAnsi="Times New Roman"/>
          <w:sz w:val="18"/>
          <w:szCs w:val="18"/>
          <w:color w:val="auto"/>
        </w:rPr>
        <w:t>other events or factors, including those resulting from pandemics, war, incidents of terrorism or responses to these events.</w:t>
      </w:r>
    </w:p>
    <w:p>
      <w:pPr>
        <w:spacing w:after="0" w:line="185" w:lineRule="exact"/>
        <w:rPr>
          <w:sz w:val="20"/>
          <w:szCs w:val="20"/>
          <w:color w:val="auto"/>
        </w:rPr>
      </w:pPr>
    </w:p>
    <w:p>
      <w:pPr>
        <w:ind w:firstLine="440"/>
        <w:spacing w:after="0" w:line="235" w:lineRule="auto"/>
        <w:rPr>
          <w:sz w:val="20"/>
          <w:szCs w:val="20"/>
          <w:color w:val="auto"/>
        </w:rPr>
      </w:pPr>
      <w:r>
        <w:rPr>
          <w:rFonts w:ascii="Times New Roman" w:cs="Times New Roman" w:eastAsia="Times New Roman" w:hAnsi="Times New Roman"/>
          <w:sz w:val="18"/>
          <w:szCs w:val="18"/>
          <w:color w:val="auto"/>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spacing w:after="0" w:line="130" w:lineRule="exact"/>
        <w:rPr>
          <w:sz w:val="20"/>
          <w:szCs w:val="20"/>
          <w:color w:val="auto"/>
        </w:rPr>
      </w:pPr>
    </w:p>
    <w:p>
      <w:pPr>
        <w:ind w:right="26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04" w:lineRule="exact"/>
        <w:rPr>
          <w:sz w:val="20"/>
          <w:szCs w:val="20"/>
          <w:color w:val="auto"/>
        </w:rPr>
      </w:pPr>
    </w:p>
    <w:p>
      <w:pPr>
        <w:ind w:right="80" w:firstLine="440"/>
        <w:spacing w:after="0" w:line="239" w:lineRule="auto"/>
        <w:rPr>
          <w:sz w:val="20"/>
          <w:szCs w:val="20"/>
          <w:color w:val="auto"/>
        </w:rPr>
      </w:pPr>
      <w:r>
        <w:rPr>
          <w:rFonts w:ascii="Times New Roman" w:cs="Times New Roman" w:eastAsia="Times New Roman" w:hAnsi="Times New Roman"/>
          <w:sz w:val="18"/>
          <w:szCs w:val="18"/>
          <w:color w:val="auto"/>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04" w:lineRule="exact"/>
        <w:rPr>
          <w:sz w:val="20"/>
          <w:szCs w:val="20"/>
          <w:color w:val="auto"/>
        </w:rPr>
      </w:pPr>
    </w:p>
    <w:p>
      <w:pPr>
        <w:ind w:right="32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04" w:lineRule="exact"/>
        <w:rPr>
          <w:sz w:val="20"/>
          <w:szCs w:val="20"/>
          <w:color w:val="auto"/>
        </w:rPr>
      </w:pPr>
    </w:p>
    <w:p>
      <w:pPr>
        <w:ind w:right="20" w:firstLine="440"/>
        <w:spacing w:after="0" w:line="23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significant resources and management oversight may be required. As a result, management’s attention may be diverted from other business concerns, which could materially adversely affect our business and results of operations.</w:t>
      </w:r>
    </w:p>
    <w:p>
      <w:pPr>
        <w:spacing w:after="0" w:line="148" w:lineRule="exact"/>
        <w:rPr>
          <w:sz w:val="20"/>
          <w:szCs w:val="20"/>
          <w:color w:val="auto"/>
        </w:rPr>
      </w:pPr>
    </w:p>
    <w:p>
      <w:pPr>
        <w:ind w:right="160" w:firstLine="440"/>
        <w:spacing w:after="0" w:line="230"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materially adversely affected.</w:t>
      </w:r>
    </w:p>
    <w:p>
      <w:pPr>
        <w:spacing w:after="0" w:line="145" w:lineRule="exact"/>
        <w:rPr>
          <w:sz w:val="20"/>
          <w:szCs w:val="20"/>
          <w:color w:val="auto"/>
        </w:rPr>
      </w:pPr>
    </w:p>
    <w:p>
      <w:pPr>
        <w:ind w:right="40" w:firstLine="440"/>
        <w:spacing w:after="0" w:line="232" w:lineRule="auto"/>
        <w:rPr>
          <w:sz w:val="20"/>
          <w:szCs w:val="20"/>
          <w:color w:val="auto"/>
        </w:rPr>
      </w:pPr>
      <w:r>
        <w:rPr>
          <w:rFonts w:ascii="Times New Roman" w:cs="Times New Roman" w:eastAsia="Times New Roman" w:hAnsi="Times New Roman"/>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143" w:lineRule="exact"/>
        <w:rPr>
          <w:sz w:val="20"/>
          <w:szCs w:val="20"/>
          <w:color w:val="auto"/>
        </w:rPr>
      </w:pPr>
    </w:p>
    <w:p>
      <w:pPr>
        <w:ind w:right="60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spacing w:after="0" w:line="131" w:lineRule="exact"/>
        <w:rPr>
          <w:sz w:val="20"/>
          <w:szCs w:val="20"/>
          <w:color w:val="auto"/>
        </w:rPr>
      </w:pPr>
    </w:p>
    <w:p>
      <w:pPr>
        <w:ind w:right="280" w:firstLine="440"/>
        <w:spacing w:after="0" w:line="242" w:lineRule="auto"/>
        <w:rPr>
          <w:sz w:val="20"/>
          <w:szCs w:val="20"/>
          <w:color w:val="auto"/>
        </w:rPr>
      </w:pPr>
      <w:r>
        <w:rPr>
          <w:rFonts w:ascii="Times New Roman" w:cs="Times New Roman" w:eastAsia="Times New Roman" w:hAnsi="Times New Roman"/>
          <w:sz w:val="18"/>
          <w:szCs w:val="18"/>
          <w:color w:val="auto"/>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90" w:lineRule="exact"/>
        <w:rPr>
          <w:sz w:val="20"/>
          <w:szCs w:val="20"/>
          <w:color w:val="auto"/>
        </w:rPr>
      </w:pPr>
    </w:p>
    <w:p>
      <w:pPr>
        <w:ind w:left="880" w:right="840"/>
        <w:spacing w:after="0" w:line="344" w:lineRule="auto"/>
        <w:rPr>
          <w:sz w:val="20"/>
          <w:szCs w:val="20"/>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shareholder rights plan; provide that the board of directors is expressly authorized to make, alter or repeal our bylaws; and</w:t>
      </w:r>
    </w:p>
    <w:p>
      <w:pPr>
        <w:ind w:left="880" w:right="100"/>
        <w:spacing w:after="0" w:line="282" w:lineRule="auto"/>
        <w:rPr>
          <w:sz w:val="20"/>
          <w:szCs w:val="20"/>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shareholders at annual or special shareholder meetings.</w:t>
      </w:r>
    </w:p>
    <w:p>
      <w:pPr>
        <w:spacing w:after="0" w:line="94" w:lineRule="exact"/>
        <w:rPr>
          <w:sz w:val="20"/>
          <w:szCs w:val="20"/>
          <w:color w:val="auto"/>
        </w:rPr>
      </w:pPr>
    </w:p>
    <w:p>
      <w:pPr>
        <w:ind w:firstLine="440"/>
        <w:spacing w:after="0" w:line="231"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shareholders to replace or remove our current management by making it more difficult for shareholders to replace members of our board of directors, which is responsible for appointing 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color w:val="auto"/>
        </w:rPr>
        <w:t>UNRESOLVED STAFF COMMENTS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6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4"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ITEM 1C.</w:t>
      </w:r>
      <w:r>
        <w:rPr>
          <w:sz w:val="20"/>
          <w:szCs w:val="20"/>
          <w:color w:val="auto"/>
        </w:rPr>
        <w:tab/>
      </w:r>
      <w:r>
        <w:rPr>
          <w:rFonts w:ascii="Times New Roman" w:cs="Times New Roman" w:eastAsia="Times New Roman" w:hAnsi="Times New Roman"/>
          <w:sz w:val="17"/>
          <w:szCs w:val="17"/>
          <w:color w:val="auto"/>
        </w:rPr>
        <w:t>CYBERSECURITY</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We believe cybersecurity is critical to advancing our “Big Dam Blueprint” vision and recognize the importance of assessing, identifying and</w:t>
      </w:r>
    </w:p>
    <w:p>
      <w:pPr>
        <w:spacing w:after="0" w:line="2" w:lineRule="exact"/>
        <w:rPr>
          <w:sz w:val="20"/>
          <w:szCs w:val="20"/>
          <w:color w:val="auto"/>
        </w:rPr>
      </w:pPr>
    </w:p>
    <w:p>
      <w:pPr>
        <w:ind w:left="20" w:right="120"/>
        <w:spacing w:after="0" w:line="234" w:lineRule="auto"/>
        <w:rPr>
          <w:sz w:val="20"/>
          <w:szCs w:val="20"/>
          <w:color w:val="auto"/>
        </w:rPr>
      </w:pPr>
      <w:r>
        <w:rPr>
          <w:rFonts w:ascii="Times New Roman" w:cs="Times New Roman" w:eastAsia="Times New Roman" w:hAnsi="Times New Roman"/>
          <w:sz w:val="18"/>
          <w:szCs w:val="18"/>
          <w:color w:val="auto"/>
        </w:rPr>
        <w:t>managing material risks associated with cybersecurity threats defined in Item 106(a) of Regulation S-K. These risks include, among others described in our risk factor disclosures in Item 1A of this Annual Report on Form 10-K: operational risks, fraud, harm to employees or customers and violation of data privacy or security laws. These cybersecurity risks make it necessary that we incur significant expenditures on cybersecurity.</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43" w:lineRule="exact"/>
        <w:rPr>
          <w:sz w:val="20"/>
          <w:szCs w:val="20"/>
          <w:color w:val="auto"/>
        </w:rPr>
      </w:pPr>
    </w:p>
    <w:p>
      <w:pPr>
        <w:ind w:left="20" w:right="200" w:firstLine="405"/>
        <w:spacing w:after="0" w:line="297" w:lineRule="auto"/>
        <w:rPr>
          <w:sz w:val="20"/>
          <w:szCs w:val="20"/>
          <w:color w:val="auto"/>
        </w:rPr>
      </w:pPr>
      <w:r>
        <w:rPr>
          <w:rFonts w:ascii="Times New Roman" w:cs="Times New Roman" w:eastAsia="Times New Roman" w:hAnsi="Times New Roman"/>
          <w:sz w:val="18"/>
          <w:szCs w:val="18"/>
          <w:color w:val="auto"/>
        </w:rPr>
        <w:t>Our audit committee of our board of directors is formally charged with oversight of cybersecurity risk. This includes reviewing the Company’s cybersecurity and other information technology risks, controls and procedures, including a high-level review of the threat landscape facing the Company and the Company’s strategy to mitigate cybersecurity risks and potential breaches, and the Company’s plan to respond to data breaches.</w:t>
      </w:r>
    </w:p>
    <w:p>
      <w:pPr>
        <w:spacing w:after="0" w:line="136" w:lineRule="exact"/>
        <w:rPr>
          <w:sz w:val="20"/>
          <w:szCs w:val="20"/>
          <w:color w:val="auto"/>
        </w:rPr>
      </w:pPr>
    </w:p>
    <w:p>
      <w:pPr>
        <w:ind w:left="20" w:right="20" w:firstLine="405"/>
        <w:spacing w:after="0" w:line="233" w:lineRule="auto"/>
        <w:rPr>
          <w:sz w:val="20"/>
          <w:szCs w:val="20"/>
          <w:color w:val="auto"/>
        </w:rPr>
      </w:pPr>
      <w:r>
        <w:rPr>
          <w:rFonts w:ascii="Times New Roman" w:cs="Times New Roman" w:eastAsia="Times New Roman" w:hAnsi="Times New Roman"/>
          <w:sz w:val="18"/>
          <w:szCs w:val="18"/>
          <w:color w:val="auto"/>
        </w:rPr>
        <w:t>Identifying and assessing our cybersecurity risk is integrated into our overall risk management systems and processes. As part of our program, our internal audit team facilitates an annual risk assessment that includes assessing cybersecurity and other technology risks. The results are shared with the board of directors during a regular board meeting. In addition, a quarterly cyber risk assessment process run by our information technology team, including our chief technology officer, is shared with the audit committee. The chair of the audit committee reports on significant cybersecurity updates to the full board of directors during executive sessions of our quarterly meetings. Our audit committee members also engage in conversations throughout the year with management on cybersecurity events and discuss any updates to our cybersecurity processes, systems and programs.</w:t>
      </w:r>
    </w:p>
    <w:p>
      <w:pPr>
        <w:spacing w:after="0" w:line="198" w:lineRule="exact"/>
        <w:rPr>
          <w:sz w:val="20"/>
          <w:szCs w:val="20"/>
          <w:color w:val="auto"/>
        </w:rPr>
      </w:pPr>
    </w:p>
    <w:p>
      <w:pPr>
        <w:jc w:val="both"/>
        <w:ind w:left="20" w:right="420" w:firstLine="405"/>
        <w:spacing w:after="0" w:line="236" w:lineRule="auto"/>
        <w:rPr>
          <w:sz w:val="20"/>
          <w:szCs w:val="20"/>
          <w:color w:val="auto"/>
        </w:rPr>
      </w:pPr>
      <w:r>
        <w:rPr>
          <w:rFonts w:ascii="Times New Roman" w:cs="Times New Roman" w:eastAsia="Times New Roman" w:hAnsi="Times New Roman"/>
          <w:sz w:val="18"/>
          <w:szCs w:val="18"/>
          <w:color w:val="auto"/>
        </w:rPr>
        <w:t>Our cybersecurity risk management processes are overseen by leaders from our information technology, compliance and legal teams. Our chief technology officer has over 30 years of experience leading information technology organizations. Other individual leaders within these teams have on average over 20 years of experience in roles involving information technology, including security and compliance.</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310" w:lineRule="exact"/>
        <w:rPr>
          <w:sz w:val="20"/>
          <w:szCs w:val="20"/>
          <w:color w:val="auto"/>
        </w:rPr>
      </w:pPr>
    </w:p>
    <w:p>
      <w:pPr>
        <w:jc w:val="both"/>
        <w:ind w:left="20" w:firstLine="409"/>
        <w:spacing w:after="0" w:line="229" w:lineRule="auto"/>
        <w:rPr>
          <w:sz w:val="20"/>
          <w:szCs w:val="20"/>
          <w:color w:val="auto"/>
        </w:rPr>
      </w:pPr>
      <w:r>
        <w:rPr>
          <w:rFonts w:ascii="Times New Roman" w:cs="Times New Roman" w:eastAsia="Times New Roman" w:hAnsi="Times New Roman"/>
          <w:sz w:val="18"/>
          <w:szCs w:val="18"/>
          <w:color w:val="auto"/>
        </w:rPr>
        <w:t>We have implemented several measures to identify and assess our cybersecurity threats. We self-assess maturity levels along with areas of risk for the cyber kill chain using the ISO/IEC 33004:2015 Process Maturity Model. Within this model, our risk dashboard is continually assessed based on eight key initiatives: reconnaissance, intrusion, exploitation, privilege escalation, lateral movement, obfuscation/anti-forensics, denial of service and exfiltration. Along with this model, we engage and utilize various third parties to measure risk profiles of ourselves and vendors, security threats specific to our Company both internal and external through multiple avenues such as our website and social media and perform periodic penetration tests on Company systems to identify cybersecurity risks and threats to the Company. These evaluations include testing both the design and operational effectiveness of security controls. We recognize a cybersecurity incident experienced by a supplier or vendor could materially impact us. We assess third party cybersecurity controls as part of our third-party information technology risk when integrating new tools or third parties. We contractually require third parties to report cybersecurity incidents, if applicable, to us so we can assess the impact of the incident and any necessary regulatory reporting obligations that may be required. Additionally, as part of the contract management process, new information technology vendors are subject to a cybersecurity review by the information technology team and include cybersecurity and data privacy language, if applicable, in contracts.</w:t>
      </w:r>
    </w:p>
    <w:p>
      <w:pPr>
        <w:spacing w:after="0" w:line="177" w:lineRule="exact"/>
        <w:rPr>
          <w:sz w:val="20"/>
          <w:szCs w:val="20"/>
          <w:color w:val="auto"/>
        </w:rPr>
      </w:pPr>
    </w:p>
    <w:p>
      <w:pPr>
        <w:jc w:val="both"/>
        <w:ind w:left="20" w:right="160" w:firstLine="405"/>
        <w:spacing w:after="0"/>
        <w:rPr>
          <w:sz w:val="20"/>
          <w:szCs w:val="20"/>
          <w:color w:val="auto"/>
        </w:rPr>
      </w:pPr>
      <w:r>
        <w:rPr>
          <w:rFonts w:ascii="Times New Roman" w:cs="Times New Roman" w:eastAsia="Times New Roman" w:hAnsi="Times New Roman"/>
          <w:sz w:val="18"/>
          <w:szCs w:val="18"/>
          <w:color w:val="auto"/>
        </w:rPr>
        <w:t>Training of employees, utilization of incident response plans, payment card industry audits, and SOX testing are all processes by which we seek to prevent, detect, mitigate and remediate cybersecurity incidents. In the event of a security or data incident, the impact is evaluated, ranked by severity, and prioritized for remediation. Incidents deemed to have a moderate or higher business impact, even if immaterial to the Company, are reported to the audit committee.</w:t>
      </w:r>
    </w:p>
    <w:p>
      <w:pPr>
        <w:spacing w:after="0" w:line="185" w:lineRule="exact"/>
        <w:rPr>
          <w:sz w:val="20"/>
          <w:szCs w:val="20"/>
          <w:color w:val="auto"/>
        </w:rPr>
      </w:pPr>
    </w:p>
    <w:p>
      <w:pPr>
        <w:ind w:left="20" w:right="120" w:firstLine="405"/>
        <w:spacing w:after="0" w:line="242" w:lineRule="auto"/>
        <w:rPr>
          <w:sz w:val="20"/>
          <w:szCs w:val="20"/>
          <w:color w:val="auto"/>
        </w:rPr>
      </w:pPr>
      <w:r>
        <w:rPr>
          <w:rFonts w:ascii="Times New Roman" w:cs="Times New Roman" w:eastAsia="Times New Roman" w:hAnsi="Times New Roman"/>
          <w:sz w:val="18"/>
          <w:szCs w:val="18"/>
          <w:color w:val="auto"/>
        </w:rPr>
        <w:t>Notwithstanding our risk management efforts related to cybersecurity, we may not be successful in preventing or mitigating a cybersecurity incident that could have a material or other adverse effect on us. See Item 1A. “Risk Factors” for a discussion of our information technology and cybersecurity risks.</w:t>
      </w:r>
    </w:p>
    <w:p>
      <w:pPr>
        <w:spacing w:after="0" w:line="197" w:lineRule="exact"/>
        <w:rPr>
          <w:sz w:val="20"/>
          <w:szCs w:val="20"/>
          <w:color w:val="auto"/>
        </w:rPr>
      </w:pPr>
    </w:p>
    <w:p>
      <w:pPr>
        <w:ind w:left="20" w:right="320" w:firstLine="405"/>
        <w:spacing w:after="0" w:line="250" w:lineRule="auto"/>
        <w:rPr>
          <w:sz w:val="20"/>
          <w:szCs w:val="20"/>
          <w:color w:val="auto"/>
        </w:rPr>
      </w:pPr>
      <w:r>
        <w:rPr>
          <w:rFonts w:ascii="Times New Roman" w:cs="Times New Roman" w:eastAsia="Times New Roman" w:hAnsi="Times New Roman"/>
          <w:sz w:val="18"/>
          <w:szCs w:val="18"/>
          <w:color w:val="auto"/>
        </w:rPr>
        <w:t>In fiscal 2024, we did not identify any cybersecurity threats that have materially affected or are reasonably likely to materially affect our business strategy,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4"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PROPERTIES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location, primary use and size of our leased and owned facilities as of February 2,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24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Number of Stores</w:t>
            </w:r>
          </w:p>
        </w:tc>
        <w:tc>
          <w:tcPr>
            <w:tcW w:w="316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Primary Use</w:t>
            </w:r>
          </w:p>
        </w:tc>
        <w:tc>
          <w:tcPr>
            <w:tcW w:w="1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Gross Sq Ft</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Leased/Owned</w:t>
            </w:r>
          </w:p>
        </w:tc>
      </w:tr>
      <w:tr>
        <w:trPr>
          <w:trHeight w:val="183"/>
        </w:trPr>
        <w:tc>
          <w:tcPr>
            <w:tcW w:w="22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jc w:val="center"/>
              <w:ind w:right="879"/>
              <w:spacing w:after="0" w:line="183" w:lineRule="exact"/>
              <w:rPr>
                <w:sz w:val="20"/>
                <w:szCs w:val="20"/>
                <w:color w:val="auto"/>
              </w:rPr>
            </w:pPr>
            <w:r>
              <w:rPr>
                <w:rFonts w:ascii="Times New Roman" w:cs="Times New Roman" w:eastAsia="Times New Roman" w:hAnsi="Times New Roman"/>
                <w:sz w:val="16"/>
                <w:szCs w:val="16"/>
                <w:b w:val="1"/>
                <w:bCs w:val="1"/>
                <w:color w:val="auto"/>
              </w:rPr>
              <w:t>Retail Stores</w:t>
            </w:r>
          </w:p>
        </w:tc>
        <w:tc>
          <w:tcPr>
            <w:tcW w:w="18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83"/>
        </w:trPr>
        <w:tc>
          <w:tcPr>
            <w:tcW w:w="22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North East</w:t>
            </w:r>
          </w:p>
        </w:tc>
        <w:tc>
          <w:tcPr>
            <w:tcW w:w="22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Connecticut</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9,792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Maine</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12,951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Massachusetts</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16,360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New Jersey</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2</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24,741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Pennsylvania</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2</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34,945</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Rhode Island</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14,528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22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Illinois</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3</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38,410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Indiana</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14,557</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Iowa</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12,249</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Kansas</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15,385</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3</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45,588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Minnesota</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4</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61,900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Missouri</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2</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27,692</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Nebraska</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15,757</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North Dakota</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14,557</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Ohio</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4</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58,420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Dakota</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9,166</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Wisconsin</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4</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53,246</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South</w:t>
            </w:r>
          </w:p>
        </w:tc>
        <w:tc>
          <w:tcPr>
            <w:tcW w:w="224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Alabama</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2</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31,312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Arkansas</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15,656</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Florida</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14,557</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Georgia</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20,041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2"/>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Kentucky</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2</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28,582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North Carolina</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2</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41,672</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Oklahoma</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15,536</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Tennessee</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2</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27,325</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Texas</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6</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92,212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Virginia</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2</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31,828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West</w:t>
            </w:r>
          </w:p>
        </w:tc>
        <w:tc>
          <w:tcPr>
            <w:tcW w:w="22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Alaska</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25,409</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Colorado</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3</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52,643</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Oregon</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2</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39,463</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Utah</w:t>
            </w:r>
          </w:p>
        </w:tc>
        <w:tc>
          <w:tcPr>
            <w:tcW w:w="22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15,602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Washington</w:t>
            </w:r>
          </w:p>
        </w:tc>
        <w:tc>
          <w:tcPr>
            <w:tcW w:w="224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1</w:t>
            </w:r>
          </w:p>
        </w:tc>
        <w:tc>
          <w:tcPr>
            <w:tcW w:w="3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15,656</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Leased to Open New Store</w:t>
            </w:r>
          </w:p>
        </w:tc>
        <w:tc>
          <w:tcPr>
            <w:tcW w:w="18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183"/>
        </w:trPr>
        <w:tc>
          <w:tcPr>
            <w:tcW w:w="22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Kansas City, Missouri</w:t>
            </w:r>
          </w:p>
        </w:tc>
        <w:tc>
          <w:tcPr>
            <w:tcW w:w="2240" w:type="dxa"/>
            <w:vAlign w:val="bottom"/>
            <w:shd w:val="clear" w:color="auto" w:fill="CCEEFF"/>
          </w:tcPr>
          <w:p>
            <w:pPr>
              <w:spacing w:after="0"/>
              <w:rPr>
                <w:sz w:val="15"/>
                <w:szCs w:val="15"/>
                <w:color w:val="auto"/>
              </w:rPr>
            </w:pPr>
          </w:p>
        </w:tc>
        <w:tc>
          <w:tcPr>
            <w:tcW w:w="3160" w:type="dxa"/>
            <w:vAlign w:val="bottom"/>
            <w:shd w:val="clear" w:color="auto" w:fill="CCEEFF"/>
          </w:tcPr>
          <w:p>
            <w:pPr>
              <w:jc w:val="center"/>
              <w:ind w:left="419"/>
              <w:spacing w:after="0" w:line="183" w:lineRule="exact"/>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16,045</w:t>
            </w:r>
          </w:p>
        </w:tc>
        <w:tc>
          <w:tcPr>
            <w:tcW w:w="176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183"/>
        </w:trPr>
        <w:tc>
          <w:tcPr>
            <w:tcW w:w="22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Mount Horeb, WI</w:t>
            </w:r>
          </w:p>
        </w:tc>
        <w:tc>
          <w:tcPr>
            <w:tcW w:w="2240" w:type="dxa"/>
            <w:vAlign w:val="bottom"/>
            <w:shd w:val="clear" w:color="auto" w:fill="CCEEFF"/>
          </w:tcPr>
          <w:p>
            <w:pPr>
              <w:spacing w:after="0"/>
              <w:rPr>
                <w:sz w:val="15"/>
                <w:szCs w:val="15"/>
                <w:color w:val="auto"/>
              </w:rPr>
            </w:pPr>
          </w:p>
        </w:tc>
        <w:tc>
          <w:tcPr>
            <w:tcW w:w="3160" w:type="dxa"/>
            <w:vAlign w:val="bottom"/>
            <w:shd w:val="clear" w:color="auto" w:fill="CCEEFF"/>
          </w:tcPr>
          <w:p>
            <w:pPr>
              <w:jc w:val="center"/>
              <w:ind w:left="399"/>
              <w:spacing w:after="0" w:line="183" w:lineRule="exact"/>
              <w:rPr>
                <w:sz w:val="20"/>
                <w:szCs w:val="20"/>
                <w:color w:val="auto"/>
              </w:rPr>
            </w:pPr>
            <w:r>
              <w:rPr>
                <w:rFonts w:ascii="Times New Roman" w:cs="Times New Roman" w:eastAsia="Times New Roman" w:hAnsi="Times New Roman"/>
                <w:sz w:val="16"/>
                <w:szCs w:val="16"/>
                <w:color w:val="auto"/>
              </w:rPr>
              <w:t>Photo Studio</w:t>
            </w:r>
          </w:p>
        </w:tc>
        <w:tc>
          <w:tcPr>
            <w:tcW w:w="1800" w:type="dxa"/>
            <w:vAlign w:val="bottom"/>
            <w:shd w:val="clear" w:color="auto" w:fill="CCEEFF"/>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7,000</w:t>
            </w:r>
          </w:p>
        </w:tc>
        <w:tc>
          <w:tcPr>
            <w:tcW w:w="176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Belleville, WI</w:t>
            </w:r>
          </w:p>
        </w:tc>
        <w:tc>
          <w:tcPr>
            <w:tcW w:w="2240" w:type="dxa"/>
            <w:vAlign w:val="bottom"/>
          </w:tcPr>
          <w:p>
            <w:pPr>
              <w:spacing w:after="0"/>
              <w:rPr>
                <w:sz w:val="17"/>
                <w:szCs w:val="17"/>
                <w:color w:val="auto"/>
              </w:rPr>
            </w:pPr>
          </w:p>
        </w:tc>
        <w:tc>
          <w:tcPr>
            <w:tcW w:w="31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Outlet 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17,890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Oshkosh, WI</w:t>
            </w:r>
          </w:p>
        </w:tc>
        <w:tc>
          <w:tcPr>
            <w:tcW w:w="2240" w:type="dxa"/>
            <w:vAlign w:val="bottom"/>
            <w:shd w:val="clear" w:color="auto" w:fill="CCEEFF"/>
          </w:tcPr>
          <w:p>
            <w:pPr>
              <w:spacing w:after="0"/>
              <w:rPr>
                <w:sz w:val="17"/>
                <w:szCs w:val="17"/>
                <w:color w:val="auto"/>
              </w:rPr>
            </w:pPr>
          </w:p>
        </w:tc>
        <w:tc>
          <w:tcPr>
            <w:tcW w:w="31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rPr>
              <w:t>Outlet 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12,777</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Red Wing, MN</w:t>
            </w:r>
          </w:p>
        </w:tc>
        <w:tc>
          <w:tcPr>
            <w:tcW w:w="2240" w:type="dxa"/>
            <w:vAlign w:val="bottom"/>
          </w:tcPr>
          <w:p>
            <w:pPr>
              <w:spacing w:after="0"/>
              <w:rPr>
                <w:sz w:val="17"/>
                <w:szCs w:val="17"/>
                <w:color w:val="auto"/>
              </w:rPr>
            </w:pPr>
          </w:p>
        </w:tc>
        <w:tc>
          <w:tcPr>
            <w:tcW w:w="31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Outlet 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15,560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Mount Horeb, WI</w:t>
            </w:r>
          </w:p>
        </w:tc>
        <w:tc>
          <w:tcPr>
            <w:tcW w:w="2240" w:type="dxa"/>
            <w:vAlign w:val="bottom"/>
            <w:shd w:val="clear" w:color="auto" w:fill="CCEEFF"/>
          </w:tcPr>
          <w:p>
            <w:pPr>
              <w:spacing w:after="0"/>
              <w:rPr>
                <w:sz w:val="17"/>
                <w:szCs w:val="17"/>
                <w:color w:val="auto"/>
              </w:rPr>
            </w:pPr>
          </w:p>
        </w:tc>
        <w:tc>
          <w:tcPr>
            <w:tcW w:w="31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rPr>
              <w:t>Corporate headquarters</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108,000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Kowloon, Hong Kong</w:t>
            </w:r>
          </w:p>
        </w:tc>
        <w:tc>
          <w:tcPr>
            <w:tcW w:w="2240" w:type="dxa"/>
            <w:vAlign w:val="bottom"/>
          </w:tcPr>
          <w:p>
            <w:pPr>
              <w:spacing w:after="0"/>
              <w:rPr>
                <w:sz w:val="17"/>
                <w:szCs w:val="17"/>
                <w:color w:val="auto"/>
              </w:rPr>
            </w:pPr>
          </w:p>
        </w:tc>
        <w:tc>
          <w:tcPr>
            <w:tcW w:w="31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Office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1,855</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Belleville, WI</w:t>
            </w:r>
          </w:p>
        </w:tc>
        <w:tc>
          <w:tcPr>
            <w:tcW w:w="2240" w:type="dxa"/>
            <w:vAlign w:val="bottom"/>
            <w:shd w:val="clear" w:color="auto" w:fill="CCEEFF"/>
          </w:tcPr>
          <w:p>
            <w:pPr>
              <w:spacing w:after="0"/>
              <w:rPr>
                <w:sz w:val="17"/>
                <w:szCs w:val="17"/>
                <w:color w:val="auto"/>
              </w:rPr>
            </w:pPr>
          </w:p>
        </w:tc>
        <w:tc>
          <w:tcPr>
            <w:tcW w:w="31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rPr>
              <w:t>Fulfillment center</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220,000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Adairsville, GA</w:t>
            </w:r>
          </w:p>
        </w:tc>
        <w:tc>
          <w:tcPr>
            <w:tcW w:w="2240" w:type="dxa"/>
            <w:vAlign w:val="bottom"/>
          </w:tcPr>
          <w:p>
            <w:pPr>
              <w:spacing w:after="0"/>
              <w:rPr>
                <w:sz w:val="17"/>
                <w:szCs w:val="17"/>
                <w:color w:val="auto"/>
              </w:rPr>
            </w:pPr>
          </w:p>
        </w:tc>
        <w:tc>
          <w:tcPr>
            <w:tcW w:w="31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Fulfillment center</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494,144</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2"/>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Salt Lake City, UT</w:t>
            </w:r>
          </w:p>
        </w:tc>
        <w:tc>
          <w:tcPr>
            <w:tcW w:w="2240" w:type="dxa"/>
            <w:vAlign w:val="bottom"/>
            <w:shd w:val="clear" w:color="auto" w:fill="CCEEFF"/>
          </w:tcPr>
          <w:p>
            <w:pPr>
              <w:spacing w:after="0"/>
              <w:rPr>
                <w:sz w:val="17"/>
                <w:szCs w:val="17"/>
                <w:color w:val="auto"/>
              </w:rPr>
            </w:pPr>
          </w:p>
        </w:tc>
        <w:tc>
          <w:tcPr>
            <w:tcW w:w="31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rPr>
              <w:t>Fulfillment center</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228,800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bl>
    <w:p>
      <w:pPr>
        <w:spacing w:after="0" w:line="144" w:lineRule="exact"/>
        <w:rPr>
          <w:sz w:val="20"/>
          <w:szCs w:val="20"/>
          <w:color w:val="auto"/>
        </w:rPr>
      </w:pPr>
    </w:p>
    <w:p>
      <w:pPr>
        <w:jc w:val="both"/>
        <w:ind w:right="60" w:firstLine="402"/>
        <w:spacing w:after="0" w:line="236" w:lineRule="auto"/>
        <w:rPr>
          <w:sz w:val="20"/>
          <w:szCs w:val="20"/>
          <w:color w:val="auto"/>
        </w:rPr>
      </w:pPr>
      <w:r>
        <w:rPr>
          <w:rFonts w:ascii="Times New Roman" w:cs="Times New Roman" w:eastAsia="Times New Roman" w:hAnsi="Times New Roman"/>
          <w:sz w:val="18"/>
          <w:szCs w:val="18"/>
          <w:color w:val="auto"/>
        </w:rPr>
        <w:t>We consider these properties to be in good condition and believe that our facilities are adequate for our operations and provide sufficient capacity to meet our anticipated requirements. The leases on our retail stores expire at various times and are subject to renewal options and rent escalation provisions. As we approach lease renewals for about 25% of our stores through 2026, we are thoroughly evaluating each location for remodel, relocation, or exit based on enhance performance standards.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LEGAL PROCEEDINGS</w:t>
      </w:r>
    </w:p>
    <w:p>
      <w:pPr>
        <w:spacing w:after="0" w:line="239"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36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MINE SAFETY DISCLOSURES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62" w:lineRule="exact"/>
        <w:rPr>
          <w:sz w:val="20"/>
          <w:szCs w:val="20"/>
          <w:color w:val="auto"/>
        </w:rPr>
      </w:pPr>
    </w:p>
    <w:p>
      <w:pPr>
        <w:ind w:right="80" w:firstLine="440"/>
        <w:spacing w:after="0" w:line="235" w:lineRule="auto"/>
        <w:rPr>
          <w:sz w:val="20"/>
          <w:szCs w:val="20"/>
          <w:color w:val="auto"/>
        </w:rPr>
      </w:pPr>
      <w:r>
        <w:rPr>
          <w:rFonts w:ascii="Times New Roman" w:cs="Times New Roman" w:eastAsia="Times New Roman" w:hAnsi="Times New Roman"/>
          <w:sz w:val="18"/>
          <w:szCs w:val="18"/>
          <w:color w:val="auto"/>
        </w:rPr>
        <w:t>The following is a list of names and ages of executive officers of Duluth Trading indicating all positions and offices held by each such person and each such person’s principal occupation(s) or employment during the past five years. Officers are appointed annually by the Board of Directors at the meeting of directors immediately following the annual meeting of shareholders. There are no family relationships among any officers or director, except as disclosed below, or arrangements or understandings between any officer and any other person pursuant to which the officer was selected. The information presented below is as of March 21, 2025.</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260" w:type="dxa"/>
            <w:vAlign w:val="bottom"/>
            <w:tcBorders>
              <w:top w:val="single" w:sz="8" w:color="auto"/>
              <w:left w:val="single" w:sz="8" w:color="auto"/>
              <w:bottom w:val="single" w:sz="8" w:color="auto"/>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Name</w:t>
            </w:r>
          </w:p>
        </w:tc>
        <w:tc>
          <w:tcPr>
            <w:tcW w:w="600" w:type="dxa"/>
            <w:vAlign w:val="bottom"/>
            <w:tcBorders>
              <w:top w:val="single" w:sz="8" w:color="auto"/>
              <w:bottom w:val="single" w:sz="8" w:color="auto"/>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Borders>
              <w:top w:val="single" w:sz="8" w:color="auto"/>
              <w:bottom w:val="single" w:sz="8" w:color="auto"/>
            </w:tcBorders>
          </w:tcPr>
          <w:p>
            <w:pPr>
              <w:spacing w:after="0"/>
              <w:rPr>
                <w:sz w:val="17"/>
                <w:szCs w:val="17"/>
                <w:color w:val="auto"/>
              </w:rPr>
            </w:pPr>
          </w:p>
        </w:tc>
        <w:tc>
          <w:tcPr>
            <w:tcW w:w="8180" w:type="dxa"/>
            <w:vAlign w:val="bottom"/>
            <w:tcBorders>
              <w:top w:val="single" w:sz="8" w:color="auto"/>
              <w:bottom w:val="single" w:sz="8" w:color="auto"/>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Office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26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Stephen L. Schlecht</w:t>
            </w:r>
          </w:p>
        </w:tc>
        <w:tc>
          <w:tcPr>
            <w:tcW w:w="6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3"/>
                <w:szCs w:val="13"/>
                <w:color w:val="auto"/>
              </w:rPr>
            </w:pPr>
          </w:p>
        </w:tc>
        <w:tc>
          <w:tcPr>
            <w:tcW w:w="8180" w:type="dxa"/>
            <w:vAlign w:val="bottom"/>
            <w:tcBorders>
              <w:right w:val="single" w:sz="8" w:color="auto"/>
            </w:tcBorders>
            <w:gridSpan w:val="3"/>
          </w:tcPr>
          <w:p>
            <w:pPr>
              <w:spacing w:after="0" w:line="150" w:lineRule="exact"/>
              <w:rPr>
                <w:sz w:val="20"/>
                <w:szCs w:val="20"/>
                <w:color w:val="auto"/>
              </w:rPr>
            </w:pPr>
            <w:r>
              <w:rPr>
                <w:rFonts w:ascii="Times New Roman" w:cs="Times New Roman" w:eastAsia="Times New Roman" w:hAnsi="Times New Roman"/>
                <w:sz w:val="17"/>
                <w:szCs w:val="17"/>
                <w:color w:val="auto"/>
              </w:rPr>
              <w:t>Mr. Schlecht is the founder of our Company and has served as Chairman of the Board of Directors and Senior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Advisor since May 2021. Mr. Schlecht has served on our Board of Directors since our founding in 1986. Mr.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Schlecht previously served as Executive Chairman from February 2015 to May 2021, and as Chief Executive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Officer from August 2019 to May 2021. Prior to that, Mr. Schlecht served as Chairman of the Board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Directors and Chief Executive Officer from February 2003 to February 2015 and as President from February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2003 to February 2012. He also served as President and Chief Executive Officer of GEMPLER’S, Inc., which</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he founded in 1986, until February 2003. Mr. Schlecht holds a B.S.B.A. degree and an M.B.A. from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Northwestern University.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260" w:type="dxa"/>
            <w:vAlign w:val="bottom"/>
            <w:tcBorders>
              <w:left w:val="single" w:sz="8" w:color="auto"/>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As previously announced, the Board of Directors of the Company appointed Mr. Schlecht as Interim Chief</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Executive Officer of the Company in addition to his role as Senior Advisor to the Company, effective April 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2025, unless the Board appoints a permanent Chief Executive Officer prior to such date. During the transition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period between the announcement of Mr. Sato’s retirement and April 25, 2025, Mr. Schlecht will assume day-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60" w:type="dxa"/>
            <w:vAlign w:val="bottom"/>
            <w:tcBorders>
              <w:left w:val="single" w:sz="8" w:color="auto"/>
              <w:righ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to-day leadership of the Company.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260" w:type="dxa"/>
            <w:vAlign w:val="bottom"/>
            <w:tcBorders>
              <w:top w:val="single" w:sz="8" w:color="auto"/>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Samuel M. Sato</w:t>
            </w:r>
          </w:p>
        </w:tc>
        <w:tc>
          <w:tcPr>
            <w:tcW w:w="600" w:type="dxa"/>
            <w:vAlign w:val="bottom"/>
            <w:tcBorders>
              <w:top w:val="single" w:sz="8" w:color="auto"/>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top w:val="single" w:sz="8" w:color="auto"/>
            </w:tcBorders>
          </w:tcPr>
          <w:p>
            <w:pPr>
              <w:spacing w:after="0"/>
              <w:rPr>
                <w:sz w:val="13"/>
                <w:szCs w:val="13"/>
                <w:color w:val="auto"/>
              </w:rPr>
            </w:pPr>
          </w:p>
        </w:tc>
        <w:tc>
          <w:tcPr>
            <w:tcW w:w="8020" w:type="dxa"/>
            <w:vAlign w:val="bottom"/>
            <w:gridSpan w:val="2"/>
          </w:tcPr>
          <w:p>
            <w:pPr>
              <w:spacing w:after="0" w:line="150" w:lineRule="exact"/>
              <w:rPr>
                <w:sz w:val="20"/>
                <w:szCs w:val="20"/>
                <w:color w:val="auto"/>
              </w:rPr>
            </w:pPr>
            <w:r>
              <w:rPr>
                <w:rFonts w:ascii="Times New Roman" w:cs="Times New Roman" w:eastAsia="Times New Roman" w:hAnsi="Times New Roman"/>
                <w:sz w:val="17"/>
                <w:szCs w:val="17"/>
                <w:color w:val="auto"/>
                <w:highlight w:val="white"/>
              </w:rPr>
              <w:t>Mr. Sato was appointed to our Board of Directors in May 2021, and since that time has served as President and</w:t>
            </w:r>
          </w:p>
        </w:tc>
        <w:tc>
          <w:tcPr>
            <w:tcW w:w="160" w:type="dxa"/>
            <w:vAlign w:val="bottom"/>
            <w:tcBorders>
              <w:top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highlight w:val="white"/>
              </w:rPr>
              <w:t>Chief Executive Officer. He previously served as the Chief Executive Officer of The Finish Line, Inc., from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February 2016 to February 2019, and also served on the Board of Directors of The Finish Line, Inc. from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October 2014 to February 2019. Mr. Sato previously served as President of The Finish Line, Inc. from October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2014 to February 2016, President, Finish Line Brand, from October 2012 to October 2014, and President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Chief Merchandising Officer from October 2010 to September 2012, as well as The Finish Line, Inc.’s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Executive Vice President, Chief Merchandising Officer from to March 2007 to October 2010. Mr. Sato began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his career in 1985 at Nordstrom Inc., where he held various leadership roles within merchandising. Mr. Sato has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been involved in the retail industry for over 30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highlight w:val="white"/>
                <w:w w:val="99"/>
              </w:rPr>
              <w:t>Ms. Agrawal has served as our Senior Vice President and Chief Financial Officer since February 2024. Ms.</w:t>
            </w:r>
          </w:p>
        </w:tc>
        <w:tc>
          <w:tcPr>
            <w:tcW w:w="420" w:type="dxa"/>
            <w:vAlign w:val="bottom"/>
            <w:tcBorders>
              <w:bottom w:val="single" w:sz="8" w:color="auto"/>
              <w:right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26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Heena K. Agrawal</w:t>
            </w:r>
          </w:p>
        </w:tc>
        <w:tc>
          <w:tcPr>
            <w:tcW w:w="6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3"/>
                <w:szCs w:val="13"/>
                <w:color w:val="auto"/>
              </w:rPr>
            </w:pPr>
          </w:p>
        </w:tc>
        <w:tc>
          <w:tcPr>
            <w:tcW w:w="7760" w:type="dxa"/>
            <w:vAlign w:val="bottom"/>
            <w:vMerge w:val="continue"/>
          </w:tcPr>
          <w:p>
            <w:pPr>
              <w:spacing w:after="0"/>
              <w:rPr>
                <w:sz w:val="13"/>
                <w:szCs w:val="13"/>
                <w:color w:val="auto"/>
              </w:rPr>
            </w:pPr>
          </w:p>
        </w:tc>
        <w:tc>
          <w:tcPr>
            <w:tcW w:w="420" w:type="dxa"/>
            <w:vAlign w:val="bottom"/>
            <w:tcBorders>
              <w:right w:val="single" w:sz="8" w:color="auto"/>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highlight w:val="white"/>
              </w:rPr>
              <w:t>Agrawal previously served as the Chief Financial Officer, Global Wrangler and Global Kontoor Supply Chain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of Kontoor Brands, Inc. from January 2023 to January 2024, and Chief Financial Officer of Global Wrangler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from September 2021 to January 2024. Prior to that, Ms. Agrawal served as the Global Segment Chief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Financial Officer, Industrial Segment for Underwriters Laboratories from February 2021 to September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and Connected Technology Appliances &amp; Lighting Global Division Chief Financial Officer for Underwriters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Laboratories from October 2019 to February 2021, as well as various leadership positions at Walgreens Boots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Alliance from January 2012 to September 2019, most recently serving as Synergy Leader M&amp;A Integration: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Rite Aid from 2018 to September 2019 and at Procter &amp; Gamble from 2001 to 2011. Ms. Agrawal holds 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Bachelor of Commerce, Accounting, and Taxation degree from Narsee Monjee College of Commerce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Economics, an M.B.A. from the Kelley School of Business at Indiana University, CPA (inactive), and is a CFA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charter holder.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260" w:type="dxa"/>
            <w:vAlign w:val="bottom"/>
            <w:tcBorders>
              <w:top w:val="single" w:sz="8" w:color="auto"/>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Eli M. Getson</w:t>
            </w:r>
          </w:p>
        </w:tc>
        <w:tc>
          <w:tcPr>
            <w:tcW w:w="600" w:type="dxa"/>
            <w:vAlign w:val="bottom"/>
            <w:tcBorders>
              <w:top w:val="single" w:sz="8" w:color="auto"/>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top w:val="single" w:sz="8" w:color="auto"/>
            </w:tcBorders>
          </w:tcPr>
          <w:p>
            <w:pPr>
              <w:spacing w:after="0"/>
              <w:rPr>
                <w:sz w:val="13"/>
                <w:szCs w:val="13"/>
                <w:color w:val="auto"/>
              </w:rPr>
            </w:pPr>
          </w:p>
        </w:tc>
        <w:tc>
          <w:tcPr>
            <w:tcW w:w="8020" w:type="dxa"/>
            <w:vAlign w:val="bottom"/>
            <w:gridSpan w:val="2"/>
          </w:tcPr>
          <w:p>
            <w:pPr>
              <w:spacing w:after="0" w:line="150" w:lineRule="exact"/>
              <w:rPr>
                <w:sz w:val="20"/>
                <w:szCs w:val="20"/>
                <w:color w:val="auto"/>
              </w:rPr>
            </w:pPr>
            <w:r>
              <w:rPr>
                <w:rFonts w:ascii="Times New Roman" w:cs="Times New Roman" w:eastAsia="Times New Roman" w:hAnsi="Times New Roman"/>
                <w:sz w:val="17"/>
                <w:szCs w:val="17"/>
                <w:color w:val="auto"/>
                <w:highlight w:val="white"/>
              </w:rPr>
              <w:t>Mr. Getson has served as our Senior Vice President and Chief Merchandising Officer since August 2024. From</w:t>
            </w:r>
          </w:p>
        </w:tc>
        <w:tc>
          <w:tcPr>
            <w:tcW w:w="160" w:type="dxa"/>
            <w:vAlign w:val="bottom"/>
            <w:tcBorders>
              <w:top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highlight w:val="white"/>
              </w:rPr>
              <w:t>December 2016 through April 2024, Mr. Getson served as Senior Vice President and General Merchandise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Manager at Academy Sports and Outdoors, a retailer of trending outdoor and sports categories. From June 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through November 2016, Mr. Getson served as Executive Vice President and General Merchandise Manager at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Golfsmith International. Prior to that, Mr. Getson served in various roles at Cabela’s, Bon-Ton Corporation,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Perry Ellis International, and Polo Ralph Lauren.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76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07"/>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0" w:type="dxa"/>
            <w:vAlign w:val="bottom"/>
          </w:tcPr>
          <w:p>
            <w:pPr>
              <w:spacing w:after="0"/>
              <w:rPr>
                <w:sz w:val="17"/>
                <w:szCs w:val="17"/>
                <w:color w:val="auto"/>
              </w:rPr>
            </w:pPr>
          </w:p>
        </w:tc>
        <w:tc>
          <w:tcPr>
            <w:tcW w:w="8280" w:type="dxa"/>
            <w:vAlign w:val="bottom"/>
          </w:tcPr>
          <w:p>
            <w:pPr>
              <w:spacing w:after="0"/>
              <w:rPr>
                <w:sz w:val="17"/>
                <w:szCs w:val="17"/>
                <w:color w:val="auto"/>
              </w:rPr>
            </w:pPr>
          </w:p>
        </w:tc>
      </w:tr>
      <w:tr>
        <w:trPr>
          <w:trHeight w:val="169"/>
        </w:trPr>
        <w:tc>
          <w:tcPr>
            <w:tcW w:w="1280" w:type="dxa"/>
            <w:vAlign w:val="bottom"/>
            <w:tcBorders>
              <w:top w:val="single" w:sz="8" w:color="0000FF"/>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80" w:type="dxa"/>
            <w:vAlign w:val="bottom"/>
            <w:tcBorders>
              <w:bottom w:val="single" w:sz="8" w:color="auto"/>
            </w:tcBorders>
          </w:tcPr>
          <w:p>
            <w:pPr>
              <w:spacing w:after="0"/>
              <w:rPr>
                <w:sz w:val="14"/>
                <w:szCs w:val="14"/>
                <w:color w:val="auto"/>
              </w:rPr>
            </w:pPr>
          </w:p>
        </w:tc>
      </w:tr>
      <w:tr>
        <w:trPr>
          <w:trHeight w:val="151"/>
        </w:trPr>
        <w:tc>
          <w:tcPr>
            <w:tcW w:w="226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color w:val="auto"/>
              </w:rPr>
              <w:t>David S. Homolka</w:t>
            </w:r>
          </w:p>
        </w:tc>
        <w:tc>
          <w:tcPr>
            <w:tcW w:w="580" w:type="dxa"/>
            <w:vAlign w:val="bottom"/>
            <w:tcBorders>
              <w:right w:val="single" w:sz="8" w:color="auto"/>
            </w:tcBorders>
          </w:tcPr>
          <w:p>
            <w:pPr>
              <w:jc w:val="right"/>
              <w:ind w:right="236"/>
              <w:spacing w:after="0" w:line="150" w:lineRule="exact"/>
              <w:rPr>
                <w:sz w:val="20"/>
                <w:szCs w:val="20"/>
                <w:color w:val="auto"/>
              </w:rPr>
            </w:pPr>
            <w:r>
              <w:rPr>
                <w:rFonts w:ascii="Times New Roman" w:cs="Times New Roman" w:eastAsia="Times New Roman" w:hAnsi="Times New Roman"/>
                <w:sz w:val="17"/>
                <w:szCs w:val="17"/>
                <w:color w:val="auto"/>
              </w:rPr>
              <w:t>58</w:t>
            </w:r>
          </w:p>
        </w:tc>
        <w:tc>
          <w:tcPr>
            <w:tcW w:w="82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Mr. Homolka has served as our Senior Vice President of Talent, Retail Store Operations, Contact Center</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Operations, Asset Protection &amp; Safety since February 2020 and previously served as our Vice President of</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Human Resources, Store Operations and Asset Protection from January 2019 to February 2020, and Vice</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President of Human Resources from February 2017 to January 2019. Mr. Homolka previously served as Chief</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Property and Design Officer and Vice President of Real Estate, Store Design and Construction at Cabela’s from</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October 2015 to February 2017 and Vice President of Human Resources and Asset Protection from January</w:t>
            </w: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2012 to October 2015.</w:t>
            </w:r>
          </w:p>
        </w:tc>
      </w:tr>
      <w:tr>
        <w:trPr>
          <w:trHeight w:val="151"/>
        </w:trPr>
        <w:tc>
          <w:tcPr>
            <w:tcW w:w="226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color w:val="auto"/>
              </w:rPr>
              <w:t>Richard W. Schlecht</w:t>
            </w:r>
          </w:p>
        </w:tc>
        <w:tc>
          <w:tcPr>
            <w:tcW w:w="580" w:type="dxa"/>
            <w:vAlign w:val="bottom"/>
            <w:tcBorders>
              <w:right w:val="single" w:sz="8" w:color="auto"/>
            </w:tcBorders>
          </w:tcPr>
          <w:p>
            <w:pPr>
              <w:jc w:val="right"/>
              <w:ind w:right="236"/>
              <w:spacing w:after="0" w:line="150" w:lineRule="exact"/>
              <w:rPr>
                <w:sz w:val="20"/>
                <w:szCs w:val="20"/>
                <w:color w:val="auto"/>
              </w:rPr>
            </w:pPr>
            <w:r>
              <w:rPr>
                <w:rFonts w:ascii="Times New Roman" w:cs="Times New Roman" w:eastAsia="Times New Roman" w:hAnsi="Times New Roman"/>
                <w:sz w:val="17"/>
                <w:szCs w:val="17"/>
                <w:color w:val="auto"/>
              </w:rPr>
              <w:t>44</w:t>
            </w:r>
          </w:p>
        </w:tc>
        <w:tc>
          <w:tcPr>
            <w:tcW w:w="82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Mr. Schlecht has served as our Senior Vice President of Product Development and Sourcing since October</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2023, and has previously served as our Senior Vice President of Product, Merchandise and Inventory from</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March 2022 to October 2023, Senior Vice President of Product, Visual and Creative from February 2020 to</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March 2022, Vice President of Product Development from March 2016 to February 2020 and Director of</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Product Development from September 2013 to March 2016. Mr. Schlecht holds a BSBA degree with a minor in</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Statistics from Denver University. Mr. Schlecht is the son of Stephen L. Schlecht, the Chairman of the Board of</w:t>
            </w: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 of Duluth Holdings Inc.</w:t>
            </w:r>
          </w:p>
        </w:tc>
      </w:tr>
      <w:tr>
        <w:trPr>
          <w:trHeight w:val="151"/>
        </w:trPr>
        <w:tc>
          <w:tcPr>
            <w:tcW w:w="226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color w:val="auto"/>
              </w:rPr>
              <w:t>Albert J. Sutera</w:t>
            </w:r>
          </w:p>
        </w:tc>
        <w:tc>
          <w:tcPr>
            <w:tcW w:w="580" w:type="dxa"/>
            <w:vAlign w:val="bottom"/>
            <w:tcBorders>
              <w:right w:val="single" w:sz="8" w:color="auto"/>
            </w:tcBorders>
          </w:tcPr>
          <w:p>
            <w:pPr>
              <w:jc w:val="right"/>
              <w:ind w:right="236"/>
              <w:spacing w:after="0" w:line="150" w:lineRule="exact"/>
              <w:rPr>
                <w:sz w:val="20"/>
                <w:szCs w:val="20"/>
                <w:color w:val="auto"/>
              </w:rPr>
            </w:pPr>
            <w:r>
              <w:rPr>
                <w:rFonts w:ascii="Times New Roman" w:cs="Times New Roman" w:eastAsia="Times New Roman" w:hAnsi="Times New Roman"/>
                <w:sz w:val="17"/>
                <w:szCs w:val="17"/>
                <w:color w:val="auto"/>
              </w:rPr>
              <w:t>59</w:t>
            </w:r>
          </w:p>
        </w:tc>
        <w:tc>
          <w:tcPr>
            <w:tcW w:w="82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Mr. Sutera has served as our Senior Vice President, Chief Technology Officer and Logistics since August 2022.</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He previously served as US Chief Technology &amp; Operations Officer of Signa Sports United from January 2022</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to August 2022, as Executive Vice President/Chief Technology &amp; Information Officer of JD Sports Fashion</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from March 2016 to August 2021, as Senior Vice President/CTO for Hudson Bay Corporation from November</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2013 to February 2016 and as Senior Vice President of Digital Technology &amp; Operations of Saks Fifth Avenue</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from March 2007 to November 2013. Mr. Sutera holds a B.S. in Finance and Accounting from Montclair State</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University and a Master’s Certificate in Computer Science and Project Management from Stevens Institute of</w:t>
            </w:r>
          </w:p>
        </w:tc>
      </w:tr>
      <w:tr>
        <w:trPr>
          <w:trHeight w:val="234"/>
        </w:trPr>
        <w:tc>
          <w:tcPr>
            <w:tcW w:w="128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Technology.</w:t>
            </w:r>
          </w:p>
        </w:tc>
      </w:tr>
      <w:tr>
        <w:trPr>
          <w:trHeight w:val="283"/>
        </w:trPr>
        <w:tc>
          <w:tcPr>
            <w:tcW w:w="128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r>
      <w:tr>
        <w:trPr>
          <w:trHeight w:val="151"/>
        </w:trPr>
        <w:tc>
          <w:tcPr>
            <w:tcW w:w="226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color w:val="auto"/>
              </w:rPr>
              <w:t>Garth N. Weber</w:t>
            </w:r>
          </w:p>
        </w:tc>
        <w:tc>
          <w:tcPr>
            <w:tcW w:w="580" w:type="dxa"/>
            <w:vAlign w:val="bottom"/>
            <w:tcBorders>
              <w:right w:val="single" w:sz="8" w:color="auto"/>
            </w:tcBorders>
          </w:tcPr>
          <w:p>
            <w:pPr>
              <w:jc w:val="right"/>
              <w:ind w:right="236"/>
              <w:spacing w:after="0" w:line="150" w:lineRule="exact"/>
              <w:rPr>
                <w:sz w:val="20"/>
                <w:szCs w:val="20"/>
                <w:color w:val="auto"/>
              </w:rPr>
            </w:pPr>
            <w:r>
              <w:rPr>
                <w:rFonts w:ascii="Times New Roman" w:cs="Times New Roman" w:eastAsia="Times New Roman" w:hAnsi="Times New Roman"/>
                <w:sz w:val="17"/>
                <w:szCs w:val="17"/>
                <w:color w:val="auto"/>
              </w:rPr>
              <w:t>55</w:t>
            </w:r>
          </w:p>
        </w:tc>
        <w:tc>
          <w:tcPr>
            <w:tcW w:w="82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Mr. Weber has served as our Senior Vice President of Brand and Marketing since August 2024, serving as</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caretaker of brand and marketing across all facets of the company. From July 2023 to August 2024, Mr. Weber</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served as our Vice President of Brand and Marketing, taking on successively greater responsibility of the</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company’s brand, marketing, and customer analytics functions. Prior to joining Duluth Trading, he served as</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Vice President of Brand and Creative at Wilson Sporting Goods from 2021 to 2023, a leading manufacturer and</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retailer in high-performance sports equipment, apparel, footwear and accessories. Previously, he spent nearly 5</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years at adidas as Senior Director of Global Brand Design. Mr. Weber earned a Bachelor of Arts degree in</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Philosophy from Wheaton College and a Master of Fine Arts degree in Fiction from the State University of</w:t>
            </w:r>
          </w:p>
        </w:tc>
      </w:tr>
      <w:tr>
        <w:trPr>
          <w:trHeight w:val="234"/>
        </w:trPr>
        <w:tc>
          <w:tcPr>
            <w:tcW w:w="128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Brockport.</w:t>
            </w:r>
          </w:p>
        </w:tc>
      </w:tr>
      <w:tr>
        <w:trPr>
          <w:trHeight w:val="418"/>
        </w:trPr>
        <w:tc>
          <w:tcPr>
            <w:tcW w:w="128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5" w:lineRule="exact"/>
        <w:rPr>
          <w:sz w:val="20"/>
          <w:szCs w:val="20"/>
          <w:color w:val="auto"/>
        </w:rPr>
      </w:pPr>
    </w:p>
    <w:p>
      <w:pPr>
        <w:ind w:left="1080" w:right="2160" w:hanging="1065"/>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MARKET FOR THE REGISTRANT’S COMMON EQUITY, RELATED SHAREHOLDER MATTERS AND ISSUER PURCHASES OF EQUITY SECURITIES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Listing and Trading</w:t>
      </w:r>
    </w:p>
    <w:p>
      <w:pPr>
        <w:spacing w:after="0" w:line="17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Our Class B common stock has been traded on the NASDAQ Global Select Market under the symbol “DLTH,” since our initial public offering on November 19, 2015. Our Class A common stock is neither listed nor traded on an exchange.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of Record</w:t>
      </w:r>
    </w:p>
    <w:p>
      <w:pPr>
        <w:spacing w:after="0" w:line="162"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Based upon data provided by our transfer agent, as of March 21, 2025, there were approximately 107 holders of record of our Class B common stock, one of whom is the sole holder of our Class A common stock. We believe the number of beneficial holders of the Company’s Class B common stock is in excess of this amount.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20" w:firstLine="440"/>
        <w:spacing w:after="0" w:line="233" w:lineRule="auto"/>
        <w:rPr>
          <w:sz w:val="20"/>
          <w:szCs w:val="20"/>
          <w:color w:val="auto"/>
        </w:rPr>
      </w:pPr>
      <w:r>
        <w:rPr>
          <w:rFonts w:ascii="Times New Roman" w:cs="Times New Roman" w:eastAsia="Times New Roman" w:hAnsi="Times New Roman"/>
          <w:sz w:val="18"/>
          <w:szCs w:val="18"/>
          <w:color w:val="auto"/>
        </w:rPr>
        <w:t>Our Class B common stock began trading on November 19, 2015. Since that time, we have not declared any cash dividends, and we do not anticipate declaring any cash dividends in the foreseeable future.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Information regarding our equity compensation plans is set forth in Part III, Item 12. Security Ownership of Beneficial Owners and Management and Related Shareholder Matters.</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[RESERVED]</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080" w:right="2380" w:hanging="1065"/>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MANAGEMENT’S DISCUSSION AND ANALYSIS OF FINANCIAL CONDITION AND RESULTS OF OPERATIONS</w:t>
      </w:r>
    </w:p>
    <w:p>
      <w:pPr>
        <w:spacing w:after="0" w:line="228"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should be read in conjunction with the consolidated financial statements and the accompanying notes and information contained in other sections included elsewhere in this annual report, particularly,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44" w:lineRule="exact"/>
        <w:rPr>
          <w:sz w:val="20"/>
          <w:szCs w:val="20"/>
          <w:color w:val="auto"/>
        </w:rPr>
      </w:pPr>
    </w:p>
    <w:p>
      <w:pPr>
        <w:ind w:right="240" w:firstLine="440"/>
        <w:spacing w:after="0" w:line="24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Management’s discussion focuses on fiscal 2024 results compared to fiscal 2023. Fiscal year 2024 was a 53-week period and 2023 was a 52-week period. For a discussion of fiscal 2023 results compared to fiscal 2022, refer to the Company’s Annual Report on </w:t>
      </w:r>
      <w:hyperlink r:id="rId40">
        <w:r>
          <w:rPr>
            <w:rFonts w:ascii="Times New Roman" w:cs="Times New Roman" w:eastAsia="Times New Roman" w:hAnsi="Times New Roman"/>
            <w:sz w:val="18"/>
            <w:szCs w:val="18"/>
            <w:i w:val="1"/>
            <w:iCs w:val="1"/>
            <w:u w:val="single" w:color="auto"/>
            <w:color w:val="0000FF"/>
          </w:rPr>
          <w:t>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year ended January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-154305</wp:posOffset>
            </wp:positionV>
            <wp:extent cx="511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firstLine="440"/>
        <w:spacing w:after="0" w:line="242" w:lineRule="auto"/>
        <w:rPr>
          <w:sz w:val="20"/>
          <w:szCs w:val="20"/>
          <w:color w:val="auto"/>
        </w:rPr>
      </w:pPr>
      <w:r>
        <w:rPr>
          <w:rFonts w:ascii="Times New Roman" w:cs="Times New Roman" w:eastAsia="Times New Roman" w:hAnsi="Times New Roman"/>
          <w:sz w:val="18"/>
          <w:szCs w:val="18"/>
          <w:color w:val="auto"/>
        </w:rPr>
        <w:t>We are a lifestyle brand of men’s and women’s workwear, casual wear, outdoor apparel and accessories sold primarily through our own omnichannel platform. We offer products nationwide through our website and catalog. In 2010, we initiated our omnichannel platform with the opening of our first store. Since then, we have expanded our retail presence, and as of February 2, 2025, we operated 62 retail stores and three outlet stores.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29"/>
          <w:szCs w:val="29"/>
          <w:color w:val="auto"/>
          <w:vertAlign w:val="superscript"/>
        </w:rPr>
        <w:t>®</w:t>
      </w:r>
    </w:p>
    <w:p>
      <w:pPr>
        <w:ind w:right="220"/>
        <w:spacing w:after="0" w:line="203"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31"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sales growth.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sales in fiscal 2024 decreased by 3.1% compared to the prior year to $626.6 million;</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loss in fiscal 2024 was ($43.6) million compared to prior year net loss of ($9.9) million; and</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Adjusted EBITDA in fiscal 2024 decreased $18.0 million compared to the prior year to $14.6 million.</w:t>
      </w:r>
    </w:p>
    <w:p>
      <w:pPr>
        <w:spacing w:after="0" w:line="185" w:lineRule="exact"/>
        <w:rPr>
          <w:sz w:val="20"/>
          <w:szCs w:val="20"/>
          <w:color w:val="auto"/>
        </w:rPr>
      </w:pPr>
    </w:p>
    <w:p>
      <w:pPr>
        <w:ind w:right="260" w:firstLine="440"/>
        <w:spacing w:after="0" w:line="242" w:lineRule="auto"/>
        <w:rPr>
          <w:sz w:val="20"/>
          <w:szCs w:val="20"/>
          <w:color w:val="auto"/>
        </w:rPr>
      </w:pPr>
      <w:r>
        <w:rPr>
          <w:rFonts w:ascii="Times New Roman" w:cs="Times New Roman" w:eastAsia="Times New Roman" w:hAnsi="Times New Roman"/>
          <w:sz w:val="18"/>
          <w:szCs w:val="18"/>
          <w:color w:val="auto"/>
        </w:rPr>
        <w:t>See “Reconciliation of Net (Loss) Income to EBITDA and EBITDA to Adjusted EBITDA” section for a reconciliation of our net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57" w:lineRule="exact"/>
        <w:rPr>
          <w:sz w:val="20"/>
          <w:szCs w:val="20"/>
          <w:color w:val="auto"/>
        </w:rPr>
      </w:pPr>
    </w:p>
    <w:p>
      <w:pPr>
        <w:jc w:val="both"/>
        <w:ind w:right="80" w:firstLine="440"/>
        <w:spacing w:after="0" w:line="236"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catalog and orders placed through the call center.</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right="380" w:firstLine="440"/>
        <w:spacing w:after="0" w:line="250"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to a customer, while store sales are recognized at the point of sale.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20" w:firstLine="440"/>
        <w:spacing w:after="0" w:line="23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fulfillment centers to our retail stores. The primary drivers of the costs of individual goods are raw material costs. Depreciation and amortization are excluded from gross profit. Shipping and handling revenue is also reflected in our gross profit and gross profit margin. Our gross profit may not be comparable to other retailers, as we do not include distribution network and store occupancy expenses in calculating gross profit, but instead we include them in selling, general and administrative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digital and social media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4"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While we expect these expenses to increase as we continue to increase brand awareness and invest in infrastructure to support our business, we believe these expenses will decrease as a percentage of sales over time. Our shipping and handling expenses typically increase during the second half of the year due to additional surcharges during our peak selling season.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right="120" w:firstLine="440"/>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We define Adjusted EBITDA as consolidated net (loss)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This non-GAAP measure may not be comparable to similarly titled measures used by other companies.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62" w:lineRule="exact"/>
        <w:rPr>
          <w:sz w:val="20"/>
          <w:szCs w:val="20"/>
          <w:color w:val="auto"/>
        </w:rPr>
      </w:pPr>
    </w:p>
    <w:p>
      <w:pPr>
        <w:jc w:val="both"/>
        <w:ind w:right="300" w:firstLine="440"/>
        <w:spacing w:after="0" w:line="242" w:lineRule="auto"/>
        <w:rPr>
          <w:sz w:val="20"/>
          <w:szCs w:val="20"/>
          <w:color w:val="auto"/>
        </w:rPr>
      </w:pPr>
      <w:r>
        <w:rPr>
          <w:rFonts w:ascii="Times New Roman" w:cs="Times New Roman" w:eastAsia="Times New Roman" w:hAnsi="Times New Roman"/>
          <w:sz w:val="18"/>
          <w:szCs w:val="18"/>
          <w:color w:val="auto"/>
        </w:rPr>
        <w:t>We believe Free Cash Flow is a useful measure of performance as an indication of the Company’s ability to generate cash and provides additional perspective on our ability to efficiently use capital in executing our growth strategy. We use Free Cash Flow to facilitate a comparison of our operating performance on a consistent basis from period-to-period and our ability to generate cash.</w:t>
      </w:r>
    </w:p>
    <w:p>
      <w:pPr>
        <w:spacing w:after="0" w:line="143"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8"/>
          <w:szCs w:val="18"/>
          <w:color w:val="auto"/>
        </w:rPr>
        <w:t>We define Free Cash Flow as net cash provided by operating activities less purchase of property and equipment. This non-GAAP measure may not be comparable to similarly titled measures used by other companies.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periods indicated, both in dollars and as a percentage of net sales.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1311"/>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626,629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646,681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318,119</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321,710</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308,510</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324,971</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337,623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334,540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Restructuring expense</w:t>
            </w:r>
          </w:p>
        </w:tc>
        <w:tc>
          <w:tcPr>
            <w:tcW w:w="1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7,748</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Operating loss</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(36,861)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(9,569)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4,554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4,156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Other income, net</w:t>
            </w:r>
          </w:p>
        </w:tc>
        <w:tc>
          <w:tcPr>
            <w:tcW w:w="1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923</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(41,242)</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(12,802)</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 (benefit)</w:t>
            </w:r>
          </w:p>
        </w:tc>
        <w:tc>
          <w:tcPr>
            <w:tcW w:w="1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2,370</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(2,862)</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(43,612)</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(9,940)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(43,671)</w:t>
            </w: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(9,923)</w:t>
            </w: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Compared to Fiscal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right="80" w:firstLine="440"/>
        <w:spacing w:after="0" w:line="235" w:lineRule="auto"/>
        <w:rPr>
          <w:sz w:val="20"/>
          <w:szCs w:val="20"/>
          <w:color w:val="auto"/>
        </w:rPr>
      </w:pPr>
      <w:r>
        <w:rPr>
          <w:rFonts w:ascii="Times New Roman" w:cs="Times New Roman" w:eastAsia="Times New Roman" w:hAnsi="Times New Roman"/>
          <w:sz w:val="18"/>
          <w:szCs w:val="18"/>
          <w:color w:val="auto"/>
        </w:rPr>
        <w:t>Net sales decreased $20.1 million, or 3.1%, to $626.6 million in fiscal 2024 compared to $646.7 million in fiscal 2023. The decrease in net sales was primarily driven by lower average unit retail prices, processing delays at a legacy fulfillment center, lower web conversion and a decline in store traffic. Following the surge in unit demand over the Black Friday weekend, inventory units housed in our highly automated Adairsville center were significantly depleted resulting in a higher level of orders being routed to a legacy fulfillment facility, which resulted in significant backlog. We subsequently reduced promotional depth and frequency to address the order backlog and maintain sales quality, which constrained top-line growth.</w:t>
      </w:r>
    </w:p>
    <w:p>
      <w:pPr>
        <w:spacing w:after="0" w:line="148" w:lineRule="exact"/>
        <w:rPr>
          <w:sz w:val="20"/>
          <w:szCs w:val="20"/>
          <w:color w:val="auto"/>
        </w:rPr>
      </w:pPr>
    </w:p>
    <w:p>
      <w:pPr>
        <w:ind w:right="160" w:firstLine="428"/>
        <w:spacing w:after="0" w:line="250" w:lineRule="auto"/>
        <w:rPr>
          <w:sz w:val="20"/>
          <w:szCs w:val="20"/>
          <w:color w:val="auto"/>
        </w:rPr>
      </w:pPr>
      <w:r>
        <w:rPr>
          <w:rFonts w:ascii="Times New Roman" w:cs="Times New Roman" w:eastAsia="Times New Roman" w:hAnsi="Times New Roman"/>
          <w:sz w:val="18"/>
          <w:szCs w:val="18"/>
          <w:color w:val="auto"/>
        </w:rPr>
        <w:t>Store market net sales decreased $3.3 million, or 0.8%, to $441.8 million in fiscal 2024 compared to $445.1 million in fiscal 2023. Net sales in non-store markets decreased $21.7 million, or 11.1%, to $174.3 million in fiscal 2024 compared to $196.0 million in fiscal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right="380" w:firstLine="440"/>
        <w:spacing w:after="0"/>
        <w:rPr>
          <w:sz w:val="20"/>
          <w:szCs w:val="20"/>
          <w:color w:val="auto"/>
        </w:rPr>
      </w:pPr>
      <w:r>
        <w:rPr>
          <w:rFonts w:ascii="Times New Roman" w:cs="Times New Roman" w:eastAsia="Times New Roman" w:hAnsi="Times New Roman"/>
          <w:sz w:val="18"/>
          <w:szCs w:val="18"/>
          <w:color w:val="auto"/>
        </w:rPr>
        <w:t>Gross profit decreased $16.5 million, or 5.1%, to $308.5 million in fiscal 2024 compared to $325.0 million in fiscal 2023. As a percentage of net sales, gross margin decreased to 49.2% of net sales in fiscal 2024 compared to 50.3% of net sales in fiscal 2023. The decrease in gross margin rate was primarily due to a lower mix of full price sales as customers’ purchasing activity increased during periods of promotions, partially offset by an improvement in product costs from our direct to factory sourcing initiative.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 expenses increased $3.1 million, or 0.9%, to $337.6 million in fiscal 2024 compared to $334.5 million in fiscal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Selling, general and administrative expenses as a percentage of net sales was 53.9% in fiscal 2024 compared to 51.7% in fiscal 2023.</w:t>
      </w:r>
    </w:p>
    <w:p>
      <w:pPr>
        <w:spacing w:after="0" w:line="138"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as a percentage of net sales was mainly driven by increased overhead costs, partially offset by optimization in our outbound shipping network.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Interest expense increased $0.4 million to $4.6 million in fiscal 2024 compared to $4.2 million in fiscal 2023. The increase in interest expense was primarily attributable to increased interest rates on outstanding debt in fiscal 2024 compared to fiscal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right="280" w:firstLine="440"/>
        <w:spacing w:after="0" w:line="242" w:lineRule="auto"/>
        <w:rPr>
          <w:sz w:val="20"/>
          <w:szCs w:val="20"/>
          <w:color w:val="auto"/>
        </w:rPr>
      </w:pPr>
      <w:r>
        <w:rPr>
          <w:rFonts w:ascii="Times New Roman" w:cs="Times New Roman" w:eastAsia="Times New Roman" w:hAnsi="Times New Roman"/>
          <w:sz w:val="18"/>
          <w:szCs w:val="18"/>
          <w:color w:val="auto"/>
        </w:rPr>
        <w:t>Income tax expense was $2.4 million in fiscal 2024 compared to income tax benefit of $2.9 million in fiscal 2023. Our effective tax rate related to controlling interest was (5.7%) in fiscal 2024 compared to 22.4% in fiscal 2023. The provision for fiscal 2024 reflected the establishment of a valuation allowance against the net amount of deferred tax assets as well as pre-tax loss in the current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Net loss attributable to controlling interest was ($43.7) million in fiscal 2024 compared to ($9.9) million in fiscal 2023, due to the factors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above section titled “How We Assess the Performance of Our Business,” for our definition of Adjusted EBITDA and Free Cash Flow.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EBITDA and EBITDA to Adjusted EBITDA</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represents reconciliations of net (loss) income to EBITDA and EBITDA to Adjusted EBITDA for the periods indicated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60" w:type="dxa"/>
            <w:vAlign w:val="bottom"/>
            <w:tcBorders>
              <w:bottom w:val="single" w:sz="8" w:color="auto"/>
            </w:tcBorders>
          </w:tcPr>
          <w:p>
            <w:pPr>
              <w:spacing w:after="0"/>
              <w:rPr>
                <w:sz w:val="16"/>
                <w:szCs w:val="16"/>
                <w:color w:val="auto"/>
              </w:rPr>
            </w:pPr>
          </w:p>
        </w:tc>
      </w:tr>
      <w:tr>
        <w:trPr>
          <w:trHeight w:val="183"/>
        </w:trPr>
        <w:tc>
          <w:tcPr>
            <w:tcW w:w="10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480" w:type="dxa"/>
            <w:vAlign w:val="bottom"/>
          </w:tcPr>
          <w:p>
            <w:pPr>
              <w:spacing w:after="0"/>
              <w:rPr>
                <w:sz w:val="15"/>
                <w:szCs w:val="15"/>
                <w:color w:val="auto"/>
              </w:rPr>
            </w:pPr>
          </w:p>
        </w:tc>
        <w:tc>
          <w:tcPr>
            <w:tcW w:w="16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r>
      <w:tr>
        <w:trPr>
          <w:trHeight w:val="202"/>
        </w:trPr>
        <w:tc>
          <w:tcPr>
            <w:tcW w:w="10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56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shd w:val="clear" w:color="auto" w:fill="CCEEFF"/>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(43,612)</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(9,940)</w:t>
            </w:r>
          </w:p>
        </w:tc>
      </w:tr>
      <w:tr>
        <w:trPr>
          <w:trHeight w:val="203"/>
        </w:trPr>
        <w:tc>
          <w:tcPr>
            <w:tcW w:w="66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31,133</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32,159</w:t>
            </w:r>
          </w:p>
        </w:tc>
      </w:tr>
      <w:tr>
        <w:trPr>
          <w:trHeight w:val="22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4"/>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subscription‎</w:t>
            </w: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w:t>
            </w: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r>
      <w:tr>
        <w:trPr>
          <w:trHeight w:val="203"/>
        </w:trPr>
        <w:tc>
          <w:tcPr>
            <w:tcW w:w="66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4,554</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4,156</w:t>
            </w:r>
          </w:p>
        </w:tc>
      </w:tr>
      <w:tr>
        <w:trPr>
          <w:trHeight w:val="203"/>
        </w:trPr>
        <w:tc>
          <w:tcPr>
            <w:tcW w:w="664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2,370</w:t>
            </w:r>
          </w:p>
        </w:tc>
        <w:tc>
          <w:tcPr>
            <w:tcW w:w="3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(2,862)</w:t>
            </w:r>
          </w:p>
        </w:tc>
      </w:tr>
      <w:tr>
        <w:trPr>
          <w:trHeight w:val="183"/>
        </w:trPr>
        <w:tc>
          <w:tcPr>
            <w:tcW w:w="6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EBITDA (non-GAAP)</w:t>
            </w:r>
          </w:p>
        </w:tc>
        <w:tc>
          <w:tcPr>
            <w:tcW w:w="340" w:type="dxa"/>
            <w:vAlign w:val="bottom"/>
          </w:tcPr>
          <w:p>
            <w:pPr>
              <w:spacing w:after="0"/>
              <w:rPr>
                <w:sz w:val="15"/>
                <w:szCs w:val="15"/>
                <w:color w:val="auto"/>
              </w:rPr>
            </w:pPr>
          </w:p>
        </w:tc>
        <w:tc>
          <w:tcPr>
            <w:tcW w:w="18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(274)</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28,474</w:t>
            </w:r>
          </w:p>
        </w:tc>
      </w:tr>
      <w:tr>
        <w:trPr>
          <w:trHeight w:val="203"/>
        </w:trPr>
        <w:tc>
          <w:tcPr>
            <w:tcW w:w="664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Long-term incentive expense</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4,152</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4,195</w:t>
            </w:r>
          </w:p>
        </w:tc>
      </w:tr>
      <w:tr>
        <w:trPr>
          <w:trHeight w:val="203"/>
        </w:trPr>
        <w:tc>
          <w:tcPr>
            <w:tcW w:w="66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Restructuring expense</w:t>
            </w:r>
          </w:p>
        </w:tc>
        <w:tc>
          <w:tcPr>
            <w:tcW w:w="3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7,748</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70"/>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3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3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300" w:type="dxa"/>
            <w:vAlign w:val="bottom"/>
          </w:tcPr>
          <w:p>
            <w:pPr>
              <w:spacing w:after="0"/>
              <w:rPr>
                <w:sz w:val="20"/>
                <w:szCs w:val="20"/>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32,669</w:t>
            </w:r>
          </w:p>
        </w:tc>
      </w:tr>
      <w:tr>
        <w:trPr>
          <w:trHeight w:val="20"/>
        </w:trPr>
        <w:tc>
          <w:tcPr>
            <w:tcW w:w="10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$18.0 million to $14.6 million in fiscal</w:t>
      </w:r>
    </w:p>
    <w:p>
      <w:pPr>
        <w:spacing w:after="0" w:line="237" w:lineRule="auto"/>
        <w:rPr>
          <w:sz w:val="20"/>
          <w:szCs w:val="20"/>
          <w:color w:val="auto"/>
        </w:rPr>
      </w:pPr>
      <w:r>
        <w:rPr>
          <w:rFonts w:ascii="Times New Roman" w:cs="Times New Roman" w:eastAsia="Times New Roman" w:hAnsi="Times New Roman"/>
          <w:sz w:val="18"/>
          <w:szCs w:val="18"/>
          <w:color w:val="auto"/>
        </w:rPr>
        <w:t>2024 compared to $32.7 million in fiscal 2023. As a percentage of net sales, Adjusted EBITDA decreased to 2.3% of net sales in fiscal 2024 compared to</w:t>
      </w:r>
    </w:p>
    <w:p>
      <w:pPr>
        <w:spacing w:after="0"/>
        <w:rPr>
          <w:sz w:val="20"/>
          <w:szCs w:val="20"/>
          <w:color w:val="auto"/>
        </w:rPr>
      </w:pPr>
      <w:r>
        <w:rPr>
          <w:rFonts w:ascii="Times New Roman" w:cs="Times New Roman" w:eastAsia="Times New Roman" w:hAnsi="Times New Roman"/>
          <w:sz w:val="18"/>
          <w:szCs w:val="18"/>
          <w:color w:val="auto"/>
        </w:rPr>
        <w:t>5.1% of net sales in fiscal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ind w:right="200" w:firstLine="440"/>
        <w:spacing w:after="0" w:line="250" w:lineRule="auto"/>
        <w:rPr>
          <w:sz w:val="20"/>
          <w:szCs w:val="20"/>
          <w:color w:val="auto"/>
        </w:rPr>
      </w:pPr>
      <w:r>
        <w:rPr>
          <w:rFonts w:ascii="Times New Roman" w:cs="Times New Roman" w:eastAsia="Times New Roman" w:hAnsi="Times New Roman"/>
          <w:sz w:val="18"/>
          <w:szCs w:val="18"/>
          <w:color w:val="auto"/>
        </w:rPr>
        <w:t>The following table represents a reconciliation of Net cash provided by operating activities, the most comparable U.S. GAAP financial measure, to free cash flow.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60" w:type="dxa"/>
            <w:vAlign w:val="bottom"/>
            <w:tcBorders>
              <w:bottom w:val="single" w:sz="8" w:color="auto"/>
            </w:tcBorders>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r>
      <w:tr>
        <w:trPr>
          <w:trHeight w:val="27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(16,917)</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38,673</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8"/>
                <w:szCs w:val="18"/>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(8,329)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(49,086)</w:t>
            </w:r>
          </w:p>
        </w:tc>
      </w:tr>
      <w:tr>
        <w:trPr>
          <w:trHeight w:val="20"/>
        </w:trPr>
        <w:tc>
          <w:tcPr>
            <w:tcW w:w="66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(25,246)</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40" w:firstLine="440"/>
        <w:spacing w:after="0" w:line="242" w:lineRule="auto"/>
        <w:rPr>
          <w:sz w:val="20"/>
          <w:szCs w:val="20"/>
          <w:color w:val="auto"/>
        </w:rPr>
      </w:pPr>
      <w:r>
        <w:rPr>
          <w:rFonts w:ascii="Times New Roman" w:cs="Times New Roman" w:eastAsia="Times New Roman" w:hAnsi="Times New Roman"/>
          <w:sz w:val="18"/>
          <w:szCs w:val="18"/>
          <w:color w:val="auto"/>
        </w:rPr>
        <w:t>Free cash flow decreased $14.8 million to ($25.2) million in fiscal 2024 compared to ($10.4) million in fiscal 2023. The decrease was primarily driven by higher inventory levels compared to a reduction in inventory in the prior year, partially offset by a decrease in purchases of property and equipment.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240" w:firstLine="440"/>
        <w:spacing w:after="0" w:line="236"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As of February 2, 2025 our working capital was $63.1 million, which includes cash and cash equivalents of $3.3 million.</w:t>
      </w:r>
    </w:p>
    <w:p>
      <w:pPr>
        <w:spacing w:after="0" w:line="131"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We spent $17.4 million in fiscal 2024 on capital expenditures, inclusive of investments in software hosting implementation costs, which are included in Prepaid expenses &amp; other current assets on the Company’s Consolidated Balance Sheets. We expect to spend approximately $20.0 million in fiscal 2025 on capital expenditures.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typically occurs in the fourth quarter of our fiscal year. We also use cash in our investing activities for capital expenditures throughout all four quarters of our fiscal year.</w:t>
      </w:r>
    </w:p>
    <w:p>
      <w:pPr>
        <w:spacing w:after="0" w:line="144" w:lineRule="exact"/>
        <w:rPr>
          <w:sz w:val="20"/>
          <w:szCs w:val="20"/>
          <w:color w:val="auto"/>
        </w:rPr>
      </w:pPr>
    </w:p>
    <w:p>
      <w:pPr>
        <w:ind w:right="40" w:firstLine="440"/>
        <w:spacing w:after="0" w:line="250"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60" w:type="dxa"/>
            <w:vAlign w:val="bottom"/>
            <w:tcBorders>
              <w:bottom w:val="single" w:sz="8" w:color="auto"/>
            </w:tcBorders>
          </w:tcPr>
          <w:p>
            <w:pPr>
              <w:spacing w:after="0"/>
              <w:rPr>
                <w:sz w:val="16"/>
                <w:szCs w:val="16"/>
                <w:color w:val="auto"/>
              </w:rPr>
            </w:pPr>
          </w:p>
        </w:tc>
      </w:tr>
      <w:tr>
        <w:trPr>
          <w:trHeight w:val="183"/>
        </w:trPr>
        <w:tc>
          <w:tcPr>
            <w:tcW w:w="6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83"/>
        </w:trPr>
        <w:tc>
          <w:tcPr>
            <w:tcW w:w="6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(16,917)</w:t>
            </w:r>
          </w:p>
        </w:tc>
        <w:tc>
          <w:tcPr>
            <w:tcW w:w="480" w:type="dxa"/>
            <w:vAlign w:val="bottom"/>
            <w:gridSpan w:val="2"/>
            <w:shd w:val="clear" w:color="auto" w:fill="CCEEFF"/>
          </w:tcPr>
          <w:p>
            <w:pPr>
              <w:jc w:val="right"/>
              <w:ind w:right="29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38,673</w:t>
            </w:r>
          </w:p>
        </w:tc>
      </w:tr>
      <w:tr>
        <w:trPr>
          <w:trHeight w:val="203"/>
        </w:trPr>
        <w:tc>
          <w:tcPr>
            <w:tcW w:w="6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7"/>
                <w:szCs w:val="17"/>
                <w:color w:val="auto"/>
              </w:rPr>
            </w:pPr>
          </w:p>
        </w:tc>
        <w:tc>
          <w:tcPr>
            <w:tcW w:w="19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(8,129)</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(48,718)</w:t>
            </w:r>
          </w:p>
        </w:tc>
      </w:tr>
      <w:tr>
        <w:trPr>
          <w:trHeight w:val="203"/>
        </w:trPr>
        <w:tc>
          <w:tcPr>
            <w:tcW w:w="6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(3,776)</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(3,346)</w:t>
            </w:r>
          </w:p>
        </w:tc>
      </w:tr>
      <w:tr>
        <w:trPr>
          <w:trHeight w:val="182"/>
        </w:trPr>
        <w:tc>
          <w:tcPr>
            <w:tcW w:w="69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(28,822)</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(13,391)</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162" w:lineRule="exact"/>
        <w:rPr>
          <w:sz w:val="20"/>
          <w:szCs w:val="20"/>
          <w:color w:val="auto"/>
        </w:rPr>
      </w:pPr>
    </w:p>
    <w:p>
      <w:pPr>
        <w:ind w:right="580" w:firstLine="44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(loss) income adjusted for non-cash items that include depreciation and amortization, stock-based compensation and the effect of changes in assets and liabilities.</w:t>
      </w:r>
    </w:p>
    <w:p>
      <w:pPr>
        <w:spacing w:after="0" w:line="108" w:lineRule="exact"/>
        <w:rPr>
          <w:sz w:val="20"/>
          <w:szCs w:val="20"/>
          <w:color w:val="auto"/>
        </w:rPr>
      </w:pPr>
    </w:p>
    <w:p>
      <w:pPr>
        <w:jc w:val="both"/>
        <w:ind w:right="20" w:firstLine="440"/>
        <w:spacing w:after="0"/>
        <w:rPr>
          <w:sz w:val="20"/>
          <w:szCs w:val="20"/>
          <w:color w:val="auto"/>
        </w:rPr>
      </w:pPr>
      <w:r>
        <w:rPr>
          <w:rFonts w:ascii="Times New Roman" w:cs="Times New Roman" w:eastAsia="Times New Roman" w:hAnsi="Times New Roman"/>
          <w:sz w:val="18"/>
          <w:szCs w:val="18"/>
          <w:color w:val="auto"/>
        </w:rPr>
        <w:t>For fiscal 2024, net cash used in operating activities was $16.9 million, which primarily consisted of non-cash depreciation and amortization of $32.3 million and amortization of stock-based compensation of $4.0 million, offset by cash used in operating assets and liabilities of $12.0 million and net loss of ($43.6) million. The cash used in operating assets and liabilities of $12.0 million primarily consisted of a $40.8 million increase in inventory partially offset by a $22.9 million increase in trade accounts payable.</w:t>
      </w:r>
    </w:p>
    <w:p>
      <w:pPr>
        <w:spacing w:after="0" w:line="131"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The increase in inventory and trade accounts payable was primarily related to an increase in in-transit inventory as we moved from purchasing through an agent to buying directly from factories coupled with higher inventory receipts on core year-round products to mitigate low in-stock post Black Friday week.</w:t>
      </w:r>
    </w:p>
    <w:p>
      <w:pPr>
        <w:spacing w:after="0" w:line="143" w:lineRule="exact"/>
        <w:rPr>
          <w:sz w:val="20"/>
          <w:szCs w:val="20"/>
          <w:color w:val="auto"/>
        </w:rPr>
      </w:pPr>
    </w:p>
    <w:p>
      <w:pPr>
        <w:ind w:right="120" w:firstLine="440"/>
        <w:spacing w:after="0" w:line="236" w:lineRule="auto"/>
        <w:rPr>
          <w:sz w:val="20"/>
          <w:szCs w:val="20"/>
          <w:color w:val="auto"/>
        </w:rPr>
      </w:pPr>
      <w:r>
        <w:rPr>
          <w:rFonts w:ascii="Times New Roman" w:cs="Times New Roman" w:eastAsia="Times New Roman" w:hAnsi="Times New Roman"/>
          <w:sz w:val="18"/>
          <w:szCs w:val="18"/>
          <w:color w:val="auto"/>
        </w:rPr>
        <w:t>For fiscal 2023, net cash provided by operating activities was $38.7 million, which primarily consisted of non-cash depreciation and amortization of $32.2 million, amortization of stock-based compensation of $4.2 million and cash provided by operating assets and liabilities of $14.5 million, which was partially offset by net loss of ($9.9) million. The cash provided by operating assets and liabilities of $14.5 million primarily consisted of a $29.2 million decrease in inventory partially offset by a $5.4 million and $4.4 million decrease in trade accounts payable and accrued expenses, respectively.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a new fulfillment center and information technology.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fiscal 2024, net cash used in investing activities was $8.1 million, driven by purchases of property and equipment of $8.3 million.</w:t>
      </w:r>
    </w:p>
    <w:p>
      <w:pPr>
        <w:spacing w:after="0" w:line="171" w:lineRule="exact"/>
        <w:rPr>
          <w:sz w:val="20"/>
          <w:szCs w:val="20"/>
          <w:color w:val="auto"/>
        </w:rPr>
      </w:pPr>
    </w:p>
    <w:p>
      <w:pPr>
        <w:ind w:right="280" w:firstLine="440"/>
        <w:spacing w:after="0" w:line="250" w:lineRule="auto"/>
        <w:rPr>
          <w:sz w:val="20"/>
          <w:szCs w:val="20"/>
          <w:color w:val="auto"/>
        </w:rPr>
      </w:pPr>
      <w:r>
        <w:rPr>
          <w:rFonts w:ascii="Times New Roman" w:cs="Times New Roman" w:eastAsia="Times New Roman" w:hAnsi="Times New Roman"/>
          <w:sz w:val="18"/>
          <w:szCs w:val="18"/>
          <w:color w:val="auto"/>
        </w:rPr>
        <w:t>For fiscal 2023, net cash used in investing activities was $48.7 million, driven by purchases of property and equipment of $49.1 million, primarily related to the Adairsville, Georgia fulfillment center.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75" w:lineRule="exact"/>
        <w:rPr>
          <w:sz w:val="20"/>
          <w:szCs w:val="20"/>
          <w:color w:val="auto"/>
        </w:rPr>
      </w:pPr>
    </w:p>
    <w:p>
      <w:pPr>
        <w:ind w:right="700" w:firstLine="440"/>
        <w:spacing w:after="0" w:line="250"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and other long-term debt, as well as payments on finance lease obligations.</w:t>
      </w:r>
    </w:p>
    <w:p>
      <w:pPr>
        <w:spacing w:after="0" w:line="136" w:lineRule="exact"/>
        <w:rPr>
          <w:sz w:val="20"/>
          <w:szCs w:val="20"/>
          <w:color w:val="auto"/>
        </w:rPr>
      </w:pPr>
    </w:p>
    <w:p>
      <w:pPr>
        <w:ind w:right="20" w:firstLine="440"/>
        <w:spacing w:after="0" w:line="250" w:lineRule="auto"/>
        <w:rPr>
          <w:sz w:val="20"/>
          <w:szCs w:val="20"/>
          <w:color w:val="auto"/>
        </w:rPr>
      </w:pPr>
      <w:r>
        <w:rPr>
          <w:rFonts w:ascii="Times New Roman" w:cs="Times New Roman" w:eastAsia="Times New Roman" w:hAnsi="Times New Roman"/>
          <w:sz w:val="18"/>
          <w:szCs w:val="18"/>
          <w:color w:val="auto"/>
        </w:rPr>
        <w:t>For fiscal 2024 and fiscal 2023, net cash used in financing activities was $3.8 million and $3.3 million, respectively, primarily consisting of payments on finance lease obligations.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firstLine="428"/>
        <w:spacing w:after="0" w:line="242" w:lineRule="auto"/>
        <w:rPr>
          <w:sz w:val="20"/>
          <w:szCs w:val="20"/>
          <w:color w:val="auto"/>
        </w:rPr>
      </w:pPr>
      <w:r>
        <w:rPr>
          <w:rFonts w:ascii="Times New Roman" w:cs="Times New Roman" w:eastAsia="Times New Roman" w:hAnsi="Times New Roman"/>
          <w:sz w:val="17"/>
          <w:szCs w:val="17"/>
          <w:color w:val="auto"/>
        </w:rPr>
        <w:t>On May 14, 2021, the Company terminated its prior credit agreement, and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w:t>
      </w:r>
    </w:p>
    <w:p>
      <w:pPr>
        <w:spacing w:after="0" w:line="1" w:lineRule="exact"/>
        <w:rPr>
          <w:sz w:val="20"/>
          <w:szCs w:val="20"/>
          <w:color w:val="auto"/>
        </w:rPr>
      </w:pPr>
    </w:p>
    <w:p>
      <w:pPr>
        <w:ind w:right="380" w:firstLine="8"/>
        <w:spacing w:after="0" w:line="245" w:lineRule="auto"/>
        <w:tabs>
          <w:tab w:leader="none" w:pos="2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40" w:lineRule="exact"/>
        <w:rPr>
          <w:sz w:val="20"/>
          <w:szCs w:val="20"/>
          <w:color w:val="auto"/>
        </w:rPr>
      </w:pPr>
    </w:p>
    <w:p>
      <w:pPr>
        <w:ind w:right="120" w:firstLine="428"/>
        <w:spacing w:after="0" w:line="236" w:lineRule="auto"/>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 modification for accounting purposes. The First Amendment amends the Credit Agreement in order to (i) increase the revolving commitment from $150.0 million to $200.0 million; (ii) extend the maturity date from May 14, 2026 to July 8, 2027; (iii) amend the pricing index to replace BSBY with the Term Secured Overnight Financing Rate; and (iv) reduce the commitment fee in some instances.</w:t>
      </w:r>
    </w:p>
    <w:p>
      <w:pPr>
        <w:spacing w:after="0" w:line="185"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8"/>
          <w:szCs w:val="18"/>
          <w:color w:val="auto"/>
        </w:rPr>
        <w:t>On January 31, 2025, the Company entered into the Second Amendment to the Credit Agreement (the “Second Amendment”), which was treated as an extinguishment for accounting purposes. The Second Amendment amends the Credit Agreement in order to (i) decrease the revolving commitment from $200.0 million to $100.0 million; (ii) revise the definition of</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“Applicable Rate” to provide for pricing terms in the event of a Rent Adjusted Leverage Ratio greater than or equal to 3.50:1.0; (iii) limit the exceptions to the prohibition on restricted payments to (a) making dividends or distributions by any subsidiary to the Company, and (b) the acquisition of equity interests in satisfaction of tax withholding obligations associated with restricted stock or awards under employee incentive plans; and (iv) provide that the Maximum Rent Adjusted Leverage Ratio and the Minimum Fixed Charge Coverage Ratio will be measured commencing on the fiscal quarter ending May 2, 2021 and measured quarterly thereafter as of the last day of each fiscal quarter of the Company (other than for the fiscal quarter ending February 2,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ind w:right="520" w:firstLine="428"/>
        <w:spacing w:after="0" w:line="266" w:lineRule="auto"/>
        <w:rPr>
          <w:sz w:val="20"/>
          <w:szCs w:val="20"/>
          <w:color w:val="auto"/>
        </w:rPr>
      </w:pPr>
      <w:r>
        <w:rPr>
          <w:rFonts w:ascii="Times New Roman" w:cs="Times New Roman" w:eastAsia="Times New Roman" w:hAnsi="Times New Roman"/>
          <w:sz w:val="18"/>
          <w:szCs w:val="18"/>
          <w:color w:val="auto"/>
        </w:rPr>
        <w:t>In connection with our investing and operating activities, we have entered into certain contractual obligations. See Note 3 “Leases” of Notes to Consolidated Financial Statements for additional discussion of these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significant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amounts reported in our consolidated financial statements and related notes, as well as the related disclosure of contingent assets and liabilities at the date of the financial statements and the reported amounts of revenue and expenses during the reporting period.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3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We evaluated the development and selection of our critical accounting estimates and believe that the following involve a higher degree of judgment or complexity and are most significant to reporting our results of operations and financial position, and are therefore discussed as critical.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Return Reserve</w:t>
      </w:r>
    </w:p>
    <w:p>
      <w:pPr>
        <w:spacing w:after="0" w:line="175" w:lineRule="exact"/>
        <w:rPr>
          <w:sz w:val="20"/>
          <w:szCs w:val="20"/>
          <w:color w:val="auto"/>
        </w:rPr>
      </w:pPr>
    </w:p>
    <w:p>
      <w:pPr>
        <w:ind w:right="80" w:firstLine="440"/>
        <w:spacing w:after="0" w:line="235" w:lineRule="auto"/>
        <w:rPr>
          <w:sz w:val="20"/>
          <w:szCs w:val="20"/>
          <w:color w:val="auto"/>
        </w:rPr>
      </w:pPr>
      <w:r>
        <w:rPr>
          <w:rFonts w:ascii="Times New Roman" w:cs="Times New Roman" w:eastAsia="Times New Roman" w:hAnsi="Times New Roman"/>
          <w:sz w:val="18"/>
          <w:szCs w:val="18"/>
          <w:color w:val="auto"/>
        </w:rPr>
        <w:t>The Company currently estimates product return reserve using its own historical sales information. The Company regularly assesses and adjusts the estimate of accrued sales returns by updating return rates for actual company trends and projected costs. While returns have historically been within our expectations, future return rates may differ from those experienced in the past. Changes in these estimates can have a material impact on our financial statements. We believe the accounting estimate related to product returns is a critical accounting estimate because it requires us to make assumptions about future potential returns, which are highly uncertain.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7"/>
          <w:szCs w:val="17"/>
          <w:color w:val="auto"/>
        </w:rPr>
        <w:t>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of Notes to Consolidated Financial Statements included in this Annual Report on 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 See Note 3 “Leases,” of Notes to Consolidated Financial Statements included in this Annual Report on Form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240" w:firstLine="440"/>
        <w:spacing w:after="0" w:line="241" w:lineRule="auto"/>
        <w:rPr>
          <w:sz w:val="20"/>
          <w:szCs w:val="20"/>
          <w:color w:val="auto"/>
        </w:rPr>
      </w:pPr>
      <w:r>
        <w:rPr>
          <w:rFonts w:ascii="Times New Roman" w:cs="Times New Roman" w:eastAsia="Times New Roman" w:hAnsi="Times New Roman"/>
          <w:sz w:val="18"/>
          <w:szCs w:val="18"/>
          <w:color w:val="auto"/>
        </w:rPr>
        <w:t>Revenue for merchandise that is shipped to our customers from our fulfillment centers and stores is recognized upon shipment following customer payment, which is when the customer obtains control of the product and has the ability to direct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use of the product, including, among other options, the ability to redirect the product to a different shipping destination. Store revenue is recognized at the point of sale. This represents the point at which the customer obtains control of the product and has the ability to direct the use of the product.</w:t>
      </w:r>
    </w:p>
    <w:p>
      <w:pPr>
        <w:spacing w:after="0" w:line="108"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We recognize shipping and handling fees as revenue included in net sales when generated from a customer order upon shipment or at the point of sale. Costs of shipping and handling are included in selling, general and administrative expenses.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Sales tax collected is not recognized as revenue as it is ultimately remitted to governmental authorities.</w:t>
      </w:r>
    </w:p>
    <w:p>
      <w:pPr>
        <w:spacing w:after="0" w:line="171" w:lineRule="exact"/>
        <w:rPr>
          <w:sz w:val="20"/>
          <w:szCs w:val="20"/>
          <w:color w:val="auto"/>
        </w:rPr>
      </w:pPr>
    </w:p>
    <w:p>
      <w:pPr>
        <w:ind w:right="120" w:firstLine="440"/>
        <w:spacing w:after="0" w:line="235" w:lineRule="auto"/>
        <w:rPr>
          <w:sz w:val="20"/>
          <w:szCs w:val="20"/>
          <w:color w:val="auto"/>
        </w:rPr>
      </w:pPr>
      <w:r>
        <w:rPr>
          <w:rFonts w:ascii="Times New Roman" w:cs="Times New Roman" w:eastAsia="Times New Roman" w:hAnsi="Times New Roman"/>
          <w:sz w:val="18"/>
          <w:szCs w:val="18"/>
          <w:color w:val="auto"/>
        </w:rPr>
        <w:t>We reserve for projected merchandise returns based on both historical and actual experience, as well as various other assumptions that we believe to be reasonable. Actual merchandise returns are monitored regularly and have not been materially different from the estimates recorded. Product returns often represent merchandise that can be resold. Amounts refunded to customers are generally made by issuing the same payment tender as used in the original purchase. Merchandise exchanges of the same product and price are not considered merchandise returns and are therefore excluded when calculating the sales returns reserve.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ind w:right="100" w:firstLine="440"/>
        <w:spacing w:after="0" w:line="233" w:lineRule="auto"/>
        <w:rPr>
          <w:sz w:val="20"/>
          <w:szCs w:val="20"/>
          <w:color w:val="auto"/>
        </w:rPr>
      </w:pPr>
      <w:r>
        <w:rPr>
          <w:rFonts w:ascii="Times New Roman" w:cs="Times New Roman" w:eastAsia="Times New Roman" w:hAnsi="Times New Roman"/>
          <w:sz w:val="18"/>
          <w:szCs w:val="18"/>
          <w:color w:val="auto"/>
        </w:rPr>
        <w:t>Our inventories are composed of finished goods and are stated at the lower of cost or net realizable value, with cost determined using the first-in, first-out method. Net realizable value is defined as the “estimated selling prices in the ordinary course of business, less reasonably predictable costs of completion, disposal and transportation.” The inventory value is adjusted periodically, if needed, to reflect current market conditions and inventory composition, which requires our judgments that may significantly affect the ending inventory valuation, as well as gross margin. The estimates used in inventory valuation are obsolescence (including excess and slow-moving inventory and lower of cost or market reserves) and estimates of inventory shrinkage. We adjust our inventory for obsolescence based on historical trends, aging reports, specific identification, current retail prices and our estimates of future retail sales prices.</w:t>
      </w:r>
    </w:p>
    <w:p>
      <w:pPr>
        <w:spacing w:after="0" w:line="132" w:lineRule="exact"/>
        <w:rPr>
          <w:sz w:val="20"/>
          <w:szCs w:val="20"/>
          <w:color w:val="auto"/>
        </w:rPr>
      </w:pPr>
    </w:p>
    <w:p>
      <w:pPr>
        <w:ind w:right="140" w:firstLine="428"/>
        <w:spacing w:after="0" w:line="242" w:lineRule="auto"/>
        <w:rPr>
          <w:sz w:val="20"/>
          <w:szCs w:val="20"/>
          <w:color w:val="auto"/>
        </w:rPr>
      </w:pPr>
      <w:r>
        <w:rPr>
          <w:rFonts w:ascii="Times New Roman" w:cs="Times New Roman" w:eastAsia="Times New Roman" w:hAnsi="Times New Roman"/>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particularly in second fiscal quarter results.</w:t>
      </w:r>
    </w:p>
    <w:p>
      <w:pPr>
        <w:spacing w:after="0" w:line="143" w:lineRule="exact"/>
        <w:rPr>
          <w:sz w:val="20"/>
          <w:szCs w:val="20"/>
          <w:color w:val="auto"/>
        </w:rPr>
      </w:pPr>
    </w:p>
    <w:p>
      <w:pPr>
        <w:ind w:right="80" w:firstLine="440"/>
        <w:spacing w:after="0" w:line="233" w:lineRule="auto"/>
        <w:rPr>
          <w:sz w:val="20"/>
          <w:szCs w:val="20"/>
          <w:color w:val="auto"/>
        </w:rPr>
      </w:pPr>
      <w:r>
        <w:rPr>
          <w:rFonts w:ascii="Times New Roman" w:cs="Times New Roman" w:eastAsia="Times New Roman" w:hAnsi="Times New Roman"/>
          <w:sz w:val="18"/>
          <w:szCs w:val="18"/>
          <w:color w:val="auto"/>
        </w:rPr>
        <w:t>Due to these factors, our obsolescence and shrinkage reserves contain uncertainties. Both estimates have calculations that require us to make assumptions and to apply judgment regarding a number of factors, including market conditions, the selling environment, historical results and current inventory trends. If actual observed obsolescence or periodic updates of our shrinkage estimates differ from our original estimates, we adjust our inventory reserves accordingly throughout the period. We do not believe that changes in the assumptions used in these estimates would have a significant effect on our net income or inventory balances. We have not made any material changes to our assumptions included in the calculations of the obsolescence and shrinkage reserves during the periods presented, nor have we recorded significant adjustments related to the physical inventory process.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 xml:space="preserve">We account for income taxes and the related accounts using the asset and 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we accrue income taxes payable or refundable and recognize deferred tax assets and liabilities based on differences between U.S. GAAP and tax bases of assets and liabilities. We measure deferred tax assets and liabilities using enacted tax rates in effect for the years in which the differences are expected to reverse, and recognize the effect of a change in enacted rates in the period of enactment.</w:t>
      </w:r>
    </w:p>
    <w:p>
      <w:pPr>
        <w:spacing w:after="0" w:line="146" w:lineRule="exact"/>
        <w:rPr>
          <w:sz w:val="20"/>
          <w:szCs w:val="20"/>
          <w:color w:val="auto"/>
        </w:rPr>
      </w:pPr>
    </w:p>
    <w:p>
      <w:pPr>
        <w:ind w:right="100" w:firstLine="440"/>
        <w:spacing w:after="0" w:line="236"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financial operations. A valuation allowance is established if it is more likely than not that some portion or all of the deferred income tax asset will not be realized. A valuation allowance was recognized for the year ended February 2, 2025.</w:t>
      </w:r>
    </w:p>
    <w:p>
      <w:pPr>
        <w:spacing w:after="0" w:line="144" w:lineRule="exact"/>
        <w:rPr>
          <w:sz w:val="20"/>
          <w:szCs w:val="20"/>
          <w:color w:val="auto"/>
        </w:rPr>
      </w:pPr>
    </w:p>
    <w:p>
      <w:pPr>
        <w:ind w:right="600" w:firstLine="440"/>
        <w:spacing w:after="0" w:line="250" w:lineRule="auto"/>
        <w:rPr>
          <w:sz w:val="20"/>
          <w:szCs w:val="20"/>
          <w:color w:val="auto"/>
        </w:rPr>
      </w:pPr>
      <w:r>
        <w:rPr>
          <w:rFonts w:ascii="Times New Roman" w:cs="Times New Roman" w:eastAsia="Times New Roman" w:hAnsi="Times New Roman"/>
          <w:sz w:val="18"/>
          <w:szCs w:val="18"/>
          <w:color w:val="auto"/>
        </w:rPr>
        <w:t>We establish assets and liabilities for uncertain tax positions taken or expected to be taken in income tax returns, using a more-likely-than-not recognition threshold. We recognize penalties and interest related to uncertain tax positions as income tax expense.</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9 “Income Taxes,” of Notes to Consolidated Financial Statements included in this Annual Report on Form 10-K.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8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340" w:type="dxa"/>
            <w:vAlign w:val="bottom"/>
          </w:tcPr>
          <w:p>
            <w:pPr>
              <w:spacing w:after="0"/>
              <w:rPr>
                <w:sz w:val="17"/>
                <w:szCs w:val="17"/>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695"/>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04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2340" w:type="dxa"/>
            <w:vAlign w:val="bottom"/>
          </w:tcPr>
          <w:p>
            <w:pPr>
              <w:spacing w:after="0"/>
              <w:rPr>
                <w:sz w:val="24"/>
                <w:szCs w:val="24"/>
                <w:color w:val="auto"/>
              </w:rPr>
            </w:pPr>
          </w:p>
        </w:tc>
      </w:tr>
      <w:tr>
        <w:trPr>
          <w:trHeight w:val="392"/>
        </w:trPr>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2340" w:type="dxa"/>
            <w:vAlign w:val="bottom"/>
          </w:tcPr>
          <w:p>
            <w:pPr>
              <w:spacing w:after="0"/>
              <w:rPr>
                <w:sz w:val="24"/>
                <w:szCs w:val="24"/>
                <w:color w:val="auto"/>
              </w:rPr>
            </w:pPr>
          </w:p>
        </w:tc>
      </w:tr>
      <w:tr>
        <w:trPr>
          <w:trHeight w:val="198"/>
        </w:trPr>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2"/>
        </w:trPr>
        <w:tc>
          <w:tcPr>
            <w:tcW w:w="80" w:type="dxa"/>
            <w:vAlign w:val="bottom"/>
            <w:shd w:val="clear" w:color="auto" w:fill="CCEEFF"/>
          </w:tcPr>
          <w:p>
            <w:pPr>
              <w:spacing w:after="0"/>
              <w:rPr>
                <w:sz w:val="19"/>
                <w:szCs w:val="19"/>
                <w:color w:val="auto"/>
              </w:rPr>
            </w:pPr>
          </w:p>
        </w:tc>
        <w:tc>
          <w:tcPr>
            <w:tcW w:w="8820" w:type="dxa"/>
            <w:vAlign w:val="bottom"/>
            <w:gridSpan w:val="11"/>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(KPMG LLP, PCAOB ID No. 185)</w:t>
            </w:r>
          </w:p>
        </w:tc>
        <w:tc>
          <w:tcPr>
            <w:tcW w:w="23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38</w:t>
            </w:r>
          </w:p>
        </w:tc>
      </w:tr>
      <w:tr>
        <w:trPr>
          <w:trHeight w:val="203"/>
        </w:trPr>
        <w:tc>
          <w:tcPr>
            <w:tcW w:w="80" w:type="dxa"/>
            <w:vAlign w:val="bottom"/>
            <w:tcBorders>
              <w:top w:val="single" w:sz="8" w:color="CCEEFF"/>
            </w:tcBorders>
          </w:tcPr>
          <w:p>
            <w:pPr>
              <w:spacing w:after="0"/>
              <w:rPr>
                <w:sz w:val="17"/>
                <w:szCs w:val="17"/>
                <w:color w:val="auto"/>
              </w:rPr>
            </w:pPr>
          </w:p>
        </w:tc>
        <w:tc>
          <w:tcPr>
            <w:tcW w:w="6800" w:type="dxa"/>
            <w:vAlign w:val="bottom"/>
            <w:tcBorders>
              <w:top w:val="single" w:sz="8" w:color="0000FF"/>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February 2, 2025 and January 28, 2024</w:t>
            </w:r>
          </w:p>
        </w:tc>
        <w:tc>
          <w:tcPr>
            <w:tcW w:w="2020" w:type="dxa"/>
            <w:vAlign w:val="bottom"/>
            <w:tcBorders>
              <w:top w:val="single" w:sz="8" w:color="CCEEFF"/>
            </w:tcBorders>
            <w:gridSpan w:val="5"/>
          </w:tcPr>
          <w:p>
            <w:pPr>
              <w:spacing w:after="0"/>
              <w:rPr>
                <w:sz w:val="17"/>
                <w:szCs w:val="17"/>
                <w:color w:val="auto"/>
              </w:rPr>
            </w:pPr>
          </w:p>
        </w:tc>
        <w:tc>
          <w:tcPr>
            <w:tcW w:w="234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r>
      <w:tr>
        <w:trPr>
          <w:trHeight w:val="34"/>
        </w:trPr>
        <w:tc>
          <w:tcPr>
            <w:tcW w:w="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6"/>
        </w:trPr>
        <w:tc>
          <w:tcPr>
            <w:tcW w:w="80" w:type="dxa"/>
            <w:vAlign w:val="bottom"/>
            <w:tcBorders>
              <w:bottom w:val="single" w:sz="8" w:color="CCEEFF"/>
            </w:tcBorders>
            <w:shd w:val="clear" w:color="auto" w:fill="CCEEFF"/>
          </w:tcPr>
          <w:p>
            <w:pPr>
              <w:spacing w:after="0"/>
              <w:rPr>
                <w:sz w:val="20"/>
                <w:szCs w:val="20"/>
                <w:color w:val="auto"/>
              </w:rPr>
            </w:pPr>
          </w:p>
        </w:tc>
        <w:tc>
          <w:tcPr>
            <w:tcW w:w="7360" w:type="dxa"/>
            <w:vAlign w:val="bottom"/>
            <w:tcBorders>
              <w:bottom w:val="single" w:sz="8" w:color="0000FF"/>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Statements of Operations for Fiscal Years Ended February 2, 2025 and January 28, 2024</w:t>
            </w:r>
          </w:p>
        </w:tc>
        <w:tc>
          <w:tcPr>
            <w:tcW w:w="1460" w:type="dxa"/>
            <w:vAlign w:val="bottom"/>
            <w:tcBorders>
              <w:bottom w:val="single" w:sz="8" w:color="CCEEFF"/>
            </w:tcBorders>
            <w:gridSpan w:val="4"/>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w:t>
            </w:r>
          </w:p>
        </w:tc>
      </w:tr>
      <w:tr>
        <w:trPr>
          <w:trHeight w:val="202"/>
        </w:trPr>
        <w:tc>
          <w:tcPr>
            <w:tcW w:w="80" w:type="dxa"/>
            <w:vAlign w:val="bottom"/>
          </w:tcPr>
          <w:p>
            <w:pPr>
              <w:spacing w:after="0"/>
              <w:rPr>
                <w:sz w:val="17"/>
                <w:szCs w:val="17"/>
                <w:color w:val="auto"/>
              </w:rPr>
            </w:pPr>
          </w:p>
        </w:tc>
        <w:tc>
          <w:tcPr>
            <w:tcW w:w="882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Comprehensive Income for Fiscal Years Ended February 2, 2025 and January 28, 2024</w:t>
            </w:r>
          </w:p>
        </w:tc>
        <w:tc>
          <w:tcPr>
            <w:tcW w:w="2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w:t>
            </w:r>
          </w:p>
        </w:tc>
      </w:tr>
      <w:tr>
        <w:trPr>
          <w:trHeight w:val="34"/>
        </w:trPr>
        <w:tc>
          <w:tcPr>
            <w:tcW w:w="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7"/>
        </w:trPr>
        <w:tc>
          <w:tcPr>
            <w:tcW w:w="80" w:type="dxa"/>
            <w:vAlign w:val="bottom"/>
            <w:shd w:val="clear" w:color="auto" w:fill="CCEEFF"/>
          </w:tcPr>
          <w:p>
            <w:pPr>
              <w:spacing w:after="0"/>
              <w:rPr>
                <w:sz w:val="20"/>
                <w:szCs w:val="20"/>
                <w:color w:val="auto"/>
              </w:rPr>
            </w:pPr>
          </w:p>
        </w:tc>
        <w:tc>
          <w:tcPr>
            <w:tcW w:w="882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Shareholders’ Equity for Fiscal Years Ended February 2, 2025 and January 28, 2024</w:t>
            </w:r>
          </w:p>
        </w:tc>
        <w:tc>
          <w:tcPr>
            <w:tcW w:w="2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w:t>
            </w:r>
          </w:p>
        </w:tc>
      </w:tr>
      <w:tr>
        <w:trPr>
          <w:trHeight w:val="202"/>
        </w:trPr>
        <w:tc>
          <w:tcPr>
            <w:tcW w:w="80" w:type="dxa"/>
            <w:vAlign w:val="bottom"/>
            <w:tcBorders>
              <w:top w:val="single" w:sz="8" w:color="CCEEFF"/>
            </w:tcBorders>
          </w:tcPr>
          <w:p>
            <w:pPr>
              <w:spacing w:after="0"/>
              <w:rPr>
                <w:sz w:val="17"/>
                <w:szCs w:val="17"/>
                <w:color w:val="auto"/>
              </w:rPr>
            </w:pPr>
          </w:p>
        </w:tc>
        <w:tc>
          <w:tcPr>
            <w:tcW w:w="8080" w:type="dxa"/>
            <w:vAlign w:val="bottom"/>
            <w:tcBorders>
              <w:top w:val="single" w:sz="8" w:color="0000FF"/>
            </w:tcBorders>
            <w:gridSpan w:val="9"/>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 for Fiscal Years Ended February 2, 2025 and January 28, 2024</w:t>
            </w:r>
          </w:p>
        </w:tc>
        <w:tc>
          <w:tcPr>
            <w:tcW w:w="740" w:type="dxa"/>
            <w:vAlign w:val="bottom"/>
            <w:tcBorders>
              <w:top w:val="single" w:sz="8" w:color="CCEEFF"/>
            </w:tcBorders>
            <w:gridSpan w:val="2"/>
          </w:tcPr>
          <w:p>
            <w:pPr>
              <w:spacing w:after="0"/>
              <w:rPr>
                <w:sz w:val="17"/>
                <w:szCs w:val="17"/>
                <w:color w:val="auto"/>
              </w:rPr>
            </w:pPr>
          </w:p>
        </w:tc>
        <w:tc>
          <w:tcPr>
            <w:tcW w:w="234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r>
      <w:tr>
        <w:trPr>
          <w:trHeight w:val="34"/>
        </w:trPr>
        <w:tc>
          <w:tcPr>
            <w:tcW w:w="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03"/>
        </w:trPr>
        <w:tc>
          <w:tcPr>
            <w:tcW w:w="80" w:type="dxa"/>
            <w:vAlign w:val="bottom"/>
            <w:shd w:val="clear" w:color="auto" w:fill="CCEEFF"/>
          </w:tcPr>
          <w:p>
            <w:pPr>
              <w:spacing w:after="0"/>
              <w:rPr>
                <w:sz w:val="17"/>
                <w:szCs w:val="17"/>
                <w:color w:val="auto"/>
              </w:rPr>
            </w:pPr>
          </w:p>
        </w:tc>
        <w:tc>
          <w:tcPr>
            <w:tcW w:w="882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w:t>
            </w:r>
          </w:p>
        </w:tc>
      </w:tr>
      <w:tr>
        <w:trPr>
          <w:trHeight w:val="34"/>
        </w:trPr>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r>
      <w:tr>
        <w:trPr>
          <w:trHeight w:val="203"/>
        </w:trPr>
        <w:tc>
          <w:tcPr>
            <w:tcW w:w="80" w:type="dxa"/>
            <w:vAlign w:val="bottom"/>
          </w:tcPr>
          <w:p>
            <w:pPr>
              <w:spacing w:after="0"/>
              <w:rPr>
                <w:sz w:val="17"/>
                <w:szCs w:val="17"/>
                <w:color w:val="auto"/>
              </w:rPr>
            </w:pPr>
          </w:p>
        </w:tc>
        <w:tc>
          <w:tcPr>
            <w:tcW w:w="882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Schedule II Valuation and Qualifying Accounts</w:t>
            </w:r>
          </w:p>
        </w:tc>
        <w:tc>
          <w:tcPr>
            <w:tcW w:w="2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70"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Duluth Holdings Inc. and subsidiaries (the Company) as of February 2, 2025 and January 28, 2024, the related consolidated statements of operations, comprehensive income, shareholders’ equity, and cash flows for the years then ended,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February 2, 2025 and January 28, 2024, and the results of its operations and its cash flows for each of the years then ended, in conformity with U.S. generally accepted accounting principles.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89"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return reserve</w:t>
      </w:r>
    </w:p>
    <w:p>
      <w:pPr>
        <w:spacing w:after="0" w:line="187" w:lineRule="exact"/>
        <w:rPr>
          <w:sz w:val="20"/>
          <w:szCs w:val="20"/>
          <w:color w:val="auto"/>
        </w:rPr>
      </w:pPr>
    </w:p>
    <w:p>
      <w:pPr>
        <w:ind w:left="340" w:right="80"/>
        <w:spacing w:after="0" w:line="242"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as of February 2, 2025 the Company recorded $4,568 thousand in reserves for product returns within accrued expenses and other current liabilities. Management estimates the product return reserve using its own historical sales and product return information.</w:t>
      </w:r>
    </w:p>
    <w:p>
      <w:pPr>
        <w:spacing w:after="0" w:line="143" w:lineRule="exact"/>
        <w:rPr>
          <w:sz w:val="20"/>
          <w:szCs w:val="20"/>
          <w:color w:val="auto"/>
        </w:rPr>
      </w:pPr>
    </w:p>
    <w:p>
      <w:pPr>
        <w:ind w:left="340" w:right="40"/>
        <w:spacing w:after="0" w:line="250" w:lineRule="auto"/>
        <w:rPr>
          <w:sz w:val="20"/>
          <w:szCs w:val="20"/>
          <w:color w:val="auto"/>
        </w:rPr>
      </w:pPr>
      <w:r>
        <w:rPr>
          <w:rFonts w:ascii="Times New Roman" w:cs="Times New Roman" w:eastAsia="Times New Roman" w:hAnsi="Times New Roman"/>
          <w:sz w:val="18"/>
          <w:szCs w:val="18"/>
          <w:color w:val="auto"/>
        </w:rPr>
        <w:t>We identified the assessment of the product return reserve as a critical audit matter. A high degree of auditor judgement was required to assess whether the historical return rate used to estimate the reserve for product returns is indicative of future returns.</w:t>
      </w:r>
    </w:p>
    <w:p>
      <w:pPr>
        <w:spacing w:after="0" w:line="136" w:lineRule="exact"/>
        <w:rPr>
          <w:sz w:val="20"/>
          <w:szCs w:val="20"/>
          <w:color w:val="auto"/>
        </w:rPr>
      </w:pPr>
    </w:p>
    <w:p>
      <w:pPr>
        <w:ind w:left="340" w:right="40"/>
        <w:spacing w:after="0" w:line="23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and tested the design and implementation of certain internal controls related to the product return reserve. This included controls related to determining the historical return rate used to estimate product returns. We assessed the Company’s ability to accurately estimate the product return rate by comparing prior period estimates to actual product return rates experienced. We analyzed the product return rate assumption by evaluating the consistency of the assumption with the trend of actual historical product return rates and by comparing the product return reserve to actual product returns received after the balance sheet date</w:t>
      </w:r>
      <w:r>
        <w:rPr>
          <w:rFonts w:ascii="Arial" w:cs="Arial" w:eastAsia="Arial" w:hAnsi="Arial"/>
          <w:sz w:val="18"/>
          <w:szCs w:val="18"/>
          <w:color w:val="auto"/>
        </w:rPr>
        <w:t>.</w:t>
      </w: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pacing w:after="0" w:line="3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183"/>
        </w:trPr>
        <w:tc>
          <w:tcPr>
            <w:tcW w:w="7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3,335</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3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32,157</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Receivables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5,955</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Income taxes receivable</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7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125,757</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17,781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16,488</w:t>
            </w:r>
          </w:p>
        </w:tc>
        <w:tc>
          <w:tcPr>
            <w:tcW w:w="0" w:type="dxa"/>
            <w:vAlign w:val="bottom"/>
          </w:tcPr>
          <w:p>
            <w:pPr>
              <w:spacing w:after="0"/>
              <w:rPr>
                <w:sz w:val="1"/>
                <w:szCs w:val="1"/>
                <w:color w:val="auto"/>
              </w:rPr>
            </w:pPr>
          </w:p>
        </w:tc>
      </w:tr>
      <w:tr>
        <w:trPr>
          <w:trHeight w:val="183"/>
        </w:trPr>
        <w:tc>
          <w:tcPr>
            <w:tcW w:w="770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191,631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180,974</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111,560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132,718</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102,663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121,430</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Finance lease right-of-use assets, net</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32,957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40,315</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Available-for-sale security</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4,986</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9,020</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183"/>
        </w:trPr>
        <w:tc>
          <w:tcPr>
            <w:tcW w:w="7700" w:type="dxa"/>
            <w:vAlign w:val="bottom"/>
            <w:tcBorders>
              <w:top w:val="single" w:sz="8" w:color="CCEEFF"/>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452,442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491,210</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73,882</w:t>
            </w:r>
          </w:p>
        </w:tc>
        <w:tc>
          <w:tcPr>
            <w:tcW w:w="100" w:type="dxa"/>
            <w:vAlign w:val="bottom"/>
          </w:tcPr>
          <w:p>
            <w:pPr>
              <w:spacing w:after="0"/>
              <w:rPr>
                <w:sz w:val="17"/>
                <w:szCs w:val="17"/>
                <w:color w:val="auto"/>
              </w:rPr>
            </w:pPr>
          </w:p>
        </w:tc>
        <w:tc>
          <w:tcPr>
            <w:tcW w:w="300" w:type="dxa"/>
            <w:vAlign w:val="bottom"/>
            <w:gridSpan w:val="2"/>
          </w:tcPr>
          <w:p>
            <w:pPr>
              <w:jc w:val="right"/>
              <w:ind w:right="3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51,122</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35,684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34,111</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15,534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16,401</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maturities of TRI long-term debt</w:t>
            </w: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portion</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272,763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271,460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February 2, 2025 and January 28, 2024</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3,364 shares issued and outstanding as of February 2, 2025 and</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28, 2024</w:t>
            </w:r>
          </w:p>
        </w:tc>
        <w:tc>
          <w:tcPr>
            <w:tcW w:w="2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32,077 shares issued and 31,813 shares outstanding as of February 2, 2025 and</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31,178 shares issued and 31,023 outstanding as of January 28, 2024</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264 and 155 shares as of February 2, 2025 and</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28, 2024, respectively</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222,806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219,750</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452,442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491,210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ind w:left="37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183"/>
        </w:trPr>
        <w:tc>
          <w:tcPr>
            <w:tcW w:w="57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626,629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646,681</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318,119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321,710</w:t>
            </w:r>
          </w:p>
        </w:tc>
        <w:tc>
          <w:tcPr>
            <w:tcW w:w="0" w:type="dxa"/>
            <w:vAlign w:val="bottom"/>
          </w:tcPr>
          <w:p>
            <w:pPr>
              <w:spacing w:after="0"/>
              <w:rPr>
                <w:sz w:val="1"/>
                <w:szCs w:val="1"/>
                <w:color w:val="auto"/>
              </w:rPr>
            </w:pPr>
          </w:p>
        </w:tc>
      </w:tr>
      <w:tr>
        <w:trPr>
          <w:trHeight w:val="183"/>
        </w:trPr>
        <w:tc>
          <w:tcPr>
            <w:tcW w:w="5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308,510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324,971</w:t>
            </w: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337,623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334,540</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Restructuring expense</w:t>
            </w:r>
          </w:p>
        </w:tc>
        <w:tc>
          <w:tcPr>
            <w:tcW w:w="13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57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Operating loss</w:t>
            </w: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(36,861)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(9,569)</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Other income, net</w:t>
            </w:r>
          </w:p>
        </w:tc>
        <w:tc>
          <w:tcPr>
            <w:tcW w:w="1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183"/>
        </w:trPr>
        <w:tc>
          <w:tcPr>
            <w:tcW w:w="5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(41,242)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(12,802)</w:t>
            </w:r>
          </w:p>
        </w:tc>
        <w:tc>
          <w:tcPr>
            <w:tcW w:w="0" w:type="dxa"/>
            <w:vAlign w:val="bottom"/>
          </w:tcPr>
          <w:p>
            <w:pPr>
              <w:spacing w:after="0"/>
              <w:rPr>
                <w:sz w:val="1"/>
                <w:szCs w:val="1"/>
                <w:color w:val="auto"/>
              </w:rPr>
            </w:pPr>
          </w:p>
        </w:tc>
      </w:tr>
      <w:tr>
        <w:trPr>
          <w:trHeight w:val="202"/>
        </w:trPr>
        <w:tc>
          <w:tcPr>
            <w:tcW w:w="57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 (benefit)</w:t>
            </w:r>
          </w:p>
        </w:tc>
        <w:tc>
          <w:tcPr>
            <w:tcW w:w="1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2,370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(2,862)</w:t>
            </w:r>
          </w:p>
        </w:tc>
        <w:tc>
          <w:tcPr>
            <w:tcW w:w="0" w:type="dxa"/>
            <w:vAlign w:val="bottom"/>
          </w:tcPr>
          <w:p>
            <w:pPr>
              <w:spacing w:after="0"/>
              <w:rPr>
                <w:sz w:val="1"/>
                <w:szCs w:val="1"/>
                <w:color w:val="auto"/>
              </w:rPr>
            </w:pPr>
          </w:p>
        </w:tc>
      </w:tr>
      <w:tr>
        <w:trPr>
          <w:trHeight w:val="183"/>
        </w:trPr>
        <w:tc>
          <w:tcPr>
            <w:tcW w:w="5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(43,612)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(9,940)</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3"/>
        </w:trPr>
        <w:tc>
          <w:tcPr>
            <w:tcW w:w="57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(43,671)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(9,923)</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32,955</w:t>
            </w:r>
          </w:p>
        </w:tc>
        <w:tc>
          <w:tcPr>
            <w:tcW w:w="0" w:type="dxa"/>
            <w:vAlign w:val="bottom"/>
          </w:tcPr>
          <w:p>
            <w:pPr>
              <w:spacing w:after="0"/>
              <w:rPr>
                <w:sz w:val="1"/>
                <w:szCs w:val="1"/>
                <w:color w:val="auto"/>
              </w:rPr>
            </w:pPr>
          </w:p>
        </w:tc>
      </w:tr>
      <w:tr>
        <w:trPr>
          <w:trHeight w:val="191"/>
        </w:trPr>
        <w:tc>
          <w:tcPr>
            <w:tcW w:w="5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w:t>
            </w:r>
          </w:p>
        </w:tc>
        <w:tc>
          <w:tcPr>
            <w:tcW w:w="15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58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7"/>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controlling interest</w:t>
            </w:r>
          </w:p>
        </w:tc>
        <w:tc>
          <w:tcPr>
            <w:tcW w:w="1580" w:type="dxa"/>
            <w:vAlign w:val="bottom"/>
            <w:gridSpan w:val="2"/>
            <w:vMerge w:val="continue"/>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580" w:type="dxa"/>
            <w:vAlign w:val="bottom"/>
            <w:gridSpan w:val="2"/>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572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13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and</w:t>
            </w: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equivalents outstanding</w:t>
            </w:r>
          </w:p>
        </w:tc>
        <w:tc>
          <w:tcPr>
            <w:tcW w:w="1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32,955</w:t>
            </w:r>
          </w:p>
        </w:tc>
        <w:tc>
          <w:tcPr>
            <w:tcW w:w="0" w:type="dxa"/>
            <w:vAlign w:val="bottom"/>
          </w:tcPr>
          <w:p>
            <w:pPr>
              <w:spacing w:after="0"/>
              <w:rPr>
                <w:sz w:val="1"/>
                <w:szCs w:val="1"/>
                <w:color w:val="auto"/>
              </w:rPr>
            </w:pPr>
          </w:p>
        </w:tc>
      </w:tr>
      <w:tr>
        <w:trPr>
          <w:trHeight w:val="23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w:t>
            </w:r>
          </w:p>
        </w:tc>
        <w:tc>
          <w:tcPr>
            <w:tcW w:w="1580" w:type="dxa"/>
            <w:vAlign w:val="bottom"/>
            <w:gridSpan w:val="2"/>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580" w:type="dxa"/>
            <w:vAlign w:val="bottom"/>
            <w:gridSpan w:val="2"/>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controlling interest</w:t>
            </w:r>
          </w:p>
        </w:tc>
        <w:tc>
          <w:tcPr>
            <w:tcW w:w="1580" w:type="dxa"/>
            <w:vAlign w:val="bottom"/>
            <w:gridSpan w:val="2"/>
            <w:vMerge w:val="continue"/>
            <w:shd w:val="clear" w:color="auto" w:fill="CCEEFF"/>
          </w:tcPr>
          <w:p>
            <w:pPr>
              <w:spacing w:after="0"/>
              <w:rPr>
                <w:sz w:val="18"/>
                <w:szCs w:val="18"/>
                <w:color w:val="auto"/>
              </w:rPr>
            </w:pPr>
          </w:p>
        </w:tc>
        <w:tc>
          <w:tcPr>
            <w:tcW w:w="182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440" w:type="dxa"/>
            <w:vAlign w:val="bottom"/>
          </w:tcPr>
          <w:p>
            <w:pPr>
              <w:spacing w:after="0"/>
              <w:rPr>
                <w:sz w:val="15"/>
                <w:szCs w:val="15"/>
                <w:color w:val="auto"/>
              </w:rPr>
            </w:pPr>
          </w:p>
        </w:tc>
        <w:tc>
          <w:tcPr>
            <w:tcW w:w="15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183"/>
        </w:trPr>
        <w:tc>
          <w:tcPr>
            <w:tcW w:w="50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20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(43,612)</w:t>
            </w:r>
          </w:p>
        </w:tc>
        <w:tc>
          <w:tcPr>
            <w:tcW w:w="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(9,940)</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comprehensive loss</w:t>
            </w: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Securities available-for-sale:</w:t>
            </w:r>
          </w:p>
        </w:tc>
        <w:tc>
          <w:tcPr>
            <w:tcW w:w="2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Unrealized security loss</w:t>
            </w: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(296)</w:t>
            </w: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Income tax benefit</w:t>
            </w:r>
          </w:p>
        </w:tc>
        <w:tc>
          <w:tcPr>
            <w:tcW w:w="2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Other comprehensive loss</w:t>
            </w:r>
          </w:p>
        </w:tc>
        <w:tc>
          <w:tcPr>
            <w:tcW w:w="20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(295)</w:t>
            </w:r>
          </w:p>
        </w:tc>
        <w:tc>
          <w:tcPr>
            <w:tcW w:w="24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Comprehensive loss</w:t>
            </w:r>
          </w:p>
        </w:tc>
        <w:tc>
          <w:tcPr>
            <w:tcW w:w="2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(43,907)</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(10,219)</w:t>
            </w:r>
          </w:p>
        </w:tc>
        <w:tc>
          <w:tcPr>
            <w:tcW w:w="0" w:type="dxa"/>
            <w:vAlign w:val="bottom"/>
          </w:tcPr>
          <w:p>
            <w:pPr>
              <w:spacing w:after="0"/>
              <w:rPr>
                <w:sz w:val="1"/>
                <w:szCs w:val="1"/>
                <w:color w:val="auto"/>
              </w:rPr>
            </w:pPr>
          </w:p>
        </w:tc>
      </w:tr>
      <w:tr>
        <w:trPr>
          <w:trHeight w:val="21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 noncontrolling interest</w:t>
            </w:r>
          </w:p>
        </w:tc>
        <w:tc>
          <w:tcPr>
            <w:tcW w:w="20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1"/>
        </w:trPr>
        <w:tc>
          <w:tcPr>
            <w:tcW w:w="5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Comprehensive loss attributable</w:t>
            </w:r>
          </w:p>
        </w:tc>
        <w:tc>
          <w:tcPr>
            <w:tcW w:w="232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(43,966)</w:t>
            </w:r>
          </w:p>
        </w:tc>
        <w:tc>
          <w:tcPr>
            <w:tcW w:w="440" w:type="dxa"/>
            <w:vAlign w:val="bottom"/>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controlling interest</w:t>
            </w:r>
          </w:p>
        </w:tc>
        <w:tc>
          <w:tcPr>
            <w:tcW w:w="2320" w:type="dxa"/>
            <w:vAlign w:val="bottom"/>
            <w:gridSpan w:val="2"/>
            <w:vMerge w:val="continue"/>
            <w:shd w:val="clear" w:color="auto" w:fill="CCEEFF"/>
          </w:tcPr>
          <w:p>
            <w:pPr>
              <w:spacing w:after="0"/>
              <w:rPr>
                <w:sz w:val="18"/>
                <w:szCs w:val="18"/>
                <w:color w:val="auto"/>
              </w:rPr>
            </w:pPr>
          </w:p>
        </w:tc>
        <w:tc>
          <w:tcPr>
            <w:tcW w:w="190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9"/>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7"/>
                <w:szCs w:val="17"/>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4"/>
        </w:trPr>
        <w:tc>
          <w:tcPr>
            <w:tcW w:w="3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 w:type="dxa"/>
            <w:vAlign w:val="bottom"/>
          </w:tcPr>
          <w:p>
            <w:pPr>
              <w:spacing w:after="0"/>
              <w:rPr>
                <w:sz w:val="15"/>
                <w:szCs w:val="15"/>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88"/>
        </w:trPr>
        <w:tc>
          <w:tcPr>
            <w:tcW w:w="36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0" w:type="dxa"/>
            <w:vAlign w:val="bottom"/>
          </w:tcPr>
          <w:p>
            <w:pPr>
              <w:spacing w:after="0"/>
              <w:rPr>
                <w:sz w:val="16"/>
                <w:szCs w:val="16"/>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29, 2023</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33,443</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98,842</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(1,459)</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131,315</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225,340</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43"/>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1"/>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 taxes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52"/>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the TRI Holdings, LLC</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1"/>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Consolidation</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3"/>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(9,923)</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28, 2024</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34,387</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103,579</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(1,738)</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121,392</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(3,056)</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219,750</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1"/>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 taxes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(594)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52"/>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the TRI Holdings, LLC</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1"/>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Consolidation</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(43,671)</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(43,612)</w:t>
            </w:r>
          </w:p>
        </w:tc>
      </w:tr>
      <w:tr>
        <w:trPr>
          <w:trHeight w:val="183"/>
        </w:trPr>
        <w:tc>
          <w:tcPr>
            <w:tcW w:w="36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February 2, 2025</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35,177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108,009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(2,332)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77,721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(722)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(2,997)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179,679</w:t>
            </w:r>
          </w:p>
        </w:tc>
      </w:tr>
      <w:tr>
        <w:trPr>
          <w:trHeight w:val="20"/>
        </w:trPr>
        <w:tc>
          <w:tcPr>
            <w:tcW w:w="3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5"/>
          </w:tcPr>
          <w:p>
            <w:pPr>
              <w:jc w:val="right"/>
              <w:ind w:right="1371"/>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83"/>
        </w:trPr>
        <w:tc>
          <w:tcPr>
            <w:tcW w:w="7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09"/>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(43,612)</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r>
      <w:tr>
        <w:trPr>
          <w:trHeight w:val="21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1"/>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by operating activities: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32,159</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29,165</w:t>
            </w:r>
          </w:p>
        </w:tc>
      </w:tr>
      <w:tr>
        <w:trPr>
          <w:trHeight w:val="216"/>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&amp; other assets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16"/>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196"/>
        </w:trPr>
        <w:tc>
          <w:tcPr>
            <w:tcW w:w="7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38,673</w:t>
            </w:r>
          </w:p>
        </w:tc>
      </w:tr>
      <w:tr>
        <w:trPr>
          <w:trHeight w:val="209"/>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(49,086)</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PP&amp;E</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TRI Holdings, LLC Consolidation</w:t>
            </w:r>
          </w:p>
        </w:tc>
        <w:tc>
          <w:tcPr>
            <w:tcW w:w="2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196"/>
        </w:trPr>
        <w:tc>
          <w:tcPr>
            <w:tcW w:w="7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(8,129)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(48,718)</w:t>
            </w:r>
          </w:p>
        </w:tc>
      </w:tr>
      <w:tr>
        <w:trPr>
          <w:trHeight w:val="209"/>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Payment on line of credit</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for tax payments on vested restricted stock</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196"/>
        </w:trPr>
        <w:tc>
          <w:tcPr>
            <w:tcW w:w="7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(3,346)</w:t>
            </w:r>
          </w:p>
        </w:tc>
      </w:tr>
      <w:tr>
        <w:trPr>
          <w:trHeight w:val="196"/>
        </w:trPr>
        <w:tc>
          <w:tcPr>
            <w:tcW w:w="7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26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(28,822)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(13,391)</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w:t>
            </w:r>
          </w:p>
        </w:tc>
      </w:tr>
      <w:tr>
        <w:trPr>
          <w:trHeight w:val="223"/>
        </w:trPr>
        <w:tc>
          <w:tcPr>
            <w:tcW w:w="722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32,157</w:t>
            </w:r>
          </w:p>
        </w:tc>
      </w:tr>
      <w:tr>
        <w:trPr>
          <w:trHeight w:val="183"/>
        </w:trPr>
        <w:tc>
          <w:tcPr>
            <w:tcW w:w="72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Pr>
          <w:p>
            <w:pPr>
              <w:spacing w:after="0"/>
              <w:rPr>
                <w:sz w:val="18"/>
                <w:szCs w:val="18"/>
                <w:color w:val="auto"/>
              </w:rPr>
            </w:pP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ind w:right="-19"/>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420" w:firstLine="440"/>
        <w:spacing w:after="0" w:line="242"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Company brand, with the majority of products being exclusively developed and sold as Duluth Trading branded merchandise.</w:t>
      </w:r>
    </w:p>
    <w:p>
      <w:pPr>
        <w:spacing w:after="0" w:line="143" w:lineRule="exact"/>
        <w:rPr>
          <w:sz w:val="20"/>
          <w:szCs w:val="20"/>
          <w:color w:val="auto"/>
        </w:rPr>
      </w:pPr>
    </w:p>
    <w:p>
      <w:pPr>
        <w:ind w:firstLine="492"/>
        <w:spacing w:after="0" w:line="230" w:lineRule="auto"/>
        <w:rPr>
          <w:sz w:val="20"/>
          <w:szCs w:val="20"/>
          <w:color w:val="auto"/>
        </w:rPr>
      </w:pPr>
      <w:r>
        <w:rPr>
          <w:rFonts w:ascii="Times New Roman" w:cs="Times New Roman" w:eastAsia="Times New Roman" w:hAnsi="Times New Roman"/>
          <w:sz w:val="18"/>
          <w:szCs w:val="18"/>
          <w:color w:val="auto"/>
        </w:rPr>
        <w:t>In 2010, the Company initiated its omnichannel platform with the opening of its first store. Since then, Duluth Trading has expanded its retail presence, and as of February 2, 2025, the Company operated 62 retail stores and three outlet stores. The Company identifies its operating segments according to how its business activities are managed and evaluated. The Company continues to grow its omnichannel distribution network which allows the consumer to interact with the Company through a consistent customer experience whether on the Company website or at Company stores. The Company has one reportable external segment, consistent with the Company’s omnichannel business approach. The Company’s revenues generated outside the United States were insignificant.</w:t>
      </w:r>
    </w:p>
    <w:p>
      <w:pPr>
        <w:spacing w:after="0" w:line="146" w:lineRule="exact"/>
        <w:rPr>
          <w:sz w:val="20"/>
          <w:szCs w:val="20"/>
          <w:color w:val="auto"/>
        </w:rPr>
      </w:pPr>
    </w:p>
    <w:p>
      <w:pPr>
        <w:jc w:val="both"/>
        <w:ind w:right="360" w:firstLine="440"/>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740" w:firstLine="440"/>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(“U.S. GAAP”). All significant intercompany balances and transactions have been eliminated in consolidation.</w:t>
      </w:r>
    </w:p>
    <w:p>
      <w:pPr>
        <w:spacing w:after="0" w:line="136" w:lineRule="exact"/>
        <w:rPr>
          <w:sz w:val="20"/>
          <w:szCs w:val="20"/>
          <w:color w:val="auto"/>
        </w:rPr>
      </w:pPr>
    </w:p>
    <w:p>
      <w:pPr>
        <w:ind w:right="200" w:firstLine="440"/>
        <w:spacing w:after="0" w:line="250" w:lineRule="auto"/>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2024 and Fiscal 2023 ended on February 2, 2025 and January 28, 2024, respectively. Fiscal 2024 was a 53-week period and Fiscal 2023 was a 52-week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75" w:lineRule="exact"/>
        <w:rPr>
          <w:sz w:val="20"/>
          <w:szCs w:val="20"/>
          <w:color w:val="auto"/>
        </w:rPr>
      </w:pPr>
    </w:p>
    <w:p>
      <w:pPr>
        <w:ind w:right="160" w:firstLine="440"/>
        <w:spacing w:after="0" w:line="242"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of Prior Period Financial Information</w:t>
      </w:r>
    </w:p>
    <w:p>
      <w:pPr>
        <w:spacing w:after="0" w:line="189" w:lineRule="exact"/>
        <w:rPr>
          <w:sz w:val="20"/>
          <w:szCs w:val="20"/>
          <w:color w:val="auto"/>
        </w:rPr>
      </w:pPr>
    </w:p>
    <w:p>
      <w:pPr>
        <w:ind w:right="120" w:firstLine="440"/>
        <w:spacing w:after="0" w:line="231" w:lineRule="auto"/>
        <w:rPr>
          <w:sz w:val="20"/>
          <w:szCs w:val="20"/>
          <w:color w:val="auto"/>
        </w:rPr>
      </w:pPr>
      <w:r>
        <w:rPr>
          <w:rFonts w:ascii="Times New Roman" w:cs="Times New Roman" w:eastAsia="Times New Roman" w:hAnsi="Times New Roman"/>
          <w:sz w:val="18"/>
          <w:szCs w:val="18"/>
          <w:color w:val="auto"/>
        </w:rPr>
        <w:t>During fiscal 2024, management identified inaccuracies in the collection of local sales tax transactions within certain states. Accordingly, the Company has revised its consolidated financial statements and related notes to increase Accrued expenses by $3.2 million and Deferred tax assets by $0.8 million as of January 28, 2024, and to increase Selling, general and administrative expenses by $0.7 million and income tax benefit by $0.2 million for the year ended January 28, 2024. The cumulative errors related to periods prior to fiscal 2023 resulted in a decrease to Retained earnings by $2.4 million as of the beginning of fiscal 2023. The Company has determined that the errors were immaterial to all impacted periods and has corrected the impacted periods as an immaterial correction of an error. The Company also revised the fiscal 2024 quarterly consolidated financial statements to correct the impact of the errors on the respective periods.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ind w:right="200" w:firstLine="440"/>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consist of the accounts of Duluth Holdings Inc. and TRI Holdings, LLC (“TRI”) as a variable interest entity. See Note 6 “Variable Interest Entities” for further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00" w:firstLine="440"/>
        <w:spacing w:after="0" w:line="24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20" w:firstLine="440"/>
        <w:spacing w:after="0" w:line="230"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fulfillment centers and stores is recognized upon shipment following customer payment, which is when the customer obtains control of the product and has the ability to direct the use of the product, including, among other options, the ability to redirect the product to a different shipping destination. Store revenue is recognized at the point of sale. The Company provides the customer the right of return on the product and revenue is adjusted based on an estimate of the expected returns based on historical rates as well as events that may cause changes to historical rates. See Note 5 “Accrued Expense and Other Liabilities” for the Company’s product returns reserve.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 A liability is recognized at the time a gift card is sold, and revenue is recognized at the time the gift card is redeemed for merchandise. See Note 8 “Revenue” for further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Selling, General and Administrative Expenses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the primary costs classified in cost of goods sold and selling, general and administrative expenses: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Pr>
          <w:p>
            <w:pPr>
              <w:spacing w:after="0"/>
              <w:rPr>
                <w:sz w:val="16"/>
                <w:szCs w:val="16"/>
                <w:color w:val="auto"/>
              </w:rPr>
            </w:pPr>
          </w:p>
        </w:tc>
        <w:tc>
          <w:tcPr>
            <w:tcW w:w="5640" w:type="dxa"/>
            <w:vAlign w:val="bottom"/>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00" w:type="dxa"/>
            <w:vAlign w:val="bottom"/>
          </w:tcPr>
          <w:p>
            <w:pPr>
              <w:spacing w:after="0"/>
              <w:rPr>
                <w:sz w:val="16"/>
                <w:szCs w:val="16"/>
                <w:color w:val="auto"/>
              </w:rPr>
            </w:pPr>
          </w:p>
        </w:tc>
        <w:tc>
          <w:tcPr>
            <w:tcW w:w="53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r>
      <w:tr>
        <w:trPr>
          <w:trHeight w:val="183"/>
        </w:trPr>
        <w:tc>
          <w:tcPr>
            <w:tcW w:w="1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400" w:type="dxa"/>
            <w:vAlign w:val="bottom"/>
            <w:tcBorders>
              <w:top w:val="single" w:sz="8" w:color="auto"/>
            </w:tcBorders>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Direct cost of purchased merchandise</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Borders>
              <w:top w:val="single" w:sz="8" w:color="auto"/>
            </w:tcBorders>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Payroll and payroll-related expenses</w:t>
            </w:r>
          </w:p>
        </w:tc>
      </w:tr>
      <w:tr>
        <w:trPr>
          <w:trHeight w:val="171"/>
        </w:trPr>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64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8"/>
                <w:szCs w:val="18"/>
                <w:color w:val="auto"/>
              </w:rPr>
              <w:t>Inventory shrinkage and inventory adjustments due to obsolescence</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Occupancy expenses related to stores and operations at the Company's</w:t>
            </w:r>
          </w:p>
        </w:tc>
      </w:tr>
      <w:tr>
        <w:trPr>
          <w:trHeight w:val="221"/>
        </w:trPr>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headquarters, including utilities</w:t>
            </w:r>
          </w:p>
        </w:tc>
      </w:tr>
      <w:tr>
        <w:trPr>
          <w:trHeight w:val="189"/>
        </w:trPr>
        <w:tc>
          <w:tcPr>
            <w:tcW w:w="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64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Inbound freight</w:t>
            </w: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r>
      <w:tr>
        <w:trPr>
          <w:trHeight w:val="171"/>
        </w:trPr>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64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8"/>
                <w:szCs w:val="18"/>
                <w:color w:val="auto"/>
              </w:rPr>
              <w:t>Freight from the Company's fulfillment centers to its stores</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Marketing expenses including: digital, television, and social media</w:t>
            </w:r>
          </w:p>
        </w:tc>
      </w:tr>
      <w:tr>
        <w:trPr>
          <w:trHeight w:val="221"/>
        </w:trPr>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advertising; catalog production and mailing; and print advertising costs</w:t>
            </w:r>
          </w:p>
        </w:tc>
      </w:tr>
      <w:tr>
        <w:trPr>
          <w:trHeight w:val="189"/>
        </w:trPr>
        <w:tc>
          <w:tcPr>
            <w:tcW w:w="120" w:type="dxa"/>
            <w:vAlign w:val="bottom"/>
            <w:shd w:val="clear" w:color="auto" w:fill="CCEEFF"/>
          </w:tcPr>
          <w:p>
            <w:pPr>
              <w:spacing w:after="0"/>
              <w:rPr>
                <w:sz w:val="16"/>
                <w:szCs w:val="16"/>
                <w:color w:val="auto"/>
              </w:rPr>
            </w:pPr>
          </w:p>
        </w:tc>
        <w:tc>
          <w:tcPr>
            <w:tcW w:w="5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Logistical costs associated with shipping product to customers</w:t>
            </w:r>
          </w:p>
        </w:tc>
      </w:tr>
      <w:tr>
        <w:trPr>
          <w:trHeight w:val="189"/>
        </w:trPr>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Consulting and software expenses and professional services fees</w:t>
            </w:r>
          </w:p>
        </w:tc>
      </w:tr>
      <w:tr>
        <w:trPr>
          <w:trHeight w:val="189"/>
        </w:trPr>
        <w:tc>
          <w:tcPr>
            <w:tcW w:w="120" w:type="dxa"/>
            <w:vAlign w:val="bottom"/>
            <w:shd w:val="clear" w:color="auto" w:fill="CCEEFF"/>
          </w:tcPr>
          <w:p>
            <w:pPr>
              <w:spacing w:after="0"/>
              <w:rPr>
                <w:sz w:val="16"/>
                <w:szCs w:val="16"/>
                <w:color w:val="auto"/>
              </w:rPr>
            </w:pPr>
          </w:p>
        </w:tc>
        <w:tc>
          <w:tcPr>
            <w:tcW w:w="5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380" w:type="dxa"/>
            <w:vAlign w:val="bottom"/>
            <w:shd w:val="clear" w:color="auto" w:fill="CCEEFF"/>
          </w:tcPr>
          <w:p>
            <w:pPr>
              <w:spacing w:after="0"/>
              <w:rPr>
                <w:sz w:val="16"/>
                <w:szCs w:val="16"/>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Catalog Expenses</w:t>
      </w:r>
    </w:p>
    <w:p>
      <w:pPr>
        <w:spacing w:after="0" w:line="162"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The Company’s advertising and catalog expense primarily consists of web marketing programs, social media and radio and television advertisements, which are expensed as they are incurred. The Company’s direct-response advertising consists of producing, printing and mailing catalogs, which are expensed upon receipt by customers.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Advertising and Catalog expenses were $67.5 million and $69.0 million for fiscal 2024 and fiscal 2023, respectively.</w:t>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ind w:right="-139"/>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Processing</w:t>
      </w:r>
    </w:p>
    <w:p>
      <w:pPr>
        <w:spacing w:after="0" w:line="175"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Shipping and processing revenue generated from customer orders has been classified as a component of net sales. Shipping and processing expense, including handling expense, has been classified as a component of selling, general and administrative expenses. The Company incurred shipping and processing expenses of $43.7 million and $47.2 million for fiscal 2024 and fiscal 2023,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The Company accounts for income taxes and related accounts using the asset/liability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ASC 740, the Company accrues income taxes payable or refundable and recognizes deferred tax assets and liabilities based on differences between U.S. GAAP and tax bases of assets and liabilities. The Company measures deferred tax assets and liabilities using enacted tax rates in effect for the years in which the differences are expected to reverse, and recognizes the effect of a change in enacted rates in the period of enactment. A valuation allowance is established if it is more likely than not that some portion or all of the deferred income tax asset will not be realized.</w:t>
      </w:r>
    </w:p>
    <w:p>
      <w:pPr>
        <w:spacing w:after="0" w:line="158" w:lineRule="exact"/>
        <w:rPr>
          <w:sz w:val="20"/>
          <w:szCs w:val="20"/>
          <w:color w:val="auto"/>
        </w:rPr>
      </w:pPr>
    </w:p>
    <w:p>
      <w:pPr>
        <w:ind w:right="140" w:firstLine="440"/>
        <w:spacing w:after="0" w:line="274" w:lineRule="auto"/>
        <w:rPr>
          <w:sz w:val="20"/>
          <w:szCs w:val="20"/>
          <w:color w:val="auto"/>
        </w:rPr>
      </w:pPr>
      <w:r>
        <w:rPr>
          <w:rFonts w:ascii="Times New Roman" w:cs="Times New Roman" w:eastAsia="Times New Roman" w:hAnsi="Times New Roman"/>
          <w:sz w:val="18"/>
          <w:szCs w:val="18"/>
          <w:color w:val="auto"/>
        </w:rPr>
        <w:t>The Company establishes assets and liabilities for uncertain tax positions taken or expected to be taken in income tax returns, using a more-likely-than-not recognition threshold. The Company recognizes penalties and interest related to uncertain tax positions as income tax expense. See Note 9 “Income Taxes,” of these Notes to Consolidated Financial Statements for further discussion.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ind w:right="340" w:firstLine="440"/>
        <w:spacing w:after="0" w:line="23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deposits. At various times during the year, the Company has certain cash balances deposited in financial institutions in excess of federally insured limits. The Company has not experienced any losses in such accounts and management believes it is not exposed to any significant credit risk.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As of</w:t>
      </w:r>
    </w:p>
    <w:p>
      <w:pPr>
        <w:spacing w:after="0" w:line="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February 2, 2025, Cash and cash equivalents consisted of cash, amounts receivable from credit card issuers and money market funds. Amounts receivable from credit card issuers are typically converted to cash within 2 to 4 days of the original sales transaction and are considered to be cash equivalents.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Suppliers</w:t>
      </w:r>
    </w:p>
    <w:p>
      <w:pPr>
        <w:spacing w:after="0" w:line="175" w:lineRule="exact"/>
        <w:rPr>
          <w:sz w:val="20"/>
          <w:szCs w:val="20"/>
          <w:color w:val="auto"/>
        </w:rPr>
      </w:pPr>
    </w:p>
    <w:p>
      <w:pPr>
        <w:ind w:right="740" w:firstLine="440"/>
        <w:spacing w:after="0" w:line="250" w:lineRule="auto"/>
        <w:rPr>
          <w:sz w:val="20"/>
          <w:szCs w:val="20"/>
          <w:color w:val="auto"/>
        </w:rPr>
      </w:pPr>
      <w:r>
        <w:rPr>
          <w:rFonts w:ascii="Times New Roman" w:cs="Times New Roman" w:eastAsia="Times New Roman" w:hAnsi="Times New Roman"/>
          <w:sz w:val="18"/>
          <w:szCs w:val="18"/>
          <w:color w:val="auto"/>
        </w:rPr>
        <w:t>The Company’s principal supplier of inventory accounted for 43% and 59% of total inventory expenditures in fiscal 2024 and fiscal 2023,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obsolete items and shrinkage was $2.1 million and $1.4 million as of February 2, 2025 and January 28, 2024, respectively.</w:t>
      </w:r>
    </w:p>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380" w:type="dxa"/>
            <w:vAlign w:val="bottom"/>
          </w:tcPr>
          <w:p>
            <w:pPr>
              <w:spacing w:after="0"/>
              <w:rPr>
                <w:sz w:val="16"/>
                <w:szCs w:val="16"/>
                <w:color w:val="auto"/>
              </w:rPr>
            </w:pPr>
          </w:p>
        </w:tc>
        <w:tc>
          <w:tcPr>
            <w:tcW w:w="202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6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Land and land improvements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4,486</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4,486</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57,732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56,850</w:t>
            </w: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Buildings</w:t>
            </w:r>
          </w:p>
        </w:tc>
        <w:tc>
          <w:tcPr>
            <w:tcW w:w="3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36,272</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36,191</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Vehicles</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121</w:t>
            </w: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Warehouse equipment</w:t>
            </w:r>
          </w:p>
        </w:tc>
        <w:tc>
          <w:tcPr>
            <w:tcW w:w="3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65,592</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66,481</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Office equipment and furniture</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54,542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54,294</w:t>
            </w: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Computer equipment</w:t>
            </w:r>
          </w:p>
        </w:tc>
        <w:tc>
          <w:tcPr>
            <w:tcW w:w="3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9,472</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11,142</w:t>
            </w:r>
          </w:p>
        </w:tc>
      </w:tr>
      <w:tr>
        <w:trPr>
          <w:trHeight w:val="203"/>
        </w:trPr>
        <w:tc>
          <w:tcPr>
            <w:tcW w:w="61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Software</w:t>
            </w: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39,952</w:t>
            </w: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39,923</w:t>
            </w:r>
          </w:p>
        </w:tc>
      </w:tr>
      <w:tr>
        <w:trPr>
          <w:trHeight w:val="183"/>
        </w:trPr>
        <w:tc>
          <w:tcPr>
            <w:tcW w:w="6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268,132</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269,488</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Accumulated depreciation and amortization</w:t>
            </w:r>
          </w:p>
        </w:tc>
        <w:tc>
          <w:tcPr>
            <w:tcW w:w="380" w:type="dxa"/>
            <w:vAlign w:val="bottom"/>
          </w:tcPr>
          <w:p>
            <w:pPr>
              <w:spacing w:after="0"/>
              <w:rPr>
                <w:sz w:val="17"/>
                <w:szCs w:val="17"/>
                <w:color w:val="auto"/>
              </w:rPr>
            </w:pPr>
          </w:p>
        </w:tc>
        <w:tc>
          <w:tcPr>
            <w:tcW w:w="2320" w:type="dxa"/>
            <w:vAlign w:val="bottom"/>
            <w:gridSpan w:val="2"/>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(159,450)</w:t>
            </w: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(140,551)</w:t>
            </w:r>
          </w:p>
        </w:tc>
      </w:tr>
      <w:tr>
        <w:trPr>
          <w:trHeight w:val="183"/>
        </w:trPr>
        <w:tc>
          <w:tcPr>
            <w:tcW w:w="6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108,682</w:t>
            </w:r>
          </w:p>
        </w:tc>
        <w:tc>
          <w:tcPr>
            <w:tcW w:w="2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128,937</w:t>
            </w:r>
          </w:p>
        </w:tc>
      </w:tr>
      <w:tr>
        <w:trPr>
          <w:trHeight w:val="203"/>
        </w:trPr>
        <w:tc>
          <w:tcPr>
            <w:tcW w:w="61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2,878</w:t>
            </w: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3,781</w:t>
            </w:r>
          </w:p>
        </w:tc>
      </w:tr>
      <w:tr>
        <w:trPr>
          <w:trHeight w:val="183"/>
        </w:trPr>
        <w:tc>
          <w:tcPr>
            <w:tcW w:w="61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111,560</w:t>
            </w:r>
          </w:p>
        </w:tc>
        <w:tc>
          <w:tcPr>
            <w:tcW w:w="2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132,718</w:t>
            </w:r>
          </w:p>
        </w:tc>
      </w:tr>
      <w:tr>
        <w:trPr>
          <w:trHeight w:val="20"/>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recorded depreciation expense of $28.7 million and $28.0 million for fiscal 2024 and fiscal 2023, respectively. The Company expenses as incurred all routine repair and maintenance costs that do not extend the estimated useful life of the asset.</w:t>
      </w:r>
    </w:p>
    <w:p>
      <w:pPr>
        <w:spacing w:after="0" w:line="108" w:lineRule="exact"/>
        <w:rPr>
          <w:sz w:val="20"/>
          <w:szCs w:val="20"/>
          <w:color w:val="auto"/>
        </w:rPr>
      </w:pPr>
    </w:p>
    <w:p>
      <w:pPr>
        <w:ind w:right="120" w:firstLine="440"/>
        <w:spacing w:after="0" w:line="296" w:lineRule="auto"/>
        <w:rPr>
          <w:sz w:val="20"/>
          <w:szCs w:val="20"/>
          <w:color w:val="auto"/>
        </w:rPr>
      </w:pPr>
      <w:r>
        <w:rPr>
          <w:rFonts w:ascii="Times New Roman" w:cs="Times New Roman" w:eastAsia="Times New Roman" w:hAnsi="Times New Roman"/>
          <w:sz w:val="17"/>
          <w:szCs w:val="17"/>
          <w:color w:val="auto"/>
        </w:rPr>
        <w:t>Property and equipment are carried at cost and are generally depreciated using the straight-line method over the estimated useful lives. Leasehold improvements are depreciated over the shorter of the lease term or estimated useful life. Depreciable lives by major classification generally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183"/>
        </w:trPr>
        <w:tc>
          <w:tcPr>
            <w:tcW w:w="9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Land improvements</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15</w:t>
            </w:r>
          </w:p>
        </w:tc>
      </w:tr>
      <w:tr>
        <w:trPr>
          <w:trHeight w:val="203"/>
        </w:trPr>
        <w:tc>
          <w:tcPr>
            <w:tcW w:w="9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- 15</w:t>
            </w:r>
          </w:p>
        </w:tc>
      </w:tr>
      <w:tr>
        <w:trPr>
          <w:trHeight w:val="203"/>
        </w:trPr>
        <w:tc>
          <w:tcPr>
            <w:tcW w:w="9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Buildings</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39</w:t>
            </w:r>
          </w:p>
        </w:tc>
      </w:tr>
      <w:tr>
        <w:trPr>
          <w:trHeight w:val="203"/>
        </w:trPr>
        <w:tc>
          <w:tcPr>
            <w:tcW w:w="9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Vehicles</w:t>
            </w:r>
          </w:p>
        </w:tc>
        <w:tc>
          <w:tcPr>
            <w:tcW w:w="720" w:type="dxa"/>
            <w:vAlign w:val="bottom"/>
          </w:tcPr>
          <w:p>
            <w:pPr>
              <w:spacing w:after="0"/>
              <w:rPr>
                <w:sz w:val="17"/>
                <w:szCs w:val="17"/>
                <w:color w:val="auto"/>
              </w:rPr>
            </w:pPr>
          </w:p>
        </w:tc>
        <w:tc>
          <w:tcPr>
            <w:tcW w:w="920" w:type="dxa"/>
            <w:vAlign w:val="bottom"/>
          </w:tcPr>
          <w:p>
            <w:pPr>
              <w:jc w:val="right"/>
              <w:ind w:right="550"/>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9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Warehouse equipment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920" w:type="dxa"/>
            <w:vAlign w:val="bottom"/>
            <w:shd w:val="clear" w:color="auto" w:fill="CCEEFF"/>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- 10</w:t>
            </w:r>
          </w:p>
        </w:tc>
      </w:tr>
      <w:tr>
        <w:trPr>
          <w:trHeight w:val="203"/>
        </w:trPr>
        <w:tc>
          <w:tcPr>
            <w:tcW w:w="9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Office equipment and furniture</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92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- 10</w:t>
            </w:r>
          </w:p>
        </w:tc>
      </w:tr>
      <w:tr>
        <w:trPr>
          <w:trHeight w:val="203"/>
        </w:trPr>
        <w:tc>
          <w:tcPr>
            <w:tcW w:w="9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Computer equipment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920" w:type="dxa"/>
            <w:vAlign w:val="bottom"/>
            <w:shd w:val="clear" w:color="auto" w:fill="CCEEFF"/>
          </w:tcPr>
          <w:p>
            <w:pPr>
              <w:jc w:val="right"/>
              <w:ind w:right="550"/>
              <w:spacing w:after="0" w:line="202" w:lineRule="exact"/>
              <w:rPr>
                <w:sz w:val="20"/>
                <w:szCs w:val="20"/>
                <w:color w:val="auto"/>
              </w:rPr>
            </w:pPr>
            <w:r>
              <w:rPr>
                <w:rFonts w:ascii="Times New Roman" w:cs="Times New Roman" w:eastAsia="Times New Roman" w:hAnsi="Times New Roman"/>
                <w:sz w:val="18"/>
                <w:szCs w:val="18"/>
                <w:color w:val="auto"/>
              </w:rPr>
              <w:t>- 5</w:t>
            </w:r>
          </w:p>
        </w:tc>
      </w:t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- 5</w:t>
            </w: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2,301</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2,778</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3,749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3,353</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11,731</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10,357</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17,781</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16,488</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436</w:t>
            </w: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7,498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6,705</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1,228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1,477</w:t>
            </w:r>
          </w:p>
        </w:tc>
      </w:tr>
      <w:tr>
        <w:trPr>
          <w:trHeight w:val="183"/>
        </w:trPr>
        <w:tc>
          <w:tcPr>
            <w:tcW w:w="52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Pr>
          <w:p>
            <w:pPr>
              <w:spacing w:after="0"/>
              <w:rPr>
                <w:sz w:val="15"/>
                <w:szCs w:val="15"/>
                <w:color w:val="auto"/>
              </w:rPr>
            </w:pPr>
          </w:p>
        </w:tc>
        <w:tc>
          <w:tcPr>
            <w:tcW w:w="1600" w:type="dxa"/>
            <w:vAlign w:val="bottom"/>
            <w:tcBorders>
              <w:bottom w:val="single" w:sz="8" w:color="auto"/>
            </w:tcBorders>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9,140</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9,020</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Hosting Implementation Costs</w:t>
      </w:r>
    </w:p>
    <w:p>
      <w:pPr>
        <w:spacing w:after="0" w:line="173" w:lineRule="exact"/>
        <w:rPr>
          <w:sz w:val="20"/>
          <w:szCs w:val="20"/>
          <w:color w:val="auto"/>
        </w:rPr>
      </w:pPr>
    </w:p>
    <w:p>
      <w:pPr>
        <w:ind w:right="100" w:firstLine="440"/>
        <w:spacing w:after="0" w:line="236" w:lineRule="auto"/>
        <w:rPr>
          <w:sz w:val="20"/>
          <w:szCs w:val="20"/>
          <w:color w:val="auto"/>
        </w:rPr>
      </w:pPr>
      <w:r>
        <w:rPr>
          <w:rFonts w:ascii="Times New Roman" w:cs="Times New Roman" w:eastAsia="Times New Roman" w:hAnsi="Times New Roman"/>
          <w:sz w:val="18"/>
          <w:szCs w:val="18"/>
          <w:color w:val="auto"/>
        </w:rPr>
        <w:t xml:space="preserve">Software hosting implementation costs includes costs of implementation activities of certain cloud computing arrangements in accordance with Accounting Standards Update No. 2018-15,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Amortization expense was $5.3 million and $5.0 million for fiscal 2024 and fiscal 2023, respectively. Accumulated amortization was $12.4 million and $10.4 million for fiscal 2024 and fiscal 2023, respectively. See Note 12 “Recent Accounting Pronouncements” for more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58"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over the fair value of net assets acquired.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requires that goodwill be tested for impairment annually, or more often if an event or circumstance indicates that an impairment loss may have been incurred. The Company’s management uses its judgment in assessing whether goodwill may have become impaired between annual impairment tests. Indicators such as unexpected adverse business conditions, economic factors, competitive activities, loss of key personnel and acts by governments may signal that an asset has become impaired.</w:t>
      </w:r>
    </w:p>
    <w:p>
      <w:pPr>
        <w:spacing w:after="0" w:line="14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Management performed its annual qualitative assessment of goodwill as of December 31, 2024 and 2023, which included assessing factors such as macroeconomic conditions, industry and market considerations, cost factors and overall financial performance. The next step after the qualitative assessment failed was estimating the fair value of the reporting unit, which management used the market valuation approach. Through the annual assessment, management determined the carrying amount of the Goodwill exceeded its value. Thus, the Company recognized a full impairment for the year ended February 2,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and Other Assets</w:t>
      </w:r>
    </w:p>
    <w:p>
      <w:pPr>
        <w:spacing w:after="0" w:line="173" w:lineRule="exact"/>
        <w:rPr>
          <w:sz w:val="20"/>
          <w:szCs w:val="20"/>
          <w:color w:val="auto"/>
        </w:rPr>
      </w:pPr>
    </w:p>
    <w:p>
      <w:pPr>
        <w:ind w:right="260" w:firstLine="440"/>
        <w:spacing w:after="0" w:line="230" w:lineRule="auto"/>
        <w:rPr>
          <w:sz w:val="20"/>
          <w:szCs w:val="20"/>
          <w:color w:val="auto"/>
        </w:rPr>
      </w:pPr>
      <w:r>
        <w:rPr>
          <w:rFonts w:ascii="Times New Roman" w:cs="Times New Roman" w:eastAsia="Times New Roman" w:hAnsi="Times New Roman"/>
          <w:sz w:val="18"/>
          <w:szCs w:val="18"/>
          <w:color w:val="auto"/>
        </w:rPr>
        <w:t>Intangible assets and other assets include loan origination fees and trade names which are amortized over their estimated useful lives ranging from three years to fifteen years. Other assets also primarily include security deposits required by certain of the Company’s lease agreements and prepaid expenses. Amortization expense was $0.2 million for fiscal 2024 and fiscal 2023. Accumulated amortization was $1.2 million and $1.0 million as of February 2, 2025 and January 28, 2024,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000FF"/>
        </w:rPr>
        <w:t>Table of Contents</w:t>
      </w:r>
    </w:p>
    <w:tbl>
      <w:tblPr>
        <w:tblLayout w:type="fixed"/>
        <w:tblInd w:w="0" w:type="dxa"/>
        <w:tblCellMar>
          <w:top w:w="0" w:type="dxa"/>
          <w:left w:w="0" w:type="dxa"/>
          <w:bottom w:w="0" w:type="dxa"/>
          <w:right w:w="0" w:type="dxa"/>
        </w:tblCellMar>
      </w:tblPr>
      <w:tr>
        <w:trPr>
          <w:trHeight w:val="174"/>
        </w:trPr>
        <w:tc>
          <w:tcPr>
            <w:tcW w:w="1280" w:type="dxa"/>
            <w:vAlign w:val="bottom"/>
            <w:tcBorders>
              <w:top w:val="single" w:sz="8" w:color="0000FF"/>
            </w:tcBorders>
          </w:tcPr>
          <w:p>
            <w:pPr>
              <w:spacing w:after="0"/>
              <w:rPr>
                <w:sz w:val="15"/>
                <w:szCs w:val="15"/>
                <w:color w:val="auto"/>
              </w:rPr>
            </w:pPr>
          </w:p>
        </w:tc>
        <w:tc>
          <w:tcPr>
            <w:tcW w:w="8260" w:type="dxa"/>
            <w:vAlign w:val="bottom"/>
            <w:gridSpan w:val="2"/>
          </w:tcPr>
          <w:p>
            <w:pPr>
              <w:jc w:val="center"/>
              <w:ind w:left="3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DULUTH HOLDINGS INC.</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8"/>
        </w:trPr>
        <w:tc>
          <w:tcPr>
            <w:tcW w:w="1280" w:type="dxa"/>
            <w:vAlign w:val="bottom"/>
          </w:tcPr>
          <w:p>
            <w:pPr>
              <w:spacing w:after="0"/>
              <w:rPr>
                <w:sz w:val="20"/>
                <w:szCs w:val="20"/>
                <w:color w:val="auto"/>
              </w:rPr>
            </w:pPr>
          </w:p>
        </w:tc>
        <w:tc>
          <w:tcPr>
            <w:tcW w:w="826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756"/>
        </w:trPr>
        <w:tc>
          <w:tcPr>
            <w:tcW w:w="9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Scheduled future amortization of amortizable other assets is as follows as of February 2, 2025:</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3"/>
        </w:trPr>
        <w:tc>
          <w:tcPr>
            <w:tcW w:w="95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1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8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157</w:t>
            </w:r>
          </w:p>
        </w:tc>
      </w:tr>
      <w:tr>
        <w:trPr>
          <w:trHeight w:val="203"/>
        </w:trPr>
        <w:tc>
          <w:tcPr>
            <w:tcW w:w="1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8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r>
      <w:tr>
        <w:trPr>
          <w:trHeight w:val="203"/>
        </w:trPr>
        <w:tc>
          <w:tcPr>
            <w:tcW w:w="1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2027</w:t>
            </w:r>
          </w:p>
        </w:tc>
        <w:tc>
          <w:tcPr>
            <w:tcW w:w="8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r>
      <w:tr>
        <w:trPr>
          <w:trHeight w:val="203"/>
        </w:trPr>
        <w:tc>
          <w:tcPr>
            <w:tcW w:w="1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2028</w:t>
            </w:r>
          </w:p>
        </w:tc>
        <w:tc>
          <w:tcPr>
            <w:tcW w:w="8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r>
      <w:tr>
        <w:trPr>
          <w:trHeight w:val="203"/>
        </w:trPr>
        <w:tc>
          <w:tcPr>
            <w:tcW w:w="1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2029</w:t>
            </w:r>
          </w:p>
        </w:tc>
        <w:tc>
          <w:tcPr>
            <w:tcW w:w="8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r>
      <w:tr>
        <w:trPr>
          <w:trHeight w:val="203"/>
        </w:trPr>
        <w:tc>
          <w:tcPr>
            <w:tcW w:w="9540" w:type="dxa"/>
            <w:vAlign w:val="bottom"/>
            <w:tcBorders>
              <w:bottom w:val="single" w:sz="8" w:color="CCEEFF"/>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183"/>
        </w:trPr>
        <w:tc>
          <w:tcPr>
            <w:tcW w:w="1280" w:type="dxa"/>
            <w:vAlign w:val="bottom"/>
            <w:tcBorders>
              <w:bottom w:val="single" w:sz="8" w:color="CCEEFF"/>
            </w:tcBorders>
            <w:shd w:val="clear" w:color="auto" w:fill="CCEEFF"/>
          </w:tcPr>
          <w:p>
            <w:pPr>
              <w:spacing w:after="0"/>
              <w:rPr>
                <w:sz w:val="15"/>
                <w:szCs w:val="15"/>
                <w:color w:val="auto"/>
              </w:rPr>
            </w:pPr>
          </w:p>
        </w:tc>
        <w:tc>
          <w:tcPr>
            <w:tcW w:w="80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267</w:t>
            </w:r>
          </w:p>
        </w:tc>
      </w:tr>
      <w:tr>
        <w:trPr>
          <w:trHeight w:val="20"/>
        </w:trPr>
        <w:tc>
          <w:tcPr>
            <w:tcW w:w="12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The Company’s long-lived assets are reviewed for impairment during the fourth quarter, or whenever events or changes in circumstances indicate that the carrying amount may not be recoverable. If the sum of the expected undiscounted cash flows is less than the carrying value of the related asset or group of assets, a loss is recognized for the difference between the fair value and the carrying value of the asset or group of assets. Such analyses necessarily involve judgment.</w:t>
      </w:r>
    </w:p>
    <w:p>
      <w:pPr>
        <w:spacing w:after="0" w:line="144" w:lineRule="exact"/>
        <w:rPr>
          <w:sz w:val="20"/>
          <w:szCs w:val="20"/>
          <w:color w:val="auto"/>
        </w:rPr>
      </w:pPr>
    </w:p>
    <w:p>
      <w:pPr>
        <w:ind w:right="580" w:firstLine="440"/>
        <w:spacing w:after="0" w:line="250" w:lineRule="auto"/>
        <w:rPr>
          <w:sz w:val="20"/>
          <w:szCs w:val="20"/>
          <w:color w:val="auto"/>
        </w:rPr>
      </w:pPr>
      <w:r>
        <w:rPr>
          <w:rFonts w:ascii="Times New Roman" w:cs="Times New Roman" w:eastAsia="Times New Roman" w:hAnsi="Times New Roman"/>
          <w:sz w:val="18"/>
          <w:szCs w:val="18"/>
          <w:color w:val="auto"/>
        </w:rPr>
        <w:t>For fiscal 2024, management identified a triggering event for two stores within the annual impairment test. Management determined expected undiscounted cash flows were greater than the carrying value and therefore, no impairment was recorded.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Pre-opening Costs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Store pre-opening costs are expensed as incurred and are included in selling, general and administrative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IPO, the Company adopted the 2015 Equity Incentive Plan of Duluth Holdings Inc. There are awards outstanding under the</w:t>
      </w:r>
    </w:p>
    <w:p>
      <w:pPr>
        <w:spacing w:after="0" w:line="2"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18"/>
          <w:szCs w:val="18"/>
          <w:color w:val="auto"/>
        </w:rPr>
        <w:t>2015 plan, but we do not grant new awards under the plan. We have adopted the 2024 Equity Incentive Plan of Duluth Holdings Inc. (“2024 Plan”), which provides compensation alternatives such as stock options, shares, restricted stock, restricted stock units, deferred stock and performance share units, using or based on the Company’s Class B common stock.</w:t>
      </w:r>
    </w:p>
    <w:p>
      <w:pPr>
        <w:spacing w:after="0" w:line="142"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 Restricted stock issued to board members generally vests over a period of one year. Restricted stock issued to key employees and executives typically vests over a period of three years to four years based on the terms for each individual award. The fair value of the restricted stock is determined based on the market value of the Company’s Class B common stock on the grant date. Restricted stock forfeitures are recognized as incurred.</w:t>
      </w:r>
    </w:p>
    <w:p>
      <w:pPr>
        <w:spacing w:after="0" w:line="145" w:lineRule="exact"/>
        <w:rPr>
          <w:sz w:val="20"/>
          <w:szCs w:val="20"/>
          <w:color w:val="auto"/>
        </w:rPr>
      </w:pPr>
    </w:p>
    <w:p>
      <w:pPr>
        <w:ind w:right="100" w:firstLine="440"/>
        <w:spacing w:after="0" w:line="241"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$4.0 million and $4.2 million for fiscal 2024 and fiscal 2023, respectively, and is included in Selling, general and administrative expenses on the Consolidated Statements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is a summary of the activity in the Company’s unvested restricted stock during the years ended February 2, 2025 and January 28,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03"/>
        </w:trPr>
        <w:tc>
          <w:tcPr>
            <w:tcW w:w="7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3"/>
        </w:trPr>
        <w:tc>
          <w:tcPr>
            <w:tcW w:w="7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9"/>
        </w:trPr>
        <w:tc>
          <w:tcPr>
            <w:tcW w:w="7780" w:type="dxa"/>
            <w:vAlign w:val="bottom"/>
          </w:tcPr>
          <w:p>
            <w:pPr>
              <w:spacing w:after="0"/>
              <w:rPr>
                <w:sz w:val="17"/>
                <w:szCs w:val="17"/>
                <w:color w:val="auto"/>
              </w:rPr>
            </w:pP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83"/>
        </w:trPr>
        <w:tc>
          <w:tcPr>
            <w:tcW w:w="77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29, 2023</w:t>
            </w:r>
          </w:p>
        </w:tc>
        <w:tc>
          <w:tcPr>
            <w:tcW w:w="14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618,772</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12.05</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1,168,316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6.51</w:t>
            </w:r>
          </w:p>
        </w:tc>
      </w:tr>
      <w:tr>
        <w:trPr>
          <w:trHeight w:val="203"/>
        </w:trPr>
        <w:tc>
          <w:tcPr>
            <w:tcW w:w="7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(164,116)</w:t>
            </w: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12.22</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(255,702)</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5.73</w:t>
            </w:r>
          </w:p>
        </w:tc>
      </w:tr>
      <w:tr>
        <w:trPr>
          <w:trHeight w:val="183"/>
        </w:trPr>
        <w:tc>
          <w:tcPr>
            <w:tcW w:w="77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28, 2024</w:t>
            </w:r>
          </w:p>
        </w:tc>
        <w:tc>
          <w:tcPr>
            <w:tcW w:w="14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1,367,270</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8.77</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1,099,121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4.62</w:t>
            </w:r>
          </w:p>
        </w:tc>
      </w:tr>
      <w:tr>
        <w:trPr>
          <w:trHeight w:val="203"/>
        </w:trPr>
        <w:tc>
          <w:tcPr>
            <w:tcW w:w="7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(540,722)</w:t>
            </w: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8.98</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(239,402)</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6.67</w:t>
            </w:r>
          </w:p>
        </w:tc>
      </w:tr>
      <w:tr>
        <w:trPr>
          <w:trHeight w:val="183"/>
        </w:trPr>
        <w:tc>
          <w:tcPr>
            <w:tcW w:w="7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Outstanding at February 2, 2025</w:t>
            </w:r>
          </w:p>
        </w:tc>
        <w:tc>
          <w:tcPr>
            <w:tcW w:w="14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1,686,267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6.02</w:t>
            </w:r>
          </w:p>
        </w:tc>
      </w:tr>
      <w:tr>
        <w:trPr>
          <w:trHeight w:val="20"/>
        </w:trPr>
        <w:tc>
          <w:tcPr>
            <w:tcW w:w="7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At February 2, 2025, the Company had unrecognized compensation expense of $5.8 million related to the restricted stock awards, which is expected to be recognized over a weighted average period of 2.5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7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Treasury stock consists of shares withheld in lieu of tax payments when restricted stock vests using the treasury cost method and is classified in the Consolidated Balance Sheets as a reduction to shareholders’ 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Collected from Customers</w:t>
      </w:r>
    </w:p>
    <w:p>
      <w:pPr>
        <w:spacing w:after="0" w:line="175" w:lineRule="exact"/>
        <w:rPr>
          <w:sz w:val="20"/>
          <w:szCs w:val="20"/>
          <w:color w:val="auto"/>
        </w:rPr>
      </w:pPr>
    </w:p>
    <w:p>
      <w:pPr>
        <w:ind w:right="320" w:firstLine="440"/>
        <w:spacing w:after="0" w:line="250" w:lineRule="auto"/>
        <w:rPr>
          <w:sz w:val="20"/>
          <w:szCs w:val="20"/>
          <w:color w:val="auto"/>
        </w:rPr>
      </w:pPr>
      <w:r>
        <w:rPr>
          <w:rFonts w:ascii="Times New Roman" w:cs="Times New Roman" w:eastAsia="Times New Roman" w:hAnsi="Times New Roman"/>
          <w:sz w:val="18"/>
          <w:szCs w:val="18"/>
          <w:color w:val="auto"/>
        </w:rPr>
        <w:t>The Company presents all non-income government-assessed taxes (sales, use and value-added taxes) collected from its customers and remitted to governmental agencies on a net basis (excluded from revenue) in its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p>
      <w:pPr>
        <w:spacing w:after="0" w:line="175" w:lineRule="exact"/>
        <w:rPr>
          <w:sz w:val="20"/>
          <w:szCs w:val="20"/>
          <w:color w:val="auto"/>
        </w:rPr>
      </w:pPr>
    </w:p>
    <w:p>
      <w:pPr>
        <w:ind w:right="120" w:firstLine="440"/>
        <w:spacing w:after="0" w:line="242" w:lineRule="auto"/>
        <w:rPr>
          <w:sz w:val="20"/>
          <w:szCs w:val="20"/>
          <w:color w:val="auto"/>
        </w:rPr>
      </w:pPr>
      <w:r>
        <w:rPr>
          <w:rFonts w:ascii="Times New Roman" w:cs="Times New Roman" w:eastAsia="Times New Roman" w:hAnsi="Times New Roman"/>
          <w:sz w:val="18"/>
          <w:szCs w:val="18"/>
          <w:color w:val="auto"/>
        </w:rPr>
        <w:t>Other comprehensive income or loss represents the change in equity from non-shareholder or non-member transactions, which is not included in the statements of earnings but is reported as a separate component of shareholders’ equity. For fiscal 2024 and fiscal 2023, other comprehensive income consists of changes in unrealized gains and losses on the Company’s available-for-sale security, net of taxes.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3"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ASC Topic 820, Fair Value Measurements and Disclosures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0" w:lineRule="exact"/>
        <w:rPr>
          <w:sz w:val="20"/>
          <w:szCs w:val="20"/>
          <w:color w:val="auto"/>
        </w:rPr>
      </w:pPr>
    </w:p>
    <w:p>
      <w:pPr>
        <w:jc w:val="center"/>
        <w:ind w:left="400" w:right="360"/>
        <w:spacing w:after="0" w:line="358"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1 or Level 3 instruments. The fair value of the Company’s money market account is obtained from real-time quotes for transactions in active exchange markets involving identical assets (Level 1). The fair value of the Company’s available-for-sale security was valued based on a discounted cash flow method (Level 3), which incorporates the U.S. Treasury yield curve, credit information and an estimate of future cash flows. During fiscal 2024,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44" w:lineRule="exact"/>
        <w:rPr>
          <w:sz w:val="20"/>
          <w:szCs w:val="20"/>
          <w:color w:val="auto"/>
        </w:rPr>
      </w:pPr>
    </w:p>
    <w:p>
      <w:pPr>
        <w:ind w:right="220" w:firstLine="440"/>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the Company’s money market account and available-for-sale security along with the corresponding amount of gross unrealized gains and losses recognized in accumulated other comprehensive income are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00"/>
        </w:trPr>
        <w:tc>
          <w:tcPr>
            <w:tcW w:w="3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7"/>
                <w:szCs w:val="17"/>
                <w:color w:val="auto"/>
              </w:rPr>
            </w:pPr>
          </w:p>
        </w:tc>
        <w:tc>
          <w:tcPr>
            <w:tcW w:w="11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8"/>
                <w:szCs w:val="18"/>
                <w:color w:val="auto"/>
              </w:rPr>
            </w:pPr>
          </w:p>
        </w:tc>
        <w:tc>
          <w:tcPr>
            <w:tcW w:w="11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8"/>
                <w:szCs w:val="18"/>
                <w:color w:val="auto"/>
              </w:rPr>
            </w:pPr>
          </w:p>
        </w:tc>
        <w:tc>
          <w:tcPr>
            <w:tcW w:w="11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r>
      <w:tr>
        <w:trPr>
          <w:trHeight w:val="445"/>
        </w:trPr>
        <w:tc>
          <w:tcPr>
            <w:tcW w:w="3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0"/>
        </w:trPr>
        <w:tc>
          <w:tcPr>
            <w:tcW w:w="3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7"/>
                <w:szCs w:val="17"/>
                <w:color w:val="auto"/>
              </w:rPr>
            </w:pPr>
          </w:p>
        </w:tc>
        <w:tc>
          <w:tcPr>
            <w:tcW w:w="11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8"/>
                <w:szCs w:val="18"/>
                <w:color w:val="auto"/>
              </w:rPr>
            </w:pPr>
          </w:p>
        </w:tc>
        <w:tc>
          <w:tcPr>
            <w:tcW w:w="11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8"/>
                <w:szCs w:val="18"/>
                <w:color w:val="auto"/>
              </w:rPr>
            </w:pPr>
          </w:p>
        </w:tc>
        <w:tc>
          <w:tcPr>
            <w:tcW w:w="11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w:t>
            </w:r>
          </w:p>
        </w:tc>
        <w:tc>
          <w:tcPr>
            <w:tcW w:w="20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w:t>
            </w:r>
          </w:p>
        </w:tc>
      </w:tr>
      <w:tr>
        <w:trPr>
          <w:trHeight w:val="41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security on a quarterly basis to monitor its exposure to other-than-temporary impairment.</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other-than-temporary impairment was recorded in the Consolidated Statements of Operations in fiscal 2024 or fiscal 2023.</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future receipts related to the Company’s available-for-sale security by contractual maturity as of February 2,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6400" w:type="dxa"/>
            <w:vAlign w:val="bottom"/>
          </w:tcPr>
          <w:p>
            <w:pPr>
              <w:spacing w:after="0"/>
              <w:rPr>
                <w:sz w:val="17"/>
                <w:szCs w:val="17"/>
                <w:color w:val="auto"/>
              </w:rPr>
            </w:pPr>
          </w:p>
        </w:tc>
        <w:tc>
          <w:tcPr>
            <w:tcW w:w="1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5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196"/>
        </w:trPr>
        <w:tc>
          <w:tcPr>
            <w:tcW w:w="6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ind w:right="13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5,356</w:t>
            </w:r>
          </w:p>
        </w:tc>
        <w:tc>
          <w:tcPr>
            <w:tcW w:w="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4,491</w:t>
            </w:r>
          </w:p>
        </w:tc>
      </w:tr>
      <w:tr>
        <w:trPr>
          <w:trHeight w:val="20"/>
        </w:trPr>
        <w:tc>
          <w:tcPr>
            <w:tcW w:w="6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86" w:lineRule="exact"/>
        <w:rPr>
          <w:sz w:val="20"/>
          <w:szCs w:val="20"/>
          <w:color w:val="auto"/>
        </w:rPr>
      </w:pPr>
    </w:p>
    <w:p>
      <w:pPr>
        <w:ind w:left="6180"/>
        <w:spacing w:after="0"/>
        <w:tabs>
          <w:tab w:leader="none" w:pos="9280" w:val="left"/>
        </w:tabs>
        <w:rPr>
          <w:sz w:val="20"/>
          <w:szCs w:val="20"/>
          <w:color w:val="auto"/>
        </w:rPr>
      </w:pPr>
      <w:r>
        <w:rPr>
          <w:rFonts w:ascii="Times New Roman" w:cs="Times New Roman" w:eastAsia="Times New Roman" w:hAnsi="Times New Roman"/>
          <w:sz w:val="14"/>
          <w:szCs w:val="14"/>
          <w:b w:val="1"/>
          <w:bCs w:val="1"/>
          <w:color w:val="auto"/>
        </w:rPr>
        <w:t>February 2, 2025</w:t>
      </w:r>
      <w:r>
        <w:rPr>
          <w:sz w:val="20"/>
          <w:szCs w:val="20"/>
          <w:color w:val="auto"/>
        </w:rPr>
        <w:tab/>
      </w:r>
      <w:r>
        <w:rPr>
          <w:rFonts w:ascii="Times New Roman" w:cs="Times New Roman" w:eastAsia="Times New Roman" w:hAnsi="Times New Roman"/>
          <w:sz w:val="14"/>
          <w:szCs w:val="14"/>
          <w:b w:val="1"/>
          <w:bCs w:val="1"/>
          <w:color w:val="auto"/>
        </w:rPr>
        <w:t>January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16510</wp:posOffset>
            </wp:positionV>
            <wp:extent cx="38144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124460</wp:posOffset>
            </wp:positionV>
            <wp:extent cx="38144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25,214</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21,225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25,988</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23,554</w:t>
            </w:r>
          </w:p>
        </w:tc>
      </w:tr>
    </w:tbl>
    <w:p>
      <w:pPr>
        <w:spacing w:after="0" w:line="144" w:lineRule="exact"/>
        <w:rPr>
          <w:sz w:val="20"/>
          <w:szCs w:val="20"/>
          <w:color w:val="auto"/>
        </w:rPr>
      </w:pPr>
    </w:p>
    <w:p>
      <w:pPr>
        <w:jc w:val="both"/>
        <w:ind w:right="80" w:firstLine="402"/>
        <w:spacing w:after="0" w:line="279" w:lineRule="auto"/>
        <w:rPr>
          <w:sz w:val="20"/>
          <w:szCs w:val="20"/>
          <w:color w:val="auto"/>
        </w:rPr>
      </w:pPr>
      <w:r>
        <w:rPr>
          <w:rFonts w:ascii="Times New Roman" w:cs="Times New Roman" w:eastAsia="Times New Roman" w:hAnsi="Times New Roman"/>
          <w:sz w:val="17"/>
          <w:szCs w:val="17"/>
          <w:color w:val="auto"/>
        </w:rPr>
        <w:t xml:space="preserve">The above long-term debt, including the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fair value was also based on a discounted cash flow method (Level 3) based on credit information and an estimate of future cash flows.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173" w:lineRule="exact"/>
        <w:rPr>
          <w:sz w:val="20"/>
          <w:szCs w:val="20"/>
          <w:color w:val="auto"/>
        </w:rPr>
      </w:pPr>
    </w:p>
    <w:p>
      <w:pPr>
        <w:ind w:right="10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33" w:lineRule="exact"/>
        <w:rPr>
          <w:sz w:val="20"/>
          <w:szCs w:val="20"/>
          <w:color w:val="auto"/>
        </w:rPr>
      </w:pPr>
    </w:p>
    <w:p>
      <w:pPr>
        <w:ind w:right="180" w:firstLine="492"/>
        <w:spacing w:after="0"/>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2041.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1" w:lineRule="exact"/>
        <w:rPr>
          <w:sz w:val="20"/>
          <w:szCs w:val="20"/>
          <w:color w:val="auto"/>
        </w:rPr>
      </w:pPr>
    </w:p>
    <w:p>
      <w:pPr>
        <w:ind w:right="40" w:firstLine="492"/>
        <w:spacing w:after="0" w:line="266"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rate. The Company bases this discount rate on a collateralized interest rate as well as publicly available data for instruments with similar characteristics.</w:t>
      </w:r>
    </w:p>
    <w:p>
      <w:pPr>
        <w:spacing w:after="0" w:line="108"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lease expenses and does not include such costs as a lease component.</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46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040" w:type="dxa"/>
            <w:vAlign w:val="bottom"/>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4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assets</w:t>
            </w:r>
          </w:p>
        </w:tc>
        <w:tc>
          <w:tcPr>
            <w:tcW w:w="47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80" w:type="dxa"/>
            <w:vAlign w:val="bottom"/>
          </w:tcPr>
          <w:p>
            <w:pPr>
              <w:spacing w:after="0"/>
              <w:rPr>
                <w:sz w:val="20"/>
                <w:szCs w:val="20"/>
                <w:color w:val="auto"/>
              </w:rPr>
            </w:pPr>
          </w:p>
        </w:tc>
        <w:tc>
          <w:tcPr>
            <w:tcW w:w="2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0" w:type="dxa"/>
            <w:vAlign w:val="bottom"/>
          </w:tcPr>
          <w:p>
            <w:pPr>
              <w:spacing w:after="0"/>
              <w:rPr>
                <w:sz w:val="1"/>
                <w:szCs w:val="1"/>
                <w:color w:val="auto"/>
              </w:rPr>
            </w:pPr>
          </w:p>
        </w:tc>
      </w:tr>
      <w:tr>
        <w:trPr>
          <w:trHeight w:val="67"/>
        </w:trPr>
        <w:tc>
          <w:tcPr>
            <w:tcW w:w="3040" w:type="dxa"/>
            <w:vAlign w:val="bottom"/>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7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4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7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0" w:type="dxa"/>
            <w:vAlign w:val="bottom"/>
          </w:tcPr>
          <w:p>
            <w:pPr>
              <w:spacing w:after="0"/>
              <w:rPr>
                <w:sz w:val="1"/>
                <w:szCs w:val="1"/>
                <w:color w:val="auto"/>
              </w:rPr>
            </w:pPr>
          </w:p>
        </w:tc>
      </w:tr>
      <w:tr>
        <w:trPr>
          <w:trHeight w:val="157"/>
        </w:trPr>
        <w:tc>
          <w:tcPr>
            <w:tcW w:w="30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 leases</w:t>
            </w:r>
          </w:p>
        </w:tc>
        <w:tc>
          <w:tcPr>
            <w:tcW w:w="4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contribution</w:t>
            </w:r>
          </w:p>
        </w:tc>
        <w:tc>
          <w:tcPr>
            <w:tcW w:w="47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47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0" w:type="dxa"/>
            <w:vAlign w:val="bottom"/>
          </w:tcPr>
          <w:p>
            <w:pPr>
              <w:spacing w:after="0"/>
              <w:rPr>
                <w:sz w:val="1"/>
                <w:szCs w:val="1"/>
                <w:color w:val="auto"/>
              </w:rPr>
            </w:pPr>
          </w:p>
        </w:tc>
      </w:tr>
      <w:tr>
        <w:trPr>
          <w:trHeight w:val="196"/>
        </w:trPr>
        <w:tc>
          <w:tcPr>
            <w:tcW w:w="3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4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40,161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37,548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220" w:type="dxa"/>
            <w:vAlign w:val="bottom"/>
          </w:tcPr>
          <w:p>
            <w:pPr>
              <w:spacing w:after="0"/>
              <w:rPr>
                <w:sz w:val="16"/>
                <w:szCs w:val="16"/>
                <w:color w:val="auto"/>
              </w:rPr>
            </w:pPr>
          </w:p>
        </w:tc>
        <w:tc>
          <w:tcPr>
            <w:tcW w:w="15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20,842</w:t>
            </w:r>
          </w:p>
        </w:tc>
      </w:tr>
      <w:tr>
        <w:trPr>
          <w:trHeight w:val="229"/>
        </w:trPr>
        <w:tc>
          <w:tcPr>
            <w:tcW w:w="7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29"/>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February 2, 2025:</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2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9"/>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83"/>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3"/>
        </w:trPr>
        <w:tc>
          <w:tcPr>
            <w:tcW w:w="7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3,971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19,720</w:t>
            </w:r>
          </w:p>
        </w:tc>
      </w:tr>
      <w:tr>
        <w:trPr>
          <w:trHeight w:val="203"/>
        </w:trPr>
        <w:tc>
          <w:tcPr>
            <w:tcW w:w="7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3,993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19,419</w:t>
            </w:r>
          </w:p>
        </w:tc>
      </w:tr>
      <w:tr>
        <w:trPr>
          <w:trHeight w:val="203"/>
        </w:trPr>
        <w:tc>
          <w:tcPr>
            <w:tcW w:w="7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3,993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18,179</w:t>
            </w:r>
          </w:p>
        </w:tc>
      </w:tr>
      <w:tr>
        <w:trPr>
          <w:trHeight w:val="202"/>
        </w:trPr>
        <w:tc>
          <w:tcPr>
            <w:tcW w:w="7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4,017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16,384</w:t>
            </w:r>
          </w:p>
        </w:tc>
      </w:tr>
      <w:tr>
        <w:trPr>
          <w:trHeight w:val="203"/>
        </w:trPr>
        <w:tc>
          <w:tcPr>
            <w:tcW w:w="7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4,217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13,898</w:t>
            </w:r>
          </w:p>
        </w:tc>
      </w:tr>
      <w:tr>
        <w:trPr>
          <w:trHeight w:val="203"/>
        </w:trPr>
        <w:tc>
          <w:tcPr>
            <w:tcW w:w="744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20,997</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33,297</w:t>
            </w:r>
          </w:p>
        </w:tc>
      </w:tr>
      <w:tr>
        <w:trPr>
          <w:trHeight w:val="183"/>
        </w:trPr>
        <w:tc>
          <w:tcPr>
            <w:tcW w:w="74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420" w:type="dxa"/>
            <w:vAlign w:val="bottom"/>
            <w:shd w:val="clear" w:color="auto" w:fill="CCEEFF"/>
          </w:tcPr>
          <w:p>
            <w:pPr>
              <w:jc w:val="right"/>
              <w:ind w:right="2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41,188</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120,897</w:t>
            </w:r>
          </w:p>
        </w:tc>
      </w:tr>
      <w:tr>
        <w:trPr>
          <w:trHeight w:val="203"/>
        </w:trPr>
        <w:tc>
          <w:tcPr>
            <w:tcW w:w="744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Less - Discount</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8,026</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16,141</w:t>
            </w:r>
          </w:p>
        </w:tc>
      </w:tr>
      <w:tr>
        <w:trPr>
          <w:trHeight w:val="183"/>
        </w:trPr>
        <w:tc>
          <w:tcPr>
            <w:tcW w:w="744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420" w:type="dxa"/>
            <w:vAlign w:val="bottom"/>
            <w:tcBorders>
              <w:bottom w:val="single" w:sz="8" w:color="auto"/>
            </w:tcBorders>
            <w:shd w:val="clear" w:color="auto" w:fill="CCEEFF"/>
          </w:tcPr>
          <w:p>
            <w:pPr>
              <w:jc w:val="right"/>
              <w:ind w:right="2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33,162</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104,756</w:t>
            </w:r>
          </w:p>
        </w:tc>
      </w:tr>
      <w:tr>
        <w:trPr>
          <w:trHeight w:val="20"/>
        </w:trPr>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560" w:right="1480" w:hanging="5103"/>
        <w:spacing w:after="0" w:line="231" w:lineRule="auto"/>
        <w:rPr>
          <w:sz w:val="20"/>
          <w:szCs w:val="20"/>
          <w:color w:val="auto"/>
        </w:rPr>
      </w:pPr>
      <w:r>
        <w:rPr>
          <w:rFonts w:ascii="Times New Roman" w:cs="Times New Roman" w:eastAsia="Times New Roman" w:hAnsi="Times New Roman"/>
          <w:sz w:val="18"/>
          <w:szCs w:val="18"/>
          <w:color w:val="auto"/>
        </w:rPr>
        <w:t xml:space="preserve">Total rent expense under non-cancellable leases was $21.9 million and $21.8 million for fiscal 2024 and fiscal 2023, respectively. </w:t>
      </w: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jc w:val="center"/>
        <w:ind w:right="8100"/>
        <w:spacing w:after="0"/>
        <w:rPr>
          <w:sz w:val="20"/>
          <w:szCs w:val="20"/>
          <w:color w:val="auto"/>
        </w:rPr>
      </w:pPr>
      <w:r>
        <w:rPr>
          <w:rFonts w:ascii="Times New Roman" w:cs="Times New Roman" w:eastAsia="Times New Roman" w:hAnsi="Times New Roman"/>
          <w:sz w:val="18"/>
          <w:szCs w:val="18"/>
          <w:b w:val="1"/>
          <w:bCs w:val="1"/>
          <w:color w:val="auto"/>
        </w:rPr>
        <w:t>4. DEBT AND CREDIT AGREEMENT</w:t>
      </w:r>
    </w:p>
    <w:p>
      <w:pPr>
        <w:spacing w:after="0" w:line="162" w:lineRule="exact"/>
        <w:rPr>
          <w:sz w:val="20"/>
          <w:szCs w:val="20"/>
          <w:color w:val="auto"/>
        </w:rPr>
      </w:pPr>
    </w:p>
    <w:p>
      <w:pPr>
        <w:jc w:val="center"/>
        <w:ind w:right="812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22,488</w:t>
            </w:r>
          </w:p>
        </w:tc>
      </w:tr>
      <w:tr>
        <w:trPr>
          <w:trHeight w:val="216"/>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7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25,214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25,988</w:t>
            </w:r>
          </w:p>
        </w:tc>
      </w:tr>
      <w:tr>
        <w:trPr>
          <w:trHeight w:val="216"/>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183"/>
        </w:trPr>
        <w:tc>
          <w:tcPr>
            <w:tcW w:w="7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24,283</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25,141</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75" w:lineRule="exact"/>
        <w:rPr>
          <w:sz w:val="20"/>
          <w:szCs w:val="20"/>
          <w:color w:val="auto"/>
        </w:rPr>
      </w:pPr>
    </w:p>
    <w:p>
      <w:pPr>
        <w:jc w:val="both"/>
        <w:ind w:right="460" w:firstLine="492"/>
        <w:spacing w:after="0" w:line="236"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5" w:lineRule="exact"/>
        <w:rPr>
          <w:sz w:val="20"/>
          <w:szCs w:val="20"/>
          <w:color w:val="auto"/>
        </w:rPr>
      </w:pPr>
    </w:p>
    <w:p>
      <w:pPr>
        <w:ind w:right="160" w:firstLine="492"/>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7"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the obligor of these notes.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Future principal maturities of all TRI debt, excluding unamortized financing fees of $1.0 million associated with the TRI debt are as follows as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2025:</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3"/>
        </w:trPr>
        <w:tc>
          <w:tcPr>
            <w:tcW w:w="9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9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931</w:t>
            </w:r>
          </w:p>
        </w:tc>
      </w:tr>
      <w:tr>
        <w:trPr>
          <w:trHeight w:val="202"/>
        </w:trPr>
        <w:tc>
          <w:tcPr>
            <w:tcW w:w="9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1,020</w:t>
            </w:r>
          </w:p>
        </w:tc>
      </w:tr>
      <w:tr>
        <w:trPr>
          <w:trHeight w:val="203"/>
        </w:trPr>
        <w:tc>
          <w:tcPr>
            <w:tcW w:w="9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1,114</w:t>
            </w:r>
          </w:p>
        </w:tc>
      </w:tr>
      <w:tr>
        <w:trPr>
          <w:trHeight w:val="203"/>
        </w:trPr>
        <w:tc>
          <w:tcPr>
            <w:tcW w:w="9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1,214</w:t>
            </w:r>
          </w:p>
        </w:tc>
      </w:tr>
      <w:tr>
        <w:trPr>
          <w:trHeight w:val="203"/>
        </w:trPr>
        <w:tc>
          <w:tcPr>
            <w:tcW w:w="9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1,320</w:t>
            </w:r>
          </w:p>
        </w:tc>
      </w:tr>
      <w:tr>
        <w:trPr>
          <w:trHeight w:val="203"/>
        </w:trPr>
        <w:tc>
          <w:tcPr>
            <w:tcW w:w="954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21,155</w:t>
            </w:r>
          </w:p>
        </w:tc>
      </w:tr>
      <w:tr>
        <w:trPr>
          <w:trHeight w:val="183"/>
        </w:trPr>
        <w:tc>
          <w:tcPr>
            <w:tcW w:w="93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26,754</w:t>
            </w:r>
          </w:p>
        </w:tc>
      </w:tr>
      <w:tr>
        <w:trPr>
          <w:trHeight w:val="20"/>
        </w:trPr>
        <w:tc>
          <w:tcPr>
            <w:tcW w:w="9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firstLine="428"/>
        <w:spacing w:after="0" w:line="242" w:lineRule="auto"/>
        <w:rPr>
          <w:sz w:val="20"/>
          <w:szCs w:val="20"/>
          <w:color w:val="auto"/>
        </w:rPr>
      </w:pPr>
      <w:r>
        <w:rPr>
          <w:rFonts w:ascii="Times New Roman" w:cs="Times New Roman" w:eastAsia="Times New Roman" w:hAnsi="Times New Roman"/>
          <w:sz w:val="17"/>
          <w:szCs w:val="17"/>
          <w:color w:val="auto"/>
        </w:rPr>
        <w:t>On May 14, 2021, the Company terminated its prior credit agreement, and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w:t>
      </w:r>
    </w:p>
    <w:p>
      <w:pPr>
        <w:spacing w:after="0" w:line="1" w:lineRule="exact"/>
        <w:rPr>
          <w:sz w:val="20"/>
          <w:szCs w:val="20"/>
          <w:color w:val="auto"/>
        </w:rPr>
      </w:pPr>
    </w:p>
    <w:p>
      <w:pPr>
        <w:ind w:right="380" w:firstLine="8"/>
        <w:spacing w:after="0" w:line="245" w:lineRule="auto"/>
        <w:tabs>
          <w:tab w:leader="none" w:pos="2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40" w:lineRule="exact"/>
        <w:rPr>
          <w:sz w:val="20"/>
          <w:szCs w:val="20"/>
          <w:color w:val="auto"/>
        </w:rPr>
      </w:pPr>
    </w:p>
    <w:p>
      <w:pPr>
        <w:ind w:right="120" w:firstLine="440"/>
        <w:spacing w:after="0" w:line="236" w:lineRule="auto"/>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 modification for accounting purposes. The First Amendment amends the Credit Agreement in order to (i) increase the revolving commitment from $150.0 million to $200.0 million; (ii) extend the maturity date from May 14, 2026 to July 8, 2027; (iii) amend the pricing index to replace BSBY with the Term Secured Overnight Financing Rate; and (iv) reduce the commitment fee in some instances.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1"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8"/>
          <w:szCs w:val="18"/>
          <w:color w:val="auto"/>
        </w:rPr>
        <w:t>On January 31, 2025, the Company entered into the Second Amendment to the Credit Agreement (the “Second Amendment”), which was treated as an extinguishment for accounting purposes. The Second Amendment amends the Credit Agreement in order to (i) decrease the revolving commitment from $200.0 million to $100.0 million (ii) revise the definition of “Applicable Rate” to provide for pricing terms in the event of a Rent Adjusted Leverage Ratio greater than or equal to 3.50:1.0; (iii) limit the exceptions to the prohibition on restricted payments to (a) making dividends or distributions by any subsidiary to the Company, and (b) the acquisition of equity interests in satisfaction of tax withholding obligations associated with restricted stock or awards under employee incentive plans; and (iv) provide that the Maximum Rent Adjusted Leverage Ratio and the Minimum Fixed Charge Coverage Ratio will be measured commencing on the fiscal quarter ending May 2, 2021 and measured quarterly thereafter as of the last day of each fiscal quarter of the Company (other than for the fiscal quarter ending February 2, 2025).</w:t>
      </w:r>
    </w:p>
    <w:p>
      <w:pPr>
        <w:spacing w:after="0" w:line="326"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7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w:t>
            </w:r>
          </w:p>
        </w:tc>
      </w:tr>
      <w:tr>
        <w:trPr>
          <w:trHeight w:val="183"/>
        </w:trPr>
        <w:tc>
          <w:tcPr>
            <w:tcW w:w="7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35,684</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34,111</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VARIABLE INTEREST ENTITIES</w:t>
      </w:r>
    </w:p>
    <w:p>
      <w:pPr>
        <w:spacing w:after="0" w:line="160" w:lineRule="exact"/>
        <w:rPr>
          <w:sz w:val="20"/>
          <w:szCs w:val="20"/>
          <w:color w:val="auto"/>
        </w:rPr>
      </w:pPr>
    </w:p>
    <w:p>
      <w:pPr>
        <w:ind w:right="300" w:firstLine="440"/>
        <w:spacing w:after="0" w:line="230"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February 2, 2025 and January 28, 2024.</w:t>
      </w:r>
    </w:p>
    <w:p>
      <w:pPr>
        <w:spacing w:after="0" w:line="2"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originally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Consolidated Balance Sheets include the following amounts as a result of the consolidation of TRI as of February 2, 2025 and January 28,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180" w:type="dxa"/>
            <w:vAlign w:val="bottom"/>
          </w:tcPr>
          <w:p>
            <w:pPr>
              <w:spacing w:after="0"/>
              <w:rPr>
                <w:sz w:val="16"/>
                <w:szCs w:val="16"/>
                <w:color w:val="auto"/>
              </w:rPr>
            </w:pP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22,941</w:t>
            </w:r>
          </w:p>
        </w:tc>
      </w:tr>
      <w:tr>
        <w:trPr>
          <w:trHeight w:val="183"/>
        </w:trPr>
        <w:tc>
          <w:tcPr>
            <w:tcW w:w="764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22,332</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22,958</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9"/>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2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(2,997)</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183"/>
        </w:trPr>
        <w:tc>
          <w:tcPr>
            <w:tcW w:w="764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22,332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22,958</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While the Balance Sheet is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the obligor of the TRI debt.</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60" w:lineRule="exact"/>
        <w:rPr>
          <w:sz w:val="20"/>
          <w:szCs w:val="20"/>
          <w:color w:val="auto"/>
        </w:rPr>
      </w:pPr>
    </w:p>
    <w:p>
      <w:pPr>
        <w:ind w:right="200" w:firstLine="440"/>
        <w:spacing w:after="0" w:line="236"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The reconciliation of the numerator and denominator of the basic and diluted earnings per share calculation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440" w:type="dxa"/>
            <w:vAlign w:val="bottom"/>
          </w:tcPr>
          <w:p>
            <w:pPr>
              <w:spacing w:after="0"/>
              <w:rPr>
                <w:sz w:val="15"/>
                <w:szCs w:val="15"/>
                <w:color w:val="auto"/>
              </w:rPr>
            </w:pPr>
          </w:p>
        </w:tc>
        <w:tc>
          <w:tcPr>
            <w:tcW w:w="15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183"/>
        </w:trPr>
        <w:tc>
          <w:tcPr>
            <w:tcW w:w="5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Numerator - net (loss) income attributable to controlling interest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(43,671)</w:t>
            </w: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(9,923)</w:t>
            </w:r>
          </w:p>
        </w:tc>
        <w:tc>
          <w:tcPr>
            <w:tcW w:w="0" w:type="dxa"/>
            <w:vAlign w:val="bottom"/>
          </w:tcPr>
          <w:p>
            <w:pPr>
              <w:spacing w:after="0"/>
              <w:rPr>
                <w:sz w:val="1"/>
                <w:szCs w:val="1"/>
                <w:color w:val="auto"/>
              </w:rPr>
            </w:pPr>
          </w:p>
        </w:tc>
      </w:tr>
      <w:tr>
        <w:trPr>
          <w:trHeight w:val="203"/>
        </w:trPr>
        <w:tc>
          <w:tcPr>
            <w:tcW w:w="58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Denominator - weighted average shares (Class A and Class B)</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33,368</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32,955</w:t>
            </w: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Dilutive shares</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2"/>
          </w:tcPr>
          <w:p>
            <w:pPr>
              <w:jc w:val="right"/>
              <w:ind w:right="3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588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33,368</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32,955</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(Class A and Class B)</w:t>
            </w: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8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(1.31)</w:t>
            </w: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4"/>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440" w:firstLine="648"/>
        <w:spacing w:after="0" w:line="250" w:lineRule="auto"/>
        <w:rPr>
          <w:sz w:val="20"/>
          <w:szCs w:val="20"/>
          <w:color w:val="auto"/>
        </w:rPr>
      </w:pPr>
      <w:r>
        <w:rPr>
          <w:rFonts w:ascii="Times New Roman" w:cs="Times New Roman" w:eastAsia="Times New Roman" w:hAnsi="Times New Roman"/>
          <w:sz w:val="18"/>
          <w:szCs w:val="18"/>
          <w:color w:val="auto"/>
        </w:rPr>
        <w:t>The computation of diluted loss per share excluded 0.1 million shares of unvested restricted stock for the fiscal year ended February 2, 2025, respectively, because their inclusion would be anti-dilutive due to a net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75" w:lineRule="exact"/>
        <w:rPr>
          <w:sz w:val="20"/>
          <w:szCs w:val="20"/>
          <w:color w:val="auto"/>
        </w:rPr>
      </w:pPr>
    </w:p>
    <w:p>
      <w:pPr>
        <w:ind w:right="40" w:firstLine="570"/>
        <w:spacing w:after="0" w:line="235"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fulfillment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3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419,860</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425,562</w:t>
            </w:r>
          </w:p>
        </w:tc>
      </w:tr>
      <w:tr>
        <w:trPr>
          <w:trHeight w:val="188"/>
        </w:trPr>
        <w:tc>
          <w:tcPr>
            <w:tcW w:w="3480" w:type="dxa"/>
            <w:vAlign w:val="bottom"/>
          </w:tcPr>
          <w:p>
            <w:pPr>
              <w:spacing w:after="0"/>
              <w:rPr>
                <w:sz w:val="16"/>
                <w:szCs w:val="16"/>
                <w:color w:val="auto"/>
              </w:rPr>
            </w:pPr>
          </w:p>
        </w:tc>
        <w:tc>
          <w:tcPr>
            <w:tcW w:w="3000" w:type="dxa"/>
            <w:vAlign w:val="bottom"/>
          </w:tcPr>
          <w:p>
            <w:pPr>
              <w:jc w:val="right"/>
              <w:ind w:right="699"/>
              <w:spacing w:after="0"/>
              <w:rPr>
                <w:sz w:val="20"/>
                <w:szCs w:val="20"/>
                <w:color w:val="auto"/>
              </w:rPr>
            </w:pPr>
            <w:r>
              <w:rPr>
                <w:rFonts w:ascii="Times New Roman" w:cs="Times New Roman" w:eastAsia="Times New Roman" w:hAnsi="Times New Roman"/>
                <w:sz w:val="14"/>
                <w:szCs w:val="14"/>
                <w:color w:val="auto"/>
              </w:rPr>
              <w:t>57</w:t>
            </w: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467"/>
        </w:trPr>
        <w:tc>
          <w:tcPr>
            <w:tcW w:w="34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40" w:type="dxa"/>
            <w:vAlign w:val="bottom"/>
            <w:gridSpan w:val="2"/>
          </w:tcPr>
          <w:p>
            <w:pPr>
              <w:jc w:val="right"/>
              <w:ind w:right="6790"/>
              <w:spacing w:after="0"/>
              <w:rPr>
                <w:sz w:val="20"/>
                <w:szCs w:val="20"/>
                <w:color w:val="auto"/>
              </w:rPr>
            </w:pPr>
            <w:r>
              <w:rPr>
                <w:rFonts w:ascii="Times New Roman" w:cs="Times New Roman" w:eastAsia="Times New Roman" w:hAnsi="Times New Roman"/>
                <w:sz w:val="18"/>
                <w:szCs w:val="18"/>
                <w:color w:val="auto"/>
                <w:w w:val="97"/>
              </w:rPr>
              <w:t>Stores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206,769</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221,119</w:t>
            </w:r>
          </w:p>
        </w:tc>
      </w:tr>
      <w:tr>
        <w:trPr>
          <w:trHeight w:val="196"/>
        </w:trPr>
        <w:tc>
          <w:tcPr>
            <w:tcW w:w="64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6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626,629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646,681</w:t>
            </w:r>
          </w:p>
        </w:tc>
      </w:tr>
      <w:tr>
        <w:trPr>
          <w:trHeight w:val="20"/>
        </w:trPr>
        <w:tc>
          <w:tcPr>
            <w:tcW w:w="6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60" w:firstLine="402"/>
        <w:spacing w:after="0" w:line="235"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are expected to be resold and are recorded in Prepaid expenses and other current assets on the Company’s Consolidated Balance Sheets. The Company’s contract liabilities primarily consist of gift card liabilities and are recorded upon issuance in Accrued expenses and other current liabilities under deferred revenue (see Note 5 “Accrued Expenses and Other Current Liabilities”) on the Company’s Consolidated Balance Sheets. Upon issuance of a gift card, a liability is established for its cash value.</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50"/>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r>
      <w:tr>
        <w:trPr>
          <w:trHeight w:val="28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r>
    </w:tbl>
    <w:p>
      <w:pPr>
        <w:spacing w:after="0" w:line="130" w:lineRule="exact"/>
        <w:rPr>
          <w:sz w:val="20"/>
          <w:szCs w:val="20"/>
          <w:color w:val="auto"/>
        </w:rPr>
      </w:pPr>
    </w:p>
    <w:p>
      <w:pPr>
        <w:ind w:right="260" w:firstLine="402"/>
        <w:spacing w:after="0" w:line="23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(17,173)</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400" w:type="dxa"/>
            <w:vAlign w:val="bottom"/>
            <w:tcBorders>
              <w:top w:val="single" w:sz="8" w:color="auto"/>
              <w:bottom w:val="single" w:sz="8" w:color="auto"/>
            </w:tcBorders>
            <w:gridSpan w:val="2"/>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9,782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9,579</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components of income tax expense were as follows: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Federal</w:t>
            </w:r>
          </w:p>
        </w:tc>
        <w:tc>
          <w:tcPr>
            <w:tcW w:w="40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780" w:type="dxa"/>
            <w:vAlign w:val="bottom"/>
            <w:gridSpan w:val="3"/>
          </w:tcPr>
          <w:p>
            <w:pPr>
              <w:ind w:lef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426</w:t>
            </w: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1,807</w:t>
            </w: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1,943</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income tax expense</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2,370</w:t>
            </w:r>
          </w:p>
        </w:tc>
        <w:tc>
          <w:tcPr>
            <w:tcW w:w="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(2,862)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firstLine="440"/>
        <w:spacing w:after="0" w:line="250" w:lineRule="auto"/>
        <w:rPr>
          <w:sz w:val="20"/>
          <w:szCs w:val="20"/>
          <w:color w:val="auto"/>
        </w:rPr>
      </w:pPr>
      <w:r>
        <w:rPr>
          <w:rFonts w:ascii="Times New Roman" w:cs="Times New Roman" w:eastAsia="Times New Roman" w:hAnsi="Times New Roman"/>
          <w:sz w:val="18"/>
          <w:szCs w:val="18"/>
          <w:color w:val="auto"/>
        </w:rPr>
        <w:t>The tax effects of unrealized gains and losses on securities are components of other comprehensive income and therefore excluded from deferred tax expense.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2" w:lineRule="exact"/>
        <w:rPr>
          <w:sz w:val="20"/>
          <w:szCs w:val="20"/>
          <w:color w:val="auto"/>
        </w:rPr>
      </w:pPr>
    </w:p>
    <w:p>
      <w:pPr>
        <w:ind w:right="20" w:firstLine="440"/>
        <w:spacing w:after="0" w:line="228" w:lineRule="auto"/>
        <w:rPr>
          <w:sz w:val="20"/>
          <w:szCs w:val="20"/>
          <w:color w:val="auto"/>
        </w:rPr>
      </w:pPr>
      <w:r>
        <w:rPr>
          <w:rFonts w:ascii="Times New Roman" w:cs="Times New Roman" w:eastAsia="Times New Roman" w:hAnsi="Times New Roman"/>
          <w:sz w:val="18"/>
          <w:szCs w:val="18"/>
          <w:color w:val="auto"/>
        </w:rPr>
        <w:t xml:space="preserve">The Company regularly assesses the realizability of deferred tax assets and under the asset and liability method prescribed under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recognizes deferred tax assets and liabilities for the future tax consequences attributable to differences between financial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amounts of assets and liabilities and their respective tax bases. Deferred tax assets and liabilities are measured using enacted tax rates expected to apply to taxable income in the years in which those temporary differences are expected to be realized or settled. The effect of a change in tax rates on deferred tax assets and liabilities is recognized in income in the period that includes the enactment date. The realizability of deferred tax assets is assessed throughout the year and a valuation allowance is recorded, if necessary, to reduce net deferred tax assets to the amount more likely than not to be realized. The Company considers all available evidence, both positive and negative, to determine the realizability of deferred tax assets and includes historical information about results of operations for the current and preceding years as well as more subjective information about future years. In conducting this assessment, a significant piece of objective negative evidence evaluated by management was a cumulative loss over the most recent 36-month period ended October 27, 2024, which was not outweighed by available positive evidence and which limited the Company’s ability to give weight to projections of future growth for purposes of this assessment. Accordingly, as of February 2, 2025, a valuation allowance of $11.8 million was provided against the net amount of deferred tax assets. The amount of the deferred tax assets considered realizable, however, could be adjusted if estimates of future taxable income during the carryforward period are increased or if objective negative evidence in the form of cumulative losses is no longer present and additional weight is given to subjective evidence such as our projections for growth.</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reconciliation of income tax expense to the amount computed at the federal statutory rate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209"/>
        </w:trPr>
        <w:tc>
          <w:tcPr>
            <w:tcW w:w="57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183"/>
        </w:trPr>
        <w:tc>
          <w:tcPr>
            <w:tcW w:w="5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Federal taxes at statutory rate</w:t>
            </w:r>
          </w:p>
        </w:tc>
        <w:tc>
          <w:tcPr>
            <w:tcW w:w="440" w:type="dxa"/>
            <w:vAlign w:val="bottom"/>
            <w:shd w:val="clear" w:color="auto" w:fill="CCEEFF"/>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(8,672)</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(2,683)</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5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4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(1,333)</w:t>
            </w:r>
          </w:p>
        </w:tc>
        <w:tc>
          <w:tcPr>
            <w:tcW w:w="3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(409)</w:t>
            </w:r>
          </w:p>
        </w:tc>
        <w:tc>
          <w:tcPr>
            <w:tcW w:w="4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5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Stock compensation price difference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638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r>
      <w:tr>
        <w:trPr>
          <w:trHeight w:val="203"/>
        </w:trPr>
        <w:tc>
          <w:tcPr>
            <w:tcW w:w="5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Research and development tax credits</w:t>
            </w:r>
          </w:p>
        </w:tc>
        <w:tc>
          <w:tcPr>
            <w:tcW w:w="4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(283)</w:t>
            </w:r>
          </w:p>
        </w:tc>
        <w:tc>
          <w:tcPr>
            <w:tcW w:w="4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5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Nondeductible compensation</w:t>
            </w: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384</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w:t>
            </w:r>
          </w:p>
        </w:tc>
      </w:tr>
      <w:tr>
        <w:trPr>
          <w:trHeight w:val="203"/>
        </w:trPr>
        <w:tc>
          <w:tcPr>
            <w:tcW w:w="5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Adjustments to uncertain tax positions</w:t>
            </w:r>
          </w:p>
        </w:tc>
        <w:tc>
          <w:tcPr>
            <w:tcW w:w="4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7"/>
                <w:szCs w:val="17"/>
                <w:color w:val="auto"/>
              </w:rPr>
            </w:pPr>
          </w:p>
        </w:tc>
        <w:tc>
          <w:tcPr>
            <w:tcW w:w="940" w:type="dxa"/>
            <w:vAlign w:val="bottom"/>
            <w:gridSpan w:val="3"/>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(164)</w:t>
            </w:r>
          </w:p>
        </w:tc>
        <w:tc>
          <w:tcPr>
            <w:tcW w:w="4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5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11,773</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(28.5)%</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6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r>
      <w:tr>
        <w:trPr>
          <w:trHeight w:val="203"/>
        </w:trPr>
        <w:tc>
          <w:tcPr>
            <w:tcW w:w="5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r>
      <w:tr>
        <w:trPr>
          <w:trHeight w:val="183"/>
        </w:trPr>
        <w:tc>
          <w:tcPr>
            <w:tcW w:w="57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income tax expense</w:t>
            </w:r>
          </w:p>
        </w:tc>
        <w:tc>
          <w:tcPr>
            <w:tcW w:w="440" w:type="dxa"/>
            <w:vAlign w:val="bottom"/>
            <w:tcBorders>
              <w:top w:val="single" w:sz="8" w:color="auto"/>
              <w:bottom w:val="single" w:sz="8" w:color="auto"/>
            </w:tcBorders>
            <w:shd w:val="clear" w:color="auto" w:fill="CCEEFF"/>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2,370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(2,862)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22.4</w:t>
            </w: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420" w:firstLine="440"/>
        <w:spacing w:after="0" w:line="250"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U.S. GAAP and tax bases of assets and liabilities. Significant components of deferred tax assets and liabilities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340" w:type="dxa"/>
            <w:vAlign w:val="bottom"/>
          </w:tcPr>
          <w:p>
            <w:pPr>
              <w:spacing w:after="0"/>
              <w:rPr>
                <w:sz w:val="16"/>
                <w:szCs w:val="16"/>
                <w:color w:val="auto"/>
              </w:rPr>
            </w:pPr>
          </w:p>
        </w:tc>
        <w:tc>
          <w:tcPr>
            <w:tcW w:w="18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83"/>
        </w:trPr>
        <w:tc>
          <w:tcPr>
            <w:tcW w:w="4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5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assets:</w:t>
            </w:r>
          </w:p>
        </w:tc>
        <w:tc>
          <w:tcPr>
            <w:tcW w:w="2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03"/>
        </w:trPr>
        <w:tc>
          <w:tcPr>
            <w:tcW w:w="40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Returns allowance</w:t>
            </w:r>
          </w:p>
        </w:tc>
        <w:tc>
          <w:tcPr>
            <w:tcW w:w="288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1,153</w:t>
            </w:r>
          </w:p>
        </w:tc>
        <w:tc>
          <w:tcPr>
            <w:tcW w:w="26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1,402</w:t>
            </w:r>
          </w:p>
        </w:tc>
      </w:tr>
      <w:tr>
        <w:trPr>
          <w:trHeight w:val="203"/>
        </w:trPr>
        <w:tc>
          <w:tcPr>
            <w:tcW w:w="40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Uniform inventory capitalization</w:t>
            </w:r>
          </w:p>
        </w:tc>
        <w:tc>
          <w:tcPr>
            <w:tcW w:w="2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4,361</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3,637</w:t>
            </w:r>
          </w:p>
        </w:tc>
      </w:tr>
      <w:tr>
        <w:trPr>
          <w:trHeight w:val="203"/>
        </w:trPr>
        <w:tc>
          <w:tcPr>
            <w:tcW w:w="40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 and intangibles</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40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Unrealized loss on investment</w:t>
            </w:r>
          </w:p>
        </w:tc>
        <w:tc>
          <w:tcPr>
            <w:tcW w:w="2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218</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144</w:t>
            </w:r>
          </w:p>
        </w:tc>
      </w:tr>
      <w:tr>
        <w:trPr>
          <w:trHeight w:val="203"/>
        </w:trPr>
        <w:tc>
          <w:tcPr>
            <w:tcW w:w="40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Federal and state credit</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426</w:t>
            </w:r>
          </w:p>
        </w:tc>
      </w:tr>
      <w:tr>
        <w:trPr>
          <w:trHeight w:val="203"/>
        </w:trPr>
        <w:tc>
          <w:tcPr>
            <w:tcW w:w="40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Lease liability</w:t>
            </w:r>
          </w:p>
        </w:tc>
        <w:tc>
          <w:tcPr>
            <w:tcW w:w="2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46,412</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52,642</w:t>
            </w:r>
          </w:p>
        </w:tc>
      </w:tr>
      <w:tr>
        <w:trPr>
          <w:trHeight w:val="203"/>
        </w:trPr>
        <w:tc>
          <w:tcPr>
            <w:tcW w:w="40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Accruals</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1,355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389</w:t>
            </w:r>
          </w:p>
        </w:tc>
      </w:tr>
      <w:tr>
        <w:trPr>
          <w:trHeight w:val="203"/>
        </w:trPr>
        <w:tc>
          <w:tcPr>
            <w:tcW w:w="40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Stock-based compensation</w:t>
            </w:r>
          </w:p>
        </w:tc>
        <w:tc>
          <w:tcPr>
            <w:tcW w:w="2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491</w:t>
            </w:r>
          </w:p>
        </w:tc>
      </w:tr>
      <w:tr>
        <w:trPr>
          <w:trHeight w:val="203"/>
        </w:trPr>
        <w:tc>
          <w:tcPr>
            <w:tcW w:w="40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Advance payments</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687</w:t>
            </w:r>
          </w:p>
        </w:tc>
      </w:tr>
      <w:tr>
        <w:trPr>
          <w:trHeight w:val="203"/>
        </w:trPr>
        <w:tc>
          <w:tcPr>
            <w:tcW w:w="40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Business Interest limitation</w:t>
            </w:r>
          </w:p>
        </w:tc>
        <w:tc>
          <w:tcPr>
            <w:tcW w:w="2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475</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203"/>
        </w:trPr>
        <w:tc>
          <w:tcPr>
            <w:tcW w:w="40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Sales tax accrual</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931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757</w:t>
            </w:r>
          </w:p>
        </w:tc>
      </w:tr>
      <w:tr>
        <w:trPr>
          <w:trHeight w:val="202"/>
        </w:trPr>
        <w:tc>
          <w:tcPr>
            <w:tcW w:w="40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Unrecognized tax benefits</w:t>
            </w:r>
          </w:p>
        </w:tc>
        <w:tc>
          <w:tcPr>
            <w:tcW w:w="2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03"/>
        </w:trPr>
        <w:tc>
          <w:tcPr>
            <w:tcW w:w="40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Charitable contributions</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280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181</w:t>
            </w:r>
          </w:p>
        </w:tc>
      </w:tr>
      <w:tr>
        <w:trPr>
          <w:trHeight w:val="203"/>
        </w:trPr>
        <w:tc>
          <w:tcPr>
            <w:tcW w:w="40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2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1,790</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1,723</w:t>
            </w:r>
          </w:p>
        </w:tc>
      </w:tr>
      <w:tr>
        <w:trPr>
          <w:trHeight w:val="203"/>
        </w:trPr>
        <w:tc>
          <w:tcPr>
            <w:tcW w:w="40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Federal and state NOL</w:t>
            </w:r>
          </w:p>
        </w:tc>
        <w:tc>
          <w:tcPr>
            <w:tcW w:w="25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7,519</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5,183</w:t>
            </w:r>
          </w:p>
        </w:tc>
      </w:tr>
      <w:tr>
        <w:trPr>
          <w:trHeight w:val="183"/>
        </w:trPr>
        <w:tc>
          <w:tcPr>
            <w:tcW w:w="402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Gross deferred tax assets</w:t>
            </w:r>
          </w:p>
        </w:tc>
        <w:tc>
          <w:tcPr>
            <w:tcW w:w="2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65,789</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67,792</w:t>
            </w:r>
          </w:p>
        </w:tc>
      </w:tr>
      <w:tr>
        <w:trPr>
          <w:trHeight w:val="203"/>
        </w:trPr>
        <w:tc>
          <w:tcPr>
            <w:tcW w:w="40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Valuation allowance</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(11,847)</w:t>
            </w: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40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deferred tax assets</w:t>
            </w:r>
          </w:p>
        </w:tc>
        <w:tc>
          <w:tcPr>
            <w:tcW w:w="25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53,942</w:t>
            </w: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67,792</w:t>
            </w:r>
          </w:p>
        </w:tc>
      </w:tr>
      <w:tr>
        <w:trPr>
          <w:trHeight w:val="368"/>
        </w:trPr>
        <w:tc>
          <w:tcPr>
            <w:tcW w:w="4020" w:type="dxa"/>
            <w:vAlign w:val="bottom"/>
          </w:tcPr>
          <w:p>
            <w:pPr>
              <w:spacing w:after="0"/>
              <w:rPr>
                <w:sz w:val="24"/>
                <w:szCs w:val="24"/>
                <w:color w:val="auto"/>
              </w:rPr>
            </w:pPr>
          </w:p>
        </w:tc>
        <w:tc>
          <w:tcPr>
            <w:tcW w:w="2540" w:type="dxa"/>
            <w:vAlign w:val="bottom"/>
          </w:tcPr>
          <w:p>
            <w:pPr>
              <w:jc w:val="right"/>
              <w:ind w:right="779"/>
              <w:spacing w:after="0"/>
              <w:rPr>
                <w:sz w:val="20"/>
                <w:szCs w:val="20"/>
                <w:color w:val="auto"/>
              </w:rPr>
            </w:pPr>
            <w:r>
              <w:rPr>
                <w:rFonts w:ascii="Times New Roman" w:cs="Times New Roman" w:eastAsia="Times New Roman" w:hAnsi="Times New Roman"/>
                <w:sz w:val="14"/>
                <w:szCs w:val="14"/>
                <w:color w:val="auto"/>
              </w:rPr>
              <w:t>59</w:t>
            </w: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6"/>
        </w:trPr>
        <w:tc>
          <w:tcPr>
            <w:tcW w:w="40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Property and equipment</w:t>
            </w:r>
          </w:p>
        </w:tc>
        <w:tc>
          <w:tcPr>
            <w:tcW w:w="8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8,002</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12,641</w:t>
            </w:r>
          </w:p>
        </w:tc>
      </w:tr>
      <w:tr>
        <w:trPr>
          <w:trHeight w:val="189"/>
        </w:trPr>
        <w:tc>
          <w:tcPr>
            <w:tcW w:w="6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Prepaid expenses</w:t>
            </w:r>
          </w:p>
        </w:tc>
        <w:tc>
          <w:tcPr>
            <w:tcW w:w="8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970</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949</w:t>
            </w:r>
          </w:p>
        </w:tc>
      </w:tr>
      <w:tr>
        <w:trPr>
          <w:trHeight w:val="189"/>
        </w:trPr>
        <w:tc>
          <w:tcPr>
            <w:tcW w:w="6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Right-of-use asset</w:t>
            </w:r>
          </w:p>
        </w:tc>
        <w:tc>
          <w:tcPr>
            <w:tcW w:w="88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44,928</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52,006</w:t>
            </w: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 and intangibles</w:t>
            </w:r>
          </w:p>
        </w:tc>
        <w:tc>
          <w:tcPr>
            <w:tcW w:w="8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71</w:t>
            </w:r>
          </w:p>
        </w:tc>
      </w:tr>
      <w:tr>
        <w:trPr>
          <w:trHeight w:val="229"/>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Inventory reserve</w:t>
            </w:r>
          </w:p>
        </w:tc>
        <w:tc>
          <w:tcPr>
            <w:tcW w:w="8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183"/>
        </w:trPr>
        <w:tc>
          <w:tcPr>
            <w:tcW w:w="65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8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53,942</w:t>
            </w:r>
          </w:p>
        </w:tc>
        <w:tc>
          <w:tcPr>
            <w:tcW w:w="2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66,025</w:t>
            </w:r>
          </w:p>
        </w:tc>
      </w:tr>
      <w:tr>
        <w:trPr>
          <w:trHeight w:val="183"/>
        </w:trPr>
        <w:tc>
          <w:tcPr>
            <w:tcW w:w="65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deferred tax assets (liabilities)</w:t>
            </w:r>
          </w:p>
        </w:tc>
        <w:tc>
          <w:tcPr>
            <w:tcW w:w="880" w:type="dxa"/>
            <w:vAlign w:val="bottom"/>
            <w:tcBorders>
              <w:bottom w:val="single" w:sz="8" w:color="auto"/>
            </w:tcBorders>
          </w:tcPr>
          <w:p>
            <w:pPr>
              <w:jc w:val="right"/>
              <w:ind w:right="6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880" w:type="dxa"/>
            <w:vAlign w:val="bottom"/>
            <w:tcBorders>
              <w:bottom w:val="single" w:sz="8" w:color="auto"/>
            </w:tcBorders>
          </w:tcPr>
          <w:p>
            <w:pPr>
              <w:jc w:val="right"/>
              <w:ind w:right="6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1,767</w:t>
            </w:r>
          </w:p>
        </w:tc>
      </w:tr>
      <w:tr>
        <w:trPr>
          <w:trHeight w:val="20"/>
        </w:trPr>
        <w:tc>
          <w:tcPr>
            <w:tcW w:w="6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0" w:firstLine="440"/>
        <w:spacing w:after="0" w:line="242" w:lineRule="auto"/>
        <w:rPr>
          <w:sz w:val="20"/>
          <w:szCs w:val="20"/>
          <w:color w:val="auto"/>
        </w:rPr>
      </w:pPr>
      <w:r>
        <w:rPr>
          <w:rFonts w:ascii="Times New Roman" w:cs="Times New Roman" w:eastAsia="Times New Roman" w:hAnsi="Times New Roman"/>
          <w:sz w:val="18"/>
          <w:szCs w:val="18"/>
          <w:color w:val="auto"/>
        </w:rPr>
        <w:t>As of February 2, 2025, we had state net operating losses (“NOL”) of approximately $23.2 million, with deferred tax assets of $1.2 million related to these state NOLs. These state net operating loss carryforwards expire at various periods beginning in 2029. The federal NOL is approximately $30.1 million, with deferred tax asset of $6.3 million related to the federal NOL.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760" w:type="dxa"/>
            <w:vAlign w:val="bottom"/>
            <w:shd w:val="clear" w:color="auto" w:fill="CCEEFF"/>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in prior years</w:t>
            </w:r>
          </w:p>
        </w:tc>
        <w:tc>
          <w:tcPr>
            <w:tcW w:w="1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in current year</w:t>
            </w:r>
          </w:p>
        </w:tc>
        <w:tc>
          <w:tcPr>
            <w:tcW w:w="1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Statute of limitations</w:t>
            </w:r>
          </w:p>
        </w:tc>
        <w:tc>
          <w:tcPr>
            <w:tcW w:w="176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196"/>
        </w:trPr>
        <w:tc>
          <w:tcPr>
            <w:tcW w:w="65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end of year</w:t>
            </w:r>
          </w:p>
        </w:tc>
        <w:tc>
          <w:tcPr>
            <w:tcW w:w="1760" w:type="dxa"/>
            <w:vAlign w:val="bottom"/>
            <w:tcBorders>
              <w:top w:val="single" w:sz="8" w:color="auto"/>
              <w:bottom w:val="single" w:sz="8" w:color="auto"/>
            </w:tcBorders>
            <w:shd w:val="clear" w:color="auto" w:fill="CCEEFF"/>
          </w:tcPr>
          <w:p>
            <w:pPr>
              <w:jc w:val="right"/>
              <w:ind w:right="15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6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40" w:firstLine="440"/>
        <w:spacing w:after="0" w:line="236" w:lineRule="auto"/>
        <w:rPr>
          <w:sz w:val="20"/>
          <w:szCs w:val="20"/>
          <w:color w:val="auto"/>
        </w:rPr>
      </w:pPr>
      <w:r>
        <w:rPr>
          <w:rFonts w:ascii="Times New Roman" w:cs="Times New Roman" w:eastAsia="Times New Roman" w:hAnsi="Times New Roman"/>
          <w:sz w:val="18"/>
          <w:szCs w:val="18"/>
          <w:color w:val="auto"/>
        </w:rPr>
        <w:t>If recognized, $0.1 million of the Company’s unrecognized tax benefits as of February 2, 2025, would affect the Company’s effective tax rate. The Company does not anticipate that there will be a material change in the balance of the unrecognized tax benefits in the next 12 months. Any interest and penalties related to uncertain tax positions are recorded in income tax expense. There were no material amounts recorded as tax expense for interest or penalties for the years ended February 2, 2025 or January 28, 2024.</w:t>
      </w:r>
    </w:p>
    <w:p>
      <w:pPr>
        <w:spacing w:after="0" w:line="144" w:lineRule="exact"/>
        <w:rPr>
          <w:sz w:val="20"/>
          <w:szCs w:val="20"/>
          <w:color w:val="auto"/>
        </w:rPr>
      </w:pPr>
    </w:p>
    <w:p>
      <w:pPr>
        <w:ind w:right="400" w:firstLine="440"/>
        <w:spacing w:after="0" w:line="250"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jurisdiction and in various state jurisdictions. Federal tax returns for tax years 2021 through 2023, and state tax returns for tax years 2020 through 2023, are open for examination.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w:t>
      </w:r>
    </w:p>
    <w:p>
      <w:pPr>
        <w:spacing w:after="0" w:line="175"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The Company has a contributory 401(k) profit sharing plan (the “Plan”) which covers all employees who have attained age 21 and who have met minimum service requirements.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 As of January 1, 2025, the Company updated the non-discretionary “safe harbor” matching contributions to the Plan to 100% of the basic contribution made by each participant on the first 1% of his or her compensation plus 50% of the basic contribution made by each participant on the next 5% of his or her compensation.</w:t>
      </w:r>
    </w:p>
    <w:p>
      <w:pPr>
        <w:spacing w:after="0" w:line="144" w:lineRule="exact"/>
        <w:rPr>
          <w:sz w:val="20"/>
          <w:szCs w:val="20"/>
          <w:color w:val="auto"/>
        </w:rPr>
      </w:pPr>
    </w:p>
    <w:p>
      <w:pPr>
        <w:ind w:right="80" w:firstLine="440"/>
        <w:spacing w:after="0" w:line="250" w:lineRule="auto"/>
        <w:rPr>
          <w:sz w:val="20"/>
          <w:szCs w:val="20"/>
          <w:color w:val="auto"/>
        </w:rPr>
      </w:pPr>
      <w:r>
        <w:rPr>
          <w:rFonts w:ascii="Times New Roman" w:cs="Times New Roman" w:eastAsia="Times New Roman" w:hAnsi="Times New Roman"/>
          <w:sz w:val="18"/>
          <w:szCs w:val="18"/>
          <w:color w:val="auto"/>
        </w:rPr>
        <w:t>The Company is also permitted to make discretionary profit sharing contributions to the Plan. There were no profit sharing contributions for the plan year ended December 31, 2024.</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total expenses under the Plan were $2.3 million and $2.2 million for fiscal 2024 and fiscal 2023, respectively.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62" w:lineRule="exact"/>
        <w:rPr>
          <w:sz w:val="20"/>
          <w:szCs w:val="20"/>
          <w:color w:val="auto"/>
        </w:rPr>
      </w:pPr>
    </w:p>
    <w:p>
      <w:pPr>
        <w:ind w:right="80" w:firstLine="440"/>
        <w:spacing w:after="0" w:line="234" w:lineRule="auto"/>
        <w:rPr>
          <w:sz w:val="20"/>
          <w:szCs w:val="20"/>
          <w:color w:val="auto"/>
        </w:rPr>
      </w:pPr>
      <w:r>
        <w:rPr>
          <w:rFonts w:ascii="Times New Roman" w:cs="Times New Roman" w:eastAsia="Times New Roman" w:hAnsi="Times New Roman"/>
          <w:sz w:val="18"/>
          <w:szCs w:val="18"/>
          <w:color w:val="auto"/>
        </w:rPr>
        <w:t>From time to time, the Company becomes involved in lawsuits and other claims arising from its ordinary course of business. Because of the uncertainties related to the incurrence, amount and range of loss on any pending litigation or claim, management is currently unable to predict the ultimate outcome of any litigation or claim, determine whether a liability has been incurred or make an estimate of the reasonably possible liability that could result from an unfavorable outcome.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Management believes, after considering a number of factors and the nature of any outstanding litigation or claims, that the outcome will not have a material effect upon the Company’s results of operations, financial condition or cash flows. However, because of the unpredictable nature of these matters, the Company cannot provide any assurances regarding the outcome of any litigation or claim to which it is a party or the impact on it of an adverse ruling in such matters.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75" w:lineRule="exact"/>
        <w:rPr>
          <w:sz w:val="20"/>
          <w:szCs w:val="20"/>
          <w:color w:val="auto"/>
        </w:rPr>
      </w:pPr>
    </w:p>
    <w:p>
      <w:pPr>
        <w:ind w:firstLine="440"/>
        <w:spacing w:after="0" w:line="235" w:lineRule="auto"/>
        <w:rPr>
          <w:sz w:val="20"/>
          <w:szCs w:val="20"/>
          <w:color w:val="auto"/>
        </w:rPr>
      </w:pPr>
      <w:r>
        <w:rPr>
          <w:rFonts w:ascii="Times New Roman" w:cs="Times New Roman" w:eastAsia="Times New Roman" w:hAnsi="Times New Roman"/>
          <w:sz w:val="18"/>
          <w:szCs w:val="18"/>
          <w:color w:val="auto"/>
        </w:rPr>
        <w:t>As of February 2, 2025 and January 28, 2024, we had one reportable segment. The Company’s operating segment is based on how the Chief Operating Decision Maker (“CODM”) makes decisions about allocating resources and assessing performance. Our CODM is our Chief Executive Officer and the CODM receives discrete financial information for the Company’s gross margin and a summarized comprehensive statement of income monthly that categorizes selling, general and administrative expenses into four line items with remaining expenses and expenditures for long-lived assets being consolidated as an omnichannel business.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gross margin and selling, general and administrative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00" w:type="dxa"/>
            <w:vAlign w:val="bottom"/>
            <w:tcBorders>
              <w:bottom w:val="single" w:sz="8" w:color="auto"/>
            </w:tcBorders>
          </w:tcPr>
          <w:p>
            <w:pPr>
              <w:spacing w:after="0"/>
              <w:rPr>
                <w:sz w:val="16"/>
                <w:szCs w:val="16"/>
                <w:color w:val="auto"/>
              </w:rPr>
            </w:pPr>
          </w:p>
        </w:tc>
      </w:tr>
      <w:tr>
        <w:trPr>
          <w:trHeight w:val="186"/>
        </w:trPr>
        <w:tc>
          <w:tcPr>
            <w:tcW w:w="50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440" w:type="dxa"/>
            <w:vAlign w:val="bottom"/>
          </w:tcPr>
          <w:p>
            <w:pPr>
              <w:spacing w:after="0"/>
              <w:rPr>
                <w:sz w:val="16"/>
                <w:szCs w:val="16"/>
                <w:color w:val="auto"/>
              </w:rPr>
            </w:pPr>
          </w:p>
        </w:tc>
        <w:tc>
          <w:tcPr>
            <w:tcW w:w="15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9"/>
        </w:trPr>
        <w:tc>
          <w:tcPr>
            <w:tcW w:w="50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440" w:type="dxa"/>
            <w:vAlign w:val="bottom"/>
          </w:tcPr>
          <w:p>
            <w:pPr>
              <w:spacing w:after="0"/>
              <w:rPr>
                <w:sz w:val="17"/>
                <w:szCs w:val="17"/>
                <w:color w:val="auto"/>
              </w:rPr>
            </w:pPr>
          </w:p>
        </w:tc>
        <w:tc>
          <w:tcPr>
            <w:tcW w:w="15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(52 weeks)</w:t>
            </w:r>
          </w:p>
        </w:tc>
      </w:tr>
      <w:tr>
        <w:trPr>
          <w:trHeight w:val="186"/>
        </w:trPr>
        <w:tc>
          <w:tcPr>
            <w:tcW w:w="5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r>
      <w:tr>
        <w:trPr>
          <w:trHeight w:val="226"/>
        </w:trPr>
        <w:tc>
          <w:tcPr>
            <w:tcW w:w="5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626,629</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646,681</w:t>
            </w: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318,119</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321,710</w:t>
            </w:r>
          </w:p>
        </w:tc>
      </w:tr>
      <w:tr>
        <w:trPr>
          <w:trHeight w:val="183"/>
        </w:trPr>
        <w:tc>
          <w:tcPr>
            <w:tcW w:w="506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Gross margin</w:t>
            </w:r>
          </w:p>
        </w:tc>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308,510</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324,971</w:t>
            </w: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2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Outbound shipping expenses</w:t>
            </w:r>
          </w:p>
        </w:tc>
        <w:tc>
          <w:tcPr>
            <w:tcW w:w="2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43,664</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47,185</w:t>
            </w: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2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67,518</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69,049</w:t>
            </w:r>
          </w:p>
        </w:tc>
      </w:tr>
      <w:tr>
        <w:trPr>
          <w:trHeight w:val="2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expenses</w:t>
            </w:r>
          </w:p>
        </w:tc>
        <w:tc>
          <w:tcPr>
            <w:tcW w:w="2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56,055</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58,049</w:t>
            </w:r>
          </w:p>
        </w:tc>
      </w:tr>
      <w:tr>
        <w:trPr>
          <w:trHeight w:val="270"/>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Overhead expenses</w:t>
            </w:r>
          </w:p>
        </w:tc>
        <w:tc>
          <w:tcPr>
            <w:tcW w:w="20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178,134</w:t>
            </w:r>
          </w:p>
        </w:tc>
        <w:tc>
          <w:tcPr>
            <w:tcW w:w="2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160,257</w:t>
            </w:r>
          </w:p>
        </w:tc>
      </w:tr>
      <w:tr>
        <w:trPr>
          <w:trHeight w:val="210"/>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0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345,371</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334,540</w:t>
            </w:r>
          </w:p>
        </w:tc>
      </w:tr>
      <w:tr>
        <w:trPr>
          <w:trHeight w:val="23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(36,861)</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w:t>
            </w:r>
          </w:p>
        </w:tc>
      </w:tr>
      <w:tr>
        <w:trPr>
          <w:trHeight w:val="20"/>
        </w:trPr>
        <w:tc>
          <w:tcPr>
            <w:tcW w:w="5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Intangibles – Goodwill and Other – Internal-use Software</w:t>
      </w:r>
    </w:p>
    <w:p>
      <w:pPr>
        <w:spacing w:after="0" w:line="158" w:lineRule="exact"/>
        <w:rPr>
          <w:sz w:val="20"/>
          <w:szCs w:val="20"/>
          <w:color w:val="auto"/>
        </w:rPr>
      </w:pPr>
    </w:p>
    <w:p>
      <w:pPr>
        <w:ind w:right="40" w:firstLine="440"/>
        <w:spacing w:after="0" w:line="232" w:lineRule="auto"/>
        <w:rPr>
          <w:sz w:val="20"/>
          <w:szCs w:val="20"/>
          <w:color w:val="auto"/>
        </w:rPr>
      </w:pPr>
      <w:r>
        <w:rPr>
          <w:rFonts w:ascii="Times New Roman" w:cs="Times New Roman" w:eastAsia="Times New Roman" w:hAnsi="Times New Roman"/>
          <w:sz w:val="18"/>
          <w:szCs w:val="18"/>
          <w:color w:val="auto"/>
        </w:rPr>
        <w:t xml:space="preserve">On February 3, 2020, the Company adopted Accounting Standards Update (“ASU”) No. 2018-15, </w:t>
      </w:r>
      <w:r>
        <w:rPr>
          <w:rFonts w:ascii="Times New Roman" w:cs="Times New Roman" w:eastAsia="Times New Roman" w:hAnsi="Times New Roman"/>
          <w:sz w:val="18"/>
          <w:szCs w:val="18"/>
          <w:i w:val="1"/>
          <w:iCs w:val="1"/>
          <w:color w:val="auto"/>
        </w:rPr>
        <w:t>Intangibles – Goodwill and Other – 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(Subtopic 350-40) </w:t>
      </w:r>
      <w:r>
        <w:rPr>
          <w:rFonts w:ascii="Times New Roman" w:cs="Times New Roman" w:eastAsia="Times New Roman" w:hAnsi="Times New Roman"/>
          <w:sz w:val="18"/>
          <w:szCs w:val="18"/>
          <w:color w:val="auto"/>
        </w:rPr>
        <w:t>(“ASU 2018-15”) which provides additional guidance on the accounting for costs of implementation activities performed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cloud computing arrangement that is a service contract. ASU 2018-15 requires a customer in a cloud computing arrangement that is a service contract to follow the new internal-use software guidance to determine which implementation costs to capitalize as assets or expense as incurred. The new internal-use software guidance requires that certain costs incurred during the application development stage be capitalized and other costs incurred during the preliminary project and post-implementation stages be expensed as they are incurred. The Company adopted ASU 2018-15 using the prospective method. In fiscal 2024 and 2023, $11.2 million and $10.1 million of capitalized costs associated with implementation activities, net of amortization are classified within Prepaid expenses &amp; other current assets on the Company’s Consolidated Balance Sheets, respectively, and $5.3 million and $5.0 million of related amortization costs are included in Selling, general and administrative expenses on the Company’s Consolidated Statement of Operations, respectively.</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 – Measurement of Credit Losses on Financial Instruments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ind w:right="-19"/>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In June 2016, the FASB issued Accounting Standards Update No. 2016-13 </w:t>
      </w:r>
      <w:r>
        <w:rPr>
          <w:rFonts w:ascii="Times New Roman" w:cs="Times New Roman" w:eastAsia="Times New Roman" w:hAnsi="Times New Roman"/>
          <w:sz w:val="17"/>
          <w:szCs w:val="17"/>
          <w:i w:val="1"/>
          <w:iCs w:val="1"/>
          <w:color w:val="auto"/>
        </w:rPr>
        <w:t>“Financial Instruments-Credit Losses (Topic 326): Measurement of Credit</w:t>
      </w:r>
    </w:p>
    <w:p>
      <w:pPr>
        <w:spacing w:after="0" w:line="29"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17"/>
          <w:szCs w:val="17"/>
          <w:i w:val="1"/>
          <w:iCs w:val="1"/>
          <w:color w:val="auto"/>
        </w:rPr>
        <w:t xml:space="preserve">Losses on Financial Instruments,” </w:t>
      </w:r>
      <w:r>
        <w:rPr>
          <w:rFonts w:ascii="Times New Roman" w:cs="Times New Roman" w:eastAsia="Times New Roman" w:hAnsi="Times New Roman"/>
          <w:sz w:val="17"/>
          <w:szCs w:val="17"/>
          <w:color w:val="auto"/>
        </w:rPr>
        <w:t>(“ASU 2016-13”), which amends the impairment model by requiring entities to use a forward-looking approach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 xml:space="preserve">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18"/>
          <w:szCs w:val="18"/>
          <w:i w:val="1"/>
          <w:iCs w:val="1"/>
          <w:color w:val="auto"/>
        </w:rPr>
        <w:t>“Financial Instruments-Credit Losses (Topic 326),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(Topic 815, and Leases (Topic 842),” </w:t>
      </w:r>
      <w:r>
        <w:rPr>
          <w:rFonts w:ascii="Times New Roman" w:cs="Times New Roman" w:eastAsia="Times New Roman" w:hAnsi="Times New Roman"/>
          <w:sz w:val="18"/>
          <w:szCs w:val="18"/>
          <w:color w:val="auto"/>
        </w:rPr>
        <w:t>(“ASU 2019-10”), which provides a framework to stagger effective dates for future major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adopted ASU 2016-13 on January 30, 2023, the first day of the Company’s first quarter for the fiscal year ending January 28, 2024, the Company’s fiscal year 2023. ASU 2016-13 did not have a material impact on the Company’s consolidated financial statements.</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71"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color w:val="auto"/>
        </w:rPr>
        <w:t>In November 2023, the FASB issued ASU No. 2023-07, “</w:t>
      </w:r>
      <w:r>
        <w:rPr>
          <w:rFonts w:ascii="Times New Roman" w:cs="Times New Roman" w:eastAsia="Times New Roman" w:hAnsi="Times New Roman"/>
          <w:sz w:val="18"/>
          <w:szCs w:val="18"/>
          <w:i w:val="1"/>
          <w:iCs w:val="1"/>
          <w:color w:val="auto"/>
        </w:rPr>
        <w:t>Segment Reporting: Improvements to Reportable Segment Disclosures.”</w:t>
      </w:r>
      <w:r>
        <w:rPr>
          <w:rFonts w:ascii="Times New Roman" w:cs="Times New Roman" w:eastAsia="Times New Roman" w:hAnsi="Times New Roman"/>
          <w:sz w:val="18"/>
          <w:szCs w:val="18"/>
          <w:color w:val="auto"/>
        </w:rPr>
        <w:t xml:space="preserve"> This ASU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new guidance is effective for public companies with annual periods beginning after December 15, 2023, and interim periods within annual period beginning after December 15, 2024, with early adoption permitted. The Company adopted ASU 2023-07 on January 29, 2024, the first day of the Company’s first quarter for the fiscal year ending February 2, 2025, the Company’s fiscal year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 Not Yet Adopted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71" w:lineRule="exact"/>
        <w:rPr>
          <w:sz w:val="20"/>
          <w:szCs w:val="20"/>
          <w:color w:val="auto"/>
        </w:rPr>
      </w:pPr>
    </w:p>
    <w:p>
      <w:pPr>
        <w:ind w:right="340" w:firstLine="440"/>
        <w:spacing w:after="0" w:line="236"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Improvements to Income Tax Disclosures</w:t>
      </w:r>
      <w:r>
        <w:rPr>
          <w:rFonts w:ascii="Times New Roman" w:cs="Times New Roman" w:eastAsia="Times New Roman" w:hAnsi="Times New Roman"/>
          <w:sz w:val="18"/>
          <w:szCs w:val="18"/>
          <w:color w:val="auto"/>
        </w:rPr>
        <w:t>.” This ASU improves the transparency of income tax disclosures by requiring (i) consistent categories and greater disaggregation of information in the rate reconciliation and (ii) income taxes paid disaggregated by jurisdiction. This new guidance will be effective for annual periods beginning after December 15, 2024, and early adoption is permitted. Management is currently evaluating the effects adoption of this guidance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left="4520"/>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ind w:left="5120"/>
        <w:spacing w:after="0" w:line="219" w:lineRule="auto"/>
        <w:rPr>
          <w:sz w:val="20"/>
          <w:szCs w:val="20"/>
          <w:color w:val="auto"/>
        </w:rPr>
      </w:pPr>
      <w:r>
        <w:rPr>
          <w:rFonts w:ascii="Times New Roman" w:cs="Times New Roman" w:eastAsia="Times New Roman" w:hAnsi="Times New Roman"/>
          <w:sz w:val="18"/>
          <w:szCs w:val="18"/>
          <w:b w:val="1"/>
          <w:bCs w:val="1"/>
          <w:color w:val="auto"/>
        </w:rPr>
        <w:t>SCHEDULE II</w:t>
      </w:r>
    </w:p>
    <w:p>
      <w:pPr>
        <w:ind w:left="3740"/>
        <w:spacing w:after="0" w:line="235" w:lineRule="auto"/>
        <w:rPr>
          <w:sz w:val="20"/>
          <w:szCs w:val="20"/>
          <w:color w:val="auto"/>
        </w:rPr>
      </w:pPr>
      <w:r>
        <w:rPr>
          <w:rFonts w:ascii="Times New Roman" w:cs="Times New Roman" w:eastAsia="Times New Roman" w:hAnsi="Times New Roman"/>
          <w:sz w:val="18"/>
          <w:szCs w:val="18"/>
          <w:b w:val="1"/>
          <w:bCs w:val="1"/>
          <w:color w:val="auto"/>
        </w:rPr>
        <w:t>VALUATION AND QUALIFYING ACCOUNTS</w:t>
      </w:r>
    </w:p>
    <w:p>
      <w:pPr>
        <w:ind w:left="3300"/>
        <w:spacing w:after="0" w:line="219" w:lineRule="auto"/>
        <w:rPr>
          <w:sz w:val="20"/>
          <w:szCs w:val="20"/>
          <w:color w:val="auto"/>
        </w:rPr>
      </w:pPr>
      <w:r>
        <w:rPr>
          <w:rFonts w:ascii="Times New Roman" w:cs="Times New Roman" w:eastAsia="Times New Roman" w:hAnsi="Times New Roman"/>
          <w:sz w:val="18"/>
          <w:szCs w:val="18"/>
          <w:b w:val="1"/>
          <w:bCs w:val="1"/>
          <w:color w:val="auto"/>
        </w:rPr>
        <w:t>For the Years Ended February 2, 2025 and January 28,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2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Cost and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Ending</w:t>
            </w:r>
          </w:p>
        </w:tc>
      </w:tr>
      <w:tr>
        <w:trPr>
          <w:trHeight w:val="199"/>
        </w:trPr>
        <w:tc>
          <w:tcPr>
            <w:tcW w:w="2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80" w:type="dxa"/>
            <w:vAlign w:val="bottom"/>
          </w:tcPr>
          <w:p>
            <w:pPr>
              <w:spacing w:after="0"/>
              <w:rPr>
                <w:sz w:val="17"/>
                <w:szCs w:val="17"/>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83"/>
        </w:trPr>
        <w:tc>
          <w:tcPr>
            <w:tcW w:w="27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Inventory reserve</w:t>
            </w:r>
          </w:p>
        </w:tc>
        <w:tc>
          <w:tcPr>
            <w:tcW w:w="5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3"/>
        </w:trPr>
        <w:tc>
          <w:tcPr>
            <w:tcW w:w="27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February 2, 2025</w:t>
            </w:r>
          </w:p>
        </w:tc>
        <w:tc>
          <w:tcPr>
            <w:tcW w:w="7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1,361</w:t>
            </w:r>
          </w:p>
        </w:tc>
        <w:tc>
          <w:tcPr>
            <w:tcW w:w="4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774</w:t>
            </w:r>
          </w:p>
        </w:tc>
        <w:tc>
          <w:tcPr>
            <w:tcW w:w="42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2,135</w:t>
            </w:r>
          </w:p>
        </w:tc>
      </w:tr>
      <w:tr>
        <w:trPr>
          <w:trHeight w:val="203"/>
        </w:trPr>
        <w:tc>
          <w:tcPr>
            <w:tcW w:w="27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January 28, 2024</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1,837</w:t>
            </w:r>
          </w:p>
        </w:tc>
        <w:tc>
          <w:tcPr>
            <w:tcW w:w="42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(476)</w:t>
            </w:r>
          </w:p>
        </w:tc>
        <w:tc>
          <w:tcPr>
            <w:tcW w:w="2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1,361</w:t>
            </w:r>
          </w:p>
        </w:tc>
      </w:tr>
      <w:tr>
        <w:trPr>
          <w:trHeight w:val="203"/>
        </w:trPr>
        <w:tc>
          <w:tcPr>
            <w:tcW w:w="2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7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Product returns reserve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27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February 2, 2025</w:t>
            </w:r>
          </w:p>
        </w:tc>
        <w:tc>
          <w:tcPr>
            <w:tcW w:w="7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5,541</w:t>
            </w:r>
          </w:p>
        </w:tc>
        <w:tc>
          <w:tcPr>
            <w:tcW w:w="4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(973)</w:t>
            </w: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4,568</w:t>
            </w:r>
          </w:p>
        </w:tc>
      </w:tr>
      <w:tr>
        <w:trPr>
          <w:trHeight w:val="203"/>
        </w:trPr>
        <w:tc>
          <w:tcPr>
            <w:tcW w:w="27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January 28, 2024</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5,168</w:t>
            </w:r>
          </w:p>
        </w:tc>
        <w:tc>
          <w:tcPr>
            <w:tcW w:w="42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373</w:t>
            </w:r>
          </w:p>
        </w:tc>
        <w:tc>
          <w:tcPr>
            <w:tcW w:w="4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5,541</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2" w:lineRule="exact"/>
        <w:rPr>
          <w:sz w:val="20"/>
          <w:szCs w:val="20"/>
          <w:color w:val="auto"/>
        </w:rPr>
      </w:pPr>
    </w:p>
    <w:p>
      <w:pPr>
        <w:ind w:left="1040" w:right="1900" w:hanging="1025"/>
        <w:spacing w:after="0" w:line="266" w:lineRule="auto"/>
        <w:tabs>
          <w:tab w:leader="none" w:pos="102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CHANGES IN AND DISAGREEMENTS WITH ACCOUNTANTS ON ACCOUNTING AND FINANCIAL DISCLOSURE</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74"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9A.</w:t>
      </w:r>
      <w:r>
        <w:rPr>
          <w:sz w:val="20"/>
          <w:szCs w:val="20"/>
          <w:color w:val="auto"/>
        </w:rPr>
        <w:tab/>
      </w:r>
      <w:r>
        <w:rPr>
          <w:rFonts w:ascii="Times New Roman" w:cs="Times New Roman" w:eastAsia="Times New Roman" w:hAnsi="Times New Roman"/>
          <w:sz w:val="17"/>
          <w:szCs w:val="17"/>
          <w:color w:val="auto"/>
        </w:rPr>
        <w:t>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The Company carried out an evaluation, under the supervision of and with the participation of our management, including our Chief Executive Officer and Chief Financial Officer, of the effectiveness of the design and operation of our disclosure controls and procedures at the reasonable assurance level pursuant to Rule 13a-15 of the Exchange Act. Based on this evaluation, our Chief Executive Officer and Chief Financial Officer have concluded that, as of such date, our disclosure controls and procedures were effective at the reasonable assurance level.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4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under the Exchange Act). Management assessed the effectiveness of its internal control over financial reporting as of February 2, 2025. In making this assessment, management used the criteria set forth by the Committee of Sponsoring Organizations of the Treadway Commission (“COSO”) in the Internal Control-Integrated Framework (2013), or the COSO Report. Based on this assessment, management concluded that our internal control over financial reporting is effective as of February 2, 2025.</w:t>
      </w:r>
    </w:p>
    <w:p>
      <w:pPr>
        <w:spacing w:after="0" w:line="121"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100" w:firstLine="492"/>
        <w:spacing w:after="0" w:line="24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fiscal quarter ended February 2, 2025, that has materially affected, or is reasonable likely to materially affect, our internal control over financial reporting.</w:t>
      </w:r>
    </w:p>
    <w:p>
      <w:pPr>
        <w:spacing w:after="0" w:line="15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ITEM 9B.</w:t>
      </w:r>
      <w:r>
        <w:rPr>
          <w:sz w:val="20"/>
          <w:szCs w:val="20"/>
          <w:color w:val="auto"/>
        </w:rPr>
        <w:tab/>
      </w:r>
      <w:r>
        <w:rPr>
          <w:rFonts w:ascii="Times New Roman" w:cs="Times New Roman" w:eastAsia="Times New Roman" w:hAnsi="Times New Roman"/>
          <w:sz w:val="17"/>
          <w:szCs w:val="17"/>
          <w:color w:val="auto"/>
        </w:rPr>
        <w:t>OTHER INFORMATION</w:t>
      </w:r>
    </w:p>
    <w:p>
      <w:pPr>
        <w:spacing w:after="0" w:line="252" w:lineRule="exact"/>
        <w:rPr>
          <w:sz w:val="20"/>
          <w:szCs w:val="20"/>
          <w:color w:val="auto"/>
        </w:rPr>
      </w:pPr>
    </w:p>
    <w:p>
      <w:pPr>
        <w:ind w:left="780" w:hanging="332"/>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780" w:right="20" w:hanging="332"/>
        <w:spacing w:after="0" w:line="25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January 28, 2024,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ITEM 9C.</w:t>
      </w:r>
      <w:r>
        <w:rPr>
          <w:sz w:val="20"/>
          <w:szCs w:val="20"/>
          <w:color w:val="auto"/>
        </w:rPr>
        <w:tab/>
      </w:r>
      <w:r>
        <w:rPr>
          <w:rFonts w:ascii="Times New Roman" w:cs="Times New Roman" w:eastAsia="Times New Roman" w:hAnsi="Times New Roman"/>
          <w:sz w:val="17"/>
          <w:szCs w:val="17"/>
          <w:color w:val="auto"/>
        </w:rPr>
        <w:t>DISCLOSURE REGARDING FOREIGN JURISDICTIONS THAT PREVENT INSPECTIONS</w:t>
      </w:r>
    </w:p>
    <w:p>
      <w:pPr>
        <w:spacing w:after="0" w:line="3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DIRECTORS, EXECUTIVE OFFICERS AND CORPORATE GOVERNANCE</w:t>
      </w:r>
    </w:p>
    <w:p>
      <w:pPr>
        <w:spacing w:after="0" w:line="239"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color w:val="auto"/>
        </w:rPr>
        <w:t>Information required by this Item concerning our directors, audit committee, and audit committee financial experts, insider trading policy and compliance with Section 16(a) of the Exchange Act is incorporated by reference to information under the sections “Proposal One: Election of Directors,” “Executive Compensation—Insider Trading Policy” and “Delinquent Section 16(a) Reports” in our definitive proxy statement for our 2025 annual meeting of shareholders to be held on May 29, 2025 (the “Proxy Statement”). It is anticipated that our Proxy Statement will be filed with the Securities and Exchange Commission on or about April 11,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including our principal executive officer, principal financial officer and principal accounting officer. We have posted the code of business conduct and ethics on our website at http://ir.duluthtrading.com under the tab “Corporate Governance—Documents &amp; Charters—Code of Business Conduct and Ethics.” We intend to satisfy our disclosure requirements under Item 5.05 of Form 8-K regarding amendments to, or waiver of, any provisions of our code of business conduct and ethics that applies to our principal executive officer, principal financial officer and principal accounting officer and our directors by posting such information to our website.</w:t>
      </w:r>
    </w:p>
    <w:p>
      <w:pPr>
        <w:spacing w:after="0" w:line="144" w:lineRule="exact"/>
        <w:rPr>
          <w:sz w:val="20"/>
          <w:szCs w:val="20"/>
          <w:color w:val="auto"/>
        </w:rPr>
      </w:pPr>
    </w:p>
    <w:p>
      <w:pPr>
        <w:jc w:val="both"/>
        <w:ind w:right="180" w:firstLine="440"/>
        <w:spacing w:after="0" w:line="242" w:lineRule="auto"/>
        <w:rPr>
          <w:sz w:val="20"/>
          <w:szCs w:val="20"/>
          <w:color w:val="auto"/>
        </w:rPr>
      </w:pPr>
      <w:r>
        <w:rPr>
          <w:rFonts w:ascii="Times New Roman" w:cs="Times New Roman" w:eastAsia="Times New Roman" w:hAnsi="Times New Roman"/>
          <w:sz w:val="18"/>
          <w:szCs w:val="18"/>
          <w:color w:val="auto"/>
        </w:rPr>
        <w:t>Our code of business conduct and ethics is available in print for any shareholder who requests it by writing to: Secretary, Duluth Holdings Inc., 201 East Front Street, Mount Horeb, Wisconsin, 53572. We are not including the information available on or through our website as part of, or incorporating such information by reference into, this Annual Report on Form 10-K.</w:t>
      </w:r>
    </w:p>
    <w:p>
      <w:pPr>
        <w:spacing w:after="0" w:line="13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General Instruction G(3), certain information with respect to our executive officers is set forth under the caption “Information about Our Executive Officers” as of March 21, 2025 in this Annual Report on Form 10-K.</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color w:val="auto"/>
        </w:rPr>
        <w:t>EXECUTIVE COMPENSATION</w:t>
      </w:r>
    </w:p>
    <w:p>
      <w:pPr>
        <w:spacing w:after="0" w:line="225" w:lineRule="exact"/>
        <w:rPr>
          <w:sz w:val="20"/>
          <w:szCs w:val="20"/>
          <w:color w:val="auto"/>
        </w:rPr>
      </w:pPr>
    </w:p>
    <w:p>
      <w:pPr>
        <w:ind w:right="140" w:firstLine="440"/>
        <w:spacing w:after="0" w:line="242"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“Executive Compensation” (excluding the information under the caption “Pay Versus Performance”), “Director Compensation,” and “Compensation Committee Interlocks and Insider Participation.”</w:t>
      </w:r>
    </w:p>
    <w:p>
      <w:pPr>
        <w:spacing w:after="0" w:line="346" w:lineRule="exact"/>
        <w:rPr>
          <w:sz w:val="20"/>
          <w:szCs w:val="20"/>
          <w:color w:val="auto"/>
        </w:rPr>
      </w:pPr>
    </w:p>
    <w:p>
      <w:pPr>
        <w:ind w:left="1080" w:right="2160" w:hanging="1065"/>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8"/>
          <w:szCs w:val="18"/>
          <w:color w:val="auto"/>
        </w:rPr>
        <w:t>SECURITY OWNERSHIP OF CERTAIN BENEFICIAL OWNERS AND MANAGEMENT AND RELATED SHAREHOLDER MATTERS</w:t>
      </w:r>
    </w:p>
    <w:p>
      <w:pPr>
        <w:spacing w:after="0" w:line="230" w:lineRule="exact"/>
        <w:rPr>
          <w:sz w:val="20"/>
          <w:szCs w:val="20"/>
          <w:color w:val="auto"/>
        </w:rPr>
      </w:pPr>
    </w:p>
    <w:p>
      <w:pPr>
        <w:ind w:right="640" w:firstLine="440"/>
        <w:spacing w:after="0" w:line="262"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“Security Ownership of Certain Beneficial Owners.”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203"/>
        </w:trPr>
        <w:tc>
          <w:tcPr>
            <w:tcW w:w="5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202"/>
        </w:trPr>
        <w:tc>
          <w:tcPr>
            <w:tcW w:w="50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203"/>
        </w:trPr>
        <w:tc>
          <w:tcPr>
            <w:tcW w:w="50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plans</w:t>
            </w:r>
          </w:p>
        </w:tc>
      </w:tr>
      <w:tr>
        <w:trPr>
          <w:trHeight w:val="184"/>
        </w:trPr>
        <w:tc>
          <w:tcPr>
            <w:tcW w:w="50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217"/>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100" w:type="dxa"/>
            <w:vAlign w:val="bottom"/>
          </w:tcPr>
          <w:p>
            <w:pPr>
              <w:jc w:val="center"/>
              <w:spacing w:after="0" w:line="218" w:lineRule="exact"/>
              <w:rPr>
                <w:sz w:val="20"/>
                <w:szCs w:val="20"/>
                <w:color w:val="auto"/>
              </w:rPr>
            </w:pPr>
            <w:r>
              <w:rPr>
                <w:rFonts w:ascii="Times New Roman" w:cs="Times New Roman" w:eastAsia="Times New Roman" w:hAnsi="Times New Roman"/>
                <w:sz w:val="14"/>
                <w:szCs w:val="14"/>
                <w:b w:val="1"/>
                <w:bCs w:val="1"/>
                <w:color w:val="auto"/>
                <w:w w:val="99"/>
              </w:rPr>
              <w:t>reflected in first column)</w:t>
            </w:r>
            <w:r>
              <w:rPr>
                <w:rFonts w:ascii="Times New Roman" w:cs="Times New Roman" w:eastAsia="Times New Roman" w:hAnsi="Times New Roman"/>
                <w:sz w:val="23"/>
                <w:szCs w:val="23"/>
                <w:b w:val="1"/>
                <w:bCs w:val="1"/>
                <w:color w:val="auto"/>
                <w:w w:val="99"/>
                <w:vertAlign w:val="superscript"/>
              </w:rPr>
              <w:t>(1)</w:t>
            </w:r>
          </w:p>
        </w:tc>
      </w:tr>
      <w:tr>
        <w:trPr>
          <w:trHeight w:val="218"/>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w:t>
            </w:r>
          </w:p>
        </w:tc>
        <w:tc>
          <w:tcPr>
            <w:tcW w:w="1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r>
      <w:tr>
        <w:trPr>
          <w:trHeight w:val="22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 security holders</w:t>
            </w:r>
          </w:p>
        </w:tc>
        <w:tc>
          <w:tcPr>
            <w:tcW w:w="19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5,018,713</w:t>
            </w:r>
          </w:p>
        </w:tc>
      </w:tr>
      <w:tr>
        <w:trPr>
          <w:trHeight w:val="201"/>
        </w:trPr>
        <w:tc>
          <w:tcPr>
            <w:tcW w:w="50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8"/>
        </w:trPr>
        <w:tc>
          <w:tcPr>
            <w:tcW w:w="5000" w:type="dxa"/>
            <w:vAlign w:val="bottom"/>
          </w:tcPr>
          <w:p>
            <w:pPr>
              <w:spacing w:after="0" w:line="258" w:lineRule="exact"/>
              <w:rPr>
                <w:sz w:val="20"/>
                <w:szCs w:val="20"/>
                <w:color w:val="auto"/>
              </w:rPr>
            </w:pPr>
            <w:r>
              <w:rPr>
                <w:rFonts w:ascii="Times New Roman" w:cs="Times New Roman" w:eastAsia="Times New Roman" w:hAnsi="Times New Roman"/>
                <w:sz w:val="18"/>
                <w:szCs w:val="18"/>
                <w:color w:val="auto"/>
              </w:rPr>
              <w:t>by security holders</w:t>
            </w:r>
            <w:r>
              <w:rPr>
                <w:rFonts w:ascii="Times New Roman" w:cs="Times New Roman" w:eastAsia="Times New Roman" w:hAnsi="Times New Roman"/>
                <w:sz w:val="29"/>
                <w:szCs w:val="29"/>
                <w:color w:val="auto"/>
                <w:vertAlign w:val="superscript"/>
              </w:rPr>
              <w:t>(2)</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500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shd w:val="clear" w:color="auto" w:fill="CCEEFF"/>
          </w:tcPr>
          <w:p>
            <w:pPr>
              <w:ind w:left="16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ind w:left="15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5,018,713</w:t>
            </w:r>
          </w:p>
        </w:tc>
      </w:tr>
      <w:tr>
        <w:trPr>
          <w:trHeight w:val="20"/>
        </w:trPr>
        <w:tc>
          <w:tcPr>
            <w:tcW w:w="50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40" w:firstLine="44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Equity Compensation Plan Information: </w:t>
      </w:r>
      <w:r>
        <w:rPr>
          <w:rFonts w:ascii="Times New Roman" w:cs="Times New Roman" w:eastAsia="Times New Roman" w:hAnsi="Times New Roman"/>
          <w:sz w:val="18"/>
          <w:szCs w:val="18"/>
          <w:color w:val="auto"/>
        </w:rPr>
        <w:t>The following table sets forth information as of February 2, 2025 about shares of common stock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available for issuance under our existing equity compensation plans.</w:t>
      </w:r>
    </w:p>
    <w:p>
      <w:pPr>
        <w:spacing w:after="0" w:line="1"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3,931,585 shares are available under the Company’s 2024 Equity Incentive Plan and 1,087,128 shares are available under the Company’s Employee Stock Purchase Plan.</w:t>
      </w:r>
    </w:p>
    <w:p>
      <w:pPr>
        <w:spacing w:after="0" w:line="174" w:lineRule="exact"/>
        <w:rPr>
          <w:rFonts w:ascii="Times New Roman" w:cs="Times New Roman" w:eastAsia="Times New Roman" w:hAnsi="Times New Roman"/>
          <w:sz w:val="14"/>
          <w:szCs w:val="14"/>
          <w:color w:val="auto"/>
        </w:rPr>
      </w:pPr>
    </w:p>
    <w:p>
      <w:pPr>
        <w:ind w:left="460" w:hanging="439"/>
        <w:spacing w:after="0"/>
        <w:tabs>
          <w:tab w:leader="none" w:pos="4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existing equity compensation plans have been approved by shareholders.</w:t>
      </w:r>
    </w:p>
    <w:p>
      <w:pPr>
        <w:spacing w:after="0" w:line="3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color w:val="auto"/>
        </w:rPr>
        <w:t>CERTAIN RELATIONSHIPS AND RELATED TRANSACTIONS AND DIRECTOR INDEPENDENCE</w:t>
      </w:r>
    </w:p>
    <w:p>
      <w:pPr>
        <w:spacing w:after="0" w:line="225"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“Certain Relationships and Related Party Transactions” and “Proposal One: Election of Directors.”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14.PRINCIPAL ACCOUNTANT FEES AND SERVICES</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 of the Proxy Statement entitled “Audit Committee Report.”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color w:val="auto"/>
        </w:rPr>
        <w:t>EXHIBITS, FINANCIAL STATEMENTS AND SCHEDULE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Statements and Financial Statement Schedule</w:t>
      </w:r>
    </w:p>
    <w:p>
      <w:pPr>
        <w:spacing w:after="0" w:line="175" w:lineRule="exact"/>
        <w:rPr>
          <w:sz w:val="20"/>
          <w:szCs w:val="20"/>
          <w:color w:val="auto"/>
        </w:rPr>
      </w:pPr>
    </w:p>
    <w:p>
      <w:pPr>
        <w:jc w:val="both"/>
        <w:ind w:right="180" w:firstLine="440"/>
        <w:spacing w:after="0" w:line="242" w:lineRule="auto"/>
        <w:rPr>
          <w:sz w:val="20"/>
          <w:szCs w:val="20"/>
          <w:color w:val="auto"/>
        </w:rPr>
      </w:pPr>
      <w:r>
        <w:rPr>
          <w:rFonts w:ascii="Times New Roman" w:cs="Times New Roman" w:eastAsia="Times New Roman" w:hAnsi="Times New Roman"/>
          <w:sz w:val="18"/>
          <w:szCs w:val="18"/>
          <w:color w:val="auto"/>
        </w:rPr>
        <w:t>See “Index to Consolidated Financial Statements” in Part II, Item 8 of this Annual Report on Form 10-K. Schedule II is included in Part II, Item 8. All other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(a)(3) Exhibits</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19"/>
                <w:szCs w:val="19"/>
                <w:color w:val="auto"/>
              </w:rPr>
            </w:pPr>
          </w:p>
        </w:tc>
        <w:tc>
          <w:tcPr>
            <w:tcW w:w="9820" w:type="dxa"/>
            <w:vAlign w:val="bottom"/>
            <w:gridSpan w:val="34"/>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Amended and Restated Articles of Incorporation of Duluth Holdings Inc., incorporated by reference to Exhibit 3.1 of Pre-Effective</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0" w:type="dxa"/>
            <w:vAlign w:val="bottom"/>
            <w:tcBorders>
              <w:top w:val="single" w:sz="8" w:color="0000FF"/>
              <w:bottom w:val="single" w:sz="8" w:color="0000FF"/>
            </w:tcBorders>
            <w:gridSpan w:val="19"/>
          </w:tcPr>
          <w:p>
            <w:pPr>
              <w:spacing w:after="0" w:line="182"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Amendment No. 2 to the Company’s Registration Statement on Form S-1 (File No. 333-207300), filed November 9, 2015.</w:t>
              </w:r>
            </w:hyperlink>
          </w:p>
        </w:tc>
        <w:tc>
          <w:tcPr>
            <w:tcW w:w="20" w:type="dxa"/>
            <w:vAlign w:val="bottom"/>
            <w:tcBorders>
              <w:top w:val="single" w:sz="8" w:color="0000FF"/>
              <w:bottom w:val="single" w:sz="8" w:color="0000EE"/>
            </w:tcBorders>
          </w:tcPr>
          <w:p>
            <w:pPr>
              <w:spacing w:after="0"/>
              <w:rPr>
                <w:sz w:val="15"/>
                <w:szCs w:val="15"/>
                <w:color w:val="auto"/>
              </w:rPr>
            </w:pPr>
          </w:p>
        </w:tc>
        <w:tc>
          <w:tcPr>
            <w:tcW w:w="64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9820" w:type="dxa"/>
            <w:vAlign w:val="bottom"/>
            <w:gridSpan w:val="34"/>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Amended and Restated Bylaws of Duluth Holdings Inc., incorporated by reference to Exhibit 3.2 of the Pre-Effective Amendment No. 2</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2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to the Company’s Registration Statement on Form S-1 (File No. 333-207300), filed November 9, 2015.</w:t>
              </w:r>
            </w:hyperlink>
          </w:p>
        </w:tc>
        <w:tc>
          <w:tcPr>
            <w:tcW w:w="2400" w:type="dxa"/>
            <w:vAlign w:val="bottom"/>
            <w:tcBorders>
              <w:top w:val="single" w:sz="8" w:color="0000FF"/>
            </w:tcBorders>
            <w:gridSpan w:val="21"/>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4"/>
                <w:szCs w:val="24"/>
                <w:color w:val="auto"/>
              </w:rPr>
            </w:pPr>
          </w:p>
        </w:tc>
        <w:tc>
          <w:tcPr>
            <w:tcW w:w="9820" w:type="dxa"/>
            <w:vAlign w:val="bottom"/>
            <w:gridSpan w:val="34"/>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Description of Registrant’s Securities.</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580" w:type="dxa"/>
            <w:vAlign w:val="bottom"/>
          </w:tcPr>
          <w:p>
            <w:pPr>
              <w:spacing w:after="0"/>
              <w:rPr>
                <w:sz w:val="18"/>
                <w:szCs w:val="18"/>
                <w:color w:val="auto"/>
              </w:rPr>
            </w:pPr>
          </w:p>
        </w:tc>
        <w:tc>
          <w:tcPr>
            <w:tcW w:w="9820" w:type="dxa"/>
            <w:vAlign w:val="bottom"/>
            <w:gridSpan w:val="34"/>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Voting Trust Agreement, dated November 1, 2021, by and between Stephen L. Schlecht, as trustee, and Duluth Holdings Inc.,</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98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incorporated by reference to Exhibit 9.1 of the Company’s Annual Report on Form 10-K filed March 25, 2022.</w:t>
              </w:r>
            </w:hyperlink>
          </w:p>
        </w:tc>
        <w:tc>
          <w:tcPr>
            <w:tcW w:w="20" w:type="dxa"/>
            <w:vAlign w:val="bottom"/>
            <w:tcBorders>
              <w:top w:val="single" w:sz="8" w:color="0000FF"/>
              <w:bottom w:val="single" w:sz="8" w:color="0000EE"/>
            </w:tcBorders>
          </w:tcPr>
          <w:p>
            <w:pPr>
              <w:spacing w:after="0"/>
              <w:rPr>
                <w:sz w:val="15"/>
                <w:szCs w:val="15"/>
                <w:color w:val="auto"/>
              </w:rPr>
            </w:pPr>
          </w:p>
        </w:tc>
        <w:tc>
          <w:tcPr>
            <w:tcW w:w="1060" w:type="dxa"/>
            <w:vAlign w:val="bottom"/>
            <w:tcBorders>
              <w:top w:val="single" w:sz="8" w:color="0000FF"/>
            </w:tcBorders>
            <w:gridSpan w:val="6"/>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17"/>
                <w:szCs w:val="17"/>
                <w:color w:val="auto"/>
              </w:rPr>
            </w:pPr>
          </w:p>
        </w:tc>
        <w:tc>
          <w:tcPr>
            <w:tcW w:w="9820" w:type="dxa"/>
            <w:vAlign w:val="bottom"/>
            <w:gridSpan w:val="34"/>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Outside Director Compensation Policy, incorporated by reference to Exhibit 10.1 of the Company’s Annual Report on Form 10-K for</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40">
              <w:r>
                <w:rPr>
                  <w:rFonts w:ascii="Times New Roman" w:cs="Times New Roman" w:eastAsia="Times New Roman" w:hAnsi="Times New Roman"/>
                  <w:sz w:val="18"/>
                  <w:szCs w:val="18"/>
                  <w:color w:val="0000FF"/>
                  <w:w w:val="98"/>
                </w:rPr>
                <w:t>the year ended January 28, 2024.</w:t>
              </w:r>
            </w:hyperlink>
          </w:p>
        </w:tc>
        <w:tc>
          <w:tcPr>
            <w:tcW w:w="20" w:type="dxa"/>
            <w:vAlign w:val="bottom"/>
            <w:tcBorders>
              <w:top w:val="single" w:sz="8" w:color="0000FF"/>
              <w:bottom w:val="single" w:sz="8" w:color="0000EE"/>
            </w:tcBorders>
          </w:tcPr>
          <w:p>
            <w:pPr>
              <w:spacing w:after="0"/>
              <w:rPr>
                <w:sz w:val="15"/>
                <w:szCs w:val="15"/>
                <w:color w:val="auto"/>
              </w:rPr>
            </w:pPr>
          </w:p>
        </w:tc>
        <w:tc>
          <w:tcPr>
            <w:tcW w:w="7240" w:type="dxa"/>
            <w:vAlign w:val="bottom"/>
            <w:tcBorders>
              <w:top w:val="single" w:sz="8" w:color="0000FF"/>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17"/>
                <w:szCs w:val="17"/>
                <w:color w:val="auto"/>
              </w:rPr>
            </w:pPr>
          </w:p>
        </w:tc>
        <w:tc>
          <w:tcPr>
            <w:tcW w:w="9820" w:type="dxa"/>
            <w:vAlign w:val="bottom"/>
            <w:gridSpan w:val="34"/>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2015 Equity Incentive Plan of Duluth Holdings Inc., incorporated by reference to Exhibit 10.7 of the Company’s Quarterly Report on</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4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10-Q, filed December 18, 2015.</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20"/>
                <w:szCs w:val="20"/>
                <w:color w:val="auto"/>
              </w:rPr>
            </w:pPr>
          </w:p>
        </w:tc>
        <w:tc>
          <w:tcPr>
            <w:tcW w:w="9820" w:type="dxa"/>
            <w:vAlign w:val="bottom"/>
            <w:gridSpan w:val="34"/>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2024 Equity Incentive Plan of Duluth Holdings Inc., incorporated by reference to Appendix A to the Company’s Proxy Statement on</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8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Schedule 14A filed on April 5, 2025.</w:t>
              </w:r>
            </w:hyperlink>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0"/>
                <w:szCs w:val="20"/>
                <w:color w:val="auto"/>
              </w:rPr>
            </w:pPr>
          </w:p>
        </w:tc>
        <w:tc>
          <w:tcPr>
            <w:tcW w:w="9820" w:type="dxa"/>
            <w:vAlign w:val="bottom"/>
            <w:gridSpan w:val="34"/>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Restricted Stock Agreement for non-employee directors under the 2015 Equity Incentive Plan, incorporated by reference to</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Exhibit 10.17 of the Company’s Registration Statement on Form S-1 (File No. 333-207300), filed October 6, 2015.</w:t>
              </w:r>
            </w:hyperlink>
          </w:p>
        </w:tc>
        <w:tc>
          <w:tcPr>
            <w:tcW w:w="6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rPr>
                <w:sz w:val="24"/>
                <w:szCs w:val="24"/>
                <w:color w:val="auto"/>
              </w:rPr>
            </w:pPr>
          </w:p>
        </w:tc>
        <w:tc>
          <w:tcPr>
            <w:tcW w:w="9820" w:type="dxa"/>
            <w:vAlign w:val="bottom"/>
            <w:gridSpan w:val="34"/>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Commercial Lease between Schlecht Retail Ventures LLC and Duluth Holdings Inc., dated February 14, 2010 (100 West Main Street,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9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20" w:type="dxa"/>
            <w:vAlign w:val="bottom"/>
            <w:tcBorders>
              <w:bottom w:val="single" w:sz="8" w:color="0000FF"/>
            </w:tcBorders>
            <w:gridSpan w:val="34"/>
          </w:tcPr>
          <w:p>
            <w:pPr>
              <w:spacing w:after="0" w:line="182"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Mt. Horeb, Wisconsin), incorporated by reference to Exhibit 10.19 of the Company’s Registration Statement on Form S-1 (File No. 333-</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20" w:type="dxa"/>
            <w:vAlign w:val="bottom"/>
            <w:gridSpan w:val="34"/>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207300)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October 6, 2015.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tcPr>
          <w:p>
            <w:pPr>
              <w:spacing w:after="0"/>
              <w:rPr>
                <w:sz w:val="22"/>
                <w:szCs w:val="22"/>
                <w:color w:val="auto"/>
              </w:rPr>
            </w:pPr>
          </w:p>
        </w:tc>
        <w:tc>
          <w:tcPr>
            <w:tcW w:w="9820" w:type="dxa"/>
            <w:vAlign w:val="bottom"/>
            <w:gridSpan w:val="34"/>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of S Corporation Termination, Tax Allocation and Indemnification Agreement among Duluth Holdings Inc. and shareholders of</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20" w:type="dxa"/>
            <w:vAlign w:val="bottom"/>
            <w:tcBorders>
              <w:top w:val="single" w:sz="8" w:color="0000FF"/>
              <w:bottom w:val="single" w:sz="8" w:color="0000FF"/>
            </w:tcBorders>
            <w:gridSpan w:val="25"/>
          </w:tcPr>
          <w:p>
            <w:pPr>
              <w:spacing w:after="0" w:line="182"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Duluth Holdings Inc., incorporated by reference to Exhibit 10.23 of Pre-Effective Amendment No. 1 to the Company’s Registration</w:t>
              </w:r>
            </w:hyperlink>
          </w:p>
        </w:tc>
        <w:tc>
          <w:tcPr>
            <w:tcW w:w="160" w:type="dxa"/>
            <w:vAlign w:val="bottom"/>
            <w:tcBorders>
              <w:top w:val="single" w:sz="8" w:color="0000FF"/>
            </w:tcBorders>
            <w:gridSpan w:val="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10.7</w:t>
            </w:r>
          </w:p>
        </w:tc>
        <w:tc>
          <w:tcPr>
            <w:tcW w:w="580" w:type="dxa"/>
            <w:vAlign w:val="bottom"/>
          </w:tcPr>
          <w:p>
            <w:pPr>
              <w:spacing w:after="0"/>
              <w:rPr>
                <w:sz w:val="17"/>
                <w:szCs w:val="17"/>
                <w:color w:val="auto"/>
              </w:rPr>
            </w:pPr>
          </w:p>
        </w:tc>
        <w:tc>
          <w:tcPr>
            <w:tcW w:w="9820" w:type="dxa"/>
            <w:vAlign w:val="bottom"/>
            <w:gridSpan w:val="34"/>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Statement on Form S-1 (File No. 333-207300), filed October 13, 2015.</w:t>
              </w:r>
            </w:hyperlink>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720" w:type="dxa"/>
            <w:vAlign w:val="bottom"/>
            <w:gridSpan w:val="23"/>
            <w:vMerge w:val="restart"/>
          </w:tcPr>
          <w:p>
            <w:pPr>
              <w:ind w:left="180"/>
              <w:spacing w:after="0" w:line="202"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to Exhibit 10.1 of the Company’s Current Report on Form 8-K</w:t>
              </w:r>
            </w:hyperlink>
          </w:p>
        </w:tc>
        <w:tc>
          <w:tcPr>
            <w:tcW w:w="0" w:type="dxa"/>
            <w:vAlign w:val="bottom"/>
          </w:tcPr>
          <w:p>
            <w:pPr>
              <w:spacing w:after="0" w:line="20" w:lineRule="exact"/>
              <w:rPr>
                <w:sz w:val="1"/>
                <w:szCs w:val="1"/>
                <w:color w:val="auto"/>
              </w:rPr>
            </w:pPr>
          </w:p>
        </w:tc>
      </w:tr>
      <w:tr>
        <w:trPr>
          <w:trHeight w:val="183"/>
        </w:trPr>
        <w:tc>
          <w:tcPr>
            <w:tcW w:w="8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5100" w:type="dxa"/>
            <w:vAlign w:val="bottom"/>
            <w:gridSpan w:val="11"/>
          </w:tcPr>
          <w:p>
            <w:pPr>
              <w:spacing w:after="0" w:line="182" w:lineRule="exact"/>
              <w:rPr>
                <w:rFonts w:ascii="Times New Roman" w:cs="Times New Roman" w:eastAsia="Times New Roman" w:hAnsi="Times New Roman"/>
                <w:sz w:val="18"/>
                <w:szCs w:val="18"/>
                <w:color w:val="0000FF"/>
                <w:w w:val="96"/>
              </w:rPr>
            </w:pPr>
            <w:hyperlink r:id="rId92">
              <w:r>
                <w:rPr>
                  <w:rFonts w:ascii="Times New Roman" w:cs="Times New Roman" w:eastAsia="Times New Roman" w:hAnsi="Times New Roman"/>
                  <w:sz w:val="18"/>
                  <w:szCs w:val="18"/>
                  <w:color w:val="0000FF"/>
                  <w:w w:val="96"/>
                </w:rPr>
                <w:t>Amended and Restated Annual Incentive Plan, incorporated by reference</w:t>
              </w:r>
            </w:hyperlink>
          </w:p>
        </w:tc>
        <w:tc>
          <w:tcPr>
            <w:tcW w:w="4720" w:type="dxa"/>
            <w:vAlign w:val="bottom"/>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2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dated February 20,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580" w:type="dxa"/>
            <w:vAlign w:val="bottom"/>
          </w:tcPr>
          <w:p>
            <w:pPr>
              <w:spacing w:after="0"/>
              <w:rPr>
                <w:sz w:val="17"/>
                <w:szCs w:val="17"/>
                <w:color w:val="auto"/>
              </w:rPr>
            </w:pPr>
          </w:p>
        </w:tc>
        <w:tc>
          <w:tcPr>
            <w:tcW w:w="9820" w:type="dxa"/>
            <w:vAlign w:val="bottom"/>
            <w:gridSpan w:val="34"/>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Restricted Stock Agreement for executives under the 2015 Equity Incentive Plan, incorporated by reference to Exhibit 10.1 of</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2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the Company’s Quarterly Report on Form 10-Q dated May 1, 2016.</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0" w:type="dxa"/>
            <w:vAlign w:val="bottom"/>
            <w:tcBorders>
              <w:right w:val="single" w:sz="8" w:color="0000EE"/>
            </w:tcBorders>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80" w:type="dxa"/>
            <w:vAlign w:val="bottom"/>
          </w:tcPr>
          <w:p>
            <w:pPr>
              <w:spacing w:after="0"/>
              <w:rPr>
                <w:sz w:val="22"/>
                <w:szCs w:val="22"/>
                <w:color w:val="auto"/>
              </w:rPr>
            </w:pPr>
          </w:p>
        </w:tc>
        <w:tc>
          <w:tcPr>
            <w:tcW w:w="9820" w:type="dxa"/>
            <w:vAlign w:val="bottom"/>
            <w:gridSpan w:val="34"/>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Restrictive Covenant Agreement, incorporated by reference to Exhibit 10.2 of the Company’s Current Report on Form 8-K</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dated July 24, 2017.</w:t>
              </w:r>
            </w:hyperlink>
          </w:p>
        </w:tc>
        <w:tc>
          <w:tcPr>
            <w:tcW w:w="20" w:type="dxa"/>
            <w:vAlign w:val="bottom"/>
            <w:tcBorders>
              <w:top w:val="single" w:sz="8" w:color="0000FF"/>
              <w:bottom w:val="single" w:sz="8" w:color="0000EE"/>
            </w:tcBorders>
          </w:tcPr>
          <w:p>
            <w:pPr>
              <w:spacing w:after="0"/>
              <w:rPr>
                <w:sz w:val="15"/>
                <w:szCs w:val="15"/>
                <w:color w:val="auto"/>
              </w:rPr>
            </w:pPr>
          </w:p>
        </w:tc>
        <w:tc>
          <w:tcPr>
            <w:tcW w:w="8040" w:type="dxa"/>
            <w:vAlign w:val="bottom"/>
            <w:tcBorders>
              <w:top w:val="single" w:sz="8" w:color="0000FF"/>
            </w:tcBorders>
            <w:gridSpan w:val="22"/>
          </w:tcPr>
          <w:p>
            <w:pPr>
              <w:spacing w:after="0"/>
              <w:rPr>
                <w:sz w:val="15"/>
                <w:szCs w:val="15"/>
                <w:color w:val="auto"/>
              </w:rPr>
            </w:pPr>
          </w:p>
        </w:tc>
        <w:tc>
          <w:tcPr>
            <w:tcW w:w="100" w:type="dxa"/>
            <w:vAlign w:val="bottom"/>
            <w:gridSpan w:val="4"/>
          </w:tcPr>
          <w:p>
            <w:pPr>
              <w:spacing w:after="0"/>
              <w:rPr>
                <w:sz w:val="15"/>
                <w:szCs w:val="15"/>
                <w:color w:val="auto"/>
              </w:rPr>
            </w:pPr>
          </w:p>
        </w:tc>
        <w:tc>
          <w:tcPr>
            <w:tcW w:w="14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80" w:type="dxa"/>
            <w:vAlign w:val="bottom"/>
          </w:tcPr>
          <w:p>
            <w:pPr>
              <w:spacing w:after="0"/>
              <w:rPr>
                <w:sz w:val="22"/>
                <w:szCs w:val="22"/>
                <w:color w:val="auto"/>
              </w:rPr>
            </w:pPr>
          </w:p>
        </w:tc>
        <w:tc>
          <w:tcPr>
            <w:tcW w:w="9820" w:type="dxa"/>
            <w:vAlign w:val="bottom"/>
            <w:gridSpan w:val="3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First Amended and Restated Employment Agreement, dated as of May 27, 2021, between Stephen L. Schlecht and the Company,</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50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incorporated by reference to Exhibit 10.1 of the Company’s Quarterly Report on Form 10-Q dated September 3,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820" w:type="dxa"/>
            <w:vAlign w:val="bottom"/>
            <w:tcBorders>
              <w:top w:val="single" w:sz="8" w:color="0000FF"/>
            </w:tcBorders>
            <w:gridSpan w:val="4"/>
          </w:tcPr>
          <w:p>
            <w:pPr>
              <w:spacing w:after="0"/>
              <w:rPr>
                <w:sz w:val="15"/>
                <w:szCs w:val="15"/>
                <w:color w:val="auto"/>
              </w:rPr>
            </w:pPr>
          </w:p>
        </w:tc>
        <w:tc>
          <w:tcPr>
            <w:tcW w:w="260" w:type="dxa"/>
            <w:vAlign w:val="bottom"/>
            <w:gridSpan w:val="6"/>
          </w:tcPr>
          <w:p>
            <w:pPr>
              <w:spacing w:after="0"/>
              <w:rPr>
                <w:sz w:val="15"/>
                <w:szCs w:val="15"/>
                <w:color w:val="auto"/>
              </w:rPr>
            </w:pPr>
          </w:p>
        </w:tc>
        <w:tc>
          <w:tcPr>
            <w:tcW w:w="14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80" w:type="dxa"/>
            <w:vAlign w:val="bottom"/>
          </w:tcPr>
          <w:p>
            <w:pPr>
              <w:spacing w:after="0"/>
              <w:rPr>
                <w:sz w:val="24"/>
                <w:szCs w:val="24"/>
                <w:color w:val="auto"/>
              </w:rPr>
            </w:pPr>
          </w:p>
        </w:tc>
        <w:tc>
          <w:tcPr>
            <w:tcW w:w="9820" w:type="dxa"/>
            <w:vAlign w:val="bottom"/>
            <w:gridSpan w:val="3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Employment Agreement between Duluth Holdings Inc. and Samuel M. Sato dated May 3, 2021, incorporated by reference to Exhibit</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of the Company’s Quarterly Report on 10-Q dated June 4, 2021.</w:t>
              </w:r>
            </w:hyperlink>
          </w:p>
        </w:tc>
        <w:tc>
          <w:tcPr>
            <w:tcW w:w="14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4980" w:type="dxa"/>
            <w:vAlign w:val="bottom"/>
            <w:tcBorders>
              <w:right w:val="single" w:sz="8" w:color="0000EE"/>
            </w:tcBorders>
            <w:gridSpan w:val="10"/>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gridSpan w:val="2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580" w:type="dxa"/>
            <w:vAlign w:val="bottom"/>
          </w:tcPr>
          <w:p>
            <w:pPr>
              <w:spacing w:after="0"/>
              <w:rPr>
                <w:sz w:val="17"/>
                <w:szCs w:val="17"/>
                <w:color w:val="auto"/>
              </w:rPr>
            </w:pPr>
          </w:p>
        </w:tc>
        <w:tc>
          <w:tcPr>
            <w:tcW w:w="9820" w:type="dxa"/>
            <w:vAlign w:val="bottom"/>
            <w:gridSpan w:val="34"/>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Offer Letter dated January 24, 2020 by and between David S. Homolka and Duluth Holdings Inc., incorporated by reference to Exhibit</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4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r>
                <w:rPr>
                  <w:rFonts w:ascii="Times New Roman" w:cs="Times New Roman" w:eastAsia="Times New Roman" w:hAnsi="Times New Roman"/>
                  <w:sz w:val="18"/>
                  <w:szCs w:val="18"/>
                  <w:color w:val="0000FF"/>
                </w:rPr>
                <w:t xml:space="preserve"> of the Company’s Annual Report on Form 10-K, filed March 25, 2022.</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60" w:type="dxa"/>
            <w:vAlign w:val="bottom"/>
            <w:tcBorders>
              <w:top w:val="single" w:sz="8" w:color="0000FF"/>
            </w:tcBorders>
            <w:gridSpan w:val="9"/>
          </w:tcPr>
          <w:p>
            <w:pPr>
              <w:jc w:val="right"/>
              <w:ind w:right="580"/>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1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6"/>
        </w:trPr>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820" w:type="dxa"/>
            <w:vAlign w:val="bottom"/>
            <w:gridSpan w:val="30"/>
            <w:vMerge w:val="restart"/>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Offer Letter dated January 24, 2020 by and between Richard W. Schlecht and Duluth Holdings Inc., incorporated by reference to</w:t>
              </w:r>
            </w:hyperlink>
          </w:p>
        </w:tc>
        <w:tc>
          <w:tcPr>
            <w:tcW w:w="0" w:type="dxa"/>
            <w:vAlign w:val="bottom"/>
          </w:tcPr>
          <w:p>
            <w:pPr>
              <w:spacing w:after="0"/>
              <w:rPr>
                <w:sz w:val="1"/>
                <w:szCs w:val="1"/>
                <w:color w:val="auto"/>
              </w:rPr>
            </w:pPr>
          </w:p>
        </w:tc>
      </w:tr>
      <w:tr>
        <w:trPr>
          <w:trHeight w:val="182"/>
        </w:trPr>
        <w:tc>
          <w:tcPr>
            <w:tcW w:w="1280" w:type="dxa"/>
            <w:vAlign w:val="bottom"/>
            <w:tcBorders>
              <w:top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5"/>
                <w:szCs w:val="15"/>
                <w:color w:val="auto"/>
              </w:rPr>
            </w:pPr>
          </w:p>
        </w:tc>
        <w:tc>
          <w:tcPr>
            <w:tcW w:w="9820" w:type="dxa"/>
            <w:vAlign w:val="bottom"/>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Exhibit 10.19 of the Company’s Annual Report on Form 10-K, filed March 25, 2022.</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30"/>
          </w:tcPr>
          <w:p>
            <w:pPr>
              <w:spacing w:after="0" w:line="18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Credit Agreement, dated as of May 14, 2021, among Duluth Holdings Inc., the Lenders party thereto, Bank of America, N.A., as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Administrative Agent, Swingline Lender and L/C Issuer, BofA Securities, Inc., as a Joint Lead Arranger and Sole Bookrunner, and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4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Keybanc Capital Markets Inc., as a Joint Lead Arranger, incorporated by reference to Exhibit 10.1 of the Company’s Current Report</w:t>
              </w:r>
            </w:hyperlink>
          </w:p>
        </w:tc>
        <w:tc>
          <w:tcPr>
            <w:tcW w:w="80" w:type="dxa"/>
            <w:vAlign w:val="bottom"/>
          </w:tcPr>
          <w:p>
            <w:pPr>
              <w:spacing w:after="0"/>
              <w:rPr>
                <w:sz w:val="15"/>
                <w:szCs w:val="15"/>
                <w:color w:val="auto"/>
              </w:rPr>
            </w:pPr>
          </w:p>
        </w:tc>
        <w:tc>
          <w:tcPr>
            <w:tcW w:w="300" w:type="dxa"/>
            <w:vAlign w:val="bottom"/>
            <w:gridSpan w:val="5"/>
          </w:tcPr>
          <w:p>
            <w:pPr>
              <w:jc w:val="right"/>
              <w:ind w:right="100"/>
              <w:spacing w:after="0" w:line="182"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on</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5"/>
                <w:szCs w:val="15"/>
                <w:color w:val="auto"/>
              </w:rPr>
            </w:pPr>
          </w:p>
        </w:tc>
        <w:tc>
          <w:tcPr>
            <w:tcW w:w="974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8-K dated May 14, 2021.</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30"/>
          </w:tcPr>
          <w:p>
            <w:pPr>
              <w:spacing w:after="0" w:line="18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Security Agreement, dated as of May 14, 2021, by and between Duluth Holdings Inc. and Bank of America, N.A., incorporated by</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reference to Exhibit 10.2 of the Company’s Current Report on Form 8-K dated May 14, 2021.</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80" w:type="dxa"/>
            <w:vAlign w:val="bottom"/>
            <w:gridSpan w:val="11"/>
            <w:vMerge w:val="restart"/>
          </w:tcPr>
          <w:p>
            <w:pPr>
              <w:jc w:val="right"/>
              <w:ind w:right="100"/>
              <w:spacing w:after="0" w:line="202"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to Exhibit 10.1 of the Company’s Current</w:t>
              </w:r>
            </w:hyperlink>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740" w:type="dxa"/>
            <w:vAlign w:val="bottom"/>
            <w:gridSpan w:val="19"/>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Duluth Holdings Inc. Executive Change in Control Severance Plan incorporated by reference</w:t>
              </w:r>
            </w:hyperlink>
          </w:p>
        </w:tc>
        <w:tc>
          <w:tcPr>
            <w:tcW w:w="308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Report on Form 8-K dated April 14, 2022.</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6780" w:type="dxa"/>
            <w:vAlign w:val="bottom"/>
            <w:gridSpan w:val="20"/>
            <w:vMerge w:val="restart"/>
          </w:tcPr>
          <w:p>
            <w:pPr>
              <w:spacing w:after="0" w:line="202"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Severance Plan Incorporated by reference to Exhibit 10.2 of the Company’s Current Report on</w:t>
              </w:r>
            </w:hyperlink>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10"/>
          </w:tcPr>
          <w:p>
            <w:pPr>
              <w:spacing w:after="0" w:line="18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Duluth Holdings Inc. Executive General</w:t>
              </w:r>
            </w:hyperlink>
          </w:p>
        </w:tc>
        <w:tc>
          <w:tcPr>
            <w:tcW w:w="6780" w:type="dxa"/>
            <w:vAlign w:val="bottom"/>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8-K dated April 14, 2022.</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30"/>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First Amendment, dated as of July 8, 2022, among Duluth Holdings Inc., the Lenders party thereto, Bank of America, N.A., as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Administrative Agent, Swingline Lender and L/C Issuer, BofA Securities, Inc., as a Joint Lead Arranger and Sole Bookrunner, and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4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Keybanc Capital Markets Inc., as a Joint Lead Arranger, incorporated by reference to Exhibit 10.1 of the Company’s Current Report</w:t>
              </w:r>
            </w:hyperlink>
          </w:p>
        </w:tc>
        <w:tc>
          <w:tcPr>
            <w:tcW w:w="80" w:type="dxa"/>
            <w:vAlign w:val="bottom"/>
          </w:tcPr>
          <w:p>
            <w:pPr>
              <w:spacing w:after="0"/>
              <w:rPr>
                <w:sz w:val="15"/>
                <w:szCs w:val="15"/>
                <w:color w:val="auto"/>
              </w:rPr>
            </w:pPr>
          </w:p>
        </w:tc>
        <w:tc>
          <w:tcPr>
            <w:tcW w:w="300" w:type="dxa"/>
            <w:vAlign w:val="bottom"/>
            <w:gridSpan w:val="5"/>
          </w:tcPr>
          <w:p>
            <w:pPr>
              <w:jc w:val="right"/>
              <w:ind w:right="100"/>
              <w:spacing w:after="0" w:line="182"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on</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15"/>
                <w:szCs w:val="15"/>
                <w:color w:val="auto"/>
              </w:rPr>
            </w:pPr>
          </w:p>
        </w:tc>
        <w:tc>
          <w:tcPr>
            <w:tcW w:w="974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8-K dated July 8, 2022.</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30"/>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Offer Letter dated July 27, 2022 by and between Albert J. Sutera and Duluth Holdings Inc., incorporated by reference to Exhibit 10.1 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the Company’s Quarterly Report on Form 10-Q dated September 2, 2022.</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520" w:type="dxa"/>
            <w:vAlign w:val="bottom"/>
            <w:gridSpan w:val="17"/>
            <w:vMerge w:val="restart"/>
          </w:tcPr>
          <w:p>
            <w:pPr>
              <w:spacing w:after="0" w:line="20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Duluth Holdings Inc., incorporated by reference to Exhibit</w:t>
              </w:r>
            </w:hyperlink>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300" w:type="dxa"/>
            <w:vAlign w:val="bottom"/>
            <w:gridSpan w:val="13"/>
          </w:tcPr>
          <w:p>
            <w:pPr>
              <w:spacing w:after="0" w:line="18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Offer Letter dated January 17, 2024 by and between Heena Agrawal and</w:t>
              </w:r>
            </w:hyperlink>
          </w:p>
        </w:tc>
        <w:tc>
          <w:tcPr>
            <w:tcW w:w="452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Company’s Current Report on Form 8-K dated January 18, 2024.</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30"/>
          </w:tcPr>
          <w:p>
            <w:pPr>
              <w:spacing w:after="0" w:line="182"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Inducement Restricted Stock Award Agreement, dated February 12, 2024, by and between Heena Agrawal and Duluth Holdings Inc.,</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incorporated by reference to the Company’s Current Report on Form 8-K dated February 12, 2024.</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gridSpan w:val="5"/>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1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Offer Letter dated July 18, 2024 by and between Ei Getson and Duluth Holdings Inc.*</w:t>
            </w:r>
          </w:p>
        </w:tc>
        <w:tc>
          <w:tcPr>
            <w:tcW w:w="20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60" w:type="dxa"/>
            <w:vAlign w:val="bottom"/>
            <w:gridSpan w:val="5"/>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18"/>
                <w:szCs w:val="18"/>
                <w:color w:val="auto"/>
              </w:rPr>
            </w:pPr>
          </w:p>
        </w:tc>
        <w:tc>
          <w:tcPr>
            <w:tcW w:w="98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Offer Letter dated August 5, 2024 by and between Garth Weber and Duluth Holdings Inc.*</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18"/>
                <w:szCs w:val="18"/>
                <w:color w:val="auto"/>
              </w:rPr>
            </w:pPr>
          </w:p>
        </w:tc>
        <w:tc>
          <w:tcPr>
            <w:tcW w:w="98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Second Amendment to Employment Agreement, dated as of February 26, 2025, by and between Stephen L. Schlecht and Duluth</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33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Holdings Inc.*</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30"/>
          </w:tcPr>
          <w:p>
            <w:pPr>
              <w:spacing w:after="0" w:line="182"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Restricted Stock Agreement for executives under the 2024 Equity Incentive Plan, incorporated by reference to the Company’s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3360" w:type="dxa"/>
            <w:vAlign w:val="bottom"/>
            <w:gridSpan w:val="6"/>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Quarterly Report on Form 10-Q for the quarter ended July 28, 2024.*</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30"/>
          </w:tcPr>
          <w:p>
            <w:pPr>
              <w:spacing w:after="0" w:line="182"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Restricted Stock Agreement for non-employee directors under the 2024 Equity Incentive Plan, incorporated by reference to the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3360" w:type="dxa"/>
            <w:vAlign w:val="bottom"/>
            <w:gridSpan w:val="6"/>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Company’s Quarterly Report on Form 10-Q for the quarter ended July 28, 2024.</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gridSpan w:val="4"/>
            <w:shd w:val="clear" w:color="auto" w:fill="0000FF"/>
          </w:tcPr>
          <w:p>
            <w:pPr>
              <w:spacing w:after="0" w:line="20" w:lineRule="exact"/>
              <w:rPr>
                <w:sz w:val="1"/>
                <w:szCs w:val="1"/>
                <w:color w:val="auto"/>
              </w:rPr>
            </w:pPr>
          </w:p>
        </w:tc>
        <w:tc>
          <w:tcPr>
            <w:tcW w:w="4040" w:type="dxa"/>
            <w:vAlign w:val="bottom"/>
            <w:gridSpan w:val="15"/>
            <w:vMerge w:val="restart"/>
          </w:tcPr>
          <w:p>
            <w:pPr>
              <w:ind w:left="60"/>
              <w:spacing w:after="0" w:line="202"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the Lenders party thereto, Bank of America, N.A., as</w:t>
              </w:r>
            </w:hyperlink>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780" w:type="dxa"/>
            <w:vAlign w:val="bottom"/>
            <w:gridSpan w:val="15"/>
          </w:tcPr>
          <w:p>
            <w:pPr>
              <w:spacing w:after="0" w:line="182"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Second Amendment, dated as of January 31, 2025, among Duluth Holdings Inc.,</w:t>
              </w:r>
            </w:hyperlink>
          </w:p>
        </w:tc>
        <w:tc>
          <w:tcPr>
            <w:tcW w:w="404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60" w:type="dxa"/>
            <w:vAlign w:val="bottom"/>
            <w:gridSpan w:val="10"/>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30"/>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Administrative Agent, Swingline Lender and L/C Issuer, BofA Securities, Inc., as a Joint Lead Arranger and Sole Bookrunner, and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4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Keybanc Capital Markets Inc., as a Joint Lead Arranger, incorporated by reference to Exhibit 10.1 of the Company’s Current Report</w:t>
              </w:r>
            </w:hyperlink>
          </w:p>
        </w:tc>
        <w:tc>
          <w:tcPr>
            <w:tcW w:w="380" w:type="dxa"/>
            <w:vAlign w:val="bottom"/>
            <w:gridSpan w:val="6"/>
          </w:tcPr>
          <w:p>
            <w:pPr>
              <w:jc w:val="right"/>
              <w:ind w:right="100"/>
              <w:spacing w:after="0" w:line="182"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on</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5"/>
                <w:szCs w:val="15"/>
                <w:color w:val="auto"/>
              </w:rPr>
            </w:pPr>
          </w:p>
        </w:tc>
        <w:tc>
          <w:tcPr>
            <w:tcW w:w="246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Form 8-K dated January 31, 2025.</w:t>
              </w:r>
            </w:hyperlink>
          </w:p>
        </w:tc>
        <w:tc>
          <w:tcPr>
            <w:tcW w:w="20" w:type="dxa"/>
            <w:vAlign w:val="bottom"/>
            <w:tcBorders>
              <w:top w:val="single" w:sz="8" w:color="0000FF"/>
              <w:bottom w:val="single" w:sz="8" w:color="0000EE"/>
            </w:tcBorders>
          </w:tcPr>
          <w:p>
            <w:pPr>
              <w:spacing w:after="0"/>
              <w:rPr>
                <w:sz w:val="15"/>
                <w:szCs w:val="15"/>
                <w:color w:val="auto"/>
              </w:rPr>
            </w:pPr>
          </w:p>
        </w:tc>
        <w:tc>
          <w:tcPr>
            <w:tcW w:w="7260" w:type="dxa"/>
            <w:vAlign w:val="bottom"/>
            <w:tcBorders>
              <w:top w:val="single" w:sz="8" w:color="0000FF"/>
            </w:tcBorders>
            <w:gridSpan w:val="20"/>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8"/>
              </w:rPr>
              <w:t>Duluth Holdings Inc. Statement of</w:t>
            </w:r>
          </w:p>
        </w:tc>
        <w:tc>
          <w:tcPr>
            <w:tcW w:w="7340" w:type="dxa"/>
            <w:vAlign w:val="bottom"/>
            <w:gridSpan w:val="21"/>
          </w:tcPr>
          <w:p>
            <w:pPr>
              <w:ind w:left="20"/>
              <w:spacing w:after="0" w:line="182" w:lineRule="exact"/>
              <w:rPr>
                <w:sz w:val="20"/>
                <w:szCs w:val="20"/>
                <w:color w:val="auto"/>
              </w:rPr>
            </w:pPr>
            <w:r>
              <w:rPr>
                <w:rFonts w:ascii="Times New Roman" w:cs="Times New Roman" w:eastAsia="Times New Roman" w:hAnsi="Times New Roman"/>
                <w:sz w:val="18"/>
                <w:szCs w:val="18"/>
                <w:color w:val="0000FF"/>
              </w:rPr>
              <w:t>Policy on Securities Trading.*</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6"/>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60" w:type="dxa"/>
            <w:vAlign w:val="bottom"/>
            <w:gridSpan w:val="10"/>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8"/>
                <w:szCs w:val="18"/>
                <w:color w:val="auto"/>
              </w:rPr>
            </w:pPr>
          </w:p>
        </w:tc>
        <w:tc>
          <w:tcPr>
            <w:tcW w:w="98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Consent of KPMG LLP.*</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6"/>
            <w:vMerge w:val="restart"/>
          </w:tcPr>
          <w:p>
            <w:pPr>
              <w:spacing w:after="0" w:line="20" w:lineRule="exact"/>
              <w:rPr>
                <w:sz w:val="1"/>
                <w:szCs w:val="1"/>
                <w:color w:val="auto"/>
              </w:rPr>
            </w:pPr>
          </w:p>
        </w:tc>
        <w:tc>
          <w:tcPr>
            <w:tcW w:w="6100" w:type="dxa"/>
            <w:vAlign w:val="bottom"/>
            <w:gridSpan w:val="11"/>
            <w:vMerge w:val="restart"/>
          </w:tcPr>
          <w:p>
            <w:pPr>
              <w:spacing w:after="0" w:line="20" w:lineRule="exact"/>
              <w:rPr>
                <w:sz w:val="1"/>
                <w:szCs w:val="1"/>
                <w:color w:val="auto"/>
              </w:rPr>
            </w:pPr>
          </w:p>
        </w:tc>
        <w:tc>
          <w:tcPr>
            <w:tcW w:w="500" w:type="dxa"/>
            <w:vAlign w:val="bottom"/>
            <w:gridSpan w:val="6"/>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Power of Attorney.*</w:t>
            </w:r>
          </w:p>
        </w:tc>
        <w:tc>
          <w:tcPr>
            <w:tcW w:w="1240" w:type="dxa"/>
            <w:vAlign w:val="bottom"/>
            <w:gridSpan w:val="6"/>
            <w:vMerge w:val="continue"/>
          </w:tcPr>
          <w:p>
            <w:pPr>
              <w:spacing w:after="0"/>
              <w:rPr>
                <w:sz w:val="15"/>
                <w:szCs w:val="15"/>
                <w:color w:val="auto"/>
              </w:rPr>
            </w:pPr>
          </w:p>
        </w:tc>
        <w:tc>
          <w:tcPr>
            <w:tcW w:w="6100" w:type="dxa"/>
            <w:vAlign w:val="bottom"/>
            <w:gridSpan w:val="11"/>
            <w:vMerge w:val="continue"/>
          </w:tcPr>
          <w:p>
            <w:pPr>
              <w:spacing w:after="0"/>
              <w:rPr>
                <w:sz w:val="15"/>
                <w:szCs w:val="15"/>
                <w:color w:val="auto"/>
              </w:rPr>
            </w:pPr>
          </w:p>
        </w:tc>
        <w:tc>
          <w:tcPr>
            <w:tcW w:w="500" w:type="dxa"/>
            <w:vAlign w:val="bottom"/>
            <w:gridSpan w:val="6"/>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360" w:type="dxa"/>
            <w:vAlign w:val="bottom"/>
            <w:gridSpan w:val="27"/>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0000FF"/>
              </w:rPr>
              <w:t>Executive Officer pursuant to Rule 13a-14(a) and Rule 15d-14(a) of the Securities and Exchange Act, as</w:t>
            </w: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1"/>
              </w:rPr>
              <w:t>Certification of Chief</w:t>
            </w:r>
          </w:p>
        </w:tc>
        <w:tc>
          <w:tcPr>
            <w:tcW w:w="8360" w:type="dxa"/>
            <w:vAlign w:val="bottom"/>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6100" w:type="dxa"/>
            <w:vAlign w:val="bottom"/>
            <w:gridSpan w:val="11"/>
            <w:shd w:val="clear" w:color="auto" w:fill="0000FF"/>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9040" w:type="dxa"/>
            <w:vAlign w:val="bottom"/>
            <w:gridSpan w:val="29"/>
            <w:vMerge w:val="restart"/>
          </w:tcPr>
          <w:p>
            <w:pPr>
              <w:ind w:left="160"/>
              <w:spacing w:after="0" w:line="202" w:lineRule="exact"/>
              <w:rPr>
                <w:sz w:val="20"/>
                <w:szCs w:val="20"/>
                <w:color w:val="auto"/>
              </w:rPr>
            </w:pPr>
            <w:r>
              <w:rPr>
                <w:rFonts w:ascii="Times New Roman" w:cs="Times New Roman" w:eastAsia="Times New Roman" w:hAnsi="Times New Roman"/>
                <w:sz w:val="18"/>
                <w:szCs w:val="18"/>
                <w:color w:val="0000FF"/>
              </w:rPr>
              <w:t>of Chief Financial Officer pursuant to Rule 13a-14(a) and Rule 15d-14(a) of the Securities and Exchange Act of 1934, as</w:t>
            </w:r>
          </w:p>
        </w:tc>
        <w:tc>
          <w:tcPr>
            <w:tcW w:w="0" w:type="dxa"/>
            <w:vAlign w:val="bottom"/>
          </w:tcPr>
          <w:p>
            <w:pPr>
              <w:spacing w:after="0" w:line="20" w:lineRule="exact"/>
              <w:rPr>
                <w:sz w:val="1"/>
                <w:szCs w:val="1"/>
                <w:color w:val="auto"/>
              </w:rPr>
            </w:pPr>
          </w:p>
        </w:tc>
      </w:tr>
      <w:tr>
        <w:trPr>
          <w:trHeight w:val="182"/>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81"/>
              </w:rPr>
              <w:t>Certification</w:t>
            </w:r>
          </w:p>
        </w:tc>
        <w:tc>
          <w:tcPr>
            <w:tcW w:w="9040" w:type="dxa"/>
            <w:vAlign w:val="bottom"/>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6600" w:type="dxa"/>
            <w:vAlign w:val="bottom"/>
            <w:gridSpan w:val="17"/>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9040" w:type="dxa"/>
            <w:vAlign w:val="bottom"/>
            <w:gridSpan w:val="29"/>
            <w:vMerge w:val="restart"/>
          </w:tcPr>
          <w:p>
            <w:pPr>
              <w:ind w:left="160"/>
              <w:spacing w:after="0" w:line="202" w:lineRule="exact"/>
              <w:rPr>
                <w:sz w:val="20"/>
                <w:szCs w:val="20"/>
                <w:color w:val="auto"/>
              </w:rPr>
            </w:pPr>
            <w:r>
              <w:rPr>
                <w:rFonts w:ascii="Times New Roman" w:cs="Times New Roman" w:eastAsia="Times New Roman" w:hAnsi="Times New Roman"/>
                <w:sz w:val="18"/>
                <w:szCs w:val="18"/>
                <w:color w:val="0000FF"/>
              </w:rPr>
              <w:t>of Chief Executive Officer pursuant to 18 U.S.C. Section 1350, as adopted pursuant to Section 906 of the Sarbanes-Oxley</w:t>
            </w: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81"/>
              </w:rPr>
              <w:t>Certification</w:t>
            </w:r>
          </w:p>
        </w:tc>
        <w:tc>
          <w:tcPr>
            <w:tcW w:w="9040" w:type="dxa"/>
            <w:vAlign w:val="bottom"/>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6600" w:type="dxa"/>
            <w:vAlign w:val="bottom"/>
            <w:gridSpan w:val="1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98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6600" w:type="dxa"/>
            <w:vAlign w:val="bottom"/>
            <w:gridSpan w:val="1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40" w:type="dxa"/>
            <w:vAlign w:val="bottom"/>
            <w:tcBorders>
              <w:right w:val="single" w:sz="8" w:color="0000FF"/>
            </w:tcBorders>
            <w:gridSpan w:val="10"/>
            <w:shd w:val="clear" w:color="auto" w:fill="0000FF"/>
          </w:tcPr>
          <w:p>
            <w:pPr>
              <w:spacing w:after="0" w:line="20" w:lineRule="exact"/>
              <w:rPr>
                <w:sz w:val="1"/>
                <w:szCs w:val="1"/>
                <w:color w:val="auto"/>
              </w:rPr>
            </w:pPr>
          </w:p>
        </w:tc>
        <w:tc>
          <w:tcPr>
            <w:tcW w:w="6600" w:type="dxa"/>
            <w:vAlign w:val="bottom"/>
            <w:gridSpan w:val="17"/>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6600" w:type="dxa"/>
            <w:vAlign w:val="bottom"/>
            <w:gridSpan w:val="1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Pr>
          <w:p>
            <w:pPr>
              <w:spacing w:after="0"/>
              <w:rPr>
                <w:sz w:val="19"/>
                <w:szCs w:val="19"/>
                <w:color w:val="auto"/>
              </w:rPr>
            </w:pPr>
          </w:p>
        </w:tc>
        <w:tc>
          <w:tcPr>
            <w:tcW w:w="9820" w:type="dxa"/>
            <w:vAlign w:val="bottom"/>
            <w:gridSpan w:val="30"/>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 xml:space="preserve">Executive Officer Compensation Recovery Policy, </w:t>
              </w:r>
            </w:hyperlink>
            <w:r>
              <w:rPr>
                <w:rFonts w:ascii="Times New Roman" w:cs="Times New Roman" w:eastAsia="Times New Roman" w:hAnsi="Times New Roman"/>
                <w:sz w:val="18"/>
                <w:szCs w:val="18"/>
                <w:color w:val="0000FF"/>
              </w:rPr>
              <w:t>incorporated by reference to Exhibit 97 of the Company’s Annual Report on Form</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40" w:type="dxa"/>
            <w:vAlign w:val="bottom"/>
            <w:tcBorders>
              <w:right w:val="single" w:sz="8" w:color="0000FF"/>
            </w:tcBorders>
            <w:gridSpan w:val="10"/>
            <w:shd w:val="clear" w:color="auto" w:fill="0000FF"/>
          </w:tcPr>
          <w:p>
            <w:pPr>
              <w:spacing w:after="0" w:line="20" w:lineRule="exact"/>
              <w:rPr>
                <w:sz w:val="1"/>
                <w:szCs w:val="1"/>
                <w:color w:val="auto"/>
              </w:rPr>
            </w:pPr>
          </w:p>
        </w:tc>
        <w:tc>
          <w:tcPr>
            <w:tcW w:w="6600" w:type="dxa"/>
            <w:vAlign w:val="bottom"/>
            <w:gridSpan w:val="17"/>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10-K for the year ended January 28, 2024.</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Borders>
              <w:top w:val="single" w:sz="8" w:color="0000FF"/>
            </w:tcBorders>
            <w:gridSpan w:val="10"/>
          </w:tcPr>
          <w:p>
            <w:pPr>
              <w:spacing w:after="0"/>
              <w:rPr>
                <w:sz w:val="18"/>
                <w:szCs w:val="18"/>
                <w:color w:val="auto"/>
              </w:rPr>
            </w:pPr>
          </w:p>
        </w:tc>
        <w:tc>
          <w:tcPr>
            <w:tcW w:w="1640" w:type="dxa"/>
            <w:vAlign w:val="bottom"/>
          </w:tcPr>
          <w:p>
            <w:pPr>
              <w:jc w:val="right"/>
              <w:ind w:right="319"/>
              <w:spacing w:after="0"/>
              <w:rPr>
                <w:sz w:val="20"/>
                <w:szCs w:val="20"/>
                <w:color w:val="auto"/>
              </w:rPr>
            </w:pPr>
            <w:r>
              <w:rPr>
                <w:rFonts w:ascii="Times New Roman" w:cs="Times New Roman" w:eastAsia="Times New Roman" w:hAnsi="Times New Roman"/>
                <w:sz w:val="14"/>
                <w:szCs w:val="14"/>
                <w:color w:val="auto"/>
              </w:rPr>
              <w:t>67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6"/>
        </w:trPr>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28"/>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101.INS</w:t>
            </w:r>
          </w:p>
        </w:tc>
        <w:tc>
          <w:tcPr>
            <w:tcW w:w="6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8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5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0" w:type="dxa"/>
            <w:vAlign w:val="bottom"/>
          </w:tcPr>
          <w:p>
            <w:pPr>
              <w:spacing w:after="0"/>
              <w:rPr>
                <w:sz w:val="1"/>
                <w:szCs w:val="1"/>
                <w:color w:val="auto"/>
              </w:rPr>
            </w:pPr>
          </w:p>
        </w:tc>
      </w:tr>
      <w:tr>
        <w:trPr>
          <w:trHeight w:val="229"/>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400" w:right="5180" w:hanging="2"/>
        <w:spacing w:after="0" w:line="253" w:lineRule="auto"/>
        <w:tabs>
          <w:tab w:leader="none" w:pos="166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compensation plan or arrangement * Filed herewith</w:t>
      </w: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 accordance with Regulation S-T, the XBRL-related information in Exhibit 101 to this Annual Report on Form 10-K shall be deemed to be “furnished” and not</w:t>
      </w:r>
    </w:p>
    <w:p>
      <w:pPr>
        <w:spacing w:after="0" w:line="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“filed.”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color w:val="auto"/>
        </w:rPr>
        <w:t>FORM 10-K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5" w:right="6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200" w:lineRule="exact"/>
        <w:rPr>
          <w:sz w:val="20"/>
          <w:szCs w:val="20"/>
          <w:color w:val="auto"/>
        </w:rPr>
      </w:pPr>
    </w:p>
    <w:p>
      <w:pPr>
        <w:spacing w:after="0" w:line="25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Samuel 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2575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Samuel M. Sato</w:t>
      </w: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2025</w:t>
      </w:r>
    </w:p>
    <w:p>
      <w:pPr>
        <w:spacing w:after="0" w:line="171" w:lineRule="exact"/>
        <w:rPr>
          <w:sz w:val="20"/>
          <w:szCs w:val="20"/>
          <w:color w:val="auto"/>
        </w:rPr>
      </w:pPr>
    </w:p>
    <w:p>
      <w:pPr>
        <w:ind w:right="280" w:firstLine="44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620" w:type="dxa"/>
            <w:vAlign w:val="bottom"/>
            <w:gridSpan w:val="3"/>
          </w:tcPr>
          <w:p>
            <w:pPr>
              <w:spacing w:after="0"/>
              <w:rPr>
                <w:sz w:val="17"/>
                <w:szCs w:val="17"/>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30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/s/ Samuel M. Sato</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March 21, 2025</w:t>
            </w:r>
          </w:p>
        </w:tc>
      </w:tr>
      <w:tr>
        <w:trPr>
          <w:trHeight w:val="164"/>
        </w:trPr>
        <w:tc>
          <w:tcPr>
            <w:tcW w:w="2080" w:type="dxa"/>
            <w:vAlign w:val="bottom"/>
            <w:tcBorders>
              <w:top w:val="single" w:sz="8" w:color="auto"/>
            </w:tcBorders>
            <w:gridSpan w:val="2"/>
          </w:tcPr>
          <w:p>
            <w:pPr>
              <w:spacing w:after="0" w:line="164" w:lineRule="exact"/>
              <w:rPr>
                <w:sz w:val="20"/>
                <w:szCs w:val="20"/>
                <w:color w:val="auto"/>
              </w:rPr>
            </w:pPr>
            <w:r>
              <w:rPr>
                <w:rFonts w:ascii="Times New Roman" w:cs="Times New Roman" w:eastAsia="Times New Roman" w:hAnsi="Times New Roman"/>
                <w:sz w:val="18"/>
                <w:szCs w:val="18"/>
                <w:color w:val="auto"/>
              </w:rPr>
              <w:t>Samuel M. Sato</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Chief Executive Officer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4"/>
        </w:trPr>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64"/>
        </w:trPr>
        <w:tc>
          <w:tcPr>
            <w:tcW w:w="30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/s/ Heena K. Agrawal</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March 21, 2025</w:t>
            </w:r>
          </w:p>
        </w:tc>
      </w:tr>
      <w:tr>
        <w:trPr>
          <w:trHeight w:val="164"/>
        </w:trPr>
        <w:tc>
          <w:tcPr>
            <w:tcW w:w="2380" w:type="dxa"/>
            <w:vAlign w:val="bottom"/>
            <w:tcBorders>
              <w:top w:val="single" w:sz="8" w:color="auto"/>
            </w:tcBorders>
            <w:gridSpan w:val="3"/>
          </w:tcPr>
          <w:p>
            <w:pPr>
              <w:spacing w:after="0" w:line="164" w:lineRule="exact"/>
              <w:rPr>
                <w:sz w:val="20"/>
                <w:szCs w:val="20"/>
                <w:color w:val="auto"/>
              </w:rPr>
            </w:pPr>
            <w:r>
              <w:rPr>
                <w:rFonts w:ascii="Times New Roman" w:cs="Times New Roman" w:eastAsia="Times New Roman" w:hAnsi="Times New Roman"/>
                <w:sz w:val="18"/>
                <w:szCs w:val="18"/>
                <w:color w:val="auto"/>
              </w:rPr>
              <w:t>Heena K. Agrawal</w:t>
            </w:r>
          </w:p>
        </w:tc>
        <w:tc>
          <w:tcPr>
            <w:tcW w:w="700" w:type="dxa"/>
            <w:vAlign w:val="bottom"/>
          </w:tcPr>
          <w:p>
            <w:pPr>
              <w:spacing w:after="0"/>
              <w:rPr>
                <w:sz w:val="14"/>
                <w:szCs w:val="14"/>
                <w:color w:val="auto"/>
              </w:rPr>
            </w:pPr>
          </w:p>
        </w:tc>
        <w:tc>
          <w:tcPr>
            <w:tcW w:w="30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Chief Financial Officer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4"/>
        </w:trPr>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Samuel M. Sato, Brett L. Paschke, Francesca M. Edwardson, Janet H. Kennedy, David C. Finch, Susan J. Riley, Stephen L. Schlecht, Scott 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 and Ronald Robinson.</w:t>
      </w:r>
    </w:p>
    <w:p>
      <w:pPr>
        <w:spacing w:after="0" w:line="176" w:lineRule="exact"/>
        <w:rPr>
          <w:sz w:val="20"/>
          <w:szCs w:val="20"/>
          <w:color w:val="auto"/>
        </w:rPr>
      </w:pPr>
    </w:p>
    <w:p>
      <w:pPr>
        <w:ind w:left="1200"/>
        <w:spacing w:after="0"/>
        <w:tabs>
          <w:tab w:leader="none" w:pos="1920" w:val="left"/>
          <w:tab w:leader="none" w:pos="8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Samuel M. Sato</w:t>
      </w:r>
      <w:r>
        <w:rPr>
          <w:sz w:val="20"/>
          <w:szCs w:val="20"/>
          <w:color w:val="auto"/>
        </w:rPr>
        <w:tab/>
      </w:r>
      <w:r>
        <w:rPr>
          <w:rFonts w:ascii="Times New Roman" w:cs="Times New Roman" w:eastAsia="Times New Roman" w:hAnsi="Times New Roman"/>
          <w:sz w:val="17"/>
          <w:szCs w:val="17"/>
          <w:color w:val="auto"/>
        </w:rPr>
        <w:t>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10160</wp:posOffset>
            </wp:positionV>
            <wp:extent cx="27089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1940"/>
        <w:spacing w:after="0"/>
        <w:rPr>
          <w:sz w:val="20"/>
          <w:szCs w:val="20"/>
          <w:color w:val="auto"/>
        </w:rPr>
      </w:pPr>
      <w:r>
        <w:rPr>
          <w:rFonts w:ascii="Times New Roman" w:cs="Times New Roman" w:eastAsia="Times New Roman" w:hAnsi="Times New Roman"/>
          <w:sz w:val="18"/>
          <w:szCs w:val="18"/>
          <w:color w:val="auto"/>
        </w:rPr>
        <w:t>Samuel M. Sato</w:t>
      </w:r>
    </w:p>
    <w:p>
      <w:pPr>
        <w:ind w:left="19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3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*Pursuant to authority granted by powers of attorney, copies of which are filed herewith.</w:t>
      </w: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1160"/>
          </w:cols>
          <w:pgMar w:left="320" w:top="108" w:right="419" w:bottom="1440" w:gutter="0" w:footer="0" w:header="0"/>
        </w:sectPr>
      </w:pPr>
    </w:p>
    <w:bookmarkStart w:id="71" w:name="page72"/>
    <w:bookmarkEnd w:id="71"/>
    <w:p>
      <w:pPr>
        <w:jc w:val="right"/>
        <w:spacing w:after="0"/>
        <w:rPr>
          <w:sz w:val="20"/>
          <w:szCs w:val="20"/>
          <w:color w:val="auto"/>
        </w:rPr>
      </w:pPr>
      <w:r>
        <w:rPr>
          <w:rFonts w:ascii="Calibri" w:cs="Calibri" w:eastAsia="Calibri" w:hAnsi="Calibri"/>
          <w:sz w:val="23"/>
          <w:szCs w:val="23"/>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374650</wp:posOffset>
            </wp:positionV>
            <wp:extent cx="2571750" cy="874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257175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color w:val="auto"/>
        </w:rPr>
        <w:t>July 18, 2024</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Dear Eli:</w:t>
      </w:r>
    </w:p>
    <w:p>
      <w:pPr>
        <w:spacing w:after="0" w:line="184" w:lineRule="exact"/>
        <w:rPr>
          <w:sz w:val="20"/>
          <w:szCs w:val="20"/>
          <w:color w:val="auto"/>
        </w:rPr>
      </w:pPr>
    </w:p>
    <w:p>
      <w:pPr>
        <w:ind w:right="20"/>
        <w:spacing w:after="0" w:line="210" w:lineRule="auto"/>
        <w:rPr>
          <w:sz w:val="20"/>
          <w:szCs w:val="20"/>
          <w:color w:val="auto"/>
        </w:rPr>
      </w:pPr>
      <w:r>
        <w:rPr>
          <w:rFonts w:ascii="Calibri" w:cs="Calibri" w:eastAsia="Calibri" w:hAnsi="Calibri"/>
          <w:sz w:val="20"/>
          <w:szCs w:val="20"/>
          <w:color w:val="auto"/>
        </w:rPr>
        <w:t xml:space="preserve">It is my pleasure to extend the following ofer of employment to you on behalf of Duluth Trading Company. This leter will highlight some of the details of your employment. If you are in agreement with the terms of this ofer, please acknowledge your acceptance verbally by end of business on </w:t>
      </w:r>
      <w:r>
        <w:rPr>
          <w:rFonts w:ascii="Calibri" w:cs="Calibri" w:eastAsia="Calibri" w:hAnsi="Calibri"/>
          <w:sz w:val="20"/>
          <w:szCs w:val="20"/>
          <w:b w:val="1"/>
          <w:bCs w:val="1"/>
          <w:color w:val="auto"/>
        </w:rPr>
        <w:t>07/19/2024</w:t>
      </w:r>
      <w:r>
        <w:rPr>
          <w:rFonts w:ascii="Calibri" w:cs="Calibri" w:eastAsia="Calibri" w:hAnsi="Calibri"/>
          <w:sz w:val="20"/>
          <w:szCs w:val="20"/>
          <w:color w:val="auto"/>
        </w:rPr>
        <w:t xml:space="preserve"> and subsequently by signing and returning a copy of this leter to me.</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Positon Title: </w:t>
      </w:r>
      <w:r>
        <w:rPr>
          <w:rFonts w:ascii="Calibri" w:cs="Calibri" w:eastAsia="Calibri" w:hAnsi="Calibri"/>
          <w:sz w:val="20"/>
          <w:szCs w:val="20"/>
          <w:color w:val="auto"/>
        </w:rPr>
        <w:t>Senior Vice President, Chief Merchant</w:t>
      </w: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Start Date: </w:t>
      </w:r>
      <w:r>
        <w:rPr>
          <w:rFonts w:ascii="Calibri" w:cs="Calibri" w:eastAsia="Calibri" w:hAnsi="Calibri"/>
          <w:sz w:val="20"/>
          <w:szCs w:val="20"/>
          <w:color w:val="auto"/>
        </w:rPr>
        <w:t>08/12/2024</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Reportng Relatonship: </w:t>
      </w:r>
      <w:r>
        <w:rPr>
          <w:rFonts w:ascii="Calibri" w:cs="Calibri" w:eastAsia="Calibri" w:hAnsi="Calibri"/>
          <w:sz w:val="20"/>
          <w:szCs w:val="20"/>
          <w:color w:val="auto"/>
        </w:rPr>
        <w:t>Sam Sato, President and CEO</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Work Locaton: </w:t>
      </w:r>
      <w:r>
        <w:rPr>
          <w:rFonts w:ascii="Calibri" w:cs="Calibri" w:eastAsia="Calibri" w:hAnsi="Calibri"/>
          <w:sz w:val="20"/>
          <w:szCs w:val="20"/>
          <w:color w:val="auto"/>
        </w:rPr>
        <w:t>Mount Horeb, WI – Headquarters</w:t>
      </w:r>
    </w:p>
    <w:p>
      <w:pPr>
        <w:spacing w:after="0" w:line="184" w:lineRule="exact"/>
        <w:rPr>
          <w:sz w:val="20"/>
          <w:szCs w:val="20"/>
          <w:color w:val="auto"/>
        </w:rPr>
      </w:pPr>
    </w:p>
    <w:p>
      <w:pPr>
        <w:ind w:right="120"/>
        <w:spacing w:after="0" w:line="208" w:lineRule="auto"/>
        <w:rPr>
          <w:sz w:val="20"/>
          <w:szCs w:val="20"/>
          <w:color w:val="auto"/>
        </w:rPr>
      </w:pPr>
      <w:r>
        <w:rPr>
          <w:rFonts w:ascii="Calibri" w:cs="Calibri" w:eastAsia="Calibri" w:hAnsi="Calibri"/>
          <w:sz w:val="20"/>
          <w:szCs w:val="20"/>
          <w:b w:val="1"/>
          <w:bCs w:val="1"/>
          <w:color w:val="auto"/>
        </w:rPr>
        <w:t xml:space="preserve">Work Arrangement: </w:t>
      </w:r>
      <w:r>
        <w:rPr>
          <w:rFonts w:ascii="Calibri" w:cs="Calibri" w:eastAsia="Calibri" w:hAnsi="Calibri"/>
          <w:sz w:val="20"/>
          <w:szCs w:val="20"/>
          <w:color w:val="auto"/>
        </w:rPr>
        <w:t>At Duluth Trading Company, we value face-to-face interactons that foster our culture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learning, creatvity, and teamwork. The role is based at our headquarters near Madison, WI. Beginning on your date of hire, unless other arrangements are agreed to, you will work in the ofce Monday through Thursday, with the opton to work remotely from home on Fridays if you prefer. The company reserves the right to adjust the schedule based on business needs. Employees will be provided with advance notce whenever possible in the event of schedule changes.</w:t>
      </w:r>
    </w:p>
    <w:p>
      <w:pPr>
        <w:spacing w:after="0" w:line="175" w:lineRule="exact"/>
        <w:rPr>
          <w:sz w:val="20"/>
          <w:szCs w:val="20"/>
          <w:color w:val="auto"/>
        </w:rPr>
      </w:pPr>
    </w:p>
    <w:p>
      <w:pPr>
        <w:ind w:right="60"/>
        <w:spacing w:after="0" w:line="213" w:lineRule="auto"/>
        <w:rPr>
          <w:sz w:val="20"/>
          <w:szCs w:val="20"/>
          <w:color w:val="auto"/>
        </w:rPr>
      </w:pPr>
      <w:r>
        <w:rPr>
          <w:rFonts w:ascii="Calibri" w:cs="Calibri" w:eastAsia="Calibri" w:hAnsi="Calibri"/>
          <w:sz w:val="20"/>
          <w:szCs w:val="20"/>
          <w:b w:val="1"/>
          <w:bCs w:val="1"/>
          <w:color w:val="auto"/>
        </w:rPr>
        <w:t xml:space="preserve">Base Salary: </w:t>
      </w:r>
      <w:r>
        <w:rPr>
          <w:rFonts w:ascii="Calibri" w:cs="Calibri" w:eastAsia="Calibri" w:hAnsi="Calibri"/>
          <w:sz w:val="20"/>
          <w:szCs w:val="20"/>
          <w:color w:val="auto"/>
        </w:rPr>
        <w:t>Your annual base salary will be $450,000, which is paid bi-weekly and is subject to deductons for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taxes and other withholdings that are required by law. All permanent exempt and non-exempt employees hired on or before November 1 of the fscal year typically receive an annual performance and merit review or as otherwise deemed appropriate by the Company in its sole discreton.</w:t>
      </w:r>
    </w:p>
    <w:p>
      <w:pPr>
        <w:spacing w:after="0" w:line="173" w:lineRule="exact"/>
        <w:rPr>
          <w:sz w:val="20"/>
          <w:szCs w:val="20"/>
          <w:color w:val="auto"/>
        </w:rPr>
      </w:pPr>
    </w:p>
    <w:p>
      <w:pPr>
        <w:ind w:right="360"/>
        <w:spacing w:after="0" w:line="210" w:lineRule="auto"/>
        <w:rPr>
          <w:sz w:val="20"/>
          <w:szCs w:val="20"/>
          <w:color w:val="auto"/>
        </w:rPr>
      </w:pPr>
      <w:r>
        <w:rPr>
          <w:rFonts w:ascii="Calibri" w:cs="Calibri" w:eastAsia="Calibri" w:hAnsi="Calibri"/>
          <w:sz w:val="20"/>
          <w:szCs w:val="20"/>
          <w:b w:val="1"/>
          <w:bCs w:val="1"/>
          <w:color w:val="auto"/>
        </w:rPr>
        <w:t xml:space="preserve">Annual Bonus: </w:t>
      </w:r>
      <w:r>
        <w:rPr>
          <w:rFonts w:ascii="Calibri" w:cs="Calibri" w:eastAsia="Calibri" w:hAnsi="Calibri"/>
          <w:sz w:val="20"/>
          <w:szCs w:val="20"/>
          <w:color w:val="auto"/>
        </w:rPr>
        <w:t>You are eligible to partcipate in the Company’s bonus plan for executve-level employees 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then in efect. For fscal 2024, your bonus target will be 65% of your base salary and is contngent on the Company meetng certain pre-established fnancial thresholds as previously disclosed and shall be prorated based on your efectve date.</w:t>
      </w:r>
    </w:p>
    <w:p>
      <w:pPr>
        <w:spacing w:after="0" w:line="185" w:lineRule="exact"/>
        <w:rPr>
          <w:sz w:val="20"/>
          <w:szCs w:val="20"/>
          <w:color w:val="auto"/>
        </w:rPr>
      </w:pPr>
    </w:p>
    <w:p>
      <w:pPr>
        <w:ind w:right="200"/>
        <w:spacing w:after="0" w:line="213" w:lineRule="auto"/>
        <w:rPr>
          <w:sz w:val="20"/>
          <w:szCs w:val="20"/>
          <w:color w:val="auto"/>
        </w:rPr>
      </w:pPr>
      <w:r>
        <w:rPr>
          <w:rFonts w:ascii="Calibri" w:cs="Calibri" w:eastAsia="Calibri" w:hAnsi="Calibri"/>
          <w:sz w:val="20"/>
          <w:szCs w:val="20"/>
          <w:b w:val="1"/>
          <w:bCs w:val="1"/>
          <w:color w:val="auto"/>
        </w:rPr>
        <w:t xml:space="preserve">Additonal Compensaton: </w:t>
      </w:r>
      <w:r>
        <w:rPr>
          <w:rFonts w:ascii="Calibri" w:cs="Calibri" w:eastAsia="Calibri" w:hAnsi="Calibri"/>
          <w:sz w:val="20"/>
          <w:szCs w:val="20"/>
          <w:color w:val="auto"/>
        </w:rPr>
        <w:t>You will receive a one-tme inital restricted stock grant equivalent to 100% of your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annual base salary, with the number of Class B shares to be determined based on the closing market price on the date of the stock grant, which will be your frst date of employment. The grant will vest 100% on the 3</w:t>
      </w:r>
      <w:r>
        <w:rPr>
          <w:rFonts w:ascii="Calibri" w:cs="Calibri" w:eastAsia="Calibri" w:hAnsi="Calibri"/>
          <w:sz w:val="20"/>
          <w:szCs w:val="20"/>
          <w:color w:val="auto"/>
          <w:vertAlign w:val="superscript"/>
        </w:rPr>
        <w:t>rd</w:t>
      </w:r>
      <w:r>
        <w:rPr>
          <w:rFonts w:ascii="Calibri" w:cs="Calibri" w:eastAsia="Calibri" w:hAnsi="Calibri"/>
          <w:sz w:val="20"/>
          <w:szCs w:val="20"/>
          <w:color w:val="auto"/>
        </w:rPr>
        <w:t xml:space="preserve"> anniversary of the inital grant date, provided you are stll employed with the Company at the vestng date.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403" w:right="1359" w:bottom="1440" w:gutter="0" w:footer="0" w:header="0"/>
        </w:sectPr>
      </w:pPr>
    </w:p>
    <w:bookmarkStart w:id="72" w:name="page73"/>
    <w:bookmarkEnd w:id="72"/>
    <w:p>
      <w:pPr>
        <w:ind w:right="40"/>
        <w:spacing w:after="0" w:line="208" w:lineRule="auto"/>
        <w:rPr>
          <w:sz w:val="20"/>
          <w:szCs w:val="20"/>
          <w:color w:val="auto"/>
        </w:rPr>
      </w:pPr>
      <w:r>
        <w:rPr>
          <w:rFonts w:ascii="Calibri" w:cs="Calibri" w:eastAsia="Calibri" w:hAnsi="Calibri"/>
          <w:sz w:val="20"/>
          <w:szCs w:val="20"/>
          <w:b w:val="1"/>
          <w:bCs w:val="1"/>
          <w:color w:val="auto"/>
        </w:rPr>
        <w:t xml:space="preserve">Long-Term Incentve: </w:t>
      </w:r>
      <w:r>
        <w:rPr>
          <w:rFonts w:ascii="Calibri" w:cs="Calibri" w:eastAsia="Calibri" w:hAnsi="Calibri"/>
          <w:sz w:val="20"/>
          <w:szCs w:val="20"/>
          <w:color w:val="auto"/>
        </w:rPr>
        <w:t>Beginning in fscal year 2025, in March or April of each year, you will be eligible for an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annual grant of restricted stock, subject to Compensaton Commitee approval and company performance. Your target incentve will have a grant date fair value equal to 50% of your base salary. The grant will vest 25% each year on a 4-year schedule, provided you are stll employed on each vestng date. For avoidance of doubt, in light of the inducement grant of restricted stock, you will not be enttled to receive an LTI annual grant of restricted stock in fscal year 2024.</w:t>
      </w:r>
    </w:p>
    <w:p>
      <w:pPr>
        <w:spacing w:after="0" w:line="189" w:lineRule="exact"/>
        <w:rPr>
          <w:sz w:val="20"/>
          <w:szCs w:val="20"/>
          <w:color w:val="auto"/>
        </w:rPr>
      </w:pPr>
    </w:p>
    <w:p>
      <w:pPr>
        <w:ind w:right="320"/>
        <w:spacing w:after="0" w:line="213" w:lineRule="auto"/>
        <w:rPr>
          <w:sz w:val="20"/>
          <w:szCs w:val="20"/>
          <w:color w:val="auto"/>
        </w:rPr>
      </w:pPr>
      <w:r>
        <w:rPr>
          <w:rFonts w:ascii="Calibri" w:cs="Calibri" w:eastAsia="Calibri" w:hAnsi="Calibri"/>
          <w:sz w:val="20"/>
          <w:szCs w:val="20"/>
          <w:b w:val="1"/>
          <w:bCs w:val="1"/>
          <w:color w:val="auto"/>
        </w:rPr>
        <w:t xml:space="preserve">Benefts: </w:t>
      </w:r>
      <w:r>
        <w:rPr>
          <w:rFonts w:ascii="Calibri" w:cs="Calibri" w:eastAsia="Calibri" w:hAnsi="Calibri"/>
          <w:sz w:val="20"/>
          <w:szCs w:val="20"/>
          <w:color w:val="auto"/>
        </w:rPr>
        <w:t>You will be eligible to partcipate in the Company’s health, dental, life, disability, 401(K), and fex</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spending programs. You are also eligible for the BeniComp Select Executve Medical Reimbursement Plan for you and your eligible dependents up to $15,000 per year.</w:t>
      </w:r>
    </w:p>
    <w:p>
      <w:pPr>
        <w:spacing w:after="0" w:line="173" w:lineRule="exact"/>
        <w:rPr>
          <w:sz w:val="20"/>
          <w:szCs w:val="20"/>
          <w:color w:val="auto"/>
        </w:rPr>
      </w:pPr>
    </w:p>
    <w:p>
      <w:pPr>
        <w:ind w:right="500"/>
        <w:spacing w:after="0" w:line="221" w:lineRule="auto"/>
        <w:rPr>
          <w:sz w:val="20"/>
          <w:szCs w:val="20"/>
          <w:color w:val="auto"/>
        </w:rPr>
      </w:pPr>
      <w:r>
        <w:rPr>
          <w:rFonts w:ascii="Calibri" w:cs="Calibri" w:eastAsia="Calibri" w:hAnsi="Calibri"/>
          <w:sz w:val="20"/>
          <w:szCs w:val="20"/>
          <w:b w:val="1"/>
          <w:bCs w:val="1"/>
          <w:color w:val="auto"/>
        </w:rPr>
        <w:t xml:space="preserve">Severance Benefts: </w:t>
      </w:r>
      <w:r>
        <w:rPr>
          <w:rFonts w:ascii="Calibri" w:cs="Calibri" w:eastAsia="Calibri" w:hAnsi="Calibri"/>
          <w:sz w:val="20"/>
          <w:szCs w:val="20"/>
          <w:color w:val="auto"/>
        </w:rPr>
        <w:t>As a member of the Executve team, you will be a partcipant in the Executve General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Severance Plan and the Executve Change in Control Severance Plan.</w:t>
      </w:r>
    </w:p>
    <w:p>
      <w:pPr>
        <w:spacing w:after="0" w:line="171" w:lineRule="exact"/>
        <w:rPr>
          <w:sz w:val="20"/>
          <w:szCs w:val="20"/>
          <w:color w:val="auto"/>
        </w:rPr>
      </w:pPr>
    </w:p>
    <w:p>
      <w:pPr>
        <w:ind w:right="240"/>
        <w:spacing w:after="0" w:line="213" w:lineRule="auto"/>
        <w:rPr>
          <w:sz w:val="20"/>
          <w:szCs w:val="20"/>
          <w:color w:val="auto"/>
        </w:rPr>
      </w:pPr>
      <w:r>
        <w:rPr>
          <w:rFonts w:ascii="Calibri" w:cs="Calibri" w:eastAsia="Calibri" w:hAnsi="Calibri"/>
          <w:sz w:val="20"/>
          <w:szCs w:val="20"/>
          <w:b w:val="1"/>
          <w:bCs w:val="1"/>
          <w:color w:val="auto"/>
        </w:rPr>
        <w:t xml:space="preserve">Time Of: </w:t>
      </w:r>
      <w:r>
        <w:rPr>
          <w:rFonts w:ascii="Calibri" w:cs="Calibri" w:eastAsia="Calibri" w:hAnsi="Calibri"/>
          <w:sz w:val="20"/>
          <w:szCs w:val="20"/>
          <w:color w:val="auto"/>
        </w:rPr>
        <w:t>Eligible employees are free to take leave when they require it, for vacaton tme, personal days,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sick leave, including, but not limited to, tme of required under applicable local and state sick leave laws, subject to the limitatons described in the Unlimited Time Of Policy for Exempt Employees.</w:t>
      </w:r>
    </w:p>
    <w:p>
      <w:pPr>
        <w:spacing w:after="0" w:line="187" w:lineRule="exact"/>
        <w:rPr>
          <w:sz w:val="20"/>
          <w:szCs w:val="20"/>
          <w:color w:val="auto"/>
        </w:rPr>
      </w:pPr>
    </w:p>
    <w:p>
      <w:pPr>
        <w:ind w:right="180"/>
        <w:spacing w:after="0" w:line="214" w:lineRule="auto"/>
        <w:rPr>
          <w:sz w:val="20"/>
          <w:szCs w:val="20"/>
          <w:color w:val="auto"/>
        </w:rPr>
      </w:pPr>
      <w:r>
        <w:rPr>
          <w:rFonts w:ascii="Calibri" w:cs="Calibri" w:eastAsia="Calibri" w:hAnsi="Calibri"/>
          <w:sz w:val="20"/>
          <w:szCs w:val="20"/>
          <w:b w:val="1"/>
          <w:bCs w:val="1"/>
          <w:color w:val="auto"/>
        </w:rPr>
        <w:t xml:space="preserve">Employee Purchase Program: </w:t>
      </w:r>
      <w:r>
        <w:rPr>
          <w:rFonts w:ascii="Calibri" w:cs="Calibri" w:eastAsia="Calibri" w:hAnsi="Calibri"/>
          <w:sz w:val="20"/>
          <w:szCs w:val="20"/>
          <w:color w:val="auto"/>
        </w:rPr>
        <w:t>The employee purchase program provides you with a 40% discount for personal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use, including gif giving and can be redeemed online or at any one of our retail locatons.</w:t>
      </w:r>
    </w:p>
    <w:p>
      <w:pPr>
        <w:spacing w:after="0" w:line="186" w:lineRule="exact"/>
        <w:rPr>
          <w:sz w:val="20"/>
          <w:szCs w:val="20"/>
          <w:color w:val="auto"/>
        </w:rPr>
      </w:pPr>
    </w:p>
    <w:p>
      <w:pPr>
        <w:ind w:right="300"/>
        <w:spacing w:after="0" w:line="210" w:lineRule="auto"/>
        <w:rPr>
          <w:sz w:val="20"/>
          <w:szCs w:val="20"/>
          <w:color w:val="auto"/>
        </w:rPr>
      </w:pPr>
      <w:r>
        <w:rPr>
          <w:rFonts w:ascii="Calibri" w:cs="Calibri" w:eastAsia="Calibri" w:hAnsi="Calibri"/>
          <w:sz w:val="20"/>
          <w:szCs w:val="20"/>
          <w:b w:val="1"/>
          <w:bCs w:val="1"/>
          <w:color w:val="auto"/>
        </w:rPr>
        <w:t xml:space="preserve">Relocaton: </w:t>
      </w:r>
      <w:r>
        <w:rPr>
          <w:rFonts w:ascii="Calibri" w:cs="Calibri" w:eastAsia="Calibri" w:hAnsi="Calibri"/>
          <w:sz w:val="20"/>
          <w:szCs w:val="20"/>
          <w:color w:val="auto"/>
        </w:rPr>
        <w:t>This ofer is being made with the understanding and expectaton that you will relocate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greater Madison area within 12 months from the frst date of your employment with us. Duluth Trading Company’s relocaton policy is designed to assist you and your family by providing you with a comprehensive relocaton package that facilitates your move while minimizing personal disrupton and expense.</w:t>
      </w:r>
    </w:p>
    <w:p>
      <w:pPr>
        <w:spacing w:after="0" w:line="185" w:lineRule="exact"/>
        <w:rPr>
          <w:sz w:val="20"/>
          <w:szCs w:val="20"/>
          <w:color w:val="auto"/>
        </w:rPr>
      </w:pPr>
    </w:p>
    <w:p>
      <w:pPr>
        <w:ind w:right="400"/>
        <w:spacing w:after="0" w:line="221" w:lineRule="auto"/>
        <w:rPr>
          <w:sz w:val="20"/>
          <w:szCs w:val="20"/>
          <w:color w:val="auto"/>
        </w:rPr>
      </w:pPr>
      <w:r>
        <w:rPr>
          <w:rFonts w:ascii="Calibri" w:cs="Calibri" w:eastAsia="Calibri" w:hAnsi="Calibri"/>
          <w:sz w:val="20"/>
          <w:szCs w:val="20"/>
          <w:color w:val="auto"/>
        </w:rPr>
        <w:t>I trust this leter confrms your understanding of the major items related to our ofer of employment. If not, please contact me to resolve any outstanding items.</w:t>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color w:val="auto"/>
        </w:rPr>
        <w:t>Sincerely,</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Sam Sato</w:t>
      </w:r>
    </w:p>
    <w:p>
      <w:pPr>
        <w:spacing w:after="0" w:line="212" w:lineRule="auto"/>
        <w:rPr>
          <w:sz w:val="20"/>
          <w:szCs w:val="20"/>
          <w:color w:val="auto"/>
        </w:rPr>
      </w:pPr>
      <w:r>
        <w:rPr>
          <w:rFonts w:ascii="Calibri" w:cs="Calibri" w:eastAsia="Calibri" w:hAnsi="Calibri"/>
          <w:sz w:val="20"/>
          <w:szCs w:val="20"/>
          <w:color w:val="auto"/>
        </w:rPr>
        <w:t>President &amp; Chief Executve Ofcer</w:t>
      </w:r>
    </w:p>
    <w:p>
      <w:pPr>
        <w:spacing w:after="0" w:line="199" w:lineRule="auto"/>
        <w:rPr>
          <w:sz w:val="20"/>
          <w:szCs w:val="20"/>
          <w:color w:val="auto"/>
        </w:rPr>
      </w:pPr>
      <w:r>
        <w:rPr>
          <w:rFonts w:ascii="Calibri" w:cs="Calibri" w:eastAsia="Calibri" w:hAnsi="Calibri"/>
          <w:sz w:val="20"/>
          <w:szCs w:val="20"/>
          <w:color w:val="auto"/>
        </w:rPr>
        <w:t>Duluth Trading Company</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80" w:type="dxa"/>
            <w:vAlign w:val="bottom"/>
          </w:tcPr>
          <w:p>
            <w:pPr>
              <w:spacing w:after="0"/>
              <w:rPr>
                <w:sz w:val="20"/>
                <w:szCs w:val="20"/>
                <w:color w:val="auto"/>
              </w:rPr>
            </w:pPr>
            <w:r>
              <w:rPr>
                <w:rFonts w:ascii="Calibri" w:cs="Calibri" w:eastAsia="Calibri" w:hAnsi="Calibri"/>
                <w:sz w:val="20"/>
                <w:szCs w:val="20"/>
                <w:color w:val="auto"/>
              </w:rPr>
              <w:t>ACCEPTED:</w:t>
            </w:r>
          </w:p>
        </w:tc>
        <w:tc>
          <w:tcPr>
            <w:tcW w:w="6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880" w:type="dxa"/>
            <w:vAlign w:val="bottom"/>
            <w:tcBorders>
              <w:bottom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/s/ Eli Getson</w:t>
            </w:r>
          </w:p>
        </w:tc>
        <w:tc>
          <w:tcPr>
            <w:tcW w:w="6300" w:type="dxa"/>
            <w:vAlign w:val="bottom"/>
            <w:tcBorders>
              <w:bottom w:val="single" w:sz="8" w:color="auto"/>
            </w:tcBorders>
          </w:tcPr>
          <w:p>
            <w:pPr>
              <w:jc w:val="right"/>
              <w:ind w:right="30"/>
              <w:spacing w:after="0" w:line="234" w:lineRule="exact"/>
              <w:rPr>
                <w:sz w:val="20"/>
                <w:szCs w:val="20"/>
                <w:color w:val="auto"/>
              </w:rPr>
            </w:pPr>
            <w:r>
              <w:rPr>
                <w:rFonts w:ascii="Calibri" w:cs="Calibri" w:eastAsia="Calibri" w:hAnsi="Calibri"/>
                <w:sz w:val="20"/>
                <w:szCs w:val="20"/>
                <w:color w:val="auto"/>
              </w:rPr>
              <w:t>July 18, 2024</w:t>
            </w:r>
          </w:p>
        </w:tc>
        <w:tc>
          <w:tcPr>
            <w:tcW w:w="20" w:type="dxa"/>
            <w:vAlign w:val="bottom"/>
          </w:tcPr>
          <w:p>
            <w:pPr>
              <w:spacing w:after="0"/>
              <w:rPr>
                <w:sz w:val="20"/>
                <w:szCs w:val="20"/>
                <w:color w:val="auto"/>
              </w:rPr>
            </w:pPr>
          </w:p>
        </w:tc>
      </w:tr>
      <w:tr>
        <w:trPr>
          <w:trHeight w:val="231"/>
        </w:trPr>
        <w:tc>
          <w:tcPr>
            <w:tcW w:w="2880" w:type="dxa"/>
            <w:vAlign w:val="bottom"/>
          </w:tcPr>
          <w:p>
            <w:pPr>
              <w:ind w:left="120"/>
              <w:spacing w:after="0" w:line="231" w:lineRule="exact"/>
              <w:rPr>
                <w:sz w:val="20"/>
                <w:szCs w:val="20"/>
                <w:color w:val="auto"/>
              </w:rPr>
            </w:pPr>
            <w:r>
              <w:rPr>
                <w:rFonts w:ascii="Calibri" w:cs="Calibri" w:eastAsia="Calibri" w:hAnsi="Calibri"/>
                <w:sz w:val="20"/>
                <w:szCs w:val="20"/>
                <w:color w:val="auto"/>
              </w:rPr>
              <w:t>Eli Getson</w:t>
            </w:r>
          </w:p>
        </w:tc>
        <w:tc>
          <w:tcPr>
            <w:tcW w:w="6300" w:type="dxa"/>
            <w:vAlign w:val="bottom"/>
          </w:tcPr>
          <w:p>
            <w:pPr>
              <w:jc w:val="right"/>
              <w:ind w:right="30"/>
              <w:spacing w:after="0" w:line="231" w:lineRule="exact"/>
              <w:rPr>
                <w:sz w:val="20"/>
                <w:szCs w:val="20"/>
                <w:color w:val="auto"/>
              </w:rPr>
            </w:pPr>
            <w:r>
              <w:rPr>
                <w:rFonts w:ascii="Calibri" w:cs="Calibri" w:eastAsia="Calibri" w:hAnsi="Calibri"/>
                <w:sz w:val="20"/>
                <w:szCs w:val="20"/>
                <w:color w:val="auto"/>
              </w:rPr>
              <w:t>Date</w:t>
            </w:r>
          </w:p>
        </w:tc>
        <w:tc>
          <w:tcPr>
            <w:tcW w:w="20" w:type="dxa"/>
            <w:vAlign w:val="bottom"/>
          </w:tcPr>
          <w:p>
            <w:pPr>
              <w:spacing w:after="0"/>
              <w:rPr>
                <w:sz w:val="20"/>
                <w:szCs w:val="20"/>
                <w:color w:val="auto"/>
              </w:rPr>
            </w:pPr>
          </w:p>
        </w:tc>
      </w:tr>
      <w:tr>
        <w:trPr>
          <w:trHeight w:val="527"/>
        </w:trPr>
        <w:tc>
          <w:tcPr>
            <w:tcW w:w="2880" w:type="dxa"/>
            <w:vAlign w:val="bottom"/>
          </w:tcPr>
          <w:p>
            <w:pPr>
              <w:spacing w:after="0"/>
              <w:rPr>
                <w:sz w:val="24"/>
                <w:szCs w:val="24"/>
                <w:color w:val="auto"/>
              </w:rPr>
            </w:pPr>
          </w:p>
        </w:tc>
        <w:tc>
          <w:tcPr>
            <w:tcW w:w="6300" w:type="dxa"/>
            <w:vAlign w:val="bottom"/>
          </w:tcPr>
          <w:p>
            <w:pPr>
              <w:jc w:val="right"/>
              <w:ind w:right="447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4"/>
                <w:szCs w:val="24"/>
                <w:color w:val="auto"/>
              </w:rPr>
            </w:pPr>
          </w:p>
        </w:tc>
      </w:tr>
      <w:tr>
        <w:trPr>
          <w:trHeight w:val="332"/>
        </w:trPr>
        <w:tc>
          <w:tcPr>
            <w:tcW w:w="288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880" w:type="dxa"/>
            <w:vAlign w:val="bottom"/>
            <w:tcBorders>
              <w:bottom w:val="single" w:sz="8" w:color="EEEEEE"/>
            </w:tcBorders>
          </w:tcPr>
          <w:p>
            <w:pPr>
              <w:spacing w:after="0" w:line="20" w:lineRule="exact"/>
              <w:rPr>
                <w:sz w:val="1"/>
                <w:szCs w:val="1"/>
                <w:color w:val="auto"/>
              </w:rPr>
            </w:pPr>
          </w:p>
        </w:tc>
        <w:tc>
          <w:tcPr>
            <w:tcW w:w="6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-37465</wp:posOffset>
            </wp:positionV>
            <wp:extent cx="3365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-37465</wp:posOffset>
            </wp:positionV>
            <wp:extent cx="3429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200"/>
          </w:cols>
          <w:pgMar w:left="1360" w:top="102" w:right="1339" w:bottom="1440" w:gutter="0" w:footer="0" w:header="0"/>
        </w:sectPr>
      </w:pPr>
    </w:p>
    <w:bookmarkStart w:id="73" w:name="page74"/>
    <w:bookmarkEnd w:id="73"/>
    <w:p>
      <w:pPr>
        <w:jc w:val="right"/>
        <w:spacing w:after="0"/>
        <w:rPr>
          <w:sz w:val="20"/>
          <w:szCs w:val="20"/>
          <w:color w:val="auto"/>
        </w:rPr>
      </w:pPr>
      <w:r>
        <w:rPr>
          <w:rFonts w:ascii="Calibri" w:cs="Calibri" w:eastAsia="Calibri" w:hAnsi="Calibri"/>
          <w:sz w:val="23"/>
          <w:szCs w:val="23"/>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374650</wp:posOffset>
            </wp:positionV>
            <wp:extent cx="2571750" cy="8743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257175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color w:val="auto"/>
        </w:rPr>
        <w:t>August 5, 2024</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Dear Garth:</w:t>
      </w:r>
    </w:p>
    <w:p>
      <w:pPr>
        <w:spacing w:after="0" w:line="184" w:lineRule="exact"/>
        <w:rPr>
          <w:sz w:val="20"/>
          <w:szCs w:val="20"/>
          <w:color w:val="auto"/>
        </w:rPr>
      </w:pPr>
    </w:p>
    <w:p>
      <w:pPr>
        <w:ind w:right="60"/>
        <w:spacing w:after="0" w:line="214" w:lineRule="auto"/>
        <w:rPr>
          <w:sz w:val="20"/>
          <w:szCs w:val="20"/>
          <w:color w:val="auto"/>
        </w:rPr>
      </w:pPr>
      <w:r>
        <w:rPr>
          <w:rFonts w:ascii="Calibri" w:cs="Calibri" w:eastAsia="Calibri" w:hAnsi="Calibri"/>
          <w:sz w:val="20"/>
          <w:szCs w:val="20"/>
          <w:color w:val="auto"/>
        </w:rPr>
        <w:t>It is my pleasure to extend the following promoton to you on behalf of Duluth Trading Company. This leter will highlight some of the details of your promoton.</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Positon Title: </w:t>
      </w:r>
      <w:r>
        <w:rPr>
          <w:rFonts w:ascii="Calibri" w:cs="Calibri" w:eastAsia="Calibri" w:hAnsi="Calibri"/>
          <w:sz w:val="20"/>
          <w:szCs w:val="20"/>
          <w:color w:val="auto"/>
        </w:rPr>
        <w:t>Senior Vice President of Brand &amp; Marketng</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Work Locaton: </w:t>
      </w:r>
      <w:r>
        <w:rPr>
          <w:rFonts w:ascii="Calibri" w:cs="Calibri" w:eastAsia="Calibri" w:hAnsi="Calibri"/>
          <w:sz w:val="20"/>
          <w:szCs w:val="20"/>
          <w:color w:val="auto"/>
        </w:rPr>
        <w:t>Mount Horeb, WI - Headquarters</w:t>
      </w: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Start Date: </w:t>
      </w:r>
      <w:r>
        <w:rPr>
          <w:rFonts w:ascii="Calibri" w:cs="Calibri" w:eastAsia="Calibri" w:hAnsi="Calibri"/>
          <w:sz w:val="20"/>
          <w:szCs w:val="20"/>
          <w:color w:val="auto"/>
        </w:rPr>
        <w:t>08/05/2024</w:t>
      </w:r>
    </w:p>
    <w:p>
      <w:pPr>
        <w:spacing w:after="0" w:line="184" w:lineRule="exact"/>
        <w:rPr>
          <w:sz w:val="20"/>
          <w:szCs w:val="20"/>
          <w:color w:val="auto"/>
        </w:rPr>
      </w:pPr>
    </w:p>
    <w:p>
      <w:pPr>
        <w:ind w:right="820"/>
        <w:spacing w:after="0" w:line="214" w:lineRule="auto"/>
        <w:rPr>
          <w:sz w:val="20"/>
          <w:szCs w:val="20"/>
          <w:color w:val="auto"/>
        </w:rPr>
      </w:pPr>
      <w:r>
        <w:rPr>
          <w:rFonts w:ascii="Calibri" w:cs="Calibri" w:eastAsia="Calibri" w:hAnsi="Calibri"/>
          <w:sz w:val="20"/>
          <w:szCs w:val="20"/>
          <w:b w:val="1"/>
          <w:bCs w:val="1"/>
          <w:color w:val="auto"/>
        </w:rPr>
        <w:t xml:space="preserve">Base Salary: </w:t>
      </w:r>
      <w:r>
        <w:rPr>
          <w:rFonts w:ascii="Calibri" w:cs="Calibri" w:eastAsia="Calibri" w:hAnsi="Calibri"/>
          <w:sz w:val="20"/>
          <w:szCs w:val="20"/>
          <w:color w:val="auto"/>
        </w:rPr>
        <w:t>Your annual base salary will be $325,000 annual, which is paid bi-weekly and is subject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deductons for taxes and other withholdings that are required by law.</w:t>
      </w:r>
    </w:p>
    <w:p>
      <w:pPr>
        <w:spacing w:after="0" w:line="186" w:lineRule="exact"/>
        <w:rPr>
          <w:sz w:val="20"/>
          <w:szCs w:val="20"/>
          <w:color w:val="auto"/>
        </w:rPr>
      </w:pPr>
    </w:p>
    <w:p>
      <w:pPr>
        <w:ind w:right="20"/>
        <w:spacing w:after="0" w:line="210" w:lineRule="auto"/>
        <w:rPr>
          <w:sz w:val="20"/>
          <w:szCs w:val="20"/>
          <w:color w:val="auto"/>
        </w:rPr>
      </w:pPr>
      <w:r>
        <w:rPr>
          <w:rFonts w:ascii="Calibri" w:cs="Calibri" w:eastAsia="Calibri" w:hAnsi="Calibri"/>
          <w:sz w:val="20"/>
          <w:szCs w:val="20"/>
          <w:b w:val="1"/>
          <w:bCs w:val="1"/>
          <w:color w:val="auto"/>
        </w:rPr>
        <w:t xml:space="preserve">Bonus Potental: </w:t>
      </w:r>
      <w:r>
        <w:rPr>
          <w:rFonts w:ascii="Calibri" w:cs="Calibri" w:eastAsia="Calibri" w:hAnsi="Calibri"/>
          <w:sz w:val="20"/>
          <w:szCs w:val="20"/>
          <w:color w:val="auto"/>
        </w:rPr>
        <w:t>You are eligible to partcipate in the Company’s bonus plan for executve-level employees,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your bonus target will be 65% of your base salary, and the maximum bonus award shall be up to 130% of your base salary. The amount of bonus for FY24 is contngent on the Company meetng certain pre-established fnancial thresholds as previously disclosed, and shall be prorated based on your efectve date.</w:t>
      </w:r>
    </w:p>
    <w:p>
      <w:pPr>
        <w:spacing w:after="0" w:line="185" w:lineRule="exact"/>
        <w:rPr>
          <w:sz w:val="20"/>
          <w:szCs w:val="20"/>
          <w:color w:val="auto"/>
        </w:rPr>
      </w:pPr>
    </w:p>
    <w:p>
      <w:pPr>
        <w:ind w:right="200"/>
        <w:spacing w:after="0" w:line="210" w:lineRule="auto"/>
        <w:rPr>
          <w:sz w:val="20"/>
          <w:szCs w:val="20"/>
          <w:color w:val="auto"/>
        </w:rPr>
      </w:pPr>
      <w:r>
        <w:rPr>
          <w:rFonts w:ascii="Calibri" w:cs="Calibri" w:eastAsia="Calibri" w:hAnsi="Calibri"/>
          <w:sz w:val="20"/>
          <w:szCs w:val="20"/>
          <w:b w:val="1"/>
          <w:bCs w:val="1"/>
          <w:color w:val="auto"/>
        </w:rPr>
        <w:t xml:space="preserve">Long-Term Incentve: </w:t>
      </w:r>
      <w:r>
        <w:rPr>
          <w:rFonts w:ascii="Calibri" w:cs="Calibri" w:eastAsia="Calibri" w:hAnsi="Calibri"/>
          <w:sz w:val="20"/>
          <w:szCs w:val="20"/>
          <w:color w:val="auto"/>
        </w:rPr>
        <w:t>Beginning in fscal year 2025, you will be eligible for an annual grant of restricted stock,</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subject to Compensaton Commitee approval and company performance. Your target incentve will have a grant date fair value equal to 50% of your base salary. The grant will vest 25% each year on a 4-year schedule, provided you are stll employed on each vestng date.</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Signing Bonus: </w:t>
      </w:r>
      <w:r>
        <w:rPr>
          <w:rFonts w:ascii="Calibri" w:cs="Calibri" w:eastAsia="Calibri" w:hAnsi="Calibri"/>
          <w:sz w:val="20"/>
          <w:szCs w:val="20"/>
          <w:color w:val="auto"/>
        </w:rPr>
        <w:t>The repayment terms for the signing bonus, initated on July 25</w:t>
      </w:r>
      <w:r>
        <w:rPr>
          <w:rFonts w:ascii="Calibri" w:cs="Calibri" w:eastAsia="Calibri" w:hAnsi="Calibri"/>
          <w:sz w:val="20"/>
          <w:szCs w:val="20"/>
          <w:color w:val="auto"/>
          <w:vertAlign w:val="superscript"/>
        </w:rPr>
        <w:t>th</w:t>
      </w:r>
      <w:r>
        <w:rPr>
          <w:rFonts w:ascii="Calibri" w:cs="Calibri" w:eastAsia="Calibri" w:hAnsi="Calibri"/>
          <w:sz w:val="20"/>
          <w:szCs w:val="20"/>
          <w:color w:val="auto"/>
        </w:rPr>
        <w:t>, 2023, remain in efect.</w:t>
      </w:r>
    </w:p>
    <w:p>
      <w:pPr>
        <w:spacing w:after="0" w:line="174" w:lineRule="exact"/>
        <w:rPr>
          <w:sz w:val="20"/>
          <w:szCs w:val="20"/>
          <w:color w:val="auto"/>
        </w:rPr>
      </w:pPr>
    </w:p>
    <w:p>
      <w:pPr>
        <w:ind w:right="260"/>
        <w:spacing w:after="0" w:line="210" w:lineRule="auto"/>
        <w:rPr>
          <w:sz w:val="20"/>
          <w:szCs w:val="20"/>
          <w:color w:val="auto"/>
        </w:rPr>
      </w:pPr>
      <w:r>
        <w:rPr>
          <w:rFonts w:ascii="Calibri" w:cs="Calibri" w:eastAsia="Calibri" w:hAnsi="Calibri"/>
          <w:sz w:val="20"/>
          <w:szCs w:val="20"/>
          <w:b w:val="1"/>
          <w:bCs w:val="1"/>
          <w:color w:val="auto"/>
        </w:rPr>
        <w:t xml:space="preserve">Benefts: </w:t>
      </w:r>
      <w:r>
        <w:rPr>
          <w:rFonts w:ascii="Calibri" w:cs="Calibri" w:eastAsia="Calibri" w:hAnsi="Calibri"/>
          <w:sz w:val="20"/>
          <w:szCs w:val="20"/>
          <w:color w:val="auto"/>
        </w:rPr>
        <w:t>Your enrollment in the Company’s health, dental, life, disability, 401(K), and fex spending programs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will contnue unchanged. Additonally, your eligibility for the BeniComp Selected Executve Medical Reimbursement Plan, covering both you and your eligible dependents, will now extend from a maximum of $10,000 annually to a maximum of $15,000 annually.</w:t>
      </w:r>
    </w:p>
    <w:p>
      <w:pPr>
        <w:spacing w:after="0" w:line="185" w:lineRule="exact"/>
        <w:rPr>
          <w:sz w:val="20"/>
          <w:szCs w:val="20"/>
          <w:color w:val="auto"/>
        </w:rPr>
      </w:pPr>
    </w:p>
    <w:p>
      <w:pPr>
        <w:ind w:right="320"/>
        <w:spacing w:after="0" w:line="213" w:lineRule="auto"/>
        <w:rPr>
          <w:sz w:val="20"/>
          <w:szCs w:val="20"/>
          <w:color w:val="auto"/>
        </w:rPr>
      </w:pPr>
      <w:r>
        <w:rPr>
          <w:rFonts w:ascii="Calibri" w:cs="Calibri" w:eastAsia="Calibri" w:hAnsi="Calibri"/>
          <w:sz w:val="20"/>
          <w:szCs w:val="20"/>
          <w:b w:val="1"/>
          <w:bCs w:val="1"/>
          <w:color w:val="auto"/>
        </w:rPr>
        <w:t xml:space="preserve">Severance Benefts: </w:t>
      </w:r>
      <w:r>
        <w:rPr>
          <w:rFonts w:ascii="Calibri" w:cs="Calibri" w:eastAsia="Calibri" w:hAnsi="Calibri"/>
          <w:sz w:val="20"/>
          <w:szCs w:val="20"/>
          <w:color w:val="auto"/>
        </w:rPr>
        <w:t>As a member of the Executve team, you will be a partcipant in the Executve General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Severance Plan and the Executve Change in Control Severance Plan. A summary of these plans at the Senior Vice President level is included in this agreement.</w:t>
      </w:r>
    </w:p>
    <w:p>
      <w:pPr>
        <w:spacing w:after="0" w:line="16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Time Of: </w:t>
      </w:r>
      <w:r>
        <w:rPr>
          <w:rFonts w:ascii="Calibri" w:cs="Calibri" w:eastAsia="Calibri" w:hAnsi="Calibri"/>
          <w:sz w:val="20"/>
          <w:szCs w:val="20"/>
          <w:color w:val="auto"/>
        </w:rPr>
        <w:t>Your paid tme of benefts remain unchanged.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403" w:right="1359" w:bottom="1440" w:gutter="0" w:footer="0" w:header="0"/>
        </w:sectPr>
      </w:pPr>
    </w:p>
    <w:bookmarkStart w:id="74" w:name="page75"/>
    <w:bookmarkEnd w:id="74"/>
    <w:p>
      <w:pPr>
        <w:ind w:right="340"/>
        <w:spacing w:after="0" w:line="218" w:lineRule="auto"/>
        <w:rPr>
          <w:sz w:val="20"/>
          <w:szCs w:val="20"/>
          <w:color w:val="auto"/>
        </w:rPr>
      </w:pPr>
      <w:r>
        <w:rPr>
          <w:rFonts w:ascii="Calibri" w:cs="Calibri" w:eastAsia="Calibri" w:hAnsi="Calibri"/>
          <w:sz w:val="20"/>
          <w:szCs w:val="20"/>
          <w:b w:val="1"/>
          <w:bCs w:val="1"/>
          <w:color w:val="auto"/>
        </w:rPr>
        <w:t xml:space="preserve">Relocaton: </w:t>
      </w:r>
      <w:r>
        <w:rPr>
          <w:rFonts w:ascii="Calibri" w:cs="Calibri" w:eastAsia="Calibri" w:hAnsi="Calibri"/>
          <w:sz w:val="20"/>
          <w:szCs w:val="20"/>
          <w:color w:val="auto"/>
        </w:rPr>
        <w:t>We antcipate your move to the greater Madison area by October 1</w:t>
      </w:r>
      <w:r>
        <w:rPr>
          <w:rFonts w:ascii="Calibri" w:cs="Calibri" w:eastAsia="Calibri" w:hAnsi="Calibri"/>
          <w:sz w:val="20"/>
          <w:szCs w:val="20"/>
          <w:color w:val="auto"/>
          <w:vertAlign w:val="superscript"/>
        </w:rPr>
        <w:t>st</w:t>
      </w:r>
      <w:r>
        <w:rPr>
          <w:rFonts w:ascii="Calibri" w:cs="Calibri" w:eastAsia="Calibri" w:hAnsi="Calibri"/>
          <w:sz w:val="20"/>
          <w:szCs w:val="20"/>
          <w:color w:val="auto"/>
        </w:rPr>
        <w:t>, 2025. At Duluth Trading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we understand the signifcance of relocatng, and our policy is tailored to support you and your family through this transiton. Please note that this updated relocaton agreement replaces the previous one efectve from July 25</w:t>
      </w:r>
      <w:r>
        <w:rPr>
          <w:rFonts w:ascii="Calibri" w:cs="Calibri" w:eastAsia="Calibri" w:hAnsi="Calibri"/>
          <w:sz w:val="20"/>
          <w:szCs w:val="20"/>
          <w:color w:val="auto"/>
          <w:vertAlign w:val="superscript"/>
        </w:rPr>
        <w:t>th</w:t>
      </w:r>
      <w:r>
        <w:rPr>
          <w:rFonts w:ascii="Calibri" w:cs="Calibri" w:eastAsia="Calibri" w:hAnsi="Calibri"/>
          <w:sz w:val="20"/>
          <w:szCs w:val="20"/>
          <w:color w:val="auto"/>
        </w:rPr>
        <w:t>, 2023, resultng in a reset of your relocaton benefts and any submited expenses.</w:t>
      </w:r>
    </w:p>
    <w:p>
      <w:pPr>
        <w:spacing w:after="0" w:line="166" w:lineRule="exact"/>
        <w:rPr>
          <w:sz w:val="20"/>
          <w:szCs w:val="20"/>
          <w:color w:val="auto"/>
        </w:rPr>
      </w:pPr>
    </w:p>
    <w:p>
      <w:pPr>
        <w:ind w:right="180"/>
        <w:spacing w:after="0" w:line="210" w:lineRule="auto"/>
        <w:rPr>
          <w:sz w:val="20"/>
          <w:szCs w:val="20"/>
          <w:color w:val="auto"/>
        </w:rPr>
      </w:pPr>
      <w:r>
        <w:rPr>
          <w:rFonts w:ascii="Calibri" w:cs="Calibri" w:eastAsia="Calibri" w:hAnsi="Calibri"/>
          <w:sz w:val="20"/>
          <w:szCs w:val="20"/>
          <w:b w:val="1"/>
          <w:bCs w:val="1"/>
          <w:color w:val="auto"/>
        </w:rPr>
        <w:t xml:space="preserve">Enhanced Flex Beneft Program: </w:t>
      </w:r>
      <w:r>
        <w:rPr>
          <w:rFonts w:ascii="Calibri" w:cs="Calibri" w:eastAsia="Calibri" w:hAnsi="Calibri"/>
          <w:sz w:val="20"/>
          <w:szCs w:val="20"/>
          <w:color w:val="auto"/>
        </w:rPr>
        <w:t>Duluth recognizes your intenton to utlize mileage and temporary housing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support throughout the relocaton policy agreement. As a result, we are increasing the fex beneft cap from $10,000 to $21,000. This enhanced program maintains fexibility, allowing you to allocate the benefts towards mileage, temporary living expenses, or a combinaton of both.</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Sincerely,</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Sam Sato</w:t>
      </w:r>
    </w:p>
    <w:p>
      <w:pPr>
        <w:spacing w:after="0" w:line="199" w:lineRule="auto"/>
        <w:rPr>
          <w:sz w:val="20"/>
          <w:szCs w:val="20"/>
          <w:color w:val="auto"/>
        </w:rPr>
      </w:pPr>
      <w:r>
        <w:rPr>
          <w:rFonts w:ascii="Calibri" w:cs="Calibri" w:eastAsia="Calibri" w:hAnsi="Calibri"/>
          <w:sz w:val="20"/>
          <w:szCs w:val="20"/>
          <w:color w:val="auto"/>
        </w:rPr>
        <w:t>President &amp; Chief Executve Ofcer</w:t>
      </w:r>
    </w:p>
    <w:p>
      <w:pPr>
        <w:spacing w:after="0" w:line="199" w:lineRule="auto"/>
        <w:rPr>
          <w:sz w:val="20"/>
          <w:szCs w:val="20"/>
          <w:color w:val="auto"/>
        </w:rPr>
      </w:pPr>
      <w:r>
        <w:rPr>
          <w:rFonts w:ascii="Calibri" w:cs="Calibri" w:eastAsia="Calibri" w:hAnsi="Calibri"/>
          <w:sz w:val="20"/>
          <w:szCs w:val="20"/>
          <w:color w:val="auto"/>
        </w:rPr>
        <w:t>Duluth Trading Company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000" w:type="dxa"/>
            <w:vAlign w:val="bottom"/>
          </w:tcPr>
          <w:p>
            <w:pPr>
              <w:spacing w:after="0"/>
              <w:rPr>
                <w:sz w:val="20"/>
                <w:szCs w:val="20"/>
                <w:color w:val="auto"/>
              </w:rPr>
            </w:pPr>
            <w:r>
              <w:rPr>
                <w:rFonts w:ascii="Calibri" w:cs="Calibri" w:eastAsia="Calibri" w:hAnsi="Calibri"/>
                <w:sz w:val="20"/>
                <w:szCs w:val="20"/>
                <w:color w:val="auto"/>
              </w:rPr>
              <w:t>ACCEPTED:</w:t>
            </w:r>
          </w:p>
        </w:tc>
        <w:tc>
          <w:tcPr>
            <w:tcW w:w="6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4"/>
        </w:trPr>
        <w:tc>
          <w:tcPr>
            <w:tcW w:w="3000" w:type="dxa"/>
            <w:vAlign w:val="bottom"/>
            <w:tcBorders>
              <w:bottom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/s/ Garth Weber</w:t>
            </w:r>
          </w:p>
        </w:tc>
        <w:tc>
          <w:tcPr>
            <w:tcW w:w="618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20"/>
                <w:szCs w:val="20"/>
                <w:color w:val="auto"/>
              </w:rPr>
              <w:t>August 5</w:t>
            </w:r>
            <w:r>
              <w:rPr>
                <w:rFonts w:ascii="Calibri" w:cs="Calibri" w:eastAsia="Calibri" w:hAnsi="Calibri"/>
                <w:sz w:val="20"/>
                <w:szCs w:val="20"/>
                <w:color w:val="auto"/>
                <w:vertAlign w:val="superscript"/>
              </w:rPr>
              <w:t>th</w:t>
            </w:r>
            <w:r>
              <w:rPr>
                <w:rFonts w:ascii="Calibri" w:cs="Calibri" w:eastAsia="Calibri" w:hAnsi="Calibri"/>
                <w:sz w:val="20"/>
                <w:szCs w:val="20"/>
                <w:color w:val="auto"/>
              </w:rPr>
              <w:t>, 2024</w:t>
            </w:r>
          </w:p>
        </w:tc>
        <w:tc>
          <w:tcPr>
            <w:tcW w:w="20" w:type="dxa"/>
            <w:vAlign w:val="bottom"/>
          </w:tcPr>
          <w:p>
            <w:pPr>
              <w:spacing w:after="0"/>
              <w:rPr>
                <w:sz w:val="22"/>
                <w:szCs w:val="22"/>
                <w:color w:val="auto"/>
              </w:rPr>
            </w:pPr>
          </w:p>
        </w:tc>
      </w:tr>
      <w:tr>
        <w:trPr>
          <w:trHeight w:val="228"/>
        </w:trPr>
        <w:tc>
          <w:tcPr>
            <w:tcW w:w="3000" w:type="dxa"/>
            <w:vAlign w:val="bottom"/>
          </w:tcPr>
          <w:p>
            <w:pPr>
              <w:ind w:left="120"/>
              <w:spacing w:after="0" w:line="228" w:lineRule="exact"/>
              <w:rPr>
                <w:sz w:val="20"/>
                <w:szCs w:val="20"/>
                <w:color w:val="auto"/>
              </w:rPr>
            </w:pPr>
            <w:r>
              <w:rPr>
                <w:rFonts w:ascii="Calibri" w:cs="Calibri" w:eastAsia="Calibri" w:hAnsi="Calibri"/>
                <w:sz w:val="20"/>
                <w:szCs w:val="20"/>
                <w:color w:val="auto"/>
              </w:rPr>
              <w:t>Garth Weber</w:t>
            </w:r>
          </w:p>
        </w:tc>
        <w:tc>
          <w:tcPr>
            <w:tcW w:w="6180" w:type="dxa"/>
            <w:vAlign w:val="bottom"/>
          </w:tcPr>
          <w:p>
            <w:pPr>
              <w:jc w:val="right"/>
              <w:ind w:right="30"/>
              <w:spacing w:after="0" w:line="228" w:lineRule="exact"/>
              <w:rPr>
                <w:sz w:val="20"/>
                <w:szCs w:val="20"/>
                <w:color w:val="auto"/>
              </w:rPr>
            </w:pPr>
            <w:r>
              <w:rPr>
                <w:rFonts w:ascii="Calibri" w:cs="Calibri" w:eastAsia="Calibri" w:hAnsi="Calibri"/>
                <w:sz w:val="20"/>
                <w:szCs w:val="20"/>
                <w:color w:val="auto"/>
              </w:rPr>
              <w:t>Date</w:t>
            </w:r>
          </w:p>
        </w:tc>
        <w:tc>
          <w:tcPr>
            <w:tcW w:w="20" w:type="dxa"/>
            <w:vAlign w:val="bottom"/>
          </w:tcPr>
          <w:p>
            <w:pPr>
              <w:spacing w:after="0"/>
              <w:rPr>
                <w:sz w:val="19"/>
                <w:szCs w:val="19"/>
                <w:color w:val="auto"/>
              </w:rPr>
            </w:pPr>
          </w:p>
        </w:tc>
      </w:tr>
      <w:tr>
        <w:trPr>
          <w:trHeight w:val="527"/>
        </w:trPr>
        <w:tc>
          <w:tcPr>
            <w:tcW w:w="3000" w:type="dxa"/>
            <w:vAlign w:val="bottom"/>
          </w:tcPr>
          <w:p>
            <w:pPr>
              <w:spacing w:after="0"/>
              <w:rPr>
                <w:sz w:val="24"/>
                <w:szCs w:val="24"/>
                <w:color w:val="auto"/>
              </w:rPr>
            </w:pPr>
          </w:p>
        </w:tc>
        <w:tc>
          <w:tcPr>
            <w:tcW w:w="6180" w:type="dxa"/>
            <w:vAlign w:val="bottom"/>
          </w:tcPr>
          <w:p>
            <w:pPr>
              <w:jc w:val="right"/>
              <w:ind w:right="447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4"/>
                <w:szCs w:val="24"/>
                <w:color w:val="auto"/>
              </w:rPr>
            </w:pPr>
          </w:p>
        </w:tc>
      </w:tr>
      <w:tr>
        <w:trPr>
          <w:trHeight w:val="332"/>
        </w:trPr>
        <w:tc>
          <w:tcPr>
            <w:tcW w:w="300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3000" w:type="dxa"/>
            <w:vAlign w:val="bottom"/>
            <w:tcBorders>
              <w:bottom w:val="single" w:sz="8" w:color="EEEEEE"/>
            </w:tcBorders>
          </w:tcPr>
          <w:p>
            <w:pPr>
              <w:spacing w:after="0" w:line="20" w:lineRule="exact"/>
              <w:rPr>
                <w:sz w:val="1"/>
                <w:szCs w:val="1"/>
                <w:color w:val="auto"/>
              </w:rPr>
            </w:pPr>
          </w:p>
        </w:tc>
        <w:tc>
          <w:tcPr>
            <w:tcW w:w="6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-38100</wp:posOffset>
            </wp:positionV>
            <wp:extent cx="3365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wp:posOffset>
            </wp:positionV>
            <wp:extent cx="3429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200"/>
          </w:cols>
          <w:pgMar w:left="1360" w:top="115" w:right="1339" w:bottom="1440" w:gutter="0" w:footer="0" w:header="0"/>
        </w:sectPr>
      </w:pPr>
    </w:p>
    <w:bookmarkStart w:id="75" w:name="page76"/>
    <w:bookmarkEnd w:id="75"/>
    <w:p>
      <w:pPr>
        <w:jc w:val="right"/>
        <w:spacing w:after="0"/>
        <w:rPr>
          <w:sz w:val="20"/>
          <w:szCs w:val="20"/>
          <w:color w:val="auto"/>
        </w:rPr>
      </w:pPr>
      <w:r>
        <w:rPr>
          <w:rFonts w:ascii="Calibri" w:cs="Calibri" w:eastAsia="Calibri" w:hAnsi="Calibri"/>
          <w:sz w:val="23"/>
          <w:szCs w:val="23"/>
          <w:b w:val="1"/>
          <w:bCs w:val="1"/>
          <w:color w:val="auto"/>
        </w:rPr>
        <w:t>Exhibit 10.24</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EMPLOYMENT AGREEMENT</w:t>
      </w:r>
    </w:p>
    <w:p>
      <w:pPr>
        <w:spacing w:after="0" w:line="233" w:lineRule="exact"/>
        <w:rPr>
          <w:sz w:val="20"/>
          <w:szCs w:val="20"/>
          <w:color w:val="auto"/>
        </w:rPr>
      </w:pPr>
    </w:p>
    <w:p>
      <w:pPr>
        <w:ind w:right="30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SECOND AMENDMENT TO EMPLOYMENT AGREEMENT </w:t>
      </w:r>
      <w:r>
        <w:rPr>
          <w:rFonts w:ascii="Times New Roman" w:cs="Times New Roman" w:eastAsia="Times New Roman" w:hAnsi="Times New Roman"/>
          <w:sz w:val="22"/>
          <w:szCs w:val="22"/>
          <w:color w:val="auto"/>
        </w:rPr>
        <w:t>(“Second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is executed as of this 26th day of February, 2025 (“the Amendment Effective Date”), by and between Stephen L. Schlecht (“Executive”) and Duluth Holdings Inc.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Executive (jointly, the “Parties” and each a “Party”) entered into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certain Employment Agreement, dated August 5, 2015 (the “2015 Employment Agreement”);</w:t>
      </w:r>
    </w:p>
    <w:p>
      <w:pPr>
        <w:spacing w:after="0" w:line="153" w:lineRule="exact"/>
        <w:rPr>
          <w:sz w:val="20"/>
          <w:szCs w:val="20"/>
          <w:color w:val="auto"/>
        </w:rPr>
      </w:pPr>
    </w:p>
    <w:p>
      <w:pPr>
        <w:ind w:right="260"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amended and restated the 2015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 its entirety, on the terms and conditions set forth in the First Amended and Restated Employment Agreement, dated May 27, 2021 (the “Amended and Restated Employment Agreement”); and</w:t>
      </w:r>
    </w:p>
    <w:p>
      <w:pPr>
        <w:spacing w:after="0" w:line="199"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to amend the Amended and Restated Employment Agreement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and subject to the conditions set forth herein.</w:t>
      </w:r>
    </w:p>
    <w:p>
      <w:pPr>
        <w:spacing w:after="0" w:line="177" w:lineRule="exact"/>
        <w:rPr>
          <w:sz w:val="20"/>
          <w:szCs w:val="20"/>
          <w:color w:val="auto"/>
        </w:rPr>
      </w:pPr>
    </w:p>
    <w:p>
      <w:pPr>
        <w:ind w:right="86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promises and the mutual agreements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contained herein, and for other good and valuable consideration, the receipt and sufficiency of which is hereby acknowledged by the Parties, the Parties agree as follows:</w:t>
      </w:r>
    </w:p>
    <w:p>
      <w:pPr>
        <w:spacing w:after="0" w:line="203" w:lineRule="exact"/>
        <w:rPr>
          <w:sz w:val="20"/>
          <w:szCs w:val="20"/>
          <w:color w:val="auto"/>
        </w:rPr>
      </w:pPr>
    </w:p>
    <w:p>
      <w:pPr>
        <w:ind w:right="860" w:firstLine="642"/>
        <w:spacing w:after="0" w:line="282" w:lineRule="auto"/>
        <w:tabs>
          <w:tab w:leader="none" w:pos="1347"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and not defined in this Second Amendment have the respective meanings assigned to them in the Amended and Restated Employment Agreement.</w:t>
      </w:r>
    </w:p>
    <w:p>
      <w:pPr>
        <w:spacing w:after="0" w:line="158" w:lineRule="exact"/>
        <w:rPr>
          <w:rFonts w:ascii="Calibri" w:cs="Calibri" w:eastAsia="Calibri" w:hAnsi="Calibri"/>
          <w:sz w:val="20"/>
          <w:szCs w:val="20"/>
          <w:color w:val="auto"/>
        </w:rPr>
      </w:pPr>
    </w:p>
    <w:p>
      <w:pPr>
        <w:ind w:left="1340" w:hanging="698"/>
        <w:spacing w:after="0"/>
        <w:tabs>
          <w:tab w:leader="none" w:pos="1340"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20"/>
          <w:szCs w:val="20"/>
          <w:u w:val="single" w:color="auto"/>
          <w:color w:val="auto"/>
        </w:rPr>
        <w:t>Amendments to the Amended and Restated Employment Agreement</w:t>
      </w:r>
      <w:r>
        <w:rPr>
          <w:rFonts w:ascii="Times New Roman" w:cs="Times New Roman" w:eastAsia="Times New Roman" w:hAnsi="Times New Roman"/>
          <w:sz w:val="20"/>
          <w:szCs w:val="20"/>
          <w:color w:val="auto"/>
        </w:rPr>
        <w:t>.</w:t>
      </w:r>
    </w:p>
    <w:p>
      <w:pPr>
        <w:spacing w:after="0" w:line="241" w:lineRule="exact"/>
        <w:rPr>
          <w:rFonts w:ascii="Calibri" w:cs="Calibri" w:eastAsia="Calibri" w:hAnsi="Calibri"/>
          <w:sz w:val="20"/>
          <w:szCs w:val="20"/>
          <w:color w:val="auto"/>
        </w:rPr>
      </w:pPr>
    </w:p>
    <w:p>
      <w:pPr>
        <w:ind w:left="640" w:right="360" w:firstLine="648"/>
        <w:spacing w:after="0" w:line="266" w:lineRule="auto"/>
        <w:rPr>
          <w:rFonts w:ascii="Calibri" w:cs="Calibri" w:eastAsia="Calibri" w:hAnsi="Calibri"/>
          <w:sz w:val="20"/>
          <w:szCs w:val="20"/>
          <w:color w:val="auto"/>
        </w:rPr>
      </w:pPr>
      <w:r>
        <w:rPr>
          <w:rFonts w:ascii="Calibri" w:cs="Calibri" w:eastAsia="Calibri" w:hAnsi="Calibri"/>
          <w:sz w:val="20"/>
          <w:szCs w:val="20"/>
          <w:color w:val="auto"/>
        </w:rPr>
        <w:t xml:space="preserve">a. </w:t>
      </w:r>
      <w:r>
        <w:rPr>
          <w:rFonts w:ascii="Times New Roman" w:cs="Times New Roman" w:eastAsia="Times New Roman" w:hAnsi="Times New Roman"/>
          <w:sz w:val="20"/>
          <w:szCs w:val="20"/>
          <w:color w:val="auto"/>
        </w:rPr>
        <w:t>The first sentence of Section 1.2 (Term of Employment) of the Amended and Restated</w:t>
      </w:r>
      <w:r>
        <w:rPr>
          <w:rFonts w:ascii="Calibri" w:cs="Calibri" w:eastAsia="Calibri" w:hAnsi="Calibri"/>
          <w:sz w:val="20"/>
          <w:szCs w:val="20"/>
          <w:color w:val="auto"/>
        </w:rPr>
        <w:t xml:space="preserve"> </w:t>
      </w:r>
      <w:r>
        <w:rPr>
          <w:rFonts w:ascii="Times New Roman" w:cs="Times New Roman" w:eastAsia="Times New Roman" w:hAnsi="Times New Roman"/>
          <w:sz w:val="20"/>
          <w:szCs w:val="20"/>
          <w:color w:val="auto"/>
        </w:rPr>
        <w:t>Employment Agreement is hereby amended and restated in its entirety as follows:</w:t>
      </w:r>
    </w:p>
    <w:p>
      <w:pPr>
        <w:spacing w:after="0" w:line="183" w:lineRule="exact"/>
        <w:rPr>
          <w:sz w:val="20"/>
          <w:szCs w:val="20"/>
          <w:color w:val="auto"/>
        </w:rPr>
      </w:pPr>
    </w:p>
    <w:p>
      <w:pPr>
        <w:ind w:left="640" w:right="100"/>
        <w:spacing w:after="0" w:line="238" w:lineRule="auto"/>
        <w:rPr>
          <w:sz w:val="20"/>
          <w:szCs w:val="20"/>
          <w:color w:val="auto"/>
        </w:rPr>
      </w:pPr>
      <w:r>
        <w:rPr>
          <w:rFonts w:ascii="Times New Roman" w:cs="Times New Roman" w:eastAsia="Times New Roman" w:hAnsi="Times New Roman"/>
          <w:sz w:val="22"/>
          <w:szCs w:val="22"/>
          <w:color w:val="auto"/>
        </w:rPr>
        <w:t>“The Company employes Executive, and Executive accepts employment by the Company, for the period commencing on the Effective Date and ending on the date of the annual meeting of shareholders of the Company in 2026 (the “Employment Term”); provided, however, that the Employment Term shall be subject to earlier termination as hereafter set forth in Article III, below.”</w:t>
      </w:r>
    </w:p>
    <w:p>
      <w:pPr>
        <w:spacing w:after="0" w:line="208" w:lineRule="exact"/>
        <w:rPr>
          <w:sz w:val="20"/>
          <w:szCs w:val="20"/>
          <w:color w:val="auto"/>
        </w:rPr>
      </w:pPr>
    </w:p>
    <w:p>
      <w:pPr>
        <w:ind w:left="640" w:right="740" w:firstLine="650"/>
        <w:spacing w:after="0" w:line="282" w:lineRule="auto"/>
        <w:tabs>
          <w:tab w:leader="none" w:pos="1977" w:val="left"/>
        </w:tabs>
        <w:numPr>
          <w:ilvl w:val="0"/>
          <w:numId w:val="22"/>
        </w:numPr>
        <w:rPr>
          <w:rFonts w:ascii="Calibri" w:cs="Calibri" w:eastAsia="Calibri" w:hAnsi="Calibri"/>
          <w:sz w:val="20"/>
          <w:szCs w:val="20"/>
          <w:color w:val="auto"/>
        </w:rPr>
      </w:pPr>
      <w:r>
        <w:rPr>
          <w:rFonts w:ascii="Times New Roman" w:cs="Times New Roman" w:eastAsia="Times New Roman" w:hAnsi="Times New Roman"/>
          <w:sz w:val="20"/>
          <w:szCs w:val="20"/>
          <w:color w:val="auto"/>
        </w:rPr>
        <w:t>Section 2.2 (Incentive Compensation) of the Amended and Restated Employment Agreement is hereby amended and restated in its entirety as follows:</w:t>
      </w:r>
    </w:p>
    <w:p>
      <w:pPr>
        <w:spacing w:after="0" w:line="167" w:lineRule="exact"/>
        <w:rPr>
          <w:sz w:val="20"/>
          <w:szCs w:val="20"/>
          <w:color w:val="auto"/>
        </w:rPr>
      </w:pPr>
    </w:p>
    <w:p>
      <w:pPr>
        <w:ind w:left="640" w:right="40"/>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During the Employment Term, Executive shall be eligible to participate in annual incentive bonus plans (the “Bonus Plan”) offered by the Company to its senior executives from time-to-time. The performance metrics for the Bonus Plan and the extent to which such metrics are met, as well as any other material terms, including threshold and maximum levels for annual cash incentive bonuses, shall be determined in the sole discretion of the Board. For fiscal year 2021, Executive’s bonus target shall be one hundred percent (100%) of Executive’s Base Salary and the maximum bonus award shall be up to one hundred fifty percent (150%) of Base Salary. The amount of bonus for fiscal 2021 shall be contingent upon the Company meeting certain pre-established financial thresholds as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80"/>
          </w:cols>
          <w:pgMar w:left="1360" w:top="403" w:right="1359" w:bottom="1440" w:gutter="0" w:footer="0" w:header="0"/>
        </w:sectPr>
      </w:pPr>
    </w:p>
    <w:bookmarkStart w:id="76" w:name="page77"/>
    <w:bookmarkEnd w:id="76"/>
    <w:p>
      <w:pPr>
        <w:ind w:left="640" w:right="60"/>
        <w:spacing w:after="0" w:line="234" w:lineRule="auto"/>
        <w:rPr>
          <w:sz w:val="20"/>
          <w:szCs w:val="20"/>
          <w:color w:val="auto"/>
        </w:rPr>
      </w:pPr>
      <w:r>
        <w:rPr>
          <w:rFonts w:ascii="Times New Roman" w:cs="Times New Roman" w:eastAsia="Times New Roman" w:hAnsi="Times New Roman"/>
          <w:sz w:val="22"/>
          <w:szCs w:val="22"/>
          <w:color w:val="auto"/>
        </w:rPr>
        <w:t>previously approved by the Compensation Committee of the Board. For fiscal years 2022, 2023, 2024, 2025 and 2026, Executive’s bonus target shall be fifty percent (50%) of Executive’s Base Salary and the maximum bonus award shall be up to seventy five percent (75%) of Base Salary. The amount of bonus for fiscal years 2022, 2023, 2024, 2025 and 2026 shall be contingent upon the Company meeting certain pre-established financial thresholds to be approved by the Compensation Committee of the Board for the senior officers of the Company. During the Employment Term, Executive will not be eligible for grants of equity compensation under the Company’s equity incentive plan in effect during the Employment Term. The bonus for fiscal year 2026 shall be prorated for a partial year of service.”</w:t>
      </w:r>
    </w:p>
    <w:p>
      <w:pPr>
        <w:spacing w:after="0" w:line="215" w:lineRule="exact"/>
        <w:rPr>
          <w:sz w:val="20"/>
          <w:szCs w:val="20"/>
          <w:color w:val="auto"/>
        </w:rPr>
      </w:pPr>
    </w:p>
    <w:p>
      <w:pPr>
        <w:ind w:right="180" w:firstLine="642"/>
        <w:spacing w:after="0" w:line="248" w:lineRule="auto"/>
        <w:tabs>
          <w:tab w:leader="none" w:pos="1347" w:val="left"/>
        </w:tabs>
        <w:numPr>
          <w:ilvl w:val="0"/>
          <w:numId w:val="23"/>
        </w:numPr>
        <w:rPr>
          <w:rFonts w:ascii="Calibri" w:cs="Calibri" w:eastAsia="Calibri" w:hAnsi="Calibri"/>
          <w:sz w:val="20"/>
          <w:szCs w:val="20"/>
          <w:color w:val="auto"/>
        </w:rPr>
      </w:pPr>
      <w:r>
        <w:rPr>
          <w:rFonts w:ascii="Times New Roman" w:cs="Times New Roman" w:eastAsia="Times New Roman" w:hAnsi="Times New Roman"/>
          <w:sz w:val="20"/>
          <w:szCs w:val="20"/>
          <w:u w:val="single" w:color="auto"/>
          <w:color w:val="auto"/>
        </w:rPr>
        <w:t>Limited Effect</w:t>
      </w:r>
      <w:r>
        <w:rPr>
          <w:rFonts w:ascii="Times New Roman" w:cs="Times New Roman" w:eastAsia="Times New Roman" w:hAnsi="Times New Roman"/>
          <w:sz w:val="20"/>
          <w:szCs w:val="20"/>
          <w:color w:val="auto"/>
        </w:rPr>
        <w:t>. Except as expressly provided in this Second Amendment, all the terms and provisions of the Amended and Restated Employment Agreement are and will remain in full force and effect and are hereby ratified and confirmed by the Parties. Without limiting the generality of the foregoing, the amendments contained herein will not be construed as an amendment to or waiver of any other provision of the Amended and Restated Employment Agreement or as a waiver of or consent to any further or future action on the part of either Party that would require the waiver or consent of the other Party.</w:t>
      </w:r>
    </w:p>
    <w:p>
      <w:pPr>
        <w:spacing w:after="0" w:line="193" w:lineRule="exact"/>
        <w:rPr>
          <w:rFonts w:ascii="Calibri" w:cs="Calibri" w:eastAsia="Calibri" w:hAnsi="Calibri"/>
          <w:sz w:val="20"/>
          <w:szCs w:val="20"/>
          <w:color w:val="auto"/>
        </w:rPr>
      </w:pPr>
    </w:p>
    <w:p>
      <w:pPr>
        <w:ind w:left="1340" w:hanging="698"/>
        <w:spacing w:after="0"/>
        <w:tabs>
          <w:tab w:leader="none" w:pos="1340" w:val="left"/>
        </w:tabs>
        <w:numPr>
          <w:ilvl w:val="0"/>
          <w:numId w:val="23"/>
        </w:numPr>
        <w:rPr>
          <w:rFonts w:ascii="Calibri" w:cs="Calibri" w:eastAsia="Calibri" w:hAnsi="Calibri"/>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41" w:lineRule="exact"/>
        <w:rPr>
          <w:rFonts w:ascii="Calibri" w:cs="Calibri" w:eastAsia="Calibri" w:hAnsi="Calibri"/>
          <w:sz w:val="20"/>
          <w:szCs w:val="20"/>
          <w:color w:val="auto"/>
        </w:rPr>
      </w:pPr>
    </w:p>
    <w:p>
      <w:pPr>
        <w:ind w:left="640" w:right="80" w:firstLine="650"/>
        <w:spacing w:after="0" w:line="282" w:lineRule="auto"/>
        <w:tabs>
          <w:tab w:leader="none" w:pos="1981" w:val="left"/>
        </w:tabs>
        <w:numPr>
          <w:ilvl w:val="1"/>
          <w:numId w:val="23"/>
        </w:numPr>
        <w:rPr>
          <w:rFonts w:ascii="Calibri" w:cs="Calibri" w:eastAsia="Calibri" w:hAnsi="Calibri"/>
          <w:sz w:val="20"/>
          <w:szCs w:val="20"/>
          <w:color w:val="auto"/>
        </w:rPr>
      </w:pPr>
      <w:r>
        <w:rPr>
          <w:rFonts w:ascii="Times New Roman" w:cs="Times New Roman" w:eastAsia="Times New Roman" w:hAnsi="Times New Roman"/>
          <w:sz w:val="20"/>
          <w:szCs w:val="20"/>
          <w:color w:val="auto"/>
        </w:rPr>
        <w:t>This Second Amendment is governed by and construed in accordance with the laws of the State of Wisconsin, without regard to the conflict of laws provisions of such State.</w:t>
      </w:r>
    </w:p>
    <w:p>
      <w:pPr>
        <w:spacing w:after="0" w:line="171" w:lineRule="exact"/>
        <w:rPr>
          <w:rFonts w:ascii="Calibri" w:cs="Calibri" w:eastAsia="Calibri" w:hAnsi="Calibri"/>
          <w:sz w:val="20"/>
          <w:szCs w:val="20"/>
          <w:color w:val="auto"/>
        </w:rPr>
      </w:pPr>
    </w:p>
    <w:p>
      <w:pPr>
        <w:ind w:left="640" w:right="540" w:firstLine="650"/>
        <w:spacing w:after="0" w:line="282" w:lineRule="auto"/>
        <w:tabs>
          <w:tab w:leader="none" w:pos="1977" w:val="left"/>
        </w:tabs>
        <w:numPr>
          <w:ilvl w:val="1"/>
          <w:numId w:val="23"/>
        </w:numPr>
        <w:rPr>
          <w:rFonts w:ascii="Calibri" w:cs="Calibri" w:eastAsia="Calibri" w:hAnsi="Calibri"/>
          <w:sz w:val="20"/>
          <w:szCs w:val="20"/>
          <w:color w:val="auto"/>
        </w:rPr>
      </w:pPr>
      <w:r>
        <w:rPr>
          <w:rFonts w:ascii="Times New Roman" w:cs="Times New Roman" w:eastAsia="Times New Roman" w:hAnsi="Times New Roman"/>
          <w:sz w:val="20"/>
          <w:szCs w:val="20"/>
          <w:color w:val="auto"/>
        </w:rPr>
        <w:t>The headings in this Second Amendment are for reference only and do not affect the interpretation of this Second Amendment.</w:t>
      </w:r>
    </w:p>
    <w:p>
      <w:pPr>
        <w:spacing w:after="0" w:line="158" w:lineRule="exact"/>
        <w:rPr>
          <w:rFonts w:ascii="Calibri" w:cs="Calibri" w:eastAsia="Calibri" w:hAnsi="Calibri"/>
          <w:sz w:val="20"/>
          <w:szCs w:val="20"/>
          <w:color w:val="auto"/>
        </w:rPr>
      </w:pPr>
    </w:p>
    <w:p>
      <w:pPr>
        <w:jc w:val="both"/>
        <w:ind w:left="640" w:right="140" w:firstLine="650"/>
        <w:spacing w:after="0" w:line="253" w:lineRule="auto"/>
        <w:tabs>
          <w:tab w:leader="none" w:pos="1970" w:val="left"/>
        </w:tabs>
        <w:numPr>
          <w:ilvl w:val="1"/>
          <w:numId w:val="23"/>
        </w:numPr>
        <w:rPr>
          <w:rFonts w:ascii="Calibri" w:cs="Calibri" w:eastAsia="Calibri" w:hAnsi="Calibri"/>
          <w:sz w:val="20"/>
          <w:szCs w:val="20"/>
          <w:color w:val="auto"/>
        </w:rPr>
      </w:pPr>
      <w:r>
        <w:rPr>
          <w:rFonts w:ascii="Times New Roman" w:cs="Times New Roman" w:eastAsia="Times New Roman" w:hAnsi="Times New Roman"/>
          <w:sz w:val="20"/>
          <w:szCs w:val="20"/>
          <w:color w:val="auto"/>
        </w:rPr>
        <w:t>This Second Amendment may be executed in counterparts, each of which is deemed an original, but all of which constitute one and the same agreement. Delivery of an executed counterpart of this Second Amendment electronically shall be effective as delivery of an original executed counterpart of this Second Amendment.</w:t>
      </w:r>
    </w:p>
    <w:p>
      <w:pPr>
        <w:spacing w:after="0" w:line="203" w:lineRule="exact"/>
        <w:rPr>
          <w:rFonts w:ascii="Calibri" w:cs="Calibri" w:eastAsia="Calibri" w:hAnsi="Calibri"/>
          <w:sz w:val="20"/>
          <w:szCs w:val="20"/>
          <w:color w:val="auto"/>
        </w:rPr>
      </w:pPr>
    </w:p>
    <w:p>
      <w:pPr>
        <w:ind w:left="640" w:right="360" w:firstLine="650"/>
        <w:spacing w:after="0" w:line="253" w:lineRule="auto"/>
        <w:tabs>
          <w:tab w:leader="none" w:pos="1977" w:val="left"/>
        </w:tabs>
        <w:numPr>
          <w:ilvl w:val="1"/>
          <w:numId w:val="23"/>
        </w:numPr>
        <w:rPr>
          <w:rFonts w:ascii="Calibri" w:cs="Calibri" w:eastAsia="Calibri" w:hAnsi="Calibri"/>
          <w:sz w:val="20"/>
          <w:szCs w:val="20"/>
          <w:color w:val="auto"/>
        </w:rPr>
      </w:pPr>
      <w:r>
        <w:rPr>
          <w:rFonts w:ascii="Times New Roman" w:cs="Times New Roman" w:eastAsia="Times New Roman" w:hAnsi="Times New Roman"/>
          <w:sz w:val="20"/>
          <w:szCs w:val="20"/>
          <w:color w:val="auto"/>
        </w:rPr>
        <w:t>This Second Amendment constitutes the sole and entire agreement between the Parties with respect to the subject matter contained herein, and supersedes all prior and contemporaneous understandings, agreements, representations, and warranties, both written and oral, with respect to such subject matter.</w:t>
      </w:r>
    </w:p>
    <w:p>
      <w:pPr>
        <w:spacing w:after="0" w:line="195"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Second Amendment to be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as of the Amendment Effective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360" w:type="dxa"/>
            <w:vAlign w:val="bottom"/>
          </w:tcPr>
          <w:p>
            <w:pPr>
              <w:spacing w:after="0"/>
              <w:rPr>
                <w:sz w:val="24"/>
                <w:szCs w:val="24"/>
                <w:color w:val="auto"/>
              </w:rPr>
            </w:pPr>
          </w:p>
        </w:tc>
        <w:tc>
          <w:tcPr>
            <w:tcW w:w="6840" w:type="dxa"/>
            <w:vAlign w:val="bottom"/>
          </w:tcPr>
          <w:p>
            <w:pPr>
              <w:ind w:left="2200"/>
              <w:spacing w:after="0"/>
              <w:rPr>
                <w:sz w:val="20"/>
                <w:szCs w:val="20"/>
                <w:color w:val="auto"/>
              </w:rPr>
            </w:pPr>
            <w:r>
              <w:rPr>
                <w:rFonts w:ascii="Times New Roman" w:cs="Times New Roman" w:eastAsia="Times New Roman" w:hAnsi="Times New Roman"/>
                <w:sz w:val="22"/>
                <w:szCs w:val="22"/>
                <w:b w:val="1"/>
                <w:bCs w:val="1"/>
                <w:color w:val="auto"/>
              </w:rPr>
              <w:t>EXECUTIVE:</w:t>
            </w:r>
          </w:p>
        </w:tc>
      </w:tr>
      <w:tr>
        <w:trPr>
          <w:trHeight w:val="690"/>
        </w:trPr>
        <w:tc>
          <w:tcPr>
            <w:tcW w:w="2360" w:type="dxa"/>
            <w:vAlign w:val="bottom"/>
          </w:tcPr>
          <w:p>
            <w:pPr>
              <w:spacing w:after="0"/>
              <w:rPr>
                <w:sz w:val="24"/>
                <w:szCs w:val="24"/>
                <w:color w:val="auto"/>
              </w:rPr>
            </w:pPr>
          </w:p>
        </w:tc>
        <w:tc>
          <w:tcPr>
            <w:tcW w:w="684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_____________________________________</w:t>
            </w:r>
          </w:p>
        </w:tc>
      </w:tr>
      <w:tr>
        <w:trPr>
          <w:trHeight w:val="282"/>
        </w:trPr>
        <w:tc>
          <w:tcPr>
            <w:tcW w:w="2360" w:type="dxa"/>
            <w:vAlign w:val="bottom"/>
          </w:tcPr>
          <w:p>
            <w:pPr>
              <w:spacing w:after="0"/>
              <w:rPr>
                <w:sz w:val="24"/>
                <w:szCs w:val="24"/>
                <w:color w:val="auto"/>
              </w:rPr>
            </w:pPr>
          </w:p>
        </w:tc>
        <w:tc>
          <w:tcPr>
            <w:tcW w:w="684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Stephen L. Schlecht</w:t>
            </w:r>
          </w:p>
        </w:tc>
      </w:tr>
      <w:tr>
        <w:trPr>
          <w:trHeight w:val="729"/>
        </w:trPr>
        <w:tc>
          <w:tcPr>
            <w:tcW w:w="2360" w:type="dxa"/>
            <w:vAlign w:val="bottom"/>
          </w:tcPr>
          <w:p>
            <w:pPr>
              <w:spacing w:after="0"/>
              <w:rPr>
                <w:sz w:val="24"/>
                <w:szCs w:val="24"/>
                <w:color w:val="auto"/>
              </w:rPr>
            </w:pPr>
          </w:p>
        </w:tc>
        <w:tc>
          <w:tcPr>
            <w:tcW w:w="6840" w:type="dxa"/>
            <w:vAlign w:val="bottom"/>
          </w:tcPr>
          <w:p>
            <w:pPr>
              <w:ind w:left="2200"/>
              <w:spacing w:after="0"/>
              <w:rPr>
                <w:sz w:val="20"/>
                <w:szCs w:val="20"/>
                <w:color w:val="auto"/>
              </w:rPr>
            </w:pPr>
            <w:r>
              <w:rPr>
                <w:rFonts w:ascii="Times New Roman" w:cs="Times New Roman" w:eastAsia="Times New Roman" w:hAnsi="Times New Roman"/>
                <w:sz w:val="22"/>
                <w:szCs w:val="22"/>
                <w:b w:val="1"/>
                <w:bCs w:val="1"/>
                <w:color w:val="auto"/>
              </w:rPr>
              <w:t>DULUTH HOLDINGS INC.:</w:t>
            </w:r>
          </w:p>
        </w:tc>
      </w:tr>
      <w:tr>
        <w:trPr>
          <w:trHeight w:val="690"/>
        </w:trPr>
        <w:tc>
          <w:tcPr>
            <w:tcW w:w="2360" w:type="dxa"/>
            <w:vAlign w:val="bottom"/>
          </w:tcPr>
          <w:p>
            <w:pPr>
              <w:spacing w:after="0"/>
              <w:rPr>
                <w:sz w:val="24"/>
                <w:szCs w:val="24"/>
                <w:color w:val="auto"/>
              </w:rPr>
            </w:pPr>
          </w:p>
        </w:tc>
        <w:tc>
          <w:tcPr>
            <w:tcW w:w="684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_____________________________________</w:t>
            </w:r>
          </w:p>
        </w:tc>
      </w:tr>
      <w:tr>
        <w:trPr>
          <w:trHeight w:val="243"/>
        </w:trPr>
        <w:tc>
          <w:tcPr>
            <w:tcW w:w="2360" w:type="dxa"/>
            <w:vAlign w:val="bottom"/>
          </w:tcPr>
          <w:p>
            <w:pPr>
              <w:spacing w:after="0"/>
              <w:rPr>
                <w:sz w:val="21"/>
                <w:szCs w:val="21"/>
                <w:color w:val="auto"/>
              </w:rPr>
            </w:pPr>
          </w:p>
        </w:tc>
        <w:tc>
          <w:tcPr>
            <w:tcW w:w="6840" w:type="dxa"/>
            <w:vAlign w:val="bottom"/>
          </w:tcPr>
          <w:p>
            <w:pPr>
              <w:ind w:left="2200"/>
              <w:spacing w:after="0" w:line="243" w:lineRule="exact"/>
              <w:rPr>
                <w:sz w:val="20"/>
                <w:szCs w:val="20"/>
                <w:color w:val="auto"/>
              </w:rPr>
            </w:pPr>
            <w:r>
              <w:rPr>
                <w:rFonts w:ascii="Times New Roman" w:cs="Times New Roman" w:eastAsia="Times New Roman" w:hAnsi="Times New Roman"/>
                <w:sz w:val="22"/>
                <w:szCs w:val="22"/>
                <w:color w:val="auto"/>
              </w:rPr>
              <w:t>Samuel M. Sato</w:t>
            </w:r>
          </w:p>
        </w:tc>
      </w:tr>
      <w:tr>
        <w:trPr>
          <w:trHeight w:val="282"/>
        </w:trPr>
        <w:tc>
          <w:tcPr>
            <w:tcW w:w="2360" w:type="dxa"/>
            <w:vAlign w:val="bottom"/>
          </w:tcPr>
          <w:p>
            <w:pPr>
              <w:spacing w:after="0"/>
              <w:rPr>
                <w:sz w:val="24"/>
                <w:szCs w:val="24"/>
                <w:color w:val="auto"/>
              </w:rPr>
            </w:pPr>
          </w:p>
        </w:tc>
        <w:tc>
          <w:tcPr>
            <w:tcW w:w="684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President and Chief Executive Officer</w:t>
            </w:r>
          </w:p>
        </w:tc>
      </w:tr>
      <w:tr>
        <w:trPr>
          <w:trHeight w:val="790"/>
        </w:trPr>
        <w:tc>
          <w:tcPr>
            <w:tcW w:w="2360" w:type="dxa"/>
            <w:vAlign w:val="bottom"/>
          </w:tcPr>
          <w:p>
            <w:pPr>
              <w:spacing w:after="0"/>
              <w:rPr>
                <w:sz w:val="24"/>
                <w:szCs w:val="24"/>
                <w:color w:val="auto"/>
              </w:rPr>
            </w:pPr>
          </w:p>
        </w:tc>
        <w:tc>
          <w:tcPr>
            <w:tcW w:w="6840" w:type="dxa"/>
            <w:vAlign w:val="bottom"/>
          </w:tcPr>
          <w:p>
            <w:pPr>
              <w:ind w:left="2180"/>
              <w:spacing w:after="0"/>
              <w:rPr>
                <w:sz w:val="20"/>
                <w:szCs w:val="20"/>
                <w:color w:val="auto"/>
              </w:rPr>
            </w:pPr>
            <w:r>
              <w:rPr>
                <w:rFonts w:ascii="Arial" w:cs="Arial" w:eastAsia="Arial" w:hAnsi="Arial"/>
                <w:sz w:val="14"/>
                <w:szCs w:val="14"/>
                <w:color w:val="auto"/>
              </w:rPr>
              <w:t>2</w:t>
            </w:r>
          </w:p>
        </w:tc>
      </w:tr>
      <w:tr>
        <w:trPr>
          <w:trHeight w:val="332"/>
        </w:trPr>
        <w:tc>
          <w:tcPr>
            <w:tcW w:w="236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r>
        <w:trPr>
          <w:trHeight w:val="20"/>
        </w:trPr>
        <w:tc>
          <w:tcPr>
            <w:tcW w:w="2360" w:type="dxa"/>
            <w:vAlign w:val="bottom"/>
            <w:tcBorders>
              <w:bottom w:val="single" w:sz="8" w:color="EEEEEE"/>
            </w:tcBorders>
          </w:tcPr>
          <w:p>
            <w:pPr>
              <w:spacing w:after="0" w:line="20" w:lineRule="exact"/>
              <w:rPr>
                <w:sz w:val="1"/>
                <w:szCs w:val="1"/>
                <w:color w:val="auto"/>
              </w:rPr>
            </w:pPr>
          </w:p>
        </w:tc>
        <w:tc>
          <w:tcPr>
            <w:tcW w:w="6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-38100</wp:posOffset>
            </wp:positionV>
            <wp:extent cx="3365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wp:posOffset>
            </wp:positionV>
            <wp:extent cx="3429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200"/>
          </w:cols>
          <w:pgMar w:left="1360" w:top="111" w:right="1339" w:bottom="1440" w:gutter="0" w:footer="0" w:header="0"/>
        </w:sectPr>
      </w:pPr>
    </w:p>
    <w:bookmarkStart w:id="77" w:name="page78"/>
    <w:bookmarkEnd w:id="77"/>
    <w:p>
      <w:pPr>
        <w:jc w:val="right"/>
        <w:spacing w:after="0"/>
        <w:rPr>
          <w:sz w:val="20"/>
          <w:szCs w:val="20"/>
          <w:color w:val="auto"/>
        </w:rPr>
      </w:pPr>
      <w:r>
        <w:rPr>
          <w:rFonts w:ascii="Calibri" w:cs="Calibri" w:eastAsia="Calibri" w:hAnsi="Calibri"/>
          <w:sz w:val="23"/>
          <w:szCs w:val="23"/>
          <w:b w:val="1"/>
          <w:bCs w:val="1"/>
          <w:color w:val="auto"/>
        </w:rPr>
        <w:t>Exhibit 19.1</w:t>
      </w:r>
    </w:p>
    <w:p>
      <w:pPr>
        <w:spacing w:after="0" w:line="240" w:lineRule="exact"/>
        <w:rPr>
          <w:sz w:val="20"/>
          <w:szCs w:val="20"/>
          <w:color w:val="auto"/>
        </w:rPr>
      </w:pPr>
    </w:p>
    <w:p>
      <w:pPr>
        <w:ind w:left="3306"/>
        <w:spacing w:after="0"/>
        <w:rPr>
          <w:sz w:val="20"/>
          <w:szCs w:val="20"/>
          <w:color w:val="auto"/>
        </w:rPr>
      </w:pPr>
      <w:r>
        <w:rPr>
          <w:rFonts w:ascii="Arial" w:cs="Arial" w:eastAsia="Arial" w:hAnsi="Arial"/>
          <w:sz w:val="22"/>
          <w:szCs w:val="22"/>
          <w:color w:val="auto"/>
        </w:rPr>
        <w:t>DULUTH HOLDINGS INC.</w:t>
      </w:r>
    </w:p>
    <w:p>
      <w:pPr>
        <w:spacing w:after="0" w:line="233" w:lineRule="exact"/>
        <w:rPr>
          <w:sz w:val="20"/>
          <w:szCs w:val="20"/>
          <w:color w:val="auto"/>
        </w:rPr>
      </w:pPr>
    </w:p>
    <w:p>
      <w:pPr>
        <w:ind w:left="1966"/>
        <w:spacing w:after="0"/>
        <w:rPr>
          <w:sz w:val="20"/>
          <w:szCs w:val="20"/>
          <w:color w:val="auto"/>
        </w:rPr>
      </w:pPr>
      <w:r>
        <w:rPr>
          <w:rFonts w:ascii="Arial" w:cs="Arial" w:eastAsia="Arial" w:hAnsi="Arial"/>
          <w:sz w:val="22"/>
          <w:szCs w:val="22"/>
          <w:color w:val="auto"/>
        </w:rPr>
        <w:t>STATEMENT OF POLICY ON SECURITIES TRADING</w:t>
      </w:r>
    </w:p>
    <w:p>
      <w:pPr>
        <w:spacing w:after="0" w:line="206" w:lineRule="exact"/>
        <w:rPr>
          <w:sz w:val="20"/>
          <w:szCs w:val="20"/>
          <w:color w:val="auto"/>
        </w:rPr>
      </w:pPr>
    </w:p>
    <w:p>
      <w:pPr>
        <w:ind w:left="4126"/>
        <w:spacing w:after="0"/>
        <w:rPr>
          <w:sz w:val="20"/>
          <w:szCs w:val="20"/>
          <w:color w:val="auto"/>
        </w:rPr>
      </w:pPr>
      <w:r>
        <w:rPr>
          <w:rFonts w:ascii="Arial" w:cs="Arial" w:eastAsia="Arial" w:hAnsi="Arial"/>
          <w:sz w:val="22"/>
          <w:szCs w:val="22"/>
          <w:u w:val="single" w:color="auto"/>
          <w:color w:val="auto"/>
        </w:rPr>
        <w:t>(Amended as of October 31, 2017)</w:t>
      </w:r>
    </w:p>
    <w:p>
      <w:pPr>
        <w:spacing w:after="0" w:line="206" w:lineRule="exact"/>
        <w:rPr>
          <w:sz w:val="20"/>
          <w:szCs w:val="20"/>
          <w:color w:val="auto"/>
        </w:rPr>
      </w:pPr>
    </w:p>
    <w:p>
      <w:pPr>
        <w:ind w:left="766" w:hanging="766"/>
        <w:spacing w:after="0"/>
        <w:tabs>
          <w:tab w:leader="none" w:pos="766" w:val="left"/>
        </w:tabs>
        <w:numPr>
          <w:ilvl w:val="0"/>
          <w:numId w:val="24"/>
        </w:numPr>
        <w:rPr>
          <w:rFonts w:ascii="Arial" w:cs="Arial" w:eastAsia="Arial" w:hAnsi="Arial"/>
          <w:sz w:val="22"/>
          <w:szCs w:val="22"/>
          <w:color w:val="auto"/>
        </w:rPr>
      </w:pPr>
      <w:r>
        <w:rPr>
          <w:rFonts w:ascii="Arial" w:cs="Arial" w:eastAsia="Arial" w:hAnsi="Arial"/>
          <w:sz w:val="22"/>
          <w:szCs w:val="22"/>
          <w:color w:val="auto"/>
        </w:rPr>
        <w:t>PURPOSE OF STATEMENT OF POLICY</w:t>
      </w:r>
    </w:p>
    <w:p>
      <w:pPr>
        <w:spacing w:after="0" w:line="233" w:lineRule="exact"/>
        <w:rPr>
          <w:sz w:val="20"/>
          <w:szCs w:val="20"/>
          <w:color w:val="auto"/>
        </w:rPr>
      </w:pPr>
    </w:p>
    <w:p>
      <w:pPr>
        <w:ind w:left="6" w:right="300" w:firstLine="648"/>
        <w:spacing w:after="0" w:line="245" w:lineRule="auto"/>
        <w:rPr>
          <w:sz w:val="20"/>
          <w:szCs w:val="20"/>
          <w:color w:val="auto"/>
        </w:rPr>
      </w:pPr>
      <w:r>
        <w:rPr>
          <w:rFonts w:ascii="Arial" w:cs="Arial" w:eastAsia="Arial" w:hAnsi="Arial"/>
          <w:sz w:val="22"/>
          <w:szCs w:val="22"/>
          <w:color w:val="auto"/>
        </w:rPr>
        <w:t>The federal securities laws prohibit “insider trading.” Insider trading is a major focus of the enforcement program of the Securities and Exchange Commission and of criminal prosecutions brought by the Department of Justice.</w:t>
      </w:r>
    </w:p>
    <w:p>
      <w:pPr>
        <w:spacing w:after="0" w:line="197" w:lineRule="exact"/>
        <w:rPr>
          <w:sz w:val="20"/>
          <w:szCs w:val="20"/>
          <w:color w:val="auto"/>
        </w:rPr>
      </w:pPr>
    </w:p>
    <w:p>
      <w:pPr>
        <w:ind w:left="646"/>
        <w:spacing w:after="0"/>
        <w:rPr>
          <w:sz w:val="20"/>
          <w:szCs w:val="20"/>
          <w:color w:val="auto"/>
        </w:rPr>
      </w:pPr>
      <w:r>
        <w:rPr>
          <w:rFonts w:ascii="Arial" w:cs="Arial" w:eastAsia="Arial" w:hAnsi="Arial"/>
          <w:sz w:val="22"/>
          <w:szCs w:val="22"/>
          <w:color w:val="auto"/>
        </w:rPr>
        <w:t>As of the date of adoption of this Statement of Policy on Securities Trading, companies</w:t>
      </w:r>
    </w:p>
    <w:p>
      <w:pPr>
        <w:spacing w:after="0" w:line="10" w:lineRule="exact"/>
        <w:rPr>
          <w:sz w:val="20"/>
          <w:szCs w:val="20"/>
          <w:color w:val="auto"/>
        </w:rPr>
      </w:pPr>
    </w:p>
    <w:p>
      <w:pPr>
        <w:ind w:left="6"/>
        <w:spacing w:after="0"/>
        <w:rPr>
          <w:sz w:val="20"/>
          <w:szCs w:val="20"/>
          <w:color w:val="auto"/>
        </w:rPr>
      </w:pPr>
      <w:r>
        <w:rPr>
          <w:rFonts w:ascii="Arial" w:cs="Arial" w:eastAsia="Arial" w:hAnsi="Arial"/>
          <w:sz w:val="21"/>
          <w:szCs w:val="21"/>
          <w:color w:val="auto"/>
        </w:rPr>
        <w:t>are subject to a civil penalty of up to the greater of $1,525,000 or three times the profit gained or</w:t>
      </w:r>
    </w:p>
    <w:p>
      <w:pPr>
        <w:ind w:left="6"/>
        <w:spacing w:after="0" w:line="231" w:lineRule="auto"/>
        <w:rPr>
          <w:sz w:val="20"/>
          <w:szCs w:val="20"/>
          <w:color w:val="auto"/>
        </w:rPr>
      </w:pPr>
      <w:r>
        <w:rPr>
          <w:rFonts w:ascii="Arial" w:cs="Arial" w:eastAsia="Arial" w:hAnsi="Arial"/>
          <w:sz w:val="22"/>
          <w:szCs w:val="22"/>
          <w:color w:val="auto"/>
        </w:rPr>
        <w:t>loss avoided as a result of an employee’s violation, and a criminal penalty of up to</w:t>
      </w:r>
    </w:p>
    <w:p>
      <w:pPr>
        <w:ind w:left="6"/>
        <w:spacing w:after="0" w:line="231" w:lineRule="auto"/>
        <w:rPr>
          <w:sz w:val="20"/>
          <w:szCs w:val="20"/>
          <w:color w:val="auto"/>
        </w:rPr>
      </w:pPr>
      <w:r>
        <w:rPr>
          <w:rFonts w:ascii="Arial" w:cs="Arial" w:eastAsia="Arial" w:hAnsi="Arial"/>
          <w:sz w:val="22"/>
          <w:szCs w:val="22"/>
          <w:color w:val="auto"/>
        </w:rPr>
        <w:t>$25,000,000. Individuals who trade on (or tip others as to) material non-public information are</w:t>
      </w:r>
    </w:p>
    <w:p>
      <w:pPr>
        <w:ind w:left="6"/>
        <w:spacing w:after="0" w:line="231" w:lineRule="auto"/>
        <w:rPr>
          <w:sz w:val="20"/>
          <w:szCs w:val="20"/>
          <w:color w:val="auto"/>
        </w:rPr>
      </w:pPr>
      <w:r>
        <w:rPr>
          <w:rFonts w:ascii="Arial" w:cs="Arial" w:eastAsia="Arial" w:hAnsi="Arial"/>
          <w:sz w:val="22"/>
          <w:szCs w:val="22"/>
          <w:color w:val="auto"/>
        </w:rPr>
        <w:t>subject to a civil penalty of up to the greater of $1,000,000 or three times the profit gained or</w:t>
      </w:r>
    </w:p>
    <w:p>
      <w:pPr>
        <w:ind w:left="6"/>
        <w:spacing w:after="0"/>
        <w:rPr>
          <w:sz w:val="20"/>
          <w:szCs w:val="20"/>
          <w:color w:val="auto"/>
        </w:rPr>
      </w:pPr>
      <w:r>
        <w:rPr>
          <w:rFonts w:ascii="Arial" w:cs="Arial" w:eastAsia="Arial" w:hAnsi="Arial"/>
          <w:sz w:val="21"/>
          <w:szCs w:val="21"/>
          <w:color w:val="auto"/>
        </w:rPr>
        <w:t>loss avoided, a criminal fine (no matter how small the profit) of up to $5,000,000, and a jail term</w:t>
      </w:r>
    </w:p>
    <w:p>
      <w:pPr>
        <w:ind w:left="6"/>
        <w:spacing w:after="0" w:line="231" w:lineRule="auto"/>
        <w:rPr>
          <w:sz w:val="20"/>
          <w:szCs w:val="20"/>
          <w:color w:val="auto"/>
        </w:rPr>
      </w:pPr>
      <w:r>
        <w:rPr>
          <w:rFonts w:ascii="Arial" w:cs="Arial" w:eastAsia="Arial" w:hAnsi="Arial"/>
          <w:sz w:val="22"/>
          <w:szCs w:val="22"/>
          <w:color w:val="auto"/>
        </w:rPr>
        <w:t>of up to twenty years. Other “controlling persons,” such as managerial and supervisory</w:t>
      </w:r>
    </w:p>
    <w:p>
      <w:pPr>
        <w:ind w:left="6"/>
        <w:spacing w:after="0" w:line="231" w:lineRule="auto"/>
        <w:rPr>
          <w:sz w:val="20"/>
          <w:szCs w:val="20"/>
          <w:color w:val="auto"/>
        </w:rPr>
      </w:pPr>
      <w:r>
        <w:rPr>
          <w:rFonts w:ascii="Arial" w:cs="Arial" w:eastAsia="Arial" w:hAnsi="Arial"/>
          <w:sz w:val="22"/>
          <w:szCs w:val="22"/>
          <w:color w:val="auto"/>
        </w:rPr>
        <w:t>personnel, may also be subject to similar penalties under certain circumstances if they fail to</w:t>
      </w:r>
    </w:p>
    <w:p>
      <w:pPr>
        <w:ind w:left="6"/>
        <w:spacing w:after="0" w:line="231" w:lineRule="auto"/>
        <w:rPr>
          <w:sz w:val="20"/>
          <w:szCs w:val="20"/>
          <w:color w:val="auto"/>
        </w:rPr>
      </w:pPr>
      <w:r>
        <w:rPr>
          <w:rFonts w:ascii="Arial" w:cs="Arial" w:eastAsia="Arial" w:hAnsi="Arial"/>
          <w:sz w:val="22"/>
          <w:szCs w:val="22"/>
          <w:color w:val="auto"/>
        </w:rPr>
        <w:t>take appropriate steps to prevent insider trading violations by their controlled persons. In</w:t>
      </w:r>
    </w:p>
    <w:p>
      <w:pPr>
        <w:ind w:left="6"/>
        <w:spacing w:after="0" w:line="230" w:lineRule="auto"/>
        <w:rPr>
          <w:sz w:val="20"/>
          <w:szCs w:val="20"/>
          <w:color w:val="auto"/>
        </w:rPr>
      </w:pPr>
      <w:r>
        <w:rPr>
          <w:rFonts w:ascii="Arial" w:cs="Arial" w:eastAsia="Arial" w:hAnsi="Arial"/>
          <w:sz w:val="22"/>
          <w:szCs w:val="22"/>
          <w:color w:val="auto"/>
        </w:rPr>
        <w:t>addition, the federal securities laws permit private rights of action against companies and</w:t>
      </w:r>
    </w:p>
    <w:p>
      <w:pPr>
        <w:spacing w:after="0" w:line="1" w:lineRule="exact"/>
        <w:rPr>
          <w:sz w:val="20"/>
          <w:szCs w:val="20"/>
          <w:color w:val="auto"/>
        </w:rPr>
      </w:pPr>
    </w:p>
    <w:p>
      <w:pPr>
        <w:ind w:left="6"/>
        <w:spacing w:after="0"/>
        <w:rPr>
          <w:sz w:val="20"/>
          <w:szCs w:val="20"/>
          <w:color w:val="auto"/>
        </w:rPr>
      </w:pPr>
      <w:r>
        <w:rPr>
          <w:rFonts w:ascii="Arial" w:cs="Arial" w:eastAsia="Arial" w:hAnsi="Arial"/>
          <w:sz w:val="22"/>
          <w:szCs w:val="22"/>
          <w:color w:val="auto"/>
        </w:rPr>
        <w:t>individuals for insider trading.</w:t>
      </w:r>
    </w:p>
    <w:p>
      <w:pPr>
        <w:spacing w:after="0" w:line="213" w:lineRule="exact"/>
        <w:rPr>
          <w:sz w:val="20"/>
          <w:szCs w:val="20"/>
          <w:color w:val="auto"/>
        </w:rPr>
      </w:pPr>
    </w:p>
    <w:p>
      <w:pPr>
        <w:ind w:left="6" w:right="200" w:firstLine="648"/>
        <w:spacing w:after="0" w:line="259" w:lineRule="auto"/>
        <w:rPr>
          <w:sz w:val="20"/>
          <w:szCs w:val="20"/>
          <w:color w:val="auto"/>
        </w:rPr>
      </w:pPr>
      <w:r>
        <w:rPr>
          <w:rFonts w:ascii="Arial" w:cs="Arial" w:eastAsia="Arial" w:hAnsi="Arial"/>
          <w:sz w:val="22"/>
          <w:szCs w:val="22"/>
          <w:color w:val="auto"/>
        </w:rPr>
        <w:t>In order to comply with its obligations under the federal securities laws, Duluth Holdings Inc. (the “Company”) has adopted this Statement of Policy on Securities Trading.</w:t>
      </w:r>
    </w:p>
    <w:p>
      <w:pPr>
        <w:spacing w:after="0" w:line="183" w:lineRule="exact"/>
        <w:rPr>
          <w:sz w:val="20"/>
          <w:szCs w:val="20"/>
          <w:color w:val="auto"/>
        </w:rPr>
      </w:pPr>
    </w:p>
    <w:p>
      <w:pPr>
        <w:ind w:left="826" w:hanging="826"/>
        <w:spacing w:after="0"/>
        <w:tabs>
          <w:tab w:leader="none" w:pos="826" w:val="left"/>
        </w:tabs>
        <w:numPr>
          <w:ilvl w:val="0"/>
          <w:numId w:val="25"/>
        </w:numPr>
        <w:rPr>
          <w:rFonts w:ascii="Arial" w:cs="Arial" w:eastAsia="Arial" w:hAnsi="Arial"/>
          <w:sz w:val="22"/>
          <w:szCs w:val="22"/>
          <w:color w:val="auto"/>
        </w:rPr>
      </w:pPr>
      <w:r>
        <w:rPr>
          <w:rFonts w:ascii="Arial" w:cs="Arial" w:eastAsia="Arial" w:hAnsi="Arial"/>
          <w:sz w:val="22"/>
          <w:szCs w:val="22"/>
          <w:color w:val="auto"/>
        </w:rPr>
        <w:t>POLICY</w:t>
      </w:r>
    </w:p>
    <w:p>
      <w:pPr>
        <w:spacing w:after="0" w:line="233" w:lineRule="exact"/>
        <w:rPr>
          <w:rFonts w:ascii="Arial" w:cs="Arial" w:eastAsia="Arial" w:hAnsi="Arial"/>
          <w:sz w:val="22"/>
          <w:szCs w:val="22"/>
          <w:color w:val="auto"/>
        </w:rPr>
      </w:pPr>
    </w:p>
    <w:p>
      <w:pPr>
        <w:ind w:left="6" w:right="180" w:firstLine="642"/>
        <w:spacing w:after="0" w:line="247" w:lineRule="auto"/>
        <w:tabs>
          <w:tab w:leader="none" w:pos="1506"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Policy on Prohibited Trading</w:t>
      </w:r>
      <w:r>
        <w:rPr>
          <w:rFonts w:ascii="Arial" w:cs="Arial" w:eastAsia="Arial" w:hAnsi="Arial"/>
          <w:sz w:val="21"/>
          <w:szCs w:val="21"/>
          <w:color w:val="auto"/>
        </w:rPr>
        <w:t>. It is the Company’s policy to prohibit trading by the Company and its subsidiaries and the directors, officers and employees of the Company and its subsidiaries (each a “Covered Person”) while in possession of material non-public information. Accordingly, no Covered Person shall buy or sell securities of the Company while in possession of material non-public information relating to the Company or any of its affiliates, nor shall any Covered Person buy or sell securities of any other company, including Company customers, while in possession of material non-public information relating to such company which was obtained in the course of service to the Company or from any Covered Person.</w:t>
      </w:r>
    </w:p>
    <w:p>
      <w:pPr>
        <w:spacing w:after="0" w:line="198" w:lineRule="exact"/>
        <w:rPr>
          <w:rFonts w:ascii="Arial" w:cs="Arial" w:eastAsia="Arial" w:hAnsi="Arial"/>
          <w:sz w:val="21"/>
          <w:szCs w:val="21"/>
          <w:color w:val="auto"/>
        </w:rPr>
      </w:pPr>
    </w:p>
    <w:p>
      <w:pPr>
        <w:ind w:left="6" w:right="100" w:firstLine="642"/>
        <w:spacing w:after="0" w:line="234" w:lineRule="auto"/>
        <w:tabs>
          <w:tab w:leader="none" w:pos="1506"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Policy of Confidentiality</w:t>
      </w:r>
      <w:r>
        <w:rPr>
          <w:rFonts w:ascii="Arial" w:cs="Arial" w:eastAsia="Arial" w:hAnsi="Arial"/>
          <w:sz w:val="22"/>
          <w:szCs w:val="22"/>
          <w:color w:val="auto"/>
        </w:rPr>
        <w:t>. Often illegal trading results from the misuse of confidential information, such as “tipping” which means communicating material non-public information to others under circumstances that suggest that the “tipper” was trying to help the “tippee” make a profit or avoid a loss. In order to facilitate the foregoing policy on prohibited trading, it is the policy of the Company that all material non-public information relating to the Company, or material non-public information relating to any other company which was obtained in the course of service to the Company or from any Covered Person, shall be treated as confidential and shall not be communicated to any other person, including other Covered Persons, except for a valid Company purpose.</w:t>
      </w:r>
    </w:p>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216535</wp:posOffset>
            </wp:positionV>
            <wp:extent cx="587184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6"/>
          </w:cols>
          <w:pgMar w:left="1354" w:top="403" w:right="1359" w:bottom="1440" w:gutter="0" w:footer="0" w:header="0"/>
        </w:sectPr>
      </w:pPr>
    </w:p>
    <w:bookmarkStart w:id="78" w:name="page79"/>
    <w:bookmarkEnd w:id="78"/>
    <w:p>
      <w:pPr>
        <w:ind w:firstLine="642"/>
        <w:spacing w:after="0" w:line="242" w:lineRule="auto"/>
        <w:tabs>
          <w:tab w:leader="none" w:pos="1512"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Pre-Clearance of All Trades by Directors, Executive Officers and Certain Others</w:t>
      </w:r>
      <w:r>
        <w:rPr>
          <w:rFonts w:ascii="Arial" w:cs="Arial" w:eastAsia="Arial" w:hAnsi="Arial"/>
          <w:sz w:val="21"/>
          <w:szCs w:val="21"/>
          <w:color w:val="auto"/>
        </w:rPr>
        <w:t>. To further facilitate the foregoing policy on prohibited trading, to provide assistance in preventing inadvertent violations and to avoid even the appearance of an improper transaction, all transactions in Company securities by directors of the Company, individuals who have been designated by the Board of Directors as executive officers of the Company, and other Covered Persons designated by the Compliance Officer (defined below) must be pre-cleared by the Compliance Officer and generally will be limited to a trading window commencing three days after the public release of quarterly financial information (the “Release”) and ending on the last trading day of the second month of the quarter following the quarter to which such Release relates (the “Trading Window”). This period, however, may be shortened or suspended by the Compliance Officer when (i) the person seeking to engage in a transaction is in possession of material non-public information relating to the Company, (ii) the Company is contemplating, or in the process of, the purchase or distribution of its securities, (iii) the Company is contemplating, or in the process of conducting, any extraordinary material business activity which has not yet been made public or (iv) otherwise determined to be appropriate by the Compliance</w:t>
      </w:r>
    </w:p>
    <w:p>
      <w:pPr>
        <w:spacing w:after="0" w:line="14" w:lineRule="exact"/>
        <w:rPr>
          <w:rFonts w:ascii="Arial" w:cs="Arial" w:eastAsia="Arial" w:hAnsi="Arial"/>
          <w:sz w:val="21"/>
          <w:szCs w:val="21"/>
          <w:color w:val="auto"/>
        </w:rPr>
      </w:pPr>
    </w:p>
    <w:p>
      <w:pPr>
        <w:ind w:right="320"/>
        <w:spacing w:after="0" w:line="237" w:lineRule="auto"/>
        <w:rPr>
          <w:rFonts w:ascii="Arial" w:cs="Arial" w:eastAsia="Arial" w:hAnsi="Arial"/>
          <w:sz w:val="21"/>
          <w:szCs w:val="21"/>
          <w:color w:val="auto"/>
        </w:rPr>
      </w:pPr>
      <w:r>
        <w:rPr>
          <w:rFonts w:ascii="Arial" w:cs="Arial" w:eastAsia="Arial" w:hAnsi="Arial"/>
          <w:sz w:val="22"/>
          <w:szCs w:val="22"/>
          <w:color w:val="auto"/>
        </w:rPr>
        <w:t>Officer. This period may also be extended under circumstances as determined to be appropriate by the Compliance Officer. The Compliance Officer will give notice to each other Covered Person who becomes subject to these requirements.</w:t>
      </w:r>
    </w:p>
    <w:p>
      <w:pPr>
        <w:spacing w:after="0" w:line="202" w:lineRule="exact"/>
        <w:rPr>
          <w:rFonts w:ascii="Arial" w:cs="Arial" w:eastAsia="Arial" w:hAnsi="Arial"/>
          <w:sz w:val="21"/>
          <w:szCs w:val="21"/>
          <w:color w:val="auto"/>
        </w:rPr>
      </w:pPr>
    </w:p>
    <w:p>
      <w:pPr>
        <w:jc w:val="both"/>
        <w:ind w:firstLine="642"/>
        <w:spacing w:after="0" w:line="255" w:lineRule="auto"/>
        <w:tabs>
          <w:tab w:leader="none" w:pos="1512"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Prohibition on Certain Transactions by Directors, Executive Officers and Certain Others</w:t>
      </w:r>
      <w:r>
        <w:rPr>
          <w:rFonts w:ascii="Arial" w:cs="Arial" w:eastAsia="Arial" w:hAnsi="Arial"/>
          <w:sz w:val="21"/>
          <w:szCs w:val="21"/>
          <w:color w:val="auto"/>
        </w:rPr>
        <w:t>. Those Covered Persons who are subject to the foregoing requirement concerning pre-clearance of trades are prohibited from engaging in the following transactions in securities of the Company unless advance approval is obtained from the Compliance Officer:</w:t>
      </w:r>
    </w:p>
    <w:p>
      <w:pPr>
        <w:spacing w:after="0" w:line="189" w:lineRule="exact"/>
        <w:rPr>
          <w:sz w:val="20"/>
          <w:szCs w:val="20"/>
          <w:color w:val="auto"/>
        </w:rPr>
      </w:pPr>
    </w:p>
    <w:p>
      <w:pPr>
        <w:jc w:val="both"/>
        <w:ind w:left="1300" w:hanging="658"/>
        <w:spacing w:after="0" w:line="255" w:lineRule="auto"/>
        <w:tabs>
          <w:tab w:leader="none" w:pos="1345" w:val="left"/>
        </w:tabs>
        <w:numPr>
          <w:ilvl w:val="0"/>
          <w:numId w:val="27"/>
        </w:numPr>
        <w:rPr>
          <w:rFonts w:ascii="Arial" w:cs="Arial" w:eastAsia="Arial" w:hAnsi="Arial"/>
          <w:sz w:val="21"/>
          <w:szCs w:val="21"/>
          <w:color w:val="auto"/>
        </w:rPr>
      </w:pPr>
      <w:r>
        <w:rPr>
          <w:rFonts w:ascii="Arial" w:cs="Arial" w:eastAsia="Arial" w:hAnsi="Arial"/>
          <w:sz w:val="21"/>
          <w:szCs w:val="21"/>
          <w:i w:val="1"/>
          <w:iCs w:val="1"/>
          <w:color w:val="auto"/>
        </w:rPr>
        <w:t>Hedging</w:t>
      </w:r>
      <w:r>
        <w:rPr>
          <w:rFonts w:ascii="Arial" w:cs="Arial" w:eastAsia="Arial" w:hAnsi="Arial"/>
          <w:sz w:val="21"/>
          <w:szCs w:val="21"/>
          <w:color w:val="auto"/>
        </w:rPr>
        <w:t>. Such persons may not engage in any transaction in the securities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including hedging, short selling, borrowing, or lending, with the effect of or intent to mitigate loss or manage the risks of changes in the price, or to profit or share in any profit from any decrease in the price, of any security of the Company.</w:t>
      </w:r>
    </w:p>
    <w:p>
      <w:pPr>
        <w:spacing w:after="0" w:line="188" w:lineRule="exact"/>
        <w:rPr>
          <w:rFonts w:ascii="Arial" w:cs="Arial" w:eastAsia="Arial" w:hAnsi="Arial"/>
          <w:sz w:val="21"/>
          <w:szCs w:val="21"/>
          <w:color w:val="auto"/>
        </w:rPr>
      </w:pPr>
    </w:p>
    <w:p>
      <w:pPr>
        <w:ind w:left="1300" w:right="260" w:hanging="658"/>
        <w:spacing w:after="0" w:line="259" w:lineRule="auto"/>
        <w:tabs>
          <w:tab w:leader="none" w:pos="1345"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Options trading</w:t>
      </w:r>
      <w:r>
        <w:rPr>
          <w:rFonts w:ascii="Arial" w:cs="Arial" w:eastAsia="Arial" w:hAnsi="Arial"/>
          <w:sz w:val="22"/>
          <w:szCs w:val="22"/>
          <w:color w:val="auto"/>
        </w:rPr>
        <w:t>. Such persons may not buy or sell puts or calls on securities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w:t>
      </w:r>
    </w:p>
    <w:p>
      <w:pPr>
        <w:spacing w:after="0" w:line="183" w:lineRule="exact"/>
        <w:rPr>
          <w:rFonts w:ascii="Arial" w:cs="Arial" w:eastAsia="Arial" w:hAnsi="Arial"/>
          <w:sz w:val="22"/>
          <w:szCs w:val="22"/>
          <w:color w:val="auto"/>
        </w:rPr>
      </w:pPr>
    </w:p>
    <w:p>
      <w:pPr>
        <w:ind w:left="1300" w:hanging="658"/>
        <w:spacing w:after="0" w:line="234" w:lineRule="auto"/>
        <w:tabs>
          <w:tab w:leader="none" w:pos="1345"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Other derivative instruments</w:t>
      </w:r>
      <w:r>
        <w:rPr>
          <w:rFonts w:ascii="Arial" w:cs="Arial" w:eastAsia="Arial" w:hAnsi="Arial"/>
          <w:sz w:val="22"/>
          <w:szCs w:val="22"/>
          <w:color w:val="auto"/>
        </w:rPr>
        <w:t>. Such persons may not buy or sell warrants,</w:t>
      </w:r>
      <w:r>
        <w:rPr>
          <w:rFonts w:ascii="Arial" w:cs="Arial" w:eastAsia="Arial" w:hAnsi="Arial"/>
          <w:sz w:val="22"/>
          <w:szCs w:val="22"/>
          <w:i w:val="1"/>
          <w:iCs w:val="1"/>
          <w:color w:val="auto"/>
        </w:rPr>
        <w:t xml:space="preserve"> </w:t>
      </w:r>
      <w:r>
        <w:rPr>
          <w:rFonts w:ascii="Arial" w:cs="Arial" w:eastAsia="Arial" w:hAnsi="Arial"/>
          <w:sz w:val="22"/>
          <w:szCs w:val="22"/>
          <w:color w:val="auto"/>
        </w:rPr>
        <w:t>convertible securities, stock appreciation rights, or similar rights with an exercise or conversion privilege or a settlement payment or mechanism at a price related to any security of the Company or with a value derived in whole or part from the value of any security of the Company, whether or not such instrument or right is subject to settlement in the underlying security of the Company, or any other instrument that provides the direct or indirect opportunity to profit or share in any profit derived from any increase or decrease in the value of any security of the Company.</w:t>
      </w:r>
    </w:p>
    <w:p>
      <w:pPr>
        <w:spacing w:after="0" w:line="210" w:lineRule="exact"/>
        <w:rPr>
          <w:rFonts w:ascii="Arial" w:cs="Arial" w:eastAsia="Arial" w:hAnsi="Arial"/>
          <w:sz w:val="22"/>
          <w:szCs w:val="22"/>
          <w:color w:val="auto"/>
        </w:rPr>
      </w:pPr>
    </w:p>
    <w:p>
      <w:pPr>
        <w:ind w:left="1300" w:right="280" w:hanging="658"/>
        <w:spacing w:after="0" w:line="259" w:lineRule="auto"/>
        <w:tabs>
          <w:tab w:leader="none" w:pos="1345"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Pledges</w:t>
      </w:r>
      <w:r>
        <w:rPr>
          <w:rFonts w:ascii="Arial" w:cs="Arial" w:eastAsia="Arial" w:hAnsi="Arial"/>
          <w:sz w:val="22"/>
          <w:szCs w:val="22"/>
          <w:color w:val="auto"/>
        </w:rPr>
        <w:t>. Such persons may not pledge securities of the Company, whether as</w:t>
      </w:r>
      <w:r>
        <w:rPr>
          <w:rFonts w:ascii="Arial" w:cs="Arial" w:eastAsia="Arial" w:hAnsi="Arial"/>
          <w:sz w:val="22"/>
          <w:szCs w:val="22"/>
          <w:i w:val="1"/>
          <w:iCs w:val="1"/>
          <w:color w:val="auto"/>
        </w:rPr>
        <w:t xml:space="preserve"> </w:t>
      </w:r>
      <w:r>
        <w:rPr>
          <w:rFonts w:ascii="Arial" w:cs="Arial" w:eastAsia="Arial" w:hAnsi="Arial"/>
          <w:sz w:val="22"/>
          <w:szCs w:val="22"/>
          <w:color w:val="auto"/>
        </w:rPr>
        <w:t>collateral for the extension of a loan or otherwise.</w:t>
      </w:r>
    </w:p>
    <w:p>
      <w:pPr>
        <w:spacing w:after="0" w:line="183" w:lineRule="exact"/>
        <w:rPr>
          <w:sz w:val="20"/>
          <w:szCs w:val="20"/>
          <w:color w:val="auto"/>
        </w:rPr>
      </w:pPr>
    </w:p>
    <w:p>
      <w:pPr>
        <w:ind w:right="460" w:firstLine="642"/>
        <w:spacing w:after="0" w:line="251" w:lineRule="auto"/>
        <w:tabs>
          <w:tab w:leader="none" w:pos="1365"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Non-Public Information</w:t>
      </w:r>
      <w:r>
        <w:rPr>
          <w:rFonts w:ascii="Arial" w:cs="Arial" w:eastAsia="Arial" w:hAnsi="Arial"/>
          <w:sz w:val="21"/>
          <w:szCs w:val="21"/>
          <w:color w:val="auto"/>
        </w:rPr>
        <w:t>. For purposes of this Statement of Policy, non-public information is defined as information which is not generally available to the investing public. Information released by the Company will be considered public two days after full dissemination of the information through a national news service or the filing of a report containing the information with the SEC, whichever occurs first. Selectively disclosing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60"/>
          </w:cols>
          <w:pgMar w:left="1360" w:top="111" w:right="1379" w:bottom="1440" w:gutter="0" w:footer="0" w:header="0"/>
        </w:sectPr>
      </w:pPr>
    </w:p>
    <w:bookmarkStart w:id="79" w:name="page80"/>
    <w:bookmarkEnd w:id="79"/>
    <w:p>
      <w:pPr>
        <w:ind w:left="6" w:right="520"/>
        <w:spacing w:after="0" w:line="260" w:lineRule="auto"/>
        <w:rPr>
          <w:sz w:val="20"/>
          <w:szCs w:val="20"/>
          <w:color w:val="auto"/>
        </w:rPr>
      </w:pPr>
      <w:r>
        <w:rPr>
          <w:rFonts w:ascii="Arial" w:cs="Arial" w:eastAsia="Arial" w:hAnsi="Arial"/>
          <w:sz w:val="22"/>
          <w:szCs w:val="22"/>
          <w:color w:val="auto"/>
        </w:rPr>
        <w:t>information to a few members of the public does not make the information public for insider trading purposes, and may, in fact, be prohibited by the federal securities laws.</w:t>
      </w:r>
    </w:p>
    <w:p>
      <w:pPr>
        <w:spacing w:after="0" w:line="182" w:lineRule="exact"/>
        <w:rPr>
          <w:sz w:val="20"/>
          <w:szCs w:val="20"/>
          <w:color w:val="auto"/>
        </w:rPr>
      </w:pPr>
    </w:p>
    <w:p>
      <w:pPr>
        <w:ind w:left="6" w:right="60" w:firstLine="642"/>
        <w:spacing w:after="0" w:line="234" w:lineRule="auto"/>
        <w:tabs>
          <w:tab w:leader="none" w:pos="1470"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Material Information</w:t>
      </w:r>
      <w:r>
        <w:rPr>
          <w:rFonts w:ascii="Arial" w:cs="Arial" w:eastAsia="Arial" w:hAnsi="Arial"/>
          <w:sz w:val="22"/>
          <w:szCs w:val="22"/>
          <w:color w:val="auto"/>
        </w:rPr>
        <w:t>. For purposes of this Statement of Policy, material information is defined as any information that a reasonable investor would consider important in a decision to buy, hold or sell securities. The following types of information are examples of information that will be considered material for purposes of this Statement of Policy: projections of future earnings or losses; proposals, plans or agreements, even if preliminary in nature, involving a merger, acquisition, tender offer, significant sale of assets or disposition of a significant subsidiary; significant changes in dividend policies, the declaration of a stock split, or the repurchase of securities; changes in management; impending bankruptcy or financial liquidity problems; significant write-downs in assets or increases in reserves; developments regarding significant litigation or government agency investigations; changes in debt ratings; and offerings of Company securities.</w:t>
      </w:r>
    </w:p>
    <w:p>
      <w:pPr>
        <w:spacing w:after="0" w:line="202" w:lineRule="exact"/>
        <w:rPr>
          <w:rFonts w:ascii="Arial" w:cs="Arial" w:eastAsia="Arial" w:hAnsi="Arial"/>
          <w:sz w:val="22"/>
          <w:szCs w:val="22"/>
          <w:color w:val="auto"/>
        </w:rPr>
      </w:pPr>
    </w:p>
    <w:p>
      <w:pPr>
        <w:ind w:left="6" w:right="200" w:firstLine="642"/>
        <w:spacing w:after="0" w:line="250" w:lineRule="exact"/>
        <w:tabs>
          <w:tab w:leader="none" w:pos="1530"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Family and Household Members and Related Trusts and Entities</w:t>
      </w:r>
      <w:r>
        <w:rPr>
          <w:rFonts w:ascii="Arial" w:cs="Arial" w:eastAsia="Arial" w:hAnsi="Arial"/>
          <w:sz w:val="22"/>
          <w:szCs w:val="22"/>
          <w:color w:val="auto"/>
        </w:rPr>
        <w:t>. Each Covered Person will use reasonable efforts to ensure that such Covered Person’s family members and others living in the Covered Person’s household also comply with the foregoing policy on prohibited trading and policy on confidentiality as if they were Covered Persons. In addition, directors of the Company and individuals who have been designated as executive officers of the Company will use reasonable efforts to ensure such compliance by trusts and other entities in which such person has an interest that must be reported under Section 16 of the Securities Exchange Act of 1934 (“Related Trusts and Entities”). Finally, Covered Persons who are subject to the foregoing requirement concerning pre-clearance of trades will use reasonable efforts to ensure that such Covered Person’s family members and others living in the Covered Person’s household and such Covered Person’s Related Trusts and Entities also comply with such pre</w:t>
      </w:r>
      <w:r>
        <w:rPr>
          <w:rFonts w:ascii="MS PGothic" w:cs="MS PGothic" w:eastAsia="MS PGothic" w:hAnsi="MS PGothic"/>
          <w:sz w:val="22"/>
          <w:szCs w:val="22"/>
          <w:color w:val="auto"/>
        </w:rPr>
        <w:t>‑</w:t>
      </w:r>
      <w:r>
        <w:rPr>
          <w:rFonts w:ascii="Arial" w:cs="Arial" w:eastAsia="Arial" w:hAnsi="Arial"/>
          <w:sz w:val="22"/>
          <w:szCs w:val="22"/>
          <w:color w:val="auto"/>
        </w:rPr>
        <w:t>clearance and Trading Window requirements.</w:t>
      </w:r>
    </w:p>
    <w:p>
      <w:pPr>
        <w:spacing w:after="0" w:line="174" w:lineRule="exact"/>
        <w:rPr>
          <w:rFonts w:ascii="Arial" w:cs="Arial" w:eastAsia="Arial" w:hAnsi="Arial"/>
          <w:sz w:val="22"/>
          <w:szCs w:val="22"/>
          <w:color w:val="auto"/>
        </w:rPr>
      </w:pPr>
    </w:p>
    <w:p>
      <w:pPr>
        <w:ind w:left="6" w:right="40" w:firstLine="642"/>
        <w:spacing w:after="0" w:line="247" w:lineRule="auto"/>
        <w:tabs>
          <w:tab w:leader="none" w:pos="1518"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Application of Policy After Termination of Employment or Tenure</w:t>
      </w:r>
      <w:r>
        <w:rPr>
          <w:rFonts w:ascii="Arial" w:cs="Arial" w:eastAsia="Arial" w:hAnsi="Arial"/>
          <w:sz w:val="21"/>
          <w:szCs w:val="21"/>
          <w:color w:val="auto"/>
        </w:rPr>
        <w:t>. When a Covered Person’s employment or tenure as a director terminates, the Covered Person will continue to be subject to this Statement of Policy until such person is no longer in possession of material non-public information as provided in this Statement of Policy. In addition, if the Covered Person’s transactions in Company securities are subject to the foregoing requirement concerning pre-clearance of trades and a Covered Person’s employment or tenure as a director terminates while the Trading Window is closed, the Covered Person will continue to be subject to such pre-clearance and Trading Window requirement until the Trading Window opens.</w:t>
      </w:r>
    </w:p>
    <w:p>
      <w:pPr>
        <w:spacing w:after="0" w:line="198" w:lineRule="exact"/>
        <w:rPr>
          <w:rFonts w:ascii="Arial" w:cs="Arial" w:eastAsia="Arial" w:hAnsi="Arial"/>
          <w:sz w:val="21"/>
          <w:szCs w:val="21"/>
          <w:color w:val="auto"/>
        </w:rPr>
      </w:pPr>
    </w:p>
    <w:p>
      <w:pPr>
        <w:ind w:left="6" w:right="300" w:firstLine="642"/>
        <w:spacing w:after="0"/>
        <w:tabs>
          <w:tab w:leader="none" w:pos="1422"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Violations of Policy</w:t>
      </w:r>
      <w:r>
        <w:rPr>
          <w:rFonts w:ascii="Arial" w:cs="Arial" w:eastAsia="Arial" w:hAnsi="Arial"/>
          <w:sz w:val="22"/>
          <w:szCs w:val="22"/>
          <w:color w:val="auto"/>
        </w:rPr>
        <w:t>. Violations of this Statement of Policy may constitute grounds for corrective action, up to, and including, immediate dismissal. Exceptions to this Statement of Policy for particular transactions, if any, may only be granted by the Compliance Officer in advance of the proposed transaction.</w:t>
      </w:r>
    </w:p>
    <w:p>
      <w:pPr>
        <w:spacing w:after="0" w:line="200" w:lineRule="exact"/>
        <w:rPr>
          <w:rFonts w:ascii="Arial" w:cs="Arial" w:eastAsia="Arial" w:hAnsi="Arial"/>
          <w:sz w:val="22"/>
          <w:szCs w:val="22"/>
          <w:color w:val="auto"/>
        </w:rPr>
      </w:pPr>
    </w:p>
    <w:p>
      <w:pPr>
        <w:spacing w:after="0" w:line="246" w:lineRule="exact"/>
        <w:rPr>
          <w:rFonts w:ascii="Arial" w:cs="Arial" w:eastAsia="Arial" w:hAnsi="Arial"/>
          <w:sz w:val="22"/>
          <w:szCs w:val="22"/>
          <w:color w:val="auto"/>
        </w:rPr>
      </w:pPr>
    </w:p>
    <w:p>
      <w:pPr>
        <w:ind w:left="626" w:hanging="626"/>
        <w:spacing w:after="0"/>
        <w:tabs>
          <w:tab w:leader="none" w:pos="626" w:val="left"/>
        </w:tabs>
        <w:numPr>
          <w:ilvl w:val="0"/>
          <w:numId w:val="30"/>
        </w:numPr>
        <w:rPr>
          <w:rFonts w:ascii="Arial" w:cs="Arial" w:eastAsia="Arial" w:hAnsi="Arial"/>
          <w:sz w:val="22"/>
          <w:szCs w:val="22"/>
          <w:color w:val="auto"/>
        </w:rPr>
      </w:pPr>
      <w:r>
        <w:rPr>
          <w:rFonts w:ascii="Arial" w:cs="Arial" w:eastAsia="Arial" w:hAnsi="Arial"/>
          <w:sz w:val="22"/>
          <w:szCs w:val="22"/>
          <w:color w:val="auto"/>
        </w:rPr>
        <w:t>ESTABLISHMENT OF OFFICE OF SECURITIES TRADING COMPLIANCE OFFICER</w:t>
      </w:r>
    </w:p>
    <w:p>
      <w:pPr>
        <w:spacing w:after="0" w:line="233" w:lineRule="exact"/>
        <w:rPr>
          <w:rFonts w:ascii="Arial" w:cs="Arial" w:eastAsia="Arial" w:hAnsi="Arial"/>
          <w:sz w:val="22"/>
          <w:szCs w:val="22"/>
          <w:color w:val="auto"/>
        </w:rPr>
      </w:pPr>
    </w:p>
    <w:p>
      <w:pPr>
        <w:ind w:left="6" w:firstLine="642"/>
        <w:spacing w:after="0" w:line="236" w:lineRule="auto"/>
        <w:tabs>
          <w:tab w:leader="none" w:pos="1506"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Creation of Office of Compliance Officer</w:t>
      </w:r>
      <w:r>
        <w:rPr>
          <w:rFonts w:ascii="Arial" w:cs="Arial" w:eastAsia="Arial" w:hAnsi="Arial"/>
          <w:sz w:val="22"/>
          <w:szCs w:val="22"/>
          <w:color w:val="auto"/>
        </w:rPr>
        <w:t>. In order to ensure compliance with this Statement of Policy by the Company and all Covered Persons, the Company has created the office of Securities Trading Compliance Officer (the “Compliance Officer”) and has appointed the Company’s Chief Financial Officer, as the Compliance Officer. The Compliance Officer is authorized to formulate and implement rules, procedures and educational programs designed to promote the effectiveness of this Statement of Policy,</w:t>
      </w:r>
    </w:p>
    <w:p>
      <w:pPr>
        <w:spacing w:after="0" w:line="199"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216535</wp:posOffset>
            </wp:positionV>
            <wp:extent cx="587184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6"/>
          </w:cols>
          <w:pgMar w:left="1354" w:top="111" w:right="1359" w:bottom="1440" w:gutter="0" w:footer="0" w:header="0"/>
        </w:sectPr>
      </w:pPr>
    </w:p>
    <w:bookmarkStart w:id="80" w:name="page81"/>
    <w:bookmarkEnd w:id="80"/>
    <w:p>
      <w:pPr>
        <w:ind w:right="39"/>
        <w:spacing w:after="0" w:line="237" w:lineRule="auto"/>
        <w:rPr>
          <w:sz w:val="20"/>
          <w:szCs w:val="20"/>
          <w:color w:val="auto"/>
        </w:rPr>
      </w:pPr>
      <w:r>
        <w:rPr>
          <w:rFonts w:ascii="Arial" w:cs="Arial" w:eastAsia="Arial" w:hAnsi="Arial"/>
          <w:sz w:val="22"/>
          <w:szCs w:val="22"/>
          <w:color w:val="auto"/>
        </w:rPr>
        <w:t>designate additional Covered Persons whose transactions are subject to pre-clearance and/or limited to the Trading Window, direct appropriate Company action upon receipt of material non-public information, and respond to questions concerning this Statement of Policy and its application to specific transactions. In this regard, certain Covered Persons may be required to certify that they have read the Statement of Policy and may be asked to disseminate and discuss the Statement of Policy with employees under their supervision.</w:t>
      </w:r>
    </w:p>
    <w:p>
      <w:pPr>
        <w:spacing w:after="0" w:line="204" w:lineRule="exact"/>
        <w:rPr>
          <w:sz w:val="20"/>
          <w:szCs w:val="20"/>
          <w:color w:val="auto"/>
        </w:rPr>
      </w:pPr>
    </w:p>
    <w:p>
      <w:pPr>
        <w:ind w:left="300" w:right="99" w:firstLine="514"/>
        <w:spacing w:after="0" w:line="248" w:lineRule="auto"/>
        <w:tabs>
          <w:tab w:leader="none" w:pos="1672"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Questions</w:t>
      </w:r>
      <w:r>
        <w:rPr>
          <w:rFonts w:ascii="Arial" w:cs="Arial" w:eastAsia="Arial" w:hAnsi="Arial"/>
          <w:sz w:val="21"/>
          <w:szCs w:val="21"/>
          <w:color w:val="auto"/>
        </w:rPr>
        <w:t>. Any Covered Person who has a question about this Statement of Policy, any specific securities transaction, or prohibitions on trading while in possession of material non-public information should contact the Compliance Officer. Any such question</w:t>
      </w:r>
    </w:p>
    <w:p>
      <w:pPr>
        <w:ind w:left="1100"/>
        <w:spacing w:after="0"/>
        <w:rPr>
          <w:rFonts w:ascii="Arial" w:cs="Arial" w:eastAsia="Arial" w:hAnsi="Arial"/>
          <w:sz w:val="21"/>
          <w:szCs w:val="21"/>
          <w:color w:val="auto"/>
        </w:rPr>
      </w:pPr>
      <w:r>
        <w:rPr>
          <w:rFonts w:ascii="Arial" w:cs="Arial" w:eastAsia="Arial" w:hAnsi="Arial"/>
          <w:sz w:val="22"/>
          <w:szCs w:val="22"/>
          <w:color w:val="auto"/>
        </w:rPr>
        <w:t>should be resolved prior to any trade which may potentially be prohibited.</w:t>
      </w: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099"/>
          </w:cols>
          <w:pgMar w:left="1360" w:top="111"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10" w:lineRule="exact"/>
        <w:rPr>
          <w:sz w:val="20"/>
          <w:szCs w:val="20"/>
          <w:color w:val="auto"/>
        </w:rPr>
      </w:pPr>
    </w:p>
    <w:p>
      <w:pPr>
        <w:ind w:left="180" w:right="239"/>
        <w:spacing w:after="0" w:line="289"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(Nos. 333-279655, 333-276949, 333-230064, 333-225364, 333-223217, 333-209540, 333-208185, and 333-216128) on Form S-8 of our reports dated March 21, 2025, with respect to the consolidated financial statements and financial statement schedule II of Duluth Holdings Inc..</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Milwaukee, WI</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364490</wp:posOffset>
            </wp:positionV>
            <wp:extent cx="552894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2" w:name="page83"/>
    <w:bookmarkEnd w:id="82"/>
    <w:p>
      <w:pPr>
        <w:ind w:left="7700"/>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1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color w:val="auto"/>
        </w:rPr>
        <w:t>POWER OF ATTORNEY FOR ANNUAL REPORT ON FORM 10-K</w:t>
      </w:r>
    </w:p>
    <w:p>
      <w:pPr>
        <w:spacing w:after="0" w:line="399" w:lineRule="exact"/>
        <w:rPr>
          <w:sz w:val="20"/>
          <w:szCs w:val="20"/>
          <w:color w:val="auto"/>
        </w:rPr>
      </w:pPr>
    </w:p>
    <w:p>
      <w:pPr>
        <w:ind w:left="180" w:right="239" w:firstLine="648"/>
        <w:spacing w:after="0" w:line="209" w:lineRule="auto"/>
        <w:rPr>
          <w:sz w:val="20"/>
          <w:szCs w:val="20"/>
          <w:color w:val="auto"/>
        </w:rPr>
      </w:pPr>
      <w:r>
        <w:rPr>
          <w:rFonts w:ascii="Times New Roman" w:cs="Times New Roman" w:eastAsia="Times New Roman" w:hAnsi="Times New Roman"/>
          <w:sz w:val="22"/>
          <w:szCs w:val="22"/>
          <w:color w:val="auto"/>
        </w:rPr>
        <w:t>Each of the undersigned directors of Duluth Holdings Inc. (the “Corporation”) hereby designates and appoints Samuel M. Sato, Heena Agrawal and Jason G. Prasch,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Corporation the Corporation’s Annual Report on Form 10-K for the year ended February 2, 2025,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0" w:lineRule="exact"/>
        <w:rPr>
          <w:sz w:val="20"/>
          <w:szCs w:val="20"/>
          <w:color w:val="auto"/>
        </w:rPr>
      </w:pPr>
    </w:p>
    <w:p>
      <w:pPr>
        <w:ind w:left="180" w:right="339" w:firstLine="648"/>
        <w:spacing w:after="0" w:line="280" w:lineRule="auto"/>
        <w:rPr>
          <w:sz w:val="20"/>
          <w:szCs w:val="20"/>
          <w:color w:val="auto"/>
        </w:rPr>
      </w:pPr>
      <w:r>
        <w:rPr>
          <w:rFonts w:ascii="Times New Roman" w:cs="Times New Roman" w:eastAsia="Times New Roman" w:hAnsi="Times New Roman"/>
          <w:sz w:val="20"/>
          <w:szCs w:val="20"/>
          <w:color w:val="auto"/>
        </w:rPr>
        <w:t>IN WITNESS WHEREOF, the undersigned have each executed this Power of Attorney for Annual Report on Form 10-K, on one or more counterparts, as of the 26</w:t>
      </w:r>
      <w:r>
        <w:rPr>
          <w:rFonts w:ascii="Times New Roman" w:cs="Times New Roman" w:eastAsia="Times New Roman" w:hAnsi="Times New Roman"/>
          <w:sz w:val="10"/>
          <w:szCs w:val="10"/>
          <w:color w:val="auto"/>
        </w:rPr>
        <w:t>th</w:t>
      </w:r>
      <w:r>
        <w:rPr>
          <w:rFonts w:ascii="Times New Roman" w:cs="Times New Roman" w:eastAsia="Times New Roman" w:hAnsi="Times New Roman"/>
          <w:sz w:val="20"/>
          <w:szCs w:val="20"/>
          <w:color w:val="auto"/>
        </w:rPr>
        <w:t xml:space="preserve"> day of February, 2025.</w:t>
      </w:r>
    </w:p>
    <w:p>
      <w:pPr>
        <w:spacing w:after="0" w:line="200" w:lineRule="exact"/>
        <w:rPr>
          <w:sz w:val="20"/>
          <w:szCs w:val="20"/>
          <w:color w:val="auto"/>
        </w:rPr>
      </w:pPr>
    </w:p>
    <w:p>
      <w:pPr>
        <w:spacing w:after="0" w:line="33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800" w:type="dxa"/>
            <w:vAlign w:val="bottom"/>
            <w:gridSpan w:val="5"/>
          </w:tcPr>
          <w:p>
            <w:pPr>
              <w:spacing w:after="0"/>
              <w:rPr>
                <w:sz w:val="20"/>
                <w:szCs w:val="20"/>
                <w:color w:val="auto"/>
              </w:rPr>
            </w:pPr>
            <w:r>
              <w:rPr>
                <w:rFonts w:ascii="Times New Roman" w:cs="Times New Roman" w:eastAsia="Times New Roman" w:hAnsi="Times New Roman"/>
                <w:sz w:val="20"/>
                <w:szCs w:val="20"/>
                <w:i w:val="1"/>
                <w:iCs w:val="1"/>
                <w:color w:val="auto"/>
                <w:w w:val="98"/>
              </w:rPr>
              <w:t>/s/ Stephen L. Schlecht</w:t>
            </w:r>
          </w:p>
        </w:tc>
        <w:tc>
          <w:tcPr>
            <w:tcW w:w="1360" w:type="dxa"/>
            <w:vAlign w:val="bottom"/>
          </w:tcPr>
          <w:p>
            <w:pPr>
              <w:spacing w:after="0"/>
              <w:rPr>
                <w:sz w:val="19"/>
                <w:szCs w:val="19"/>
                <w:color w:val="auto"/>
              </w:rPr>
            </w:pPr>
          </w:p>
        </w:tc>
        <w:tc>
          <w:tcPr>
            <w:tcW w:w="5520" w:type="dxa"/>
            <w:vAlign w:val="bottom"/>
            <w:gridSpan w:val="9"/>
          </w:tcPr>
          <w:p>
            <w:pPr>
              <w:ind w:left="1480"/>
              <w:spacing w:after="0"/>
              <w:rPr>
                <w:sz w:val="20"/>
                <w:szCs w:val="20"/>
                <w:color w:val="auto"/>
              </w:rPr>
            </w:pPr>
            <w:r>
              <w:rPr>
                <w:rFonts w:ascii="Times New Roman" w:cs="Times New Roman" w:eastAsia="Times New Roman" w:hAnsi="Times New Roman"/>
                <w:sz w:val="20"/>
                <w:szCs w:val="20"/>
                <w:i w:val="1"/>
                <w:iCs w:val="1"/>
                <w:color w:val="auto"/>
              </w:rPr>
              <w:t>/s/ Samuel M. Sato</w:t>
            </w:r>
          </w:p>
        </w:tc>
      </w:tr>
      <w:tr>
        <w:trPr>
          <w:trHeight w:val="391"/>
        </w:trPr>
        <w:tc>
          <w:tcPr>
            <w:tcW w:w="18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Stephen L. Schlecht</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Samuel M. Sato</w:t>
            </w:r>
          </w:p>
        </w:tc>
        <w:tc>
          <w:tcPr>
            <w:tcW w:w="2560" w:type="dxa"/>
            <w:vAlign w:val="bottom"/>
            <w:gridSpan w:val="4"/>
          </w:tcPr>
          <w:p>
            <w:pPr>
              <w:spacing w:after="0"/>
              <w:rPr>
                <w:sz w:val="24"/>
                <w:szCs w:val="24"/>
                <w:color w:val="auto"/>
              </w:rPr>
            </w:pPr>
          </w:p>
        </w:tc>
      </w:tr>
      <w:tr>
        <w:trPr>
          <w:trHeight w:val="669"/>
        </w:trPr>
        <w:tc>
          <w:tcPr>
            <w:tcW w:w="3160" w:type="dxa"/>
            <w:vAlign w:val="bottom"/>
            <w:gridSpan w:val="6"/>
          </w:tcPr>
          <w:p>
            <w:pPr>
              <w:spacing w:after="0"/>
              <w:rPr>
                <w:sz w:val="20"/>
                <w:szCs w:val="20"/>
                <w:color w:val="auto"/>
              </w:rPr>
            </w:pPr>
            <w:r>
              <w:rPr>
                <w:rFonts w:ascii="Times New Roman" w:cs="Times New Roman" w:eastAsia="Times New Roman" w:hAnsi="Times New Roman"/>
                <w:sz w:val="20"/>
                <w:szCs w:val="20"/>
                <w:i w:val="1"/>
                <w:iCs w:val="1"/>
                <w:color w:val="auto"/>
              </w:rPr>
              <w:t>/s/ David C. Finch</w:t>
            </w:r>
          </w:p>
        </w:tc>
        <w:tc>
          <w:tcPr>
            <w:tcW w:w="1480" w:type="dxa"/>
            <w:vAlign w:val="bottom"/>
          </w:tcPr>
          <w:p>
            <w:pPr>
              <w:spacing w:after="0"/>
              <w:rPr>
                <w:sz w:val="24"/>
                <w:szCs w:val="24"/>
                <w:color w:val="auto"/>
              </w:rPr>
            </w:pPr>
          </w:p>
        </w:tc>
        <w:tc>
          <w:tcPr>
            <w:tcW w:w="4040" w:type="dxa"/>
            <w:vAlign w:val="bottom"/>
            <w:gridSpan w:val="8"/>
          </w:tcPr>
          <w:p>
            <w:pPr>
              <w:ind w:left="20"/>
              <w:spacing w:after="0"/>
              <w:rPr>
                <w:sz w:val="20"/>
                <w:szCs w:val="20"/>
                <w:color w:val="auto"/>
              </w:rPr>
            </w:pPr>
            <w:r>
              <w:rPr>
                <w:rFonts w:ascii="Times New Roman" w:cs="Times New Roman" w:eastAsia="Times New Roman" w:hAnsi="Times New Roman"/>
                <w:sz w:val="20"/>
                <w:szCs w:val="20"/>
                <w:i w:val="1"/>
                <w:iCs w:val="1"/>
                <w:color w:val="auto"/>
              </w:rPr>
              <w:t>/s/ Brett L. Paschke</w:t>
            </w:r>
          </w:p>
        </w:tc>
      </w:tr>
      <w:tr>
        <w:trPr>
          <w:trHeight w:val="391"/>
        </w:trPr>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David C. Finch</w:t>
            </w:r>
          </w:p>
        </w:tc>
        <w:tc>
          <w:tcPr>
            <w:tcW w:w="1700" w:type="dxa"/>
            <w:vAlign w:val="bottom"/>
            <w:gridSpan w:val="4"/>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20"/>
                <w:szCs w:val="20"/>
                <w:color w:val="auto"/>
              </w:rPr>
              <w:t>Brett L. Paschke</w:t>
            </w:r>
          </w:p>
        </w:tc>
        <w:tc>
          <w:tcPr>
            <w:tcW w:w="2480" w:type="dxa"/>
            <w:vAlign w:val="bottom"/>
            <w:gridSpan w:val="3"/>
          </w:tcPr>
          <w:p>
            <w:pPr>
              <w:spacing w:after="0"/>
              <w:rPr>
                <w:sz w:val="24"/>
                <w:szCs w:val="24"/>
                <w:color w:val="auto"/>
              </w:rPr>
            </w:pPr>
          </w:p>
        </w:tc>
      </w:tr>
      <w:tr>
        <w:trPr>
          <w:trHeight w:val="682"/>
        </w:trPr>
        <w:tc>
          <w:tcPr>
            <w:tcW w:w="3160" w:type="dxa"/>
            <w:vAlign w:val="bottom"/>
            <w:gridSpan w:val="6"/>
          </w:tcPr>
          <w:p>
            <w:pPr>
              <w:spacing w:after="0"/>
              <w:rPr>
                <w:sz w:val="20"/>
                <w:szCs w:val="20"/>
                <w:color w:val="auto"/>
              </w:rPr>
            </w:pPr>
            <w:r>
              <w:rPr>
                <w:rFonts w:ascii="Times New Roman" w:cs="Times New Roman" w:eastAsia="Times New Roman" w:hAnsi="Times New Roman"/>
                <w:sz w:val="20"/>
                <w:szCs w:val="20"/>
                <w:i w:val="1"/>
                <w:iCs w:val="1"/>
                <w:color w:val="auto"/>
              </w:rPr>
              <w:t>/s/ Ronald Robinson</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80" w:type="dxa"/>
            <w:vAlign w:val="bottom"/>
            <w:gridSpan w:val="6"/>
          </w:tcPr>
          <w:p>
            <w:pPr>
              <w:ind w:left="240"/>
              <w:spacing w:after="0"/>
              <w:rPr>
                <w:sz w:val="20"/>
                <w:szCs w:val="20"/>
                <w:color w:val="auto"/>
              </w:rPr>
            </w:pPr>
            <w:r>
              <w:rPr>
                <w:rFonts w:ascii="Times New Roman" w:cs="Times New Roman" w:eastAsia="Times New Roman" w:hAnsi="Times New Roman"/>
                <w:sz w:val="20"/>
                <w:szCs w:val="20"/>
                <w:i w:val="1"/>
                <w:iCs w:val="1"/>
                <w:color w:val="auto"/>
              </w:rPr>
              <w:t>/s/ Francesca M. Edwardson</w:t>
            </w:r>
          </w:p>
        </w:tc>
      </w:tr>
      <w:tr>
        <w:trPr>
          <w:trHeight w:val="20"/>
        </w:trPr>
        <w:tc>
          <w:tcPr>
            <w:tcW w:w="13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1"/>
        </w:trPr>
        <w:tc>
          <w:tcPr>
            <w:tcW w:w="1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Ronald Robinson</w:t>
            </w:r>
          </w:p>
        </w:tc>
        <w:tc>
          <w:tcPr>
            <w:tcW w:w="1560" w:type="dxa"/>
            <w:vAlign w:val="bottom"/>
            <w:gridSpan w:val="3"/>
          </w:tcPr>
          <w:p>
            <w:pPr>
              <w:spacing w:after="0"/>
              <w:rPr>
                <w:sz w:val="24"/>
                <w:szCs w:val="24"/>
                <w:color w:val="auto"/>
              </w:rPr>
            </w:pPr>
          </w:p>
        </w:tc>
        <w:tc>
          <w:tcPr>
            <w:tcW w:w="1480" w:type="dxa"/>
            <w:vAlign w:val="bottom"/>
          </w:tcPr>
          <w:p>
            <w:pPr>
              <w:spacing w:after="0"/>
              <w:rPr>
                <w:sz w:val="24"/>
                <w:szCs w:val="24"/>
                <w:color w:val="auto"/>
              </w:rPr>
            </w:pPr>
          </w:p>
        </w:tc>
        <w:tc>
          <w:tcPr>
            <w:tcW w:w="404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auto"/>
              </w:rPr>
              <w:t>Francesca M. Edwardson</w:t>
            </w:r>
          </w:p>
        </w:tc>
      </w:tr>
      <w:tr>
        <w:trPr>
          <w:trHeight w:val="669"/>
        </w:trPr>
        <w:tc>
          <w:tcPr>
            <w:tcW w:w="13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w w:val="98"/>
              </w:rPr>
              <w:t>/s/ Susan J. Riley</w:t>
            </w:r>
          </w:p>
        </w:tc>
        <w:tc>
          <w:tcPr>
            <w:tcW w:w="1800" w:type="dxa"/>
            <w:vAlign w:val="bottom"/>
            <w:gridSpan w:val="5"/>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7"/>
          </w:tcPr>
          <w:p>
            <w:pPr>
              <w:ind w:left="940"/>
              <w:spacing w:after="0"/>
              <w:rPr>
                <w:sz w:val="20"/>
                <w:szCs w:val="20"/>
                <w:color w:val="auto"/>
              </w:rPr>
            </w:pPr>
            <w:r>
              <w:rPr>
                <w:rFonts w:ascii="Times New Roman" w:cs="Times New Roman" w:eastAsia="Times New Roman" w:hAnsi="Times New Roman"/>
                <w:sz w:val="20"/>
                <w:szCs w:val="20"/>
                <w:i w:val="1"/>
                <w:iCs w:val="1"/>
                <w:color w:val="auto"/>
              </w:rPr>
              <w:t>/s/ Scott K. Williams</w:t>
            </w:r>
          </w:p>
        </w:tc>
      </w:tr>
      <w:tr>
        <w:trPr>
          <w:trHeight w:val="20"/>
        </w:trPr>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Susan J. Riley</w:t>
            </w:r>
          </w:p>
        </w:tc>
        <w:tc>
          <w:tcPr>
            <w:tcW w:w="1800" w:type="dxa"/>
            <w:vAlign w:val="bottom"/>
            <w:gridSpan w:val="5"/>
          </w:tcPr>
          <w:p>
            <w:pPr>
              <w:spacing w:after="0"/>
              <w:rPr>
                <w:sz w:val="24"/>
                <w:szCs w:val="24"/>
                <w:color w:val="auto"/>
              </w:rPr>
            </w:pPr>
          </w:p>
        </w:tc>
        <w:tc>
          <w:tcPr>
            <w:tcW w:w="5520" w:type="dxa"/>
            <w:vAlign w:val="bottom"/>
            <w:gridSpan w:val="9"/>
          </w:tcPr>
          <w:p>
            <w:pPr>
              <w:ind w:left="1360"/>
              <w:spacing w:after="0"/>
              <w:rPr>
                <w:sz w:val="20"/>
                <w:szCs w:val="20"/>
                <w:color w:val="auto"/>
              </w:rPr>
            </w:pPr>
            <w:r>
              <w:rPr>
                <w:rFonts w:ascii="Times New Roman" w:cs="Times New Roman" w:eastAsia="Times New Roman" w:hAnsi="Times New Roman"/>
                <w:sz w:val="20"/>
                <w:szCs w:val="20"/>
                <w:color w:val="auto"/>
              </w:rPr>
              <w:t>Scott K. Williams</w:t>
            </w:r>
          </w:p>
        </w:tc>
      </w:tr>
      <w:tr>
        <w:trPr>
          <w:trHeight w:val="682"/>
        </w:trPr>
        <w:tc>
          <w:tcPr>
            <w:tcW w:w="1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i w:val="1"/>
                <w:iCs w:val="1"/>
                <w:color w:val="auto"/>
                <w:w w:val="98"/>
              </w:rPr>
              <w:t>/s/ Janet H. Kennedy</w:t>
            </w:r>
          </w:p>
        </w:tc>
        <w:tc>
          <w:tcPr>
            <w:tcW w:w="1500" w:type="dxa"/>
            <w:vAlign w:val="bottom"/>
            <w:gridSpan w:val="2"/>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1"/>
        </w:trPr>
        <w:tc>
          <w:tcPr>
            <w:tcW w:w="31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Janet H. Kennedy</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13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r>
      <w:tr>
        <w:trPr>
          <w:trHeight w:val="20"/>
        </w:trPr>
        <w:tc>
          <w:tcPr>
            <w:tcW w:w="13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7397115</wp:posOffset>
            </wp:positionV>
            <wp:extent cx="6026150"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Sato, Chief Executive Officer, certify that:</w:t>
      </w:r>
    </w:p>
    <w:p>
      <w:pPr>
        <w:spacing w:after="0" w:line="17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sz w:val="20"/>
          <w:szCs w:val="20"/>
          <w:color w:val="auto"/>
        </w:rPr>
      </w:pPr>
    </w:p>
    <w:p>
      <w:pPr>
        <w:ind w:left="660" w:right="160" w:hanging="31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980" w:right="28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2025</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i w:val="1"/>
          <w:iCs w:val="1"/>
          <w:color w:val="auto"/>
        </w:rPr>
        <w:t>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 Sato</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ectPr>
          <w:pgSz w:w="11900" w:h="16838" w:orient="portrait"/>
          <w:cols w:equalWidth="0" w:num="1">
            <w:col w:w="9440"/>
          </w:cols>
          <w:pgMar w:left="1220" w:top="117" w:right="1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7397115</wp:posOffset>
            </wp:positionV>
            <wp:extent cx="6026150"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31.2</w:t>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Heena Agrawal, Chief Financial Officer, certify that:</w:t>
      </w:r>
    </w:p>
    <w:p>
      <w:pPr>
        <w:spacing w:after="0" w:line="171"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sz w:val="20"/>
          <w:szCs w:val="20"/>
          <w:color w:val="auto"/>
        </w:rPr>
      </w:pPr>
    </w:p>
    <w:p>
      <w:pPr>
        <w:ind w:left="660" w:right="160" w:hanging="31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980" w:right="2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2025</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i w:val="1"/>
          <w:iCs w:val="1"/>
          <w:color w:val="auto"/>
        </w:rPr>
        <w:t>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Heena Agrawal</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9440"/>
          </w:cols>
          <w:pgMar w:left="1220" w:top="117" w:right="1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Duluth Holdings Inc. (the “Company”) for the fiscal year ended February 2, 2025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120" w:right="7720" w:firstLine="715"/>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/s/ </w:t>
      </w:r>
      <w:r>
        <w:rPr>
          <w:rFonts w:ascii="Times New Roman" w:cs="Times New Roman" w:eastAsia="Times New Roman" w:hAnsi="Times New Roman"/>
          <w:sz w:val="17"/>
          <w:szCs w:val="17"/>
          <w:i w:val="1"/>
          <w:iCs w:val="1"/>
          <w:color w:val="auto"/>
        </w:rPr>
        <w:t>Sam Sato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b w:val="1"/>
          <w:bCs w:val="1"/>
          <w:color w:val="auto"/>
        </w:rPr>
        <w:t>Sam Sato</w:t>
      </w: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Executive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Duluth Holdings Inc. (the “Company”) for the fiscal year ended February 2, 2025 as filed with the Securities and Exchange Commission on the date hereof (the “Report”), I, Heena Agrawal,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120" w:right="6820" w:firstLine="7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i w:val="1"/>
          <w:iCs w:val="1"/>
          <w:color w:val="auto"/>
        </w:rPr>
        <w:t>Heena Agrawal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Heena Agrawal</w:t>
      </w:r>
      <w:r>
        <w:rPr>
          <w:rFonts w:ascii="Times New Roman" w:cs="Times New Roman" w:eastAsia="Times New Roman" w:hAnsi="Times New Roman"/>
          <w:sz w:val="18"/>
          <w:szCs w:val="18"/>
          <w:color w:val="auto"/>
        </w:rPr>
        <w:t xml:space="preserve"> Title: </w:t>
      </w: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b w:val="1"/>
          <w:bCs w:val="1"/>
          <w:color w:val="auto"/>
        </w:rPr>
        <w:t>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-436245</wp:posOffset>
            </wp:positionV>
            <wp:extent cx="30429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0"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
      <w:numFmt w:val="bullet"/>
      <w:start w:val="1"/>
    </w:lvl>
  </w:abstractNum>
  <w:abstractNum w:abstractNumId="3">
    <w:nsid w:val="333AB105"/>
    <w:multiLevelType w:val="hybridMultilevel"/>
    <w:lvl w:ilvl="0">
      <w:lvlJc w:val="left"/>
      <w:lvlText w:val=" "/>
      <w:numFmt w:val="bullet"/>
      <w:start w:val="1"/>
    </w:lvl>
  </w:abstractNum>
  <w:abstractNum w:abstractNumId="4">
    <w:nsid w:val="721DA317"/>
    <w:multiLevelType w:val="hybridMultilevel"/>
    <w:lvl w:ilvl="0">
      <w:lvlJc w:val="left"/>
      <w:lvlText w:val=" "/>
      <w:numFmt w:val="bullet"/>
      <w:start w:val="1"/>
    </w:lvl>
  </w:abstractNum>
  <w:abstractNum w:abstractNumId="5">
    <w:nsid w:val="2443A858"/>
    <w:multiLevelType w:val="hybridMultilevel"/>
    <w:lvl w:ilvl="0">
      <w:lvlJc w:val="left"/>
      <w:lvlText w:val=" "/>
      <w:numFmt w:val="bullet"/>
      <w:start w:val="1"/>
    </w:lvl>
  </w:abstractNum>
  <w:abstractNum w:abstractNumId="6">
    <w:nsid w:val="2D1D5AE9"/>
    <w:multiLevelType w:val="hybridMultilevel"/>
    <w:lvl w:ilvl="0">
      <w:lvlJc w:val="left"/>
      <w:lvlText w:val=" "/>
      <w:numFmt w:val="bullet"/>
      <w:start w:val="1"/>
    </w:lvl>
  </w:abstractNum>
  <w:abstractNum w:abstractNumId="7">
    <w:nsid w:val="6763845E"/>
    <w:multiLevelType w:val="hybridMultilevel"/>
    <w:lvl w:ilvl="0">
      <w:lvlJc w:val="left"/>
      <w:lvlText w:val=" "/>
      <w:numFmt w:val="bullet"/>
      <w:start w:val="1"/>
    </w:lvl>
  </w:abstractNum>
  <w:abstractNum w:abstractNumId="8">
    <w:nsid w:val="75A2A8D4"/>
    <w:multiLevelType w:val="hybridMultilevel"/>
    <w:lvl w:ilvl="0">
      <w:lvlJc w:val="left"/>
      <w:lvlText w:val=" "/>
      <w:numFmt w:val="bullet"/>
      <w:start w:val="1"/>
    </w:lvl>
  </w:abstractNum>
  <w:abstractNum w:abstractNumId="9">
    <w:nsid w:val="8EDBDAB"/>
    <w:multiLevelType w:val="hybridMultilevel"/>
    <w:lvl w:ilvl="0">
      <w:lvlJc w:val="left"/>
      <w:lvlText w:val=" "/>
      <w:numFmt w:val="bullet"/>
      <w:start w:val="1"/>
    </w:lvl>
  </w:abstractNum>
  <w:abstractNum w:abstractNumId="10">
    <w:nsid w:val="79838CB2"/>
    <w:multiLevelType w:val="hybridMultilevel"/>
    <w:lvl w:ilvl="0">
      <w:lvlJc w:val="left"/>
      <w:lvlText w:val=" "/>
      <w:numFmt w:val="bullet"/>
      <w:start w:val="1"/>
    </w:lvl>
  </w:abstractNum>
  <w:abstractNum w:abstractNumId="11">
    <w:nsid w:val="4353D0CD"/>
    <w:multiLevelType w:val="hybridMultilevel"/>
    <w:lvl w:ilvl="0">
      <w:lvlJc w:val="left"/>
      <w:lvlText w:val=" "/>
      <w:numFmt w:val="bullet"/>
      <w:start w:val="1"/>
    </w:lvl>
  </w:abstractNum>
  <w:abstractNum w:abstractNumId="12">
    <w:nsid w:val="B03E0C6"/>
    <w:multiLevelType w:val="hybridMultilevel"/>
    <w:lvl w:ilvl="0">
      <w:lvlJc w:val="left"/>
      <w:lvlText w:val=" "/>
      <w:numFmt w:val="bullet"/>
      <w:start w:val="1"/>
    </w:lvl>
  </w:abstractNum>
  <w:abstractNum w:abstractNumId="13">
    <w:nsid w:val="189A769B"/>
    <w:multiLevelType w:val="hybridMultilevel"/>
    <w:lvl w:ilvl="0">
      <w:lvlJc w:val="left"/>
      <w:lvlText w:val=" "/>
      <w:numFmt w:val="bullet"/>
      <w:start w:val="1"/>
    </w:lvl>
  </w:abstractNum>
  <w:abstractNum w:abstractNumId="14">
    <w:nsid w:val="54E49EB4"/>
    <w:multiLevelType w:val="hybridMultilevel"/>
    <w:lvl w:ilvl="0">
      <w:lvlJc w:val="left"/>
      <w:lvlText w:val="(%1)"/>
      <w:numFmt w:val="lowerRoman"/>
      <w:start w:val="1"/>
    </w:lvl>
  </w:abstractNum>
  <w:abstractNum w:abstractNumId="15">
    <w:nsid w:val="71F32454"/>
    <w:multiLevelType w:val="hybridMultilevel"/>
    <w:lvl w:ilvl="0">
      <w:lvlJc w:val="left"/>
      <w:lvlText w:val="(%1)"/>
      <w:numFmt w:val="lowerRoman"/>
      <w:start w:val="1"/>
    </w:lvl>
  </w:abstractNum>
  <w:abstractNum w:abstractNumId="16">
    <w:nsid w:val="2CA88611"/>
    <w:multiLevelType w:val="hybridMultilevel"/>
    <w:lvl w:ilvl="0">
      <w:lvlJc w:val="left"/>
      <w:lvlText w:val="%1."/>
      <w:numFmt w:val="decimal"/>
      <w:start w:val="5"/>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decimal"/>
      <w:start w:val="1"/>
    </w:lvl>
    <w:lvl w:ilvl="1">
      <w:lvlJc w:val="left"/>
      <w:lvlText w:val="(%2)"/>
      <w:numFmt w:val="decimal"/>
      <w:start w:val="2"/>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lvl w:ilvl="1">
      <w:lvlJc w:val="left"/>
      <w:lvlText w:val="%2"/>
      <w:numFmt w:val="lowerLetter"/>
      <w:start w:val="1"/>
    </w:lvl>
  </w:abstractNum>
  <w:abstractNum w:abstractNumId="21">
    <w:nsid w:val="1E7FF521"/>
    <w:multiLevelType w:val="hybridMultilevel"/>
    <w:lvl w:ilvl="0">
      <w:lvlJc w:val="left"/>
      <w:lvlText w:val="%1."/>
      <w:numFmt w:val="lowerLetter"/>
      <w:start w:val="2"/>
    </w:lvl>
  </w:abstractNum>
  <w:abstractNum w:abstractNumId="22">
    <w:nsid w:val="7C3DBD3D"/>
    <w:multiLevelType w:val="hybridMultilevel"/>
    <w:lvl w:ilvl="0">
      <w:lvlJc w:val="left"/>
      <w:lvlText w:val="%1."/>
      <w:numFmt w:val="decimal"/>
      <w:start w:val="3"/>
    </w:lvl>
    <w:lvl w:ilvl="1">
      <w:lvlJc w:val="left"/>
      <w:lvlText w:val="%2."/>
      <w:numFmt w:val="lowerLetter"/>
      <w:start w:val="1"/>
    </w:lvl>
  </w:abstractNum>
  <w:abstractNum w:abstractNumId="23">
    <w:nsid w:val="737B8DDC"/>
    <w:multiLevelType w:val="hybridMultilevel"/>
    <w:lvl w:ilvl="0">
      <w:lvlJc w:val="left"/>
      <w:lvlText w:val="%1."/>
      <w:numFmt w:val="upperLetter"/>
      <w:start w:val="9"/>
    </w:lvl>
  </w:abstractNum>
  <w:abstractNum w:abstractNumId="24">
    <w:nsid w:val="6CEAF087"/>
    <w:multiLevelType w:val="hybridMultilevel"/>
    <w:lvl w:ilvl="0">
      <w:lvlJc w:val="left"/>
      <w:lvlText w:val="%1."/>
      <w:numFmt w:val="upperLetter"/>
      <w:start w:val="35"/>
    </w:lvl>
    <w:lvl w:ilvl="1">
      <w:lvlJc w:val="left"/>
      <w:lvlText w:val="%2."/>
      <w:numFmt w:val="upperLetter"/>
      <w:start w:val="1"/>
    </w:lvl>
  </w:abstractNum>
  <w:abstractNum w:abstractNumId="25">
    <w:nsid w:val="22221A70"/>
    <w:multiLevelType w:val="hybridMultilevel"/>
    <w:lvl w:ilvl="0">
      <w:lvlJc w:val="left"/>
      <w:lvlText w:val="%1."/>
      <w:numFmt w:val="upperLetter"/>
      <w:start w:val="3"/>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upperLetter"/>
      <w:start w:val="5"/>
    </w:lvl>
  </w:abstractNum>
  <w:abstractNum w:abstractNumId="28">
    <w:nsid w:val="614FD4A1"/>
    <w:multiLevelType w:val="hybridMultilevel"/>
    <w:lvl w:ilvl="0">
      <w:lvlJc w:val="left"/>
      <w:lvlText w:val="%1"/>
      <w:numFmt w:val="upperLetter"/>
      <w:start w:val="1"/>
    </w:lvl>
    <w:lvl w:ilvl="1">
      <w:lvlJc w:val="left"/>
      <w:lvlText w:val="%2."/>
      <w:numFmt w:val="upperLetter"/>
      <w:start w:val="6"/>
    </w:lvl>
  </w:abstractNum>
  <w:abstractNum w:abstractNumId="29">
    <w:nsid w:val="419AC241"/>
    <w:multiLevelType w:val="hybridMultilevel"/>
    <w:lvl w:ilvl="0">
      <w:lvlJc w:val="left"/>
      <w:lvlText w:val="%1."/>
      <w:numFmt w:val="upperLetter"/>
      <w:start w:val="61"/>
    </w:lvl>
    <w:lvl w:ilvl="1">
      <w:lvlJc w:val="left"/>
      <w:lvlText w:val="%2."/>
      <w:numFmt w:val="upperLetter"/>
      <w:start w:val="1"/>
    </w:lvl>
  </w:abstractNum>
  <w:abstractNum w:abstractNumId="30">
    <w:nsid w:val="5577F8E1"/>
    <w:multiLevelType w:val="hybridMultilevel"/>
    <w:lvl w:ilvl="0">
      <w:lvlJc w:val="left"/>
      <w:lvlText w:val="%1."/>
      <w:numFmt w:val="upperLetter"/>
      <w:start w:val="2"/>
    </w:lvl>
  </w:abstractNum>
  <w:abstractNum w:abstractNumId="31">
    <w:nsid w:val="440BADFC"/>
    <w:multiLevelType w:val="hybridMultilevel"/>
    <w:lvl w:ilvl="0">
      <w:lvlJc w:val="left"/>
      <w:lvlText w:val="%1."/>
      <w:numFmt w:val="decimal"/>
      <w:start w:val="1"/>
    </w:lvl>
    <w:lvl w:ilvl="1">
      <w:lvlJc w:val="left"/>
      <w:lvlText w:val="%2)"/>
      <w:numFmt w:val="lowerLetter"/>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lvl w:ilvl="1">
      <w:lvlJc w:val="left"/>
      <w:lvlText w:val="%2)"/>
      <w:numFmt w:val="lowerLetter"/>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 "/>
      <w:numFmt w:val="bullet"/>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jpe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jpe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40" Type="http://schemas.openxmlformats.org/officeDocument/2006/relationships/hyperlink" Target="https://www.sec.gov/ix?doc=/Archives/edgar/data/0001649744/000164974424000006/dlth-20240128x10k.htm" TargetMode="External"/><Relationship Id="rId83" Type="http://schemas.openxmlformats.org/officeDocument/2006/relationships/hyperlink" Target="http://www.sec.gov/Archives/edgar/data/1649744/000119312515371181/d70652dex31.htm" TargetMode="External"/><Relationship Id="rId84" Type="http://schemas.openxmlformats.org/officeDocument/2006/relationships/hyperlink" Target="http://www.sec.gov/Archives/edgar/data/1649744/000119312515371181/d70652dex32.htm" TargetMode="External"/><Relationship Id="rId85" Type="http://schemas.openxmlformats.org/officeDocument/2006/relationships/hyperlink" Target="https://www.sec.gov/Archives/edgar/data/1649744/000164974420000008/dlth-20200202xex4_1.htm" TargetMode="External"/><Relationship Id="rId86" Type="http://schemas.openxmlformats.org/officeDocument/2006/relationships/hyperlink" Target="https://www.sec.gov/Archives/edgar/data/1649744/000164974422000008/dlth-20220130xex9_1.htm" TargetMode="External"/><Relationship Id="rId87" Type="http://schemas.openxmlformats.org/officeDocument/2006/relationships/hyperlink" Target="https://www.sec.gov/Archives/edgar/data/1649744/000164974415000014/dlth-20151101x10q.htm" TargetMode="External"/><Relationship Id="rId88" Type="http://schemas.openxmlformats.org/officeDocument/2006/relationships/hyperlink" Target="http://www.sec.gov/Archives/edgar/data/1649744/000164974415000014/dlth-20151101ex107695db3.htm" TargetMode="External"/><Relationship Id="rId89" Type="http://schemas.openxmlformats.org/officeDocument/2006/relationships/hyperlink" Target="http://www.sec.gov/Archives/edgar/data/1649744/000119312515338287/d70652dex1017.htm" TargetMode="External"/><Relationship Id="rId90" Type="http://schemas.openxmlformats.org/officeDocument/2006/relationships/hyperlink" Target="http://www.sec.gov/Archives/edgar/data/1649744/000119312515338287/d70652dex1019.htm" TargetMode="External"/><Relationship Id="rId91" Type="http://schemas.openxmlformats.org/officeDocument/2006/relationships/hyperlink" Target="http://www.sec.gov/Archives/edgar/data/1649744/000119312515342675/d70652dex1023.htm" TargetMode="External"/><Relationship Id="rId92" Type="http://schemas.openxmlformats.org/officeDocument/2006/relationships/hyperlink" Target="https://www.sec.gov/ix?doc=/Archives/edgar/data/0001649744/000119312524039979/d756119d8k.htm" TargetMode="External"/><Relationship Id="rId93" Type="http://schemas.openxmlformats.org/officeDocument/2006/relationships/hyperlink" Target="http://www.sec.gov/Archives/edgar/data/1649744/000164974416000030/dlth-20160501xex10_1.htm" TargetMode="External"/><Relationship Id="rId94" Type="http://schemas.openxmlformats.org/officeDocument/2006/relationships/hyperlink" Target="http://www.sec.gov/Archives/edgar/data/1649744/000089271217000564/exhibit102.htm" TargetMode="External"/><Relationship Id="rId95" Type="http://schemas.openxmlformats.org/officeDocument/2006/relationships/hyperlink" Target="https://www.sec.gov/Archives/edgar/data/1649744/000164974421000028/dlth-20210801xex10_1.htm" TargetMode="External"/><Relationship Id="rId96" Type="http://schemas.openxmlformats.org/officeDocument/2006/relationships/hyperlink" Target="https://www.sec.gov/Archives/edgar/data/1649744/000164974421000017/dlth-20210502xex10_3.htm" TargetMode="External"/><Relationship Id="rId97" Type="http://schemas.openxmlformats.org/officeDocument/2006/relationships/hyperlink" Target="https://www.sec.gov/Archives/edgar/data/1649744/000164974422000008/dlth-20220130xex10_18.htm" TargetMode="External"/><Relationship Id="rId100" Type="http://schemas.openxmlformats.org/officeDocument/2006/relationships/hyperlink" Target="https://www.sec.gov/Archives/edgar/data/1649744/000164974422000008/dlth-20220130xex10_19.htm" TargetMode="External"/><Relationship Id="rId101" Type="http://schemas.openxmlformats.org/officeDocument/2006/relationships/hyperlink" Target="https://www.sec.gov/Archives/edgar/data/0001649744/000119312521166645/d157092dex101.htm" TargetMode="External"/><Relationship Id="rId102" Type="http://schemas.openxmlformats.org/officeDocument/2006/relationships/hyperlink" Target="https://www.sec.gov/Archives/edgar/data/1649744/000089271222000097/exhibit101.htm" TargetMode="External"/><Relationship Id="rId103" Type="http://schemas.openxmlformats.org/officeDocument/2006/relationships/hyperlink" Target="https://www.sec.gov/Archives/edgar/data/1649744/000089271222000097/exhibit102.htm" TargetMode="External"/><Relationship Id="rId104" Type="http://schemas.openxmlformats.org/officeDocument/2006/relationships/hyperlink" Target="https://www.sec.gov/Archives/edgar/data/1649744/000119312522192012/d380936dex101.htm" TargetMode="External"/><Relationship Id="rId105" Type="http://schemas.openxmlformats.org/officeDocument/2006/relationships/hyperlink" Target="https://www.sec.gov/Archives/edgar/data/1649744/000164974422000025/dlth-20220731xex10_2.htm" TargetMode="External"/><Relationship Id="rId106" Type="http://schemas.openxmlformats.org/officeDocument/2006/relationships/hyperlink" Target="https://www.sec.gov/Archives/edgar/data/1649744/000119312524012578/d716111dex101.htm" TargetMode="External"/><Relationship Id="rId107" Type="http://schemas.openxmlformats.org/officeDocument/2006/relationships/hyperlink" Target="https://www.sec.gov/Archives/edgar/data/1649744/000119312524033732/d731683dex101.htm" TargetMode="External"/><Relationship Id="rId108" Type="http://schemas.openxmlformats.org/officeDocument/2006/relationships/hyperlink" Target="https://www.sec.gov/ix?doc=/Archives/edgar/data/0001649744/000164974424000015/dlth-20240728x10q.htm" TargetMode="External"/><Relationship Id="rId109" Type="http://schemas.openxmlformats.org/officeDocument/2006/relationships/hyperlink" Target="https://www.sec.gov/Archives/edgar/data/1649744/000119312525021392/d89419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2025-03-24T05:08:12Z</dcterms:created>
  <dcterms:modified xsi:type="dcterms:W3CDTF">2025-03-24T05:08:12Z</dcterms:modified>
</cp:coreProperties>
</file>