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jc w:val="center"/>
        <w:ind w:right="-79"/>
        <w:spacing w:after="0" w:line="237" w:lineRule="auto"/>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line="214" w:lineRule="auto"/>
        <w:rPr>
          <w:sz w:val="20"/>
          <w:szCs w:val="20"/>
          <w:color w:val="auto"/>
        </w:rPr>
      </w:pPr>
      <w:r>
        <w:rPr>
          <w:rFonts w:ascii="Arial" w:cs="Arial" w:eastAsia="Arial" w:hAnsi="Arial"/>
          <w:sz w:val="22"/>
          <w:szCs w:val="22"/>
          <w:b w:val="1"/>
          <w:bCs w:val="1"/>
          <w:color w:val="auto"/>
        </w:rPr>
        <w:t>Washington, D.C. 20549</w:t>
      </w:r>
    </w:p>
    <w:p>
      <w:pPr>
        <w:ind w:left="4140"/>
        <w:spacing w:after="0" w:line="212"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480" w:right="180" w:hanging="472"/>
        <w:spacing w:after="0" w:line="243"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November 1, 2020</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140" w:hanging="492"/>
        <w:spacing w:after="0" w:line="243"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u w:val="single" w:color="auto"/>
          <w:color w:val="auto"/>
        </w:rPr>
        <w:t>_______</w:t>
      </w:r>
      <w:r>
        <w:rPr>
          <w:rFonts w:ascii="Arial" w:cs="Arial" w:eastAsia="Arial" w:hAnsi="Arial"/>
          <w:sz w:val="18"/>
          <w:szCs w:val="18"/>
          <w:b w:val="1"/>
          <w:bCs w:val="1"/>
          <w:color w:val="auto"/>
        </w:rPr>
        <w:t xml:space="preserve"> to </w:t>
      </w:r>
      <w:r>
        <w:rPr>
          <w:rFonts w:ascii="Arial" w:cs="Arial" w:eastAsia="Arial" w:hAnsi="Arial"/>
          <w:sz w:val="18"/>
          <w:szCs w:val="18"/>
          <w:u w:val="single" w:color="auto"/>
          <w:color w:val="auto"/>
        </w:rPr>
        <w:t>_______</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001-37641</w:t>
      </w:r>
    </w:p>
    <w:p>
      <w:pPr>
        <w:ind w:left="4140"/>
        <w:spacing w:after="0" w:line="219"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0" w:lineRule="auto"/>
        <w:rPr>
          <w:sz w:val="20"/>
          <w:szCs w:val="20"/>
          <w:color w:val="auto"/>
        </w:rPr>
      </w:pPr>
      <w:r>
        <w:rPr>
          <w:rFonts w:ascii="Arial" w:cs="Arial" w:eastAsia="Arial" w:hAnsi="Arial"/>
          <w:sz w:val="40"/>
          <w:szCs w:val="40"/>
          <w:b w:val="1"/>
          <w:bCs w:val="1"/>
          <w:color w:val="auto"/>
        </w:rPr>
        <w:t>DULUTH HOLDINGS INC.</w:t>
      </w:r>
    </w:p>
    <w:p>
      <w:pPr>
        <w:jc w:val="center"/>
        <w:ind w:right="-79"/>
        <w:spacing w:after="0" w:line="225" w:lineRule="auto"/>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_________________________________________</w:t>
      </w:r>
    </w:p>
    <w:p>
      <w:pPr>
        <w:spacing w:after="0" w:line="116"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Arial" w:cs="Arial" w:eastAsia="Arial" w:hAnsi="Arial"/>
                <w:sz w:val="18"/>
                <w:szCs w:val="18"/>
                <w:b w:val="1"/>
                <w:bCs w:val="1"/>
                <w:color w:val="auto"/>
                <w:w w:val="86"/>
              </w:rPr>
              <w:t>Wisconsin</w:t>
            </w:r>
          </w:p>
        </w:tc>
        <w:tc>
          <w:tcPr>
            <w:tcW w:w="166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8"/>
        </w:trPr>
        <w:tc>
          <w:tcPr>
            <w:tcW w:w="5860" w:type="dxa"/>
            <w:vAlign w:val="bottom"/>
          </w:tcPr>
          <w:p>
            <w:pPr>
              <w:jc w:val="center"/>
              <w:ind w:right="33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1"/>
              </w:rPr>
              <w:t>201 East Front Street</w:t>
            </w:r>
          </w:p>
        </w:tc>
        <w:tc>
          <w:tcPr>
            <w:tcW w:w="1660" w:type="dxa"/>
            <w:vAlign w:val="bottom"/>
          </w:tcPr>
          <w:p>
            <w:pPr>
              <w:spacing w:after="0"/>
              <w:rPr>
                <w:sz w:val="24"/>
                <w:szCs w:val="24"/>
                <w:color w:val="auto"/>
              </w:rPr>
            </w:pPr>
          </w:p>
        </w:tc>
      </w:tr>
      <w:tr>
        <w:trPr>
          <w:trHeight w:val="212"/>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0"/>
              </w:rPr>
              <w:t>Mount Horeb, Wisconsin</w:t>
            </w:r>
          </w:p>
        </w:tc>
        <w:tc>
          <w:tcPr>
            <w:tcW w:w="166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5860" w:type="dxa"/>
            <w:vAlign w:val="bottom"/>
          </w:tcPr>
          <w:p>
            <w:pPr>
              <w:jc w:val="center"/>
              <w:ind w:right="34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178"/>
        </w:trPr>
        <w:tc>
          <w:tcPr>
            <w:tcW w:w="5860" w:type="dxa"/>
            <w:vAlign w:val="bottom"/>
          </w:tcPr>
          <w:p>
            <w:pPr>
              <w:jc w:val="right"/>
              <w:ind w:right="1322"/>
              <w:spacing w:after="0"/>
              <w:rPr>
                <w:sz w:val="20"/>
                <w:szCs w:val="20"/>
                <w:color w:val="auto"/>
              </w:rPr>
            </w:pPr>
            <w:r>
              <w:rPr>
                <w:rFonts w:ascii="Arial" w:cs="Arial" w:eastAsia="Arial" w:hAnsi="Arial"/>
                <w:sz w:val="14"/>
                <w:szCs w:val="14"/>
                <w:b w:val="1"/>
                <w:bCs w:val="1"/>
                <w:color w:val="auto"/>
              </w:rPr>
              <w:t>(608) 424-1544</w:t>
            </w:r>
          </w:p>
        </w:tc>
        <w:tc>
          <w:tcPr>
            <w:tcW w:w="1660" w:type="dxa"/>
            <w:vAlign w:val="bottom"/>
          </w:tcPr>
          <w:p>
            <w:pPr>
              <w:spacing w:after="0"/>
              <w:rPr>
                <w:sz w:val="15"/>
                <w:szCs w:val="15"/>
                <w:color w:val="auto"/>
              </w:rPr>
            </w:pPr>
          </w:p>
        </w:tc>
      </w:tr>
      <w:tr>
        <w:trPr>
          <w:trHeight w:val="166"/>
        </w:trPr>
        <w:tc>
          <w:tcPr>
            <w:tcW w:w="5860" w:type="dxa"/>
            <w:vAlign w:val="bottom"/>
          </w:tcPr>
          <w:p>
            <w:pPr>
              <w:ind w:left="2380"/>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1660" w:type="dxa"/>
            <w:vAlign w:val="bottom"/>
          </w:tcPr>
          <w:p>
            <w:pPr>
              <w:spacing w:after="0"/>
              <w:rPr>
                <w:sz w:val="14"/>
                <w:szCs w:val="14"/>
                <w:color w:val="auto"/>
              </w:rPr>
            </w:pPr>
          </w:p>
        </w:tc>
      </w:tr>
      <w:tr>
        <w:trPr>
          <w:trHeight w:val="182"/>
        </w:trPr>
        <w:tc>
          <w:tcPr>
            <w:tcW w:w="5860" w:type="dxa"/>
            <w:vAlign w:val="bottom"/>
          </w:tcPr>
          <w:p>
            <w:pPr>
              <w:jc w:val="right"/>
              <w:ind w:right="302"/>
              <w:spacing w:after="0"/>
              <w:rPr>
                <w:sz w:val="20"/>
                <w:szCs w:val="20"/>
                <w:color w:val="auto"/>
              </w:rPr>
            </w:pPr>
            <w:r>
              <w:rPr>
                <w:rFonts w:ascii="Arial" w:cs="Arial" w:eastAsia="Arial" w:hAnsi="Arial"/>
                <w:sz w:val="14"/>
                <w:szCs w:val="14"/>
                <w:color w:val="auto"/>
              </w:rPr>
              <w:t>_________________________________________</w:t>
            </w:r>
          </w:p>
        </w:tc>
        <w:tc>
          <w:tcPr>
            <w:tcW w:w="1660" w:type="dxa"/>
            <w:vAlign w:val="bottom"/>
          </w:tcPr>
          <w:p>
            <w:pPr>
              <w:spacing w:after="0"/>
              <w:rPr>
                <w:sz w:val="15"/>
                <w:szCs w:val="15"/>
                <w:color w:val="auto"/>
              </w:rPr>
            </w:pPr>
          </w:p>
        </w:tc>
      </w:tr>
    </w:tbl>
    <w:p>
      <w:pPr>
        <w:spacing w:after="0" w:line="5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5"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Title of each class</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w w:val="93"/>
              </w:rPr>
              <w:t>Trading Symbol(s)</w:t>
            </w:r>
          </w:p>
        </w:tc>
        <w:tc>
          <w:tcPr>
            <w:tcW w:w="3700" w:type="dxa"/>
            <w:vAlign w:val="bottom"/>
          </w:tcPr>
          <w:p>
            <w:pPr>
              <w:jc w:val="center"/>
              <w:ind w:left="739"/>
              <w:spacing w:after="0"/>
              <w:rPr>
                <w:sz w:val="20"/>
                <w:szCs w:val="20"/>
                <w:color w:val="auto"/>
              </w:rPr>
            </w:pPr>
            <w:r>
              <w:rPr>
                <w:rFonts w:ascii="Arial" w:cs="Arial" w:eastAsia="Arial" w:hAnsi="Arial"/>
                <w:sz w:val="16"/>
                <w:szCs w:val="16"/>
                <w:color w:val="auto"/>
                <w:w w:val="90"/>
              </w:rPr>
              <w:t>Name of each exchange on which registered</w:t>
            </w:r>
          </w:p>
        </w:tc>
      </w:tr>
      <w:tr>
        <w:trPr>
          <w:trHeight w:val="206"/>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Class B Common Stock, No Par Value</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rPr>
              <w:t>DLTH</w:t>
            </w:r>
          </w:p>
        </w:tc>
        <w:tc>
          <w:tcPr>
            <w:tcW w:w="3700" w:type="dxa"/>
            <w:vAlign w:val="bottom"/>
          </w:tcPr>
          <w:p>
            <w:pPr>
              <w:jc w:val="center"/>
              <w:ind w:left="719"/>
              <w:spacing w:after="0"/>
              <w:rPr>
                <w:sz w:val="20"/>
                <w:szCs w:val="20"/>
                <w:color w:val="auto"/>
              </w:rPr>
            </w:pPr>
            <w:r>
              <w:rPr>
                <w:rFonts w:ascii="Arial" w:cs="Arial" w:eastAsia="Arial" w:hAnsi="Arial"/>
                <w:sz w:val="16"/>
                <w:szCs w:val="16"/>
                <w:color w:val="auto"/>
                <w:w w:val="95"/>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4057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31140"/>
                    </a:xfrm>
                    <a:prstGeom prst="rect">
                      <a:avLst/>
                    </a:prstGeom>
                    <a:noFill/>
                  </pic:spPr>
                </pic:pic>
              </a:graphicData>
            </a:graphic>
          </wp:anchor>
        </w:drawing>
      </w:r>
    </w:p>
    <w:p>
      <w:pPr>
        <w:spacing w:after="0" w:line="98" w:lineRule="exact"/>
        <w:rPr>
          <w:sz w:val="24"/>
          <w:szCs w:val="24"/>
          <w:color w:val="auto"/>
        </w:rPr>
      </w:pPr>
    </w:p>
    <w:p>
      <w:pPr>
        <w:ind w:right="120" w:firstLine="428"/>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87" w:lineRule="exact"/>
        <w:rPr>
          <w:sz w:val="24"/>
          <w:szCs w:val="24"/>
          <w:color w:val="auto"/>
        </w:rPr>
      </w:pPr>
    </w:p>
    <w:p>
      <w:pPr>
        <w:ind w:firstLine="428"/>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87" w:lineRule="exact"/>
        <w:rPr>
          <w:sz w:val="24"/>
          <w:szCs w:val="24"/>
          <w:color w:val="auto"/>
        </w:rPr>
      </w:pPr>
    </w:p>
    <w:p>
      <w:pPr>
        <w:jc w:val="both"/>
        <w:ind w:right="220" w:firstLine="428"/>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500"/>
              <w:spacing w:after="0"/>
              <w:rPr>
                <w:sz w:val="20"/>
                <w:szCs w:val="20"/>
                <w:color w:val="auto"/>
              </w:rPr>
            </w:pPr>
            <w:r>
              <w:rPr>
                <w:rFonts w:ascii="Arial" w:cs="Arial" w:eastAsia="Arial" w:hAnsi="Arial"/>
                <w:sz w:val="16"/>
                <w:szCs w:val="16"/>
                <w:color w:val="auto"/>
              </w:rPr>
              <w:t>o</w:t>
            </w:r>
          </w:p>
        </w:tc>
        <w:tc>
          <w:tcPr>
            <w:tcW w:w="3240" w:type="dxa"/>
            <w:vAlign w:val="bottom"/>
          </w:tcPr>
          <w:p>
            <w:pPr>
              <w:ind w:left="11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62"/>
        </w:trPr>
        <w:tc>
          <w:tcPr>
            <w:tcW w:w="2020" w:type="dxa"/>
            <w:vAlign w:val="bottom"/>
          </w:tcPr>
          <w:p>
            <w:pPr>
              <w:spacing w:after="0" w:line="162" w:lineRule="exact"/>
              <w:rPr>
                <w:sz w:val="20"/>
                <w:szCs w:val="20"/>
                <w:color w:val="auto"/>
              </w:rPr>
            </w:pPr>
            <w:r>
              <w:rPr>
                <w:rFonts w:ascii="Arial" w:cs="Arial" w:eastAsia="Arial" w:hAnsi="Arial"/>
                <w:sz w:val="16"/>
                <w:szCs w:val="16"/>
                <w:color w:val="auto"/>
              </w:rPr>
              <w:t>Non-accelerated Filer</w:t>
            </w:r>
          </w:p>
        </w:tc>
        <w:tc>
          <w:tcPr>
            <w:tcW w:w="1700" w:type="dxa"/>
            <w:vAlign w:val="bottom"/>
          </w:tcPr>
          <w:p>
            <w:pPr>
              <w:ind w:left="500"/>
              <w:spacing w:after="0" w:line="162" w:lineRule="exact"/>
              <w:rPr>
                <w:sz w:val="20"/>
                <w:szCs w:val="20"/>
                <w:color w:val="auto"/>
              </w:rPr>
            </w:pPr>
            <w:r>
              <w:rPr>
                <w:rFonts w:ascii="Arial" w:cs="Arial" w:eastAsia="Arial" w:hAnsi="Arial"/>
                <w:sz w:val="16"/>
                <w:szCs w:val="16"/>
                <w:color w:val="auto"/>
              </w:rPr>
              <w:t>o</w:t>
            </w:r>
          </w:p>
        </w:tc>
        <w:tc>
          <w:tcPr>
            <w:tcW w:w="3240" w:type="dxa"/>
            <w:vAlign w:val="bottom"/>
          </w:tcPr>
          <w:p>
            <w:pPr>
              <w:ind w:left="1140"/>
              <w:spacing w:after="0" w:line="162" w:lineRule="exact"/>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240" w:type="dxa"/>
            <w:vAlign w:val="bottom"/>
          </w:tcPr>
          <w:p>
            <w:pPr>
              <w:ind w:left="11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ind w:right="80" w:firstLine="428"/>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left="440"/>
        <w:spacing w:after="0" w:line="184" w:lineRule="exact"/>
        <w:tabs>
          <w:tab w:leader="none" w:pos="794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A common stock, no par value, as of December 1, 2020, was 3,364,200.</w:t>
      </w:r>
    </w:p>
    <w:p>
      <w:pPr>
        <w:ind w:left="400"/>
        <w:spacing w:after="0"/>
        <w:rPr>
          <w:sz w:val="20"/>
          <w:szCs w:val="20"/>
          <w:color w:val="auto"/>
        </w:rPr>
      </w:pPr>
      <w:r>
        <w:rPr>
          <w:rFonts w:ascii="Arial" w:cs="Arial" w:eastAsia="Arial" w:hAnsi="Arial"/>
          <w:sz w:val="16"/>
          <w:szCs w:val="16"/>
          <w:color w:val="auto"/>
        </w:rPr>
        <w:t>The number of shares outstanding of the Registrant’s Class B common stock, no par value, as of December 1, 2020, was 29,463,996.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02"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QUARTERLY REPORT ON FORM 10-Q</w:t>
      </w:r>
    </w:p>
    <w:p>
      <w:pPr>
        <w:jc w:val="center"/>
        <w:ind w:right="40"/>
        <w:spacing w:after="0" w:line="219" w:lineRule="auto"/>
        <w:rPr>
          <w:sz w:val="20"/>
          <w:szCs w:val="20"/>
          <w:color w:val="auto"/>
        </w:rPr>
      </w:pPr>
      <w:r>
        <w:rPr>
          <w:rFonts w:ascii="Arial" w:cs="Arial" w:eastAsia="Arial" w:hAnsi="Arial"/>
          <w:sz w:val="18"/>
          <w:szCs w:val="18"/>
          <w:b w:val="1"/>
          <w:bCs w:val="1"/>
          <w:color w:val="auto"/>
        </w:rPr>
        <w:t>FOR QUARTER ENDED November 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60" w:type="dxa"/>
            <w:vAlign w:val="bottom"/>
            <w:gridSpan w:val="4"/>
          </w:tcPr>
          <w:p>
            <w:pPr>
              <w:jc w:val="center"/>
              <w:ind w:right="2960"/>
              <w:spacing w:after="0"/>
              <w:rPr>
                <w:rFonts w:ascii="Arial" w:cs="Arial" w:eastAsia="Arial" w:hAnsi="Arial"/>
                <w:sz w:val="18"/>
                <w:szCs w:val="18"/>
                <w:u w:val="single" w:color="auto"/>
                <w:color w:val="0000FF"/>
                <w:w w:val="93"/>
              </w:rPr>
            </w:pPr>
            <w:hyperlink w:anchor="page3">
              <w:r>
                <w:rPr>
                  <w:rFonts w:ascii="Arial" w:cs="Arial" w:eastAsia="Arial" w:hAnsi="Arial"/>
                  <w:sz w:val="18"/>
                  <w:szCs w:val="18"/>
                  <w:u w:val="single" w:color="auto"/>
                  <w:color w:val="0000FF"/>
                  <w:w w:val="93"/>
                </w:rPr>
                <w:t>Part I—Financial Information</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05"/>
        </w:trPr>
        <w:tc>
          <w:tcPr>
            <w:tcW w:w="148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05"/>
        </w:trPr>
        <w:tc>
          <w:tcPr>
            <w:tcW w:w="1480" w:type="dxa"/>
            <w:vAlign w:val="bottom"/>
          </w:tcPr>
          <w:p>
            <w:pPr>
              <w:spacing w:after="0"/>
              <w:rPr>
                <w:sz w:val="24"/>
                <w:szCs w:val="24"/>
                <w:color w:val="auto"/>
              </w:rPr>
            </w:pPr>
          </w:p>
        </w:tc>
        <w:tc>
          <w:tcPr>
            <w:tcW w:w="8220" w:type="dxa"/>
            <w:vAlign w:val="bottom"/>
            <w:gridSpan w:val="8"/>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November 1, 2020 and February 2, 2020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64"/>
        </w:trPr>
        <w:tc>
          <w:tcPr>
            <w:tcW w:w="1480" w:type="dxa"/>
            <w:vAlign w:val="bottom"/>
          </w:tcPr>
          <w:p>
            <w:pPr>
              <w:spacing w:after="0"/>
              <w:rPr>
                <w:sz w:val="24"/>
                <w:szCs w:val="24"/>
                <w:color w:val="auto"/>
              </w:rPr>
            </w:pPr>
          </w:p>
        </w:tc>
        <w:tc>
          <w:tcPr>
            <w:tcW w:w="8220" w:type="dxa"/>
            <w:vAlign w:val="bottom"/>
            <w:gridSpan w:val="8"/>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Operations for the three and nine months ended November 1, 2020 and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69"/>
        </w:trPr>
        <w:tc>
          <w:tcPr>
            <w:tcW w:w="148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November 3, 2019 (Unaudited)</w:t>
              </w:r>
            </w:hyperlink>
          </w:p>
        </w:tc>
        <w:tc>
          <w:tcPr>
            <w:tcW w:w="576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85"/>
        </w:trPr>
        <w:tc>
          <w:tcPr>
            <w:tcW w:w="1480" w:type="dxa"/>
            <w:vAlign w:val="bottom"/>
          </w:tcPr>
          <w:p>
            <w:pPr>
              <w:spacing w:after="0"/>
              <w:rPr>
                <w:sz w:val="24"/>
                <w:szCs w:val="24"/>
                <w:color w:val="auto"/>
              </w:rPr>
            </w:pPr>
          </w:p>
        </w:tc>
        <w:tc>
          <w:tcPr>
            <w:tcW w:w="822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Comprehensive Income for the three and nine months ended November 1,</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69"/>
        </w:trPr>
        <w:tc>
          <w:tcPr>
            <w:tcW w:w="1480" w:type="dxa"/>
            <w:vAlign w:val="bottom"/>
          </w:tcPr>
          <w:p>
            <w:pPr>
              <w:spacing w:after="0"/>
              <w:rPr>
                <w:sz w:val="14"/>
                <w:szCs w:val="14"/>
                <w:color w:val="auto"/>
              </w:rPr>
            </w:pPr>
          </w:p>
        </w:tc>
        <w:tc>
          <w:tcPr>
            <w:tcW w:w="8220" w:type="dxa"/>
            <w:vAlign w:val="bottom"/>
            <w:gridSpan w:val="8"/>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2020 and November 3, 2019 (Unaudited)</w:t>
              </w:r>
            </w:hyperlink>
          </w:p>
        </w:tc>
        <w:tc>
          <w:tcPr>
            <w:tcW w:w="154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8220" w:type="dxa"/>
            <w:vAlign w:val="bottom"/>
            <w:gridSpan w:val="8"/>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Condensed Consolidated Statement of Shareholders’ Equity for the nine months ended November 1, 2020</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69"/>
        </w:trPr>
        <w:tc>
          <w:tcPr>
            <w:tcW w:w="1480" w:type="dxa"/>
            <w:vAlign w:val="bottom"/>
          </w:tcPr>
          <w:p>
            <w:pPr>
              <w:spacing w:after="0"/>
              <w:rPr>
                <w:sz w:val="14"/>
                <w:szCs w:val="14"/>
                <w:color w:val="auto"/>
              </w:rPr>
            </w:pPr>
          </w:p>
        </w:tc>
        <w:tc>
          <w:tcPr>
            <w:tcW w:w="768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5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8220" w:type="dxa"/>
            <w:vAlign w:val="bottom"/>
            <w:gridSpan w:val="8"/>
          </w:tcPr>
          <w:p>
            <w:pPr>
              <w:spacing w:after="0"/>
              <w:rPr>
                <w:rFonts w:ascii="Arial" w:cs="Arial" w:eastAsia="Arial" w:hAnsi="Arial"/>
                <w:sz w:val="18"/>
                <w:szCs w:val="18"/>
                <w:color w:val="0000FF"/>
                <w:w w:val="96"/>
              </w:rPr>
            </w:pPr>
            <w:hyperlink w:anchor="page8">
              <w:r>
                <w:rPr>
                  <w:rFonts w:ascii="Arial" w:cs="Arial" w:eastAsia="Arial" w:hAnsi="Arial"/>
                  <w:sz w:val="18"/>
                  <w:szCs w:val="18"/>
                  <w:color w:val="0000FF"/>
                  <w:w w:val="96"/>
                </w:rPr>
                <w:t>Condensed Consolidated Statement of Shareholders’ Equity for the nine months ended November 3, 2019</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69"/>
        </w:trPr>
        <w:tc>
          <w:tcPr>
            <w:tcW w:w="1480" w:type="dxa"/>
            <w:vAlign w:val="bottom"/>
          </w:tcPr>
          <w:p>
            <w:pPr>
              <w:spacing w:after="0"/>
              <w:rPr>
                <w:sz w:val="14"/>
                <w:szCs w:val="14"/>
                <w:color w:val="auto"/>
              </w:rPr>
            </w:pPr>
          </w:p>
        </w:tc>
        <w:tc>
          <w:tcPr>
            <w:tcW w:w="768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(Unaudited)</w:t>
              </w:r>
            </w:hyperlink>
          </w:p>
        </w:tc>
        <w:tc>
          <w:tcPr>
            <w:tcW w:w="5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8220" w:type="dxa"/>
            <w:vAlign w:val="bottom"/>
            <w:gridSpan w:val="8"/>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Condensed Consolidated Statements of Cash Flows for the nine months ended November 1, 2020 and November</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69"/>
        </w:trPr>
        <w:tc>
          <w:tcPr>
            <w:tcW w:w="148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0"/>
              </w:rPr>
            </w:pPr>
            <w:hyperlink w:anchor="page9">
              <w:r>
                <w:rPr>
                  <w:rFonts w:ascii="Arial" w:cs="Arial" w:eastAsia="Arial" w:hAnsi="Arial"/>
                  <w:sz w:val="18"/>
                  <w:szCs w:val="18"/>
                  <w:color w:val="0000FF"/>
                  <w:w w:val="90"/>
                </w:rPr>
                <w:t>3, 2019 (Unaudited)</w:t>
              </w:r>
            </w:hyperlink>
          </w:p>
        </w:tc>
        <w:tc>
          <w:tcPr>
            <w:tcW w:w="672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426"/>
        </w:trPr>
        <w:tc>
          <w:tcPr>
            <w:tcW w:w="1480" w:type="dxa"/>
            <w:vAlign w:val="bottom"/>
          </w:tcPr>
          <w:p>
            <w:pPr>
              <w:spacing w:after="0"/>
              <w:rPr>
                <w:sz w:val="24"/>
                <w:szCs w:val="24"/>
                <w:color w:val="auto"/>
              </w:rPr>
            </w:pPr>
          </w:p>
        </w:tc>
        <w:tc>
          <w:tcPr>
            <w:tcW w:w="8220" w:type="dxa"/>
            <w:vAlign w:val="bottom"/>
            <w:gridSpan w:val="8"/>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Condensed Consolidated Financial Statements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05"/>
        </w:trPr>
        <w:tc>
          <w:tcPr>
            <w:tcW w:w="148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2.</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05"/>
        </w:trPr>
        <w:tc>
          <w:tcPr>
            <w:tcW w:w="148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3.</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Quantitative and Qualitative Disclosures About Market Risk</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05"/>
        </w:trPr>
        <w:tc>
          <w:tcPr>
            <w:tcW w:w="148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Controls and Procedures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05"/>
        </w:trPr>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60" w:type="dxa"/>
            <w:vAlign w:val="bottom"/>
            <w:gridSpan w:val="4"/>
          </w:tcPr>
          <w:p>
            <w:pPr>
              <w:jc w:val="center"/>
              <w:ind w:right="2960"/>
              <w:spacing w:after="0"/>
              <w:rPr>
                <w:rFonts w:ascii="Arial" w:cs="Arial" w:eastAsia="Arial" w:hAnsi="Arial"/>
                <w:sz w:val="18"/>
                <w:szCs w:val="18"/>
                <w:u w:val="single" w:color="auto"/>
                <w:color w:val="0000FF"/>
                <w:w w:val="94"/>
              </w:rPr>
            </w:pPr>
            <w:hyperlink w:anchor="page30">
              <w:r>
                <w:rPr>
                  <w:rFonts w:ascii="Arial" w:cs="Arial" w:eastAsia="Arial" w:hAnsi="Arial"/>
                  <w:sz w:val="18"/>
                  <w:szCs w:val="18"/>
                  <w:u w:val="single" w:color="auto"/>
                  <w:color w:val="0000FF"/>
                  <w:w w:val="94"/>
                </w:rPr>
                <w:t>Part II—Other Information</w:t>
              </w:r>
            </w:hyperlink>
          </w:p>
        </w:tc>
        <w:tc>
          <w:tcPr>
            <w:tcW w:w="1540" w:type="dxa"/>
            <w:vAlign w:val="bottom"/>
          </w:tcPr>
          <w:p>
            <w:pPr>
              <w:spacing w:after="0"/>
              <w:rPr>
                <w:sz w:val="24"/>
                <w:szCs w:val="24"/>
                <w:color w:val="auto"/>
              </w:rPr>
            </w:pPr>
          </w:p>
        </w:tc>
      </w:tr>
      <w:tr>
        <w:trPr>
          <w:trHeight w:val="405"/>
        </w:trPr>
        <w:tc>
          <w:tcPr>
            <w:tcW w:w="148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Legal Proceedings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05"/>
        </w:trPr>
        <w:tc>
          <w:tcPr>
            <w:tcW w:w="1480" w:type="dxa"/>
            <w:vAlign w:val="bottom"/>
          </w:tcPr>
          <w:p>
            <w:pPr>
              <w:spacing w:after="0"/>
              <w:rPr>
                <w:rFonts w:ascii="Arial" w:cs="Arial" w:eastAsia="Arial" w:hAnsi="Arial"/>
                <w:sz w:val="18"/>
                <w:szCs w:val="18"/>
                <w:color w:val="0000FF"/>
              </w:rPr>
            </w:pPr>
            <w:hyperlink w:anchor="page30">
              <w:r>
                <w:rPr>
                  <w:rFonts w:ascii="Arial" w:cs="Arial" w:eastAsia="Arial" w:hAnsi="Arial"/>
                  <w:sz w:val="18"/>
                  <w:szCs w:val="18"/>
                  <w:u w:val="single" w:color="auto"/>
                  <w:color w:val="0000FF"/>
                </w:rPr>
                <w:t>Item 1A</w:t>
              </w:r>
              <w:r>
                <w:rPr>
                  <w:rFonts w:ascii="Arial" w:cs="Arial" w:eastAsia="Arial" w:hAnsi="Arial"/>
                  <w:sz w:val="18"/>
                  <w:szCs w:val="18"/>
                  <w:color w:val="0000FF"/>
                </w:rPr>
                <w:t>.</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Risk Factors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05"/>
        </w:trPr>
        <w:tc>
          <w:tcPr>
            <w:tcW w:w="148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Unregistered Sales of Equity Securities and Use of Proceeds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405"/>
        </w:trPr>
        <w:tc>
          <w:tcPr>
            <w:tcW w:w="148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6.</w:t>
              </w:r>
            </w:hyperlink>
          </w:p>
        </w:tc>
        <w:tc>
          <w:tcPr>
            <w:tcW w:w="8220" w:type="dxa"/>
            <w:vAlign w:val="bottom"/>
            <w:gridSpan w:val="8"/>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Exhibits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783"/>
        </w:trPr>
        <w:tc>
          <w:tcPr>
            <w:tcW w:w="148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Signatures</w:t>
              </w:r>
            </w:hyperlink>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797"/>
        </w:trPr>
        <w:tc>
          <w:tcPr>
            <w:tcW w:w="1480" w:type="dxa"/>
            <w:vAlign w:val="bottom"/>
          </w:tcPr>
          <w:p>
            <w:pPr>
              <w:spacing w:after="0"/>
              <w:rPr>
                <w:sz w:val="24"/>
                <w:szCs w:val="24"/>
                <w:color w:val="auto"/>
              </w:rPr>
            </w:pPr>
          </w:p>
        </w:tc>
        <w:tc>
          <w:tcPr>
            <w:tcW w:w="7680" w:type="dxa"/>
            <w:vAlign w:val="bottom"/>
            <w:gridSpan w:val="5"/>
          </w:tcPr>
          <w:p>
            <w:pPr>
              <w:ind w:left="4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06"/>
        </w:trPr>
        <w:tc>
          <w:tcPr>
            <w:tcW w:w="1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21" w:lineRule="auto"/>
        <w:rPr>
          <w:sz w:val="20"/>
          <w:szCs w:val="20"/>
          <w:color w:val="auto"/>
        </w:rPr>
      </w:pPr>
      <w:r>
        <w:rPr>
          <w:rFonts w:ascii="Arial" w:cs="Arial" w:eastAsia="Arial" w:hAnsi="Arial"/>
          <w:sz w:val="18"/>
          <w:szCs w:val="18"/>
          <w:b w:val="1"/>
          <w:bCs w:val="1"/>
          <w:color w:val="auto"/>
        </w:rPr>
        <w:t>DULUTH HOLDINGS INC.</w:t>
      </w:r>
    </w:p>
    <w:p>
      <w:pPr>
        <w:jc w:val="center"/>
        <w:spacing w:after="0" w:line="219" w:lineRule="auto"/>
        <w:rPr>
          <w:sz w:val="20"/>
          <w:szCs w:val="20"/>
          <w:color w:val="auto"/>
        </w:rPr>
      </w:pPr>
      <w:r>
        <w:rPr>
          <w:rFonts w:ascii="Arial" w:cs="Arial" w:eastAsia="Arial" w:hAnsi="Arial"/>
          <w:sz w:val="18"/>
          <w:szCs w:val="18"/>
          <w:b w:val="1"/>
          <w:bCs w:val="1"/>
          <w:color w:val="auto"/>
        </w:rPr>
        <w:t>Condensed Consolidated Balance Sheets - Assets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November 1, 2020</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February 2, 2020</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00" w:type="dxa"/>
            <w:vAlign w:val="bottom"/>
          </w:tcPr>
          <w:p>
            <w:pPr>
              <w:ind w:left="120"/>
              <w:spacing w:after="0"/>
              <w:rPr>
                <w:sz w:val="20"/>
                <w:szCs w:val="20"/>
                <w:color w:val="auto"/>
              </w:rPr>
            </w:pPr>
            <w:r>
              <w:rPr>
                <w:rFonts w:ascii="Arial" w:cs="Arial" w:eastAsia="Arial" w:hAnsi="Arial"/>
                <w:sz w:val="18"/>
                <w:szCs w:val="18"/>
                <w:color w:val="auto"/>
              </w:rPr>
              <w:t>Inventory, less reserves of $1,226 and $1,826, respectively</w:t>
            </w:r>
          </w:p>
        </w:tc>
        <w:tc>
          <w:tcPr>
            <w:tcW w:w="3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213,403</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147,849</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r>
      <w:tr>
        <w:trPr>
          <w:trHeight w:val="230"/>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catalog costs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r>
      <w:tr>
        <w:trPr>
          <w:trHeight w:val="20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162,192</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129,938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137,071</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120,431</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Finance lease right-of-use assets, net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54,208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46,677</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6,022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6,432</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554,747</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474,050</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Balance Sheets – Liabilities and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November 1, 2020</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February 2, 2020</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33,053</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32,392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29,464</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10,674</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liabilities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Duluth long-term debt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TRI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106,275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79,775</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less current maturities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106,120</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Finance lease liabilities, less current maturities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43,968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37,434</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Duluth long-term debt, less current maturities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TRI long-term debt, less current maturities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27,376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27,778</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385,987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297,944</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or outstanding as of November 1, 2020 and February 2, 2020</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3,364 shares issued and outstanding as of November 1, 2020 and February 2, 2020</w:t>
            </w:r>
          </w:p>
        </w:tc>
        <w:tc>
          <w:tcPr>
            <w:tcW w:w="3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189"/>
        </w:trPr>
        <w:tc>
          <w:tcPr>
            <w:tcW w:w="77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29,517 shares issued and 29,464 shares outstanding as of November 1, 2020 and</w:t>
            </w: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29,191 shares issued and 29,172 shares outstanding as of February 2, 2020</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Treasury stock, at cost; 53 and 19 shares as of November 1, 2020 and</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February 2, 2020, respectively</w:t>
            </w:r>
          </w:p>
        </w:tc>
        <w:tc>
          <w:tcPr>
            <w:tcW w:w="3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(622)</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90,902</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79,335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87,589</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171,054</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178,272</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1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168,760</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176,106</w:t>
            </w:r>
          </w:p>
        </w:tc>
      </w:tr>
      <w:tr>
        <w:trPr>
          <w:trHeight w:val="196"/>
        </w:trPr>
        <w:tc>
          <w:tcPr>
            <w:tcW w:w="7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554,747</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474,050</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November 1, 2020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3, 2019</w:t>
            </w:r>
          </w:p>
        </w:tc>
        <w:tc>
          <w:tcPr>
            <w:tcW w:w="1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1,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 2019</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382,823</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54,403</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186,982</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64,037</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202,175</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income (loss) attributable to controlling interest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940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182</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(8,254)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Basic earnings (loss) per share (Class A and Class B):</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32,322</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32,431</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 (Class A and Class B):</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November 1, 2020</w:t>
            </w:r>
          </w:p>
        </w:tc>
        <w:tc>
          <w:tcPr>
            <w:tcW w:w="120" w:type="dxa"/>
            <w:vAlign w:val="bottom"/>
          </w:tcPr>
          <w:p>
            <w:pPr>
              <w:spacing w:after="0"/>
              <w:rPr>
                <w:sz w:val="15"/>
                <w:szCs w:val="15"/>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November 3, 2019</w:t>
            </w:r>
          </w:p>
        </w:tc>
        <w:tc>
          <w:tcPr>
            <w:tcW w:w="120" w:type="dxa"/>
            <w:vAlign w:val="bottom"/>
          </w:tcPr>
          <w:p>
            <w:pPr>
              <w:spacing w:after="0"/>
              <w:rPr>
                <w:sz w:val="15"/>
                <w:szCs w:val="15"/>
                <w:color w:val="auto"/>
              </w:rPr>
            </w:pPr>
          </w:p>
        </w:tc>
        <w:tc>
          <w:tcPr>
            <w:tcW w:w="130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November 1, 2020</w:t>
            </w:r>
          </w:p>
        </w:tc>
        <w:tc>
          <w:tcPr>
            <w:tcW w:w="12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November 3, 2019</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899</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right w:val="single" w:sz="8" w:color="CCEEFF"/>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89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(8,382)</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 sale:</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Unrealized security income (loss) arising during the period</w:t>
            </w:r>
          </w:p>
        </w:tc>
        <w:tc>
          <w:tcPr>
            <w:tcW w:w="12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38</w:t>
            </w: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214</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(8,614)</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income (loss) attributable</w:t>
            </w: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to controlling interest</w:t>
            </w:r>
          </w:p>
        </w:tc>
        <w:tc>
          <w:tcPr>
            <w:tcW w:w="120" w:type="dxa"/>
            <w:vAlign w:val="bottom"/>
            <w:vMerge w:val="continue"/>
            <w:shd w:val="clear" w:color="auto" w:fill="CCEEFF"/>
          </w:tcPr>
          <w:p>
            <w:pPr>
              <w:spacing w:after="0"/>
              <w:rPr>
                <w:sz w:val="17"/>
                <w:szCs w:val="17"/>
                <w:color w:val="auto"/>
              </w:rPr>
            </w:pPr>
          </w:p>
        </w:tc>
        <w:tc>
          <w:tcPr>
            <w:tcW w:w="130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2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0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Nine Months Ended November 1, 2020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 in</w:t>
            </w:r>
          </w:p>
        </w:tc>
        <w:tc>
          <w:tcPr>
            <w:tcW w:w="120" w:type="dxa"/>
            <w:vAlign w:val="bottom"/>
          </w:tcPr>
          <w:p>
            <w:pPr>
              <w:spacing w:after="0"/>
              <w:rPr>
                <w:sz w:val="16"/>
                <w:szCs w:val="16"/>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120" w:type="dxa"/>
            <w:vAlign w:val="bottom"/>
          </w:tcPr>
          <w:p>
            <w:pPr>
              <w:spacing w:after="0"/>
              <w:rPr>
                <w:sz w:val="17"/>
                <w:szCs w:val="17"/>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120" w:type="dxa"/>
            <w:vAlign w:val="bottom"/>
          </w:tcPr>
          <w:p>
            <w:pPr>
              <w:spacing w:after="0"/>
              <w:rPr>
                <w:sz w:val="16"/>
                <w:szCs w:val="16"/>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176,106</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0" w:type="dxa"/>
            <w:vAlign w:val="bottom"/>
          </w:tcPr>
          <w:p>
            <w:pPr>
              <w:spacing w:after="0"/>
              <w:rPr>
                <w:sz w:val="1"/>
                <w:szCs w:val="1"/>
                <w:color w:val="auto"/>
              </w:rPr>
            </w:pPr>
          </w:p>
        </w:tc>
      </w:tr>
      <w:tr>
        <w:trPr>
          <w:trHeight w:val="196"/>
        </w:trPr>
        <w:tc>
          <w:tcPr>
            <w:tcW w:w="3780" w:type="dxa"/>
            <w:vAlign w:val="bottom"/>
          </w:tcPr>
          <w:p>
            <w:pPr>
              <w:spacing w:after="0" w:line="196" w:lineRule="exact"/>
              <w:rPr>
                <w:sz w:val="20"/>
                <w:szCs w:val="20"/>
                <w:color w:val="auto"/>
              </w:rPr>
            </w:pPr>
            <w:r>
              <w:rPr>
                <w:rFonts w:ascii="Arial" w:cs="Arial" w:eastAsia="Arial" w:hAnsi="Arial"/>
                <w:sz w:val="18"/>
                <w:szCs w:val="18"/>
                <w:color w:val="auto"/>
              </w:rPr>
              <w:t>Balance at May 3, 2020</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32,744</w:t>
            </w: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91,451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(514)</w:t>
            </w: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72,454</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(2,210)</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160,851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August 2, 2020</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32,814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91,921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78,395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(2,253)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167,400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133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November 1, 2020</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32,828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92,385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(622)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79,335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(2,294)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168,760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Nine Months Ended November 3, 2019</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1"/>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1"/>
        </w:trPr>
        <w:tc>
          <w:tcPr>
            <w:tcW w:w="37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Capital stock</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 in</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11"/>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Treasury</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10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37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100" w:type="dxa"/>
            <w:vAlign w:val="bottom"/>
          </w:tcPr>
          <w:p>
            <w:pPr>
              <w:spacing w:after="0"/>
              <w:rPr>
                <w:sz w:val="17"/>
                <w:szCs w:val="17"/>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equity</w:t>
            </w: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February 3, 2019</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32,574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89,849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160,110</w:t>
            </w:r>
          </w:p>
        </w:tc>
      </w:tr>
      <w:tr>
        <w:trPr>
          <w:trHeight w:val="215"/>
        </w:trPr>
        <w:tc>
          <w:tcPr>
            <w:tcW w:w="3740" w:type="dxa"/>
            <w:vAlign w:val="bottom"/>
          </w:tcPr>
          <w:p>
            <w:pPr>
              <w:ind w:left="120"/>
              <w:spacing w:after="0"/>
              <w:rPr>
                <w:sz w:val="20"/>
                <w:szCs w:val="20"/>
                <w:color w:val="auto"/>
              </w:rPr>
            </w:pPr>
            <w:r>
              <w:rPr>
                <w:rFonts w:ascii="Arial" w:cs="Arial" w:eastAsia="Arial" w:hAnsi="Arial"/>
                <w:sz w:val="18"/>
                <w:szCs w:val="18"/>
                <w:color w:val="auto"/>
              </w:rPr>
              <w:t>Cumulative effect from</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3740" w:type="dxa"/>
            <w:vAlign w:val="bottom"/>
          </w:tcPr>
          <w:p>
            <w:pPr>
              <w:ind w:left="120"/>
              <w:spacing w:after="0"/>
              <w:rPr>
                <w:sz w:val="20"/>
                <w:szCs w:val="20"/>
                <w:color w:val="auto"/>
              </w:rPr>
            </w:pPr>
            <w:r>
              <w:rPr>
                <w:rFonts w:ascii="Arial" w:cs="Arial" w:eastAsia="Arial" w:hAnsi="Arial"/>
                <w:sz w:val="18"/>
                <w:szCs w:val="18"/>
                <w:color w:val="auto"/>
              </w:rPr>
              <w:t>adoption of ASC 842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r>
      <w:tr>
        <w:trPr>
          <w:trHeight w:val="223"/>
        </w:trPr>
        <w:tc>
          <w:tcPr>
            <w:tcW w:w="37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Balance at May 5, 2019</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32,703</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90,416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61,096</w:t>
            </w: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(312)</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150,831</w:t>
            </w:r>
          </w:p>
        </w:tc>
      </w:tr>
      <w:tr>
        <w:trPr>
          <w:trHeight w:val="169"/>
        </w:trPr>
        <w:tc>
          <w:tcPr>
            <w:tcW w:w="374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146</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23"/>
        </w:trPr>
        <w:tc>
          <w:tcPr>
            <w:tcW w:w="37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Balance at August 4, 2019</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32,733</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91,075</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(405)</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63,032</w:t>
            </w: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(402)</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153,300</w:t>
            </w:r>
          </w:p>
        </w:tc>
      </w:tr>
      <w:tr>
        <w:trPr>
          <w:trHeight w:val="169"/>
        </w:trPr>
        <w:tc>
          <w:tcPr>
            <w:tcW w:w="374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149</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183"/>
        </w:trPr>
        <w:tc>
          <w:tcPr>
            <w:tcW w:w="37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November 3, 2019</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32,525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90,451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63,214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152,978</w:t>
            </w:r>
          </w:p>
        </w:tc>
      </w:tr>
      <w:tr>
        <w:trPr>
          <w:trHeight w:val="20"/>
        </w:trPr>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4"/>
          </w:tcPr>
          <w:p>
            <w:pPr>
              <w:jc w:val="right"/>
              <w:ind w:right="12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November 1, 2020</w:t>
            </w:r>
          </w:p>
        </w:tc>
        <w:tc>
          <w:tcPr>
            <w:tcW w:w="260" w:type="dxa"/>
            <w:vAlign w:val="bottom"/>
          </w:tcPr>
          <w:p>
            <w:pPr>
              <w:spacing w:after="0"/>
              <w:rPr>
                <w:sz w:val="17"/>
                <w:szCs w:val="17"/>
                <w:color w:val="auto"/>
              </w:rPr>
            </w:pPr>
          </w:p>
        </w:tc>
        <w:tc>
          <w:tcPr>
            <w:tcW w:w="1640" w:type="dxa"/>
            <w:vAlign w:val="bottom"/>
          </w:tcPr>
          <w:p>
            <w:pPr>
              <w:jc w:val="right"/>
              <w:ind w:right="311"/>
              <w:spacing w:after="0"/>
              <w:rPr>
                <w:sz w:val="20"/>
                <w:szCs w:val="20"/>
                <w:color w:val="auto"/>
              </w:rPr>
            </w:pPr>
            <w:r>
              <w:rPr>
                <w:rFonts w:ascii="Arial" w:cs="Arial" w:eastAsia="Arial" w:hAnsi="Arial"/>
                <w:sz w:val="14"/>
                <w:szCs w:val="14"/>
                <w:b w:val="1"/>
                <w:bCs w:val="1"/>
                <w:color w:val="auto"/>
              </w:rPr>
              <w:t>November 3, 2019</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(8,382)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21,209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3,463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(3,549)</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(65,554)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(85,430)</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catalog costs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21,424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29,862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(3,427)</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2,667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impacts</w:t>
            </w:r>
          </w:p>
        </w:tc>
        <w:tc>
          <w:tcPr>
            <w:tcW w:w="1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(28,614)</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(47,624)</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(11,059)</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towards build-to-suit stores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Principal receipts from available-for-sale security</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(24,541)</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84,588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225,079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(60,894)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(171,152)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Proceeds from delayed draw term loan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32,500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Payments on delayed draw term loan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(3,625)</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Payments on TRI long term debt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(1,325)</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Shares withheld for tax payments on vested restricted shares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50,657</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73,043</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 in cash, cash equivalents and restricted cash</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10,560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at end of period</w:t>
            </w:r>
          </w:p>
        </w:tc>
        <w:tc>
          <w:tcPr>
            <w:tcW w:w="10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12,800</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Income taxes paid</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OPERATIONS AND BASIS OF PRESENTATION</w:t>
      </w:r>
    </w:p>
    <w:p>
      <w:pPr>
        <w:spacing w:after="0" w:line="16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w:t>
      </w:r>
    </w:p>
    <w:p>
      <w:pPr>
        <w:spacing w:after="0" w:line="158" w:lineRule="exact"/>
        <w:rPr>
          <w:sz w:val="20"/>
          <w:szCs w:val="20"/>
          <w:color w:val="auto"/>
        </w:rPr>
      </w:pPr>
    </w:p>
    <w:p>
      <w:pPr>
        <w:ind w:right="60" w:firstLine="428"/>
        <w:spacing w:after="0" w:line="253"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exclusively through the Company’s own direct and retail channels. The Company’s products are marketed under the Duluth Trading brand, with the majority of products being exclusively developed and sold as Duluth Trading branded merchandise.</w:t>
      </w:r>
    </w:p>
    <w:p>
      <w:pPr>
        <w:spacing w:after="0" w:line="138" w:lineRule="exact"/>
        <w:rPr>
          <w:sz w:val="20"/>
          <w:szCs w:val="20"/>
          <w:color w:val="auto"/>
        </w:rPr>
      </w:pPr>
    </w:p>
    <w:p>
      <w:pPr>
        <w:ind w:firstLine="492"/>
        <w:spacing w:after="0" w:line="237" w:lineRule="auto"/>
        <w:rPr>
          <w:sz w:val="20"/>
          <w:szCs w:val="20"/>
          <w:color w:val="auto"/>
        </w:rPr>
      </w:pPr>
      <w:r>
        <w:rPr>
          <w:rFonts w:ascii="Arial" w:cs="Arial" w:eastAsia="Arial" w:hAnsi="Arial"/>
          <w:sz w:val="17"/>
          <w:szCs w:val="17"/>
          <w:color w:val="auto"/>
        </w:rPr>
        <w:t>The Company has historically identified two operating segments, direct and retail. The direct segment, consisting of the Company’s website and catalogs, offers products nationwide. In 2010, the Company initiated its omnichannel platform with the opening of its first store. Since then, Duluth Trading has expanded its retail presence, and as of November 1, 2020, the Company operated 62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As the Company expands its distribution network, and in conjunction with assessing the similar nature of products sold, production process, distribution process, target customers and economic characteristics between the two segments, the Company determined that the historical structure of separate reporting segments for direct and retail was no longer representative. Therefore, as of February 3, 2020, the Company updated its segment reporting to one reportable external segment, consistent with the Company’s omnichannel business approach. The Company’s revenues generated outside the United States were insignificant.</w:t>
      </w:r>
    </w:p>
    <w:p>
      <w:pPr>
        <w:spacing w:after="0" w:line="135" w:lineRule="exact"/>
        <w:rPr>
          <w:sz w:val="20"/>
          <w:szCs w:val="20"/>
          <w:color w:val="auto"/>
        </w:rPr>
      </w:pPr>
    </w:p>
    <w:p>
      <w:pPr>
        <w:jc w:val="both"/>
        <w:ind w:right="360" w:firstLine="428"/>
        <w:spacing w:after="0" w:line="246" w:lineRule="auto"/>
        <w:rPr>
          <w:sz w:val="20"/>
          <w:szCs w:val="20"/>
          <w:color w:val="auto"/>
        </w:rPr>
      </w:pPr>
      <w:r>
        <w:rPr>
          <w:rFonts w:ascii="Arial" w:cs="Arial" w:eastAsia="Arial" w:hAnsi="Arial"/>
          <w:sz w:val="17"/>
          <w:szCs w:val="17"/>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20" w:firstLine="428"/>
        <w:spacing w:after="0" w:line="235"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fiscal year ends on the Sunday nearest to January 31 of the following year. Fiscal 2020 is a 52-week period and ends on January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2021. Fiscal 2019 was a 52-week period and ended on February 2, 2020. The three and nine months of fiscal 2020 and fiscal 2019 represent the Company’s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13 and 39-week periods ended November 1, 2020 and November 3, 2019, respectively.</w:t>
      </w:r>
    </w:p>
    <w:p>
      <w:pPr>
        <w:spacing w:after="0" w:line="142" w:lineRule="exact"/>
        <w:rPr>
          <w:sz w:val="20"/>
          <w:szCs w:val="20"/>
          <w:color w:val="auto"/>
        </w:rPr>
      </w:pPr>
    </w:p>
    <w:p>
      <w:pPr>
        <w:ind w:right="40" w:firstLine="428"/>
        <w:spacing w:after="0" w:line="238" w:lineRule="auto"/>
        <w:rPr>
          <w:sz w:val="20"/>
          <w:szCs w:val="20"/>
          <w:color w:val="auto"/>
        </w:rPr>
      </w:pPr>
      <w:r>
        <w:rPr>
          <w:rFonts w:ascii="Arial" w:cs="Arial" w:eastAsia="Arial" w:hAnsi="Arial"/>
          <w:sz w:val="17"/>
          <w:szCs w:val="17"/>
          <w:color w:val="auto"/>
        </w:rPr>
        <w:t>The accompanying condensed consolidated financial statements as of and for the three and nine months ended November 1, 2020 and November 3, 2019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November 1, 2020 and November 3, 2019. These interim condensed consolidated financial statements should be read in conjunction with the consolidated financial statements and notes included in the Company’s annual report on Form 10-K for the fiscal year ended February 2, 2020.</w:t>
      </w:r>
    </w:p>
    <w:p>
      <w:pPr>
        <w:spacing w:after="0" w:line="15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180" w:firstLine="428"/>
        <w:spacing w:after="0" w:line="222" w:lineRule="auto"/>
        <w:rPr>
          <w:sz w:val="20"/>
          <w:szCs w:val="20"/>
          <w:color w:val="auto"/>
        </w:rPr>
      </w:pPr>
      <w:r>
        <w:rPr>
          <w:rFonts w:ascii="Arial" w:cs="Arial" w:eastAsia="Arial" w:hAnsi="Arial"/>
          <w:sz w:val="18"/>
          <w:szCs w:val="18"/>
          <w:color w:val="auto"/>
        </w:rPr>
        <w:t>In March 2020, a novel strain of coronavirus (“COVID -19”)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 Company’s business operations and financial performance for the three and nine months ended November 1, 2020 were impacted by COVID-19. These impacts are discussed within these notes to the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jc w:val="both"/>
        <w:ind w:right="160" w:firstLine="428"/>
        <w:spacing w:after="0" w:line="235" w:lineRule="auto"/>
        <w:rPr>
          <w:sz w:val="20"/>
          <w:szCs w:val="20"/>
          <w:color w:val="auto"/>
        </w:rPr>
      </w:pPr>
      <w:r>
        <w:rPr>
          <w:rFonts w:ascii="Arial" w:cs="Arial" w:eastAsia="Arial" w:hAnsi="Arial"/>
          <w:sz w:val="18"/>
          <w:szCs w:val="18"/>
          <w:color w:val="auto"/>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spacing w:after="0" w:line="13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Impairment Analysis</w:t>
      </w:r>
    </w:p>
    <w:p>
      <w:pPr>
        <w:spacing w:after="0" w:line="171" w:lineRule="exact"/>
        <w:rPr>
          <w:sz w:val="20"/>
          <w:szCs w:val="20"/>
          <w:color w:val="auto"/>
        </w:rPr>
      </w:pPr>
    </w:p>
    <w:p>
      <w:pPr>
        <w:ind w:right="80" w:firstLine="428"/>
        <w:spacing w:after="0"/>
        <w:rPr>
          <w:sz w:val="20"/>
          <w:szCs w:val="20"/>
          <w:color w:val="auto"/>
        </w:rPr>
      </w:pPr>
      <w:r>
        <w:rPr>
          <w:rFonts w:ascii="Arial" w:cs="Arial" w:eastAsia="Arial" w:hAnsi="Arial"/>
          <w:sz w:val="17"/>
          <w:szCs w:val="17"/>
          <w:color w:val="auto"/>
        </w:rPr>
        <w:t>The Company determined that the effects of COVID-19 may represent indicators of asset impairment, and as a result, performed interim impairment assessments for the Company’s intangible assets, long-lived assets and goodwill at May 3, 2020. Due to the nature of the Company’s intangible assets balance, the Company concluded that no indicators of impairment were present. In the first fiscal quarter of 2020, the Company performed undiscounted cash flow analyses on certain long-lived assets, including retail stores at the individual store level and determined that the estimated undiscounted future cash flows exceeded the net carrying values. The Company also performed an additional qualitative assessment of goodwill as of May 3, 2020 and determined that it was more likely than not that the fair value of these assets was greater than their carrying value.</w:t>
      </w:r>
    </w:p>
    <w:p>
      <w:pPr>
        <w:spacing w:after="0" w:line="137" w:lineRule="exact"/>
        <w:rPr>
          <w:sz w:val="20"/>
          <w:szCs w:val="20"/>
          <w:color w:val="auto"/>
        </w:rPr>
      </w:pPr>
    </w:p>
    <w:p>
      <w:pPr>
        <w:jc w:val="both"/>
        <w:ind w:right="120" w:firstLine="428"/>
        <w:spacing w:after="0" w:line="235" w:lineRule="auto"/>
        <w:rPr>
          <w:sz w:val="20"/>
          <w:szCs w:val="20"/>
          <w:color w:val="auto"/>
        </w:rPr>
      </w:pPr>
      <w:r>
        <w:rPr>
          <w:rFonts w:ascii="Arial" w:cs="Arial" w:eastAsia="Arial" w:hAnsi="Arial"/>
          <w:sz w:val="18"/>
          <w:szCs w:val="18"/>
          <w:color w:val="auto"/>
        </w:rPr>
        <w:t>Based on these assessments, the Company concluded that no impairment losses had been incurred. However, the Company cannot predict the future impact or duration of the negative effect of COVID-19 and as a result, cannot reasonably predict the probability or amount of impairment losses that may be incurred in future periods.</w:t>
      </w:r>
    </w:p>
    <w:p>
      <w:pPr>
        <w:spacing w:after="0" w:line="134" w:lineRule="exact"/>
        <w:rPr>
          <w:sz w:val="20"/>
          <w:szCs w:val="20"/>
          <w:color w:val="auto"/>
        </w:rPr>
      </w:pPr>
    </w:p>
    <w:p>
      <w:pPr>
        <w:ind w:right="440" w:firstLine="473"/>
        <w:spacing w:after="0" w:line="246" w:lineRule="auto"/>
        <w:rPr>
          <w:sz w:val="20"/>
          <w:szCs w:val="20"/>
          <w:color w:val="auto"/>
        </w:rPr>
      </w:pPr>
      <w:r>
        <w:rPr>
          <w:rFonts w:ascii="Arial" w:cs="Arial" w:eastAsia="Arial" w:hAnsi="Arial"/>
          <w:sz w:val="18"/>
          <w:szCs w:val="18"/>
          <w:color w:val="auto"/>
        </w:rPr>
        <w:t>There were no triggering events subsequent to the quarter ended May 3, 2020 and no long-lived asset impairment charges recorded for the nine months ended November 1, 2020.</w:t>
      </w:r>
    </w:p>
    <w:p>
      <w:pPr>
        <w:spacing w:after="0" w:line="14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 Valuation</w:t>
      </w:r>
    </w:p>
    <w:p>
      <w:pPr>
        <w:spacing w:after="0" w:line="158" w:lineRule="exact"/>
        <w:rPr>
          <w:sz w:val="20"/>
          <w:szCs w:val="20"/>
          <w:color w:val="auto"/>
        </w:rPr>
      </w:pPr>
    </w:p>
    <w:p>
      <w:pPr>
        <w:ind w:firstLine="428"/>
        <w:spacing w:after="0" w:line="261" w:lineRule="auto"/>
        <w:rPr>
          <w:sz w:val="20"/>
          <w:szCs w:val="20"/>
          <w:color w:val="auto"/>
        </w:rPr>
      </w:pPr>
      <w:r>
        <w:rPr>
          <w:rFonts w:ascii="Arial" w:cs="Arial" w:eastAsia="Arial" w:hAnsi="Arial"/>
          <w:sz w:val="16"/>
          <w:szCs w:val="16"/>
          <w:color w:val="auto"/>
        </w:rPr>
        <w:t>Inventory, consisting of purchased product, is valued at the lower of cost or net realizable value, under the first-in, first-out method. The significant estimates used in inventory valuation are obsolescence (including excess and slow-moving inventory and lower of cost or market reserves) and estimates of inventory shrinkage. Both estimates have calculations that require the Company to make assumptions and apply judgement regarding a number of factors, including market conditions, the selling environment, historical results and current inventory trends. Inventory is adjusted periodically to reflect current market conditions, which requires management’s judgement that may significantly affect the ending inventory valuation, as well as gross margin.</w:t>
      </w:r>
    </w:p>
    <w:p>
      <w:pPr>
        <w:spacing w:after="0" w:line="120" w:lineRule="exact"/>
        <w:rPr>
          <w:sz w:val="20"/>
          <w:szCs w:val="20"/>
          <w:color w:val="auto"/>
        </w:rPr>
      </w:pPr>
    </w:p>
    <w:p>
      <w:pPr>
        <w:ind w:right="160" w:firstLine="428"/>
        <w:spacing w:after="0" w:line="235" w:lineRule="auto"/>
        <w:rPr>
          <w:sz w:val="20"/>
          <w:szCs w:val="20"/>
          <w:color w:val="auto"/>
        </w:rPr>
      </w:pPr>
      <w:r>
        <w:rPr>
          <w:rFonts w:ascii="Arial" w:cs="Arial" w:eastAsia="Arial" w:hAnsi="Arial"/>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spacing w:after="0" w:line="14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net</w:t>
      </w:r>
    </w:p>
    <w:p>
      <w:pPr>
        <w:spacing w:after="0" w:line="158" w:lineRule="exact"/>
        <w:rPr>
          <w:sz w:val="20"/>
          <w:szCs w:val="20"/>
          <w:color w:val="auto"/>
        </w:rPr>
      </w:pPr>
    </w:p>
    <w:p>
      <w:pPr>
        <w:ind w:right="40" w:firstLine="402"/>
        <w:spacing w:after="0" w:line="253" w:lineRule="auto"/>
        <w:rPr>
          <w:sz w:val="20"/>
          <w:szCs w:val="20"/>
          <w:color w:val="auto"/>
        </w:rPr>
      </w:pPr>
      <w:r>
        <w:rPr>
          <w:rFonts w:ascii="Arial" w:cs="Arial" w:eastAsia="Arial" w:hAnsi="Arial"/>
          <w:sz w:val="17"/>
          <w:szCs w:val="17"/>
          <w:color w:val="auto"/>
        </w:rPr>
        <w:t>Other assets, net includes goodwill, loan origination fees, trade names, security deposits and prepaid expenses. Goodwill was $0.4 million as of November 1, 2020 and February 2, 2020. The Company’s other intangible asset, net of accumulated amortization was $0.3 million as of November 1, 2020 and February 2, 2020. Accumulated amortization was $0.3 million as of November 1, 2020 and February 2, 2020.</w:t>
      </w:r>
    </w:p>
    <w:p>
      <w:pPr>
        <w:spacing w:after="0" w:line="12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71" w:lineRule="exact"/>
        <w:rPr>
          <w:sz w:val="20"/>
          <w:szCs w:val="20"/>
          <w:color w:val="auto"/>
        </w:rPr>
      </w:pPr>
    </w:p>
    <w:p>
      <w:pPr>
        <w:ind w:right="260" w:firstLine="428"/>
        <w:spacing w:after="0" w:line="307" w:lineRule="auto"/>
        <w:rPr>
          <w:sz w:val="20"/>
          <w:szCs w:val="20"/>
          <w:color w:val="auto"/>
        </w:rPr>
      </w:pPr>
      <w:r>
        <w:rPr>
          <w:rFonts w:ascii="Arial" w:cs="Arial" w:eastAsia="Arial" w:hAnsi="Arial"/>
          <w:sz w:val="16"/>
          <w:szCs w:val="16"/>
          <w:color w:val="auto"/>
        </w:rPr>
        <w:t>The Company’s business is affected by the pattern of seasonality common to most apparel businesses. Historically, the Company has recognized a significant portion of its revenue and operating profit in the fourth fiscal quarter of each year as a result of increased sales during the holiday season.</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Restricted Cash and Reconciliation of cash and cash equivalents and restricted cash to the condensed statement of cash flows</w:t>
      </w:r>
    </w:p>
    <w:p>
      <w:pPr>
        <w:spacing w:after="0" w:line="158" w:lineRule="exact"/>
        <w:rPr>
          <w:sz w:val="20"/>
          <w:szCs w:val="20"/>
          <w:color w:val="auto"/>
        </w:rPr>
      </w:pPr>
    </w:p>
    <w:p>
      <w:pPr>
        <w:ind w:firstLine="428"/>
        <w:spacing w:after="0" w:line="276" w:lineRule="auto"/>
        <w:rPr>
          <w:sz w:val="20"/>
          <w:szCs w:val="20"/>
          <w:color w:val="auto"/>
        </w:rPr>
      </w:pPr>
      <w:r>
        <w:rPr>
          <w:rFonts w:ascii="Arial" w:cs="Arial" w:eastAsia="Arial" w:hAnsi="Arial"/>
          <w:sz w:val="16"/>
          <w:szCs w:val="16"/>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 There was no restricted cash held in escrow accounts as of November 1, 2020.</w:t>
      </w:r>
    </w:p>
    <w:p>
      <w:pPr>
        <w:spacing w:after="0" w:line="121" w:lineRule="exact"/>
        <w:rPr>
          <w:sz w:val="20"/>
          <w:szCs w:val="20"/>
          <w:color w:val="auto"/>
        </w:rPr>
      </w:pPr>
    </w:p>
    <w:p>
      <w:pPr>
        <w:ind w:right="340" w:firstLine="428"/>
        <w:spacing w:after="0" w:line="225" w:lineRule="auto"/>
        <w:rPr>
          <w:sz w:val="20"/>
          <w:szCs w:val="20"/>
          <w:color w:val="auto"/>
        </w:rPr>
      </w:pPr>
      <w:r>
        <w:rPr>
          <w:rFonts w:ascii="Arial" w:cs="Arial" w:eastAsia="Arial" w:hAnsi="Arial"/>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320" w:firstLine="428"/>
        <w:spacing w:after="0" w:line="246"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that sum the total of the same such amounts shown in the condensed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November 1, 2020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February 2, 2020</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shown in the</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condensed consolidated statement of cash flows</w:t>
            </w:r>
          </w:p>
        </w:tc>
        <w:tc>
          <w:tcPr>
            <w:tcW w:w="260" w:type="dxa"/>
            <w:vAlign w:val="bottom"/>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right="300" w:firstLine="492"/>
        <w:spacing w:after="0" w:line="246" w:lineRule="auto"/>
        <w:rPr>
          <w:sz w:val="20"/>
          <w:szCs w:val="20"/>
          <w:color w:val="auto"/>
        </w:rPr>
      </w:pPr>
      <w:r>
        <w:rPr>
          <w:rFonts w:ascii="Arial" w:cs="Arial" w:eastAsia="Arial" w:hAnsi="Arial"/>
          <w:sz w:val="18"/>
          <w:szCs w:val="18"/>
          <w:color w:val="auto"/>
        </w:rPr>
        <w:t>Certain reclassifications have been made to the 2019 financial statements in order to conform to the 2020 presentation. There were no changes to previously reported shareholders' equity or net income (loss) as a result of the reclassifications.</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Significant Accounting Policies</w:t>
      </w:r>
    </w:p>
    <w:p>
      <w:pPr>
        <w:spacing w:after="0" w:line="158" w:lineRule="exact"/>
        <w:rPr>
          <w:sz w:val="20"/>
          <w:szCs w:val="20"/>
          <w:color w:val="auto"/>
        </w:rPr>
      </w:pPr>
    </w:p>
    <w:p>
      <w:pPr>
        <w:ind w:right="240" w:firstLine="428"/>
        <w:spacing w:after="0" w:line="246" w:lineRule="auto"/>
        <w:rPr>
          <w:sz w:val="20"/>
          <w:szCs w:val="20"/>
          <w:color w:val="auto"/>
        </w:rPr>
      </w:pPr>
      <w:r>
        <w:rPr>
          <w:rFonts w:ascii="Arial" w:cs="Arial" w:eastAsia="Arial" w:hAnsi="Arial"/>
          <w:sz w:val="18"/>
          <w:szCs w:val="18"/>
          <w:color w:val="auto"/>
        </w:rPr>
        <w:t>Except as disclosed below, there have been no significant changes to the Company’s significant accounting policies as described in the Company’s Annual Report on Form 10-K for the year ended February 2, 2020.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58" w:lineRule="exact"/>
        <w:rPr>
          <w:sz w:val="20"/>
          <w:szCs w:val="20"/>
          <w:color w:val="auto"/>
        </w:rPr>
      </w:pPr>
    </w:p>
    <w:p>
      <w:pPr>
        <w:ind w:right="40" w:firstLine="440"/>
        <w:spacing w:after="0" w:line="256" w:lineRule="auto"/>
        <w:rPr>
          <w:sz w:val="20"/>
          <w:szCs w:val="20"/>
          <w:color w:val="auto"/>
        </w:rPr>
      </w:pPr>
      <w:r>
        <w:rPr>
          <w:rFonts w:ascii="Arial" w:cs="Arial" w:eastAsia="Arial" w:hAnsi="Arial"/>
          <w:sz w:val="16"/>
          <w:szCs w:val="16"/>
          <w:color w:val="auto"/>
        </w:rPr>
        <w:t xml:space="preserve">On February 3, 2020, the Company adopted Accounting Standards Update (“ASU”) No. 2018-15, </w:t>
      </w:r>
      <w:r>
        <w:rPr>
          <w:rFonts w:ascii="Arial" w:cs="Arial" w:eastAsia="Arial" w:hAnsi="Arial"/>
          <w:sz w:val="16"/>
          <w:szCs w:val="16"/>
          <w:i w:val="1"/>
          <w:iCs w:val="1"/>
          <w:color w:val="auto"/>
        </w:rPr>
        <w:t>Intangibles – Goodwill and Other – Internal-Use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(Subtopic 350-40) </w:t>
      </w:r>
      <w:r>
        <w:rPr>
          <w:rFonts w:ascii="Arial" w:cs="Arial" w:eastAsia="Arial" w:hAnsi="Arial"/>
          <w:sz w:val="16"/>
          <w:szCs w:val="16"/>
          <w:color w:val="auto"/>
        </w:rPr>
        <w:t>(“ASU 2018-15”) which provides additional guidance on the accounting for costs of implementation activities performed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The adoption of ASU 2018-15 did not have a material impact on the Company’s condensed consolidated financial statements.</w:t>
      </w:r>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175" w:lineRule="exact"/>
        <w:rPr>
          <w:sz w:val="20"/>
          <w:szCs w:val="20"/>
          <w:color w:val="auto"/>
        </w:rPr>
      </w:pPr>
    </w:p>
    <w:p>
      <w:pPr>
        <w:ind w:right="40" w:firstLine="492"/>
        <w:spacing w:after="0"/>
        <w:rPr>
          <w:sz w:val="20"/>
          <w:szCs w:val="20"/>
          <w:color w:val="auto"/>
        </w:rPr>
      </w:pPr>
      <w:r>
        <w:rPr>
          <w:rFonts w:ascii="Arial" w:cs="Arial" w:eastAsia="Arial" w:hAnsi="Arial"/>
          <w:sz w:val="17"/>
          <w:szCs w:val="17"/>
          <w:color w:val="auto"/>
        </w:rPr>
        <w:t xml:space="preserve">Based on the criteria set forth in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7" w:lineRule="exact"/>
        <w:rPr>
          <w:sz w:val="20"/>
          <w:szCs w:val="20"/>
          <w:color w:val="auto"/>
        </w:rPr>
      </w:pPr>
    </w:p>
    <w:p>
      <w:pPr>
        <w:ind w:right="180" w:firstLine="492"/>
        <w:spacing w:after="0" w:line="246" w:lineRule="auto"/>
        <w:rPr>
          <w:sz w:val="20"/>
          <w:szCs w:val="20"/>
          <w:color w:val="auto"/>
        </w:rPr>
      </w:pPr>
      <w:r>
        <w:rPr>
          <w:rFonts w:ascii="Arial" w:cs="Arial" w:eastAsia="Arial" w:hAnsi="Arial"/>
          <w:sz w:val="17"/>
          <w:szCs w:val="17"/>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0" w:lineRule="exact"/>
        <w:rPr>
          <w:sz w:val="20"/>
          <w:szCs w:val="20"/>
          <w:color w:val="auto"/>
        </w:rPr>
      </w:pPr>
    </w:p>
    <w:p>
      <w:pPr>
        <w:ind w:right="560" w:firstLine="492"/>
        <w:spacing w:after="0" w:line="246" w:lineRule="auto"/>
        <w:rPr>
          <w:sz w:val="20"/>
          <w:szCs w:val="20"/>
          <w:color w:val="auto"/>
        </w:rPr>
      </w:pPr>
      <w:r>
        <w:rPr>
          <w:rFonts w:ascii="Arial" w:cs="Arial" w:eastAsia="Arial" w:hAnsi="Arial"/>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43" w:lineRule="exact"/>
        <w:rPr>
          <w:sz w:val="20"/>
          <w:szCs w:val="20"/>
          <w:color w:val="auto"/>
        </w:rPr>
      </w:pPr>
    </w:p>
    <w:p>
      <w:pPr>
        <w:ind w:right="200" w:firstLine="492"/>
        <w:spacing w:after="0" w:line="307" w:lineRule="auto"/>
        <w:rPr>
          <w:sz w:val="20"/>
          <w:szCs w:val="20"/>
          <w:color w:val="auto"/>
        </w:rPr>
      </w:pPr>
      <w:r>
        <w:rPr>
          <w:rFonts w:ascii="Arial" w:cs="Arial" w:eastAsia="Arial" w:hAnsi="Arial"/>
          <w:sz w:val="16"/>
          <w:szCs w:val="16"/>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20" w:firstLine="492"/>
        <w:spacing w:after="0" w:line="227" w:lineRule="auto"/>
        <w:rPr>
          <w:sz w:val="20"/>
          <w:szCs w:val="20"/>
          <w:color w:val="auto"/>
        </w:rPr>
      </w:pPr>
      <w:r>
        <w:rPr>
          <w:rFonts w:ascii="Arial" w:cs="Arial" w:eastAsia="Arial" w:hAnsi="Arial"/>
          <w:sz w:val="18"/>
          <w:szCs w:val="18"/>
          <w:color w:val="auto"/>
        </w:rPr>
        <w:t>Due to the adverse impacts of COVID-19, the Company has negotiated rent deferral and payback periods with a number of the Company’s store landlords for the months of April and May 2020. Based on the guidance set forth in the Financial Accounting Standards Board (“FASB”) issued Staff Q&amp;A “Topic 842 and Topic 840: Accounting for Lease Concessions Related to the Effects of the COVID-19 Pandemic” the Company has accounted for these deferrals as if no changes to the lease contract were made and will not elect to apply the lease modification guidance under ASC 842. As of November 1, 2020 the Company has deferred rent of approximately $1.0 million which was recorded within accrued expenses and other current liabilities and will be paid in accordance with the concession arrangements.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3060" w:type="dxa"/>
        <w:tblCellMar>
          <w:top w:w="0" w:type="dxa"/>
          <w:left w:w="0" w:type="dxa"/>
          <w:bottom w:w="0" w:type="dxa"/>
          <w:right w:w="0" w:type="dxa"/>
        </w:tblCellMar>
      </w:tblPr>
      <w:tr>
        <w:trPr>
          <w:trHeight w:val="171"/>
        </w:trPr>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Consolidated Statement</w:t>
            </w:r>
          </w:p>
        </w:tc>
        <w:tc>
          <w:tcPr>
            <w:tcW w:w="30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9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 Operations</w:t>
            </w:r>
          </w:p>
        </w:tc>
        <w:tc>
          <w:tcPr>
            <w:tcW w:w="180" w:type="dxa"/>
            <w:vAlign w:val="bottom"/>
          </w:tcPr>
          <w:p>
            <w:pPr>
              <w:spacing w:after="0"/>
              <w:rPr>
                <w:sz w:val="17"/>
                <w:szCs w:val="17"/>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November 1, 2020</w:t>
            </w:r>
          </w:p>
        </w:tc>
        <w:tc>
          <w:tcPr>
            <w:tcW w:w="180" w:type="dxa"/>
            <w:vAlign w:val="bottom"/>
          </w:tcPr>
          <w:p>
            <w:pPr>
              <w:spacing w:after="0"/>
              <w:rPr>
                <w:sz w:val="17"/>
                <w:szCs w:val="17"/>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November 3, 2019</w:t>
            </w:r>
          </w:p>
        </w:tc>
        <w:tc>
          <w:tcPr>
            <w:tcW w:w="160" w:type="dxa"/>
            <w:vAlign w:val="bottom"/>
          </w:tcPr>
          <w:p>
            <w:pPr>
              <w:spacing w:after="0"/>
              <w:rPr>
                <w:sz w:val="17"/>
                <w:szCs w:val="17"/>
                <w:color w:val="auto"/>
              </w:rPr>
            </w:pP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November 1, 2020</w:t>
            </w:r>
          </w:p>
        </w:tc>
        <w:tc>
          <w:tcPr>
            <w:tcW w:w="160" w:type="dxa"/>
            <w:vAlign w:val="bottom"/>
          </w:tcPr>
          <w:p>
            <w:pPr>
              <w:spacing w:after="0"/>
              <w:rPr>
                <w:sz w:val="17"/>
                <w:szCs w:val="17"/>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November 3, 2019</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w:t>
      </w:r>
    </w:p>
    <w:p>
      <w:pPr>
        <w:sectPr>
          <w:pgSz w:w="11900" w:h="16838" w:orient="portrait"/>
          <w:cols w:equalWidth="0" w:num="1">
            <w:col w:w="11240"/>
          </w:cols>
          <w:pgMar w:left="320" w:top="287" w:right="339" w:bottom="1440" w:gutter="0" w:footer="0" w:header="0"/>
        </w:sectPr>
      </w:pPr>
    </w:p>
    <w:p>
      <w:pPr>
        <w:spacing w:after="0" w:line="21" w:lineRule="exact"/>
        <w:rPr>
          <w:sz w:val="20"/>
          <w:szCs w:val="20"/>
          <w:color w:val="auto"/>
        </w:rPr>
      </w:pPr>
    </w:p>
    <w:p>
      <w:pPr>
        <w:ind w:left="140" w:right="140" w:hanging="134"/>
        <w:spacing w:after="0" w:line="229" w:lineRule="auto"/>
        <w:rPr>
          <w:sz w:val="20"/>
          <w:szCs w:val="20"/>
          <w:color w:val="auto"/>
        </w:rPr>
      </w:pPr>
      <w:r>
        <w:rPr>
          <w:rFonts w:ascii="Arial" w:cs="Arial" w:eastAsia="Arial" w:hAnsi="Arial"/>
          <w:sz w:val="18"/>
          <w:szCs w:val="18"/>
          <w:color w:val="auto"/>
        </w:rPr>
        <w:t>Finance lease expenses Amortization of right-of-use assets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Interest on lease liabilities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Total finance lease expense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251" w:lineRule="exact"/>
        <w:rPr>
          <w:sz w:val="20"/>
          <w:szCs w:val="20"/>
          <w:color w:val="auto"/>
        </w:rPr>
      </w:pPr>
    </w:p>
    <w:p>
      <w:pPr>
        <w:ind w:left="140" w:right="240" w:hanging="134"/>
        <w:spacing w:after="0" w:line="274" w:lineRule="auto"/>
        <w:rPr>
          <w:sz w:val="20"/>
          <w:szCs w:val="20"/>
          <w:color w:val="auto"/>
        </w:rPr>
      </w:pPr>
      <w:r>
        <w:rPr>
          <w:rFonts w:ascii="Arial" w:cs="Arial" w:eastAsia="Arial" w:hAnsi="Arial"/>
          <w:sz w:val="17"/>
          <w:szCs w:val="17"/>
          <w:color w:val="auto"/>
        </w:rPr>
        <w:t>Amortization of build-to-suit leases capital contribution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auto"/>
              </w:rPr>
              <w:t>Selling, general and</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20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19"/>
                <w:szCs w:val="19"/>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Pr>
          <w:p>
            <w:pPr>
              <w:spacing w:after="0"/>
              <w:rPr>
                <w:sz w:val="19"/>
                <w:szCs w:val="19"/>
                <w:color w:val="auto"/>
              </w:rPr>
            </w:pP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r>
      <w:tr>
        <w:trPr>
          <w:trHeight w:val="224"/>
        </w:trPr>
        <w:tc>
          <w:tcPr>
            <w:tcW w:w="208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1,261</w:t>
            </w:r>
          </w:p>
        </w:tc>
        <w:tc>
          <w:tcPr>
            <w:tcW w:w="180" w:type="dxa"/>
            <w:vAlign w:val="bottom"/>
          </w:tcPr>
          <w:p>
            <w:pPr>
              <w:spacing w:after="0"/>
              <w:rPr>
                <w:sz w:val="19"/>
                <w:szCs w:val="19"/>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1,970</w:t>
            </w:r>
          </w:p>
        </w:tc>
      </w:tr>
      <w:tr>
        <w:trPr>
          <w:trHeight w:val="228"/>
        </w:trPr>
        <w:tc>
          <w:tcPr>
            <w:tcW w:w="2080" w:type="dxa"/>
            <w:vAlign w:val="bottom"/>
          </w:tcPr>
          <w:p>
            <w:pPr>
              <w:spacing w:after="0"/>
              <w:rPr>
                <w:sz w:val="20"/>
                <w:szCs w:val="20"/>
                <w:color w:val="auto"/>
              </w:rPr>
            </w:pPr>
            <w:r>
              <w:rPr>
                <w:rFonts w:ascii="Arial" w:cs="Arial" w:eastAsia="Arial" w:hAnsi="Arial"/>
                <w:sz w:val="18"/>
                <w:szCs w:val="18"/>
                <w:color w:val="auto"/>
              </w:rPr>
              <w:t>Selling, general and</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3,915</w:t>
            </w:r>
          </w:p>
        </w:tc>
        <w:tc>
          <w:tcPr>
            <w:tcW w:w="180" w:type="dxa"/>
            <w:vAlign w:val="bottom"/>
          </w:tcPr>
          <w:p>
            <w:pPr>
              <w:spacing w:after="0"/>
              <w:rPr>
                <w:sz w:val="20"/>
                <w:szCs w:val="20"/>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3,935</w:t>
            </w:r>
          </w:p>
        </w:tc>
        <w:tc>
          <w:tcPr>
            <w:tcW w:w="160" w:type="dxa"/>
            <w:vAlign w:val="bottom"/>
          </w:tcPr>
          <w:p>
            <w:pPr>
              <w:spacing w:after="0"/>
              <w:rPr>
                <w:sz w:val="20"/>
                <w:szCs w:val="20"/>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12,149</w:t>
            </w:r>
          </w:p>
        </w:tc>
        <w:tc>
          <w:tcPr>
            <w:tcW w:w="160" w:type="dxa"/>
            <w:vAlign w:val="bottom"/>
          </w:tcPr>
          <w:p>
            <w:pPr>
              <w:spacing w:after="0"/>
              <w:rPr>
                <w:sz w:val="20"/>
                <w:szCs w:val="20"/>
                <w:color w:val="auto"/>
              </w:rPr>
            </w:pP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11,094</w:t>
            </w:r>
          </w:p>
        </w:tc>
      </w:tr>
      <w:tr>
        <w:trPr>
          <w:trHeight w:val="229"/>
        </w:trPr>
        <w:tc>
          <w:tcPr>
            <w:tcW w:w="2080" w:type="dxa"/>
            <w:vAlign w:val="bottom"/>
          </w:tcPr>
          <w:p>
            <w:pPr>
              <w:spacing w:after="0"/>
              <w:rPr>
                <w:sz w:val="20"/>
                <w:szCs w:val="20"/>
                <w:color w:val="auto"/>
              </w:rPr>
            </w:pPr>
            <w:r>
              <w:rPr>
                <w:rFonts w:ascii="Arial" w:cs="Arial" w:eastAsia="Arial" w:hAnsi="Arial"/>
                <w:sz w:val="18"/>
                <w:szCs w:val="18"/>
                <w:color w:val="auto"/>
              </w:rPr>
              <w:t>Selling, general and</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2080" w:type="dxa"/>
            <w:vAlign w:val="bottom"/>
          </w:tcPr>
          <w:p>
            <w:pPr>
              <w:spacing w:after="0"/>
              <w:rPr>
                <w:sz w:val="20"/>
                <w:szCs w:val="20"/>
                <w:color w:val="auto"/>
              </w:rPr>
            </w:pPr>
            <w:r>
              <w:rPr>
                <w:rFonts w:ascii="Arial" w:cs="Arial" w:eastAsia="Arial" w:hAnsi="Arial"/>
                <w:sz w:val="18"/>
                <w:szCs w:val="18"/>
                <w:color w:val="auto"/>
              </w:rPr>
              <w:t>Selling, general and</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r>
      <w:tr>
        <w:trPr>
          <w:trHeight w:val="209"/>
        </w:trPr>
        <w:tc>
          <w:tcPr>
            <w:tcW w:w="2080" w:type="dxa"/>
            <w:vAlign w:val="bottom"/>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19,178</w:t>
            </w:r>
          </w:p>
        </w:tc>
      </w:tr>
      <w:tr>
        <w:trPr>
          <w:trHeight w:val="20"/>
        </w:trPr>
        <w:tc>
          <w:tcPr>
            <w:tcW w:w="2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-1628140</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-1191260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-753745</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-170815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2340" w:space="720"/>
            <w:col w:w="8180"/>
          </w:cols>
          <w:pgMar w:left="320" w:top="287" w:right="339" w:bottom="1440" w:gutter="0" w:footer="0" w:header="0"/>
          <w:type w:val="continuous"/>
        </w:sectPr>
      </w:pPr>
    </w:p>
    <w:p>
      <w:pPr>
        <w:spacing w:after="0" w:line="4" w:lineRule="exact"/>
        <w:rPr>
          <w:sz w:val="20"/>
          <w:szCs w:val="20"/>
          <w:color w:val="auto"/>
        </w:rPr>
      </w:pPr>
    </w:p>
    <w:p>
      <w:pPr>
        <w:ind w:right="500" w:firstLine="8"/>
        <w:spacing w:after="0" w:line="186" w:lineRule="auto"/>
        <w:tabs>
          <w:tab w:leader="none" w:pos="96"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Total lease expense in the above table was overstated by $3.9 million for the three and six months ended August 2, 2020. There was no impact to the Condensed Consolidated Financial Statement of Operations or any other disclosures for the three and six months ended August 2, 2020.</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information related to leases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tcPr>
          <w:p>
            <w:pPr>
              <w:jc w:val="right"/>
              <w:ind w:right="141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November 1, 2020</w:t>
            </w:r>
          </w:p>
        </w:tc>
        <w:tc>
          <w:tcPr>
            <w:tcW w:w="260" w:type="dxa"/>
            <w:vAlign w:val="bottom"/>
          </w:tcPr>
          <w:p>
            <w:pPr>
              <w:spacing w:after="0"/>
              <w:rPr>
                <w:sz w:val="17"/>
                <w:szCs w:val="17"/>
                <w:color w:val="auto"/>
              </w:rPr>
            </w:pPr>
          </w:p>
        </w:tc>
        <w:tc>
          <w:tcPr>
            <w:tcW w:w="1760" w:type="dxa"/>
            <w:vAlign w:val="bottom"/>
          </w:tcPr>
          <w:p>
            <w:pPr>
              <w:jc w:val="right"/>
              <w:ind w:right="372"/>
              <w:spacing w:after="0"/>
              <w:rPr>
                <w:sz w:val="20"/>
                <w:szCs w:val="20"/>
                <w:color w:val="auto"/>
              </w:rPr>
            </w:pPr>
            <w:r>
              <w:rPr>
                <w:rFonts w:ascii="Arial" w:cs="Arial" w:eastAsia="Arial" w:hAnsi="Arial"/>
                <w:sz w:val="14"/>
                <w:szCs w:val="14"/>
                <w:b w:val="1"/>
                <w:bCs w:val="1"/>
                <w:color w:val="auto"/>
              </w:rPr>
              <w:t>November 3, 2019</w:t>
            </w:r>
          </w:p>
        </w:tc>
      </w:tr>
      <w:tr>
        <w:trPr>
          <w:trHeight w:val="196"/>
        </w:trPr>
        <w:tc>
          <w:tcPr>
            <w:tcW w:w="5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11,537</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9,841</w:t>
            </w:r>
          </w:p>
        </w:tc>
      </w:tr>
      <w:tr>
        <w:trPr>
          <w:trHeight w:val="216"/>
        </w:trPr>
        <w:tc>
          <w:tcPr>
            <w:tcW w:w="5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41,932</w:t>
            </w: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11,642</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12,688</w:t>
            </w:r>
          </w:p>
        </w:tc>
      </w:tr>
      <w:tr>
        <w:trPr>
          <w:trHeight w:val="216"/>
        </w:trPr>
        <w:tc>
          <w:tcPr>
            <w:tcW w:w="5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931"/>
        </w:trPr>
        <w:tc>
          <w:tcPr>
            <w:tcW w:w="5480" w:type="dxa"/>
            <w:vAlign w:val="bottom"/>
          </w:tcPr>
          <w:p>
            <w:pPr>
              <w:spacing w:after="0"/>
              <w:rPr>
                <w:sz w:val="24"/>
                <w:szCs w:val="24"/>
                <w:color w:val="auto"/>
              </w:rPr>
            </w:pPr>
          </w:p>
        </w:tc>
        <w:tc>
          <w:tcPr>
            <w:tcW w:w="1540" w:type="dxa"/>
            <w:vAlign w:val="bottom"/>
          </w:tcPr>
          <w:p>
            <w:pPr>
              <w:jc w:val="right"/>
              <w:ind w:right="121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506"/>
        </w:trPr>
        <w:tc>
          <w:tcPr>
            <w:tcW w:w="5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lease payments under the non-cancellable leases are as follows as of November 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2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w:t>
            </w:r>
          </w:p>
        </w:tc>
      </w:tr>
      <w:tr>
        <w:trPr>
          <w:trHeight w:val="196"/>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2020 (remainder of fiscal year)</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4,575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15,722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16,033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78,019</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62,272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145,123</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 Discount</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w:t>
            </w:r>
          </w:p>
        </w:tc>
      </w:tr>
      <w:tr>
        <w:trPr>
          <w:trHeight w:val="183"/>
        </w:trPr>
        <w:tc>
          <w:tcPr>
            <w:tcW w:w="68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Lease liability</w:t>
            </w:r>
          </w:p>
        </w:tc>
        <w:tc>
          <w:tcPr>
            <w:tcW w:w="2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46,562</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118,214</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left="440" w:right="8460" w:hanging="432"/>
        <w:spacing w:after="0" w:line="511" w:lineRule="auto"/>
        <w:tabs>
          <w:tab w:leader="none" w:pos="32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AND LINE OF CREDIT </w:t>
      </w:r>
      <w:r>
        <w:rPr>
          <w:rFonts w:ascii="Arial" w:cs="Arial" w:eastAsia="Arial" w:hAnsi="Arial"/>
          <w:sz w:val="17"/>
          <w:szCs w:val="17"/>
          <w:color w:val="auto"/>
        </w:rPr>
        <w:t>Debt consists of the following:</w:t>
      </w: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1, 2020</w:t>
            </w:r>
          </w:p>
        </w:tc>
        <w:tc>
          <w:tcPr>
            <w:tcW w:w="200" w:type="dxa"/>
            <w:vAlign w:val="bottom"/>
          </w:tcPr>
          <w:p>
            <w:pPr>
              <w:spacing w:after="0"/>
              <w:rPr>
                <w:sz w:val="14"/>
                <w:szCs w:val="14"/>
                <w:color w:val="auto"/>
              </w:rPr>
            </w:pPr>
          </w:p>
        </w:tc>
        <w:tc>
          <w:tcPr>
            <w:tcW w:w="1520" w:type="dxa"/>
            <w:vAlign w:val="bottom"/>
          </w:tcPr>
          <w:p>
            <w:pPr>
              <w:jc w:val="right"/>
              <w:ind w:right="252"/>
              <w:spacing w:after="0"/>
              <w:rPr>
                <w:sz w:val="20"/>
                <w:szCs w:val="20"/>
                <w:color w:val="auto"/>
              </w:rPr>
            </w:pPr>
            <w:r>
              <w:rPr>
                <w:rFonts w:ascii="Arial" w:cs="Arial" w:eastAsia="Arial" w:hAnsi="Arial"/>
                <w:sz w:val="14"/>
                <w:szCs w:val="14"/>
                <w:b w:val="1"/>
                <w:bCs w:val="1"/>
                <w:color w:val="auto"/>
              </w:rPr>
              <w:t>February 2, 2020</w:t>
            </w:r>
          </w:p>
        </w:tc>
      </w:tr>
      <w:tr>
        <w:trPr>
          <w:trHeight w:val="196"/>
        </w:trPr>
        <w:tc>
          <w:tcPr>
            <w:tcW w:w="7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24,835</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TRI Note</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27,982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28,335</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TRI long-term debt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27,376</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27,778</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Duluth Line of credit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Duluth Delayed draw term loan</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196"/>
        </w:trPr>
        <w:tc>
          <w:tcPr>
            <w:tcW w:w="76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91,900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39,332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Duluth long-term debt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89,400</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38,332</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58" w:lineRule="exact"/>
        <w:rPr>
          <w:sz w:val="20"/>
          <w:szCs w:val="20"/>
          <w:color w:val="auto"/>
        </w:rPr>
      </w:pPr>
    </w:p>
    <w:p>
      <w:pPr>
        <w:jc w:val="both"/>
        <w:ind w:right="460" w:firstLine="428"/>
        <w:spacing w:after="0" w:line="235"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8" w:lineRule="exact"/>
        <w:rPr>
          <w:sz w:val="20"/>
          <w:szCs w:val="20"/>
          <w:color w:val="auto"/>
        </w:rPr>
      </w:pPr>
    </w:p>
    <w:p>
      <w:pPr>
        <w:ind w:right="220" w:firstLine="428"/>
        <w:spacing w:after="0" w:line="246"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While the above notes are consolidated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is not the guarantor nor obligor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ind w:right="180" w:firstLine="428"/>
        <w:spacing w:after="0" w:line="221" w:lineRule="auto"/>
        <w:rPr>
          <w:sz w:val="20"/>
          <w:szCs w:val="20"/>
          <w:color w:val="auto"/>
        </w:rPr>
      </w:pPr>
      <w:r>
        <w:rPr>
          <w:rFonts w:ascii="Arial" w:cs="Arial" w:eastAsia="Arial" w:hAnsi="Arial"/>
          <w:sz w:val="18"/>
          <w:szCs w:val="18"/>
          <w:color w:val="auto"/>
        </w:rPr>
        <w:t>On May 17, 2018, the Company entered into a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was available to draw upon in differing amounts through May 17, 2020 and matures on May 17, 2023. Outstanding balances under the DDTL require quarterly principal payments with a final balloon payment at maturity.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60" w:firstLine="428"/>
        <w:spacing w:after="0" w:line="225" w:lineRule="auto"/>
        <w:rPr>
          <w:sz w:val="20"/>
          <w:szCs w:val="20"/>
          <w:color w:val="auto"/>
        </w:rPr>
      </w:pPr>
      <w:r>
        <w:rPr>
          <w:rFonts w:ascii="Arial" w:cs="Arial" w:eastAsia="Arial" w:hAnsi="Arial"/>
          <w:sz w:val="18"/>
          <w:szCs w:val="18"/>
          <w:color w:val="auto"/>
        </w:rPr>
        <w:t>On April 30, 2020, the Credit Agreement was amended to include an incremental DDTL of $20.5 million (the “Incremental DDTL”) that is available to draw upon before March 31, 2021, and matures on April 29, 2021, for a total credit facility of $150.5 million. As of and for the nine months ended November 1, 2020, no amount of the Incremental DDTL was funded. The loan covenants were also amended to allow for greater flexibility during the Company’s peak borrowing periods in fiscal 2020. The interest rate applicable to the Revolver or DDTL will be a fixed rate for a one-, two-, three- or six-month interest period equal to LIBOR (with a 1% floor) for such interest period plus a margin of 225 to 300 basis points, based upon the Company’s rent adjusted leverage ratio (effective rate of 3.5% for the Revolver and the DDTL at November 1, 2020). The interest rate applicable to the Incremental DDTL will also be a fixed rate over the aforementioned interest periods equal to LIBOR (with a 1% floor) for such interest period plus a margin of 275 to 350 basis points.</w:t>
      </w:r>
    </w:p>
    <w:p>
      <w:pPr>
        <w:spacing w:after="0" w:line="135" w:lineRule="exact"/>
        <w:rPr>
          <w:sz w:val="20"/>
          <w:szCs w:val="20"/>
          <w:color w:val="auto"/>
        </w:rPr>
      </w:pPr>
    </w:p>
    <w:p>
      <w:pPr>
        <w:ind w:right="180" w:firstLine="428"/>
        <w:spacing w:after="0" w:line="246" w:lineRule="auto"/>
        <w:rPr>
          <w:sz w:val="20"/>
          <w:szCs w:val="20"/>
          <w:color w:val="auto"/>
        </w:rPr>
      </w:pPr>
      <w:r>
        <w:rPr>
          <w:rFonts w:ascii="Arial" w:cs="Arial" w:eastAsia="Arial" w:hAnsi="Arial"/>
          <w:sz w:val="18"/>
          <w:szCs w:val="18"/>
          <w:color w:val="auto"/>
        </w:rPr>
        <w:t>As of November 1, 2020 and for the nine months then ended, the Company was in compliance with all financial and non-financial covenants for all debts discussed above.</w:t>
      </w:r>
    </w:p>
    <w:p>
      <w:pPr>
        <w:spacing w:after="0" w:line="328" w:lineRule="exact"/>
        <w:rPr>
          <w:sz w:val="20"/>
          <w:szCs w:val="20"/>
          <w:color w:val="auto"/>
        </w:rPr>
      </w:pPr>
    </w:p>
    <w:p>
      <w:pPr>
        <w:ind w:left="440" w:right="5720" w:hanging="432"/>
        <w:spacing w:after="0" w:line="534" w:lineRule="auto"/>
        <w:tabs>
          <w:tab w:leader="none" w:pos="31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1, 2020</w:t>
            </w:r>
          </w:p>
        </w:tc>
        <w:tc>
          <w:tcPr>
            <w:tcW w:w="220" w:type="dxa"/>
            <w:vAlign w:val="bottom"/>
          </w:tcPr>
          <w:p>
            <w:pPr>
              <w:spacing w:after="0"/>
              <w:rPr>
                <w:sz w:val="14"/>
                <w:szCs w:val="14"/>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February 2, 2020</w:t>
            </w:r>
          </w:p>
        </w:tc>
      </w:tr>
      <w:tr>
        <w:trPr>
          <w:trHeight w:val="196"/>
        </w:trPr>
        <w:tc>
          <w:tcPr>
            <w:tcW w:w="5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1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9,946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Product returns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3,508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r>
      <w:tr>
        <w:trPr>
          <w:trHeight w:val="183"/>
        </w:trPr>
        <w:tc>
          <w:tcPr>
            <w:tcW w:w="5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19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32,392</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29,464</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175" w:lineRule="exact"/>
        <w:rPr>
          <w:sz w:val="20"/>
          <w:szCs w:val="20"/>
          <w:color w:val="auto"/>
        </w:rPr>
      </w:pPr>
    </w:p>
    <w:p>
      <w:pPr>
        <w:ind w:right="60" w:firstLine="440"/>
        <w:spacing w:after="0" w:line="242"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58" w:lineRule="exact"/>
        <w:rPr>
          <w:sz w:val="20"/>
          <w:szCs w:val="20"/>
          <w:color w:val="auto"/>
        </w:rPr>
      </w:pPr>
    </w:p>
    <w:p>
      <w:pPr>
        <w:ind w:right="180" w:firstLine="440"/>
        <w:spacing w:after="0" w:line="235"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69"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The fair value of the Company’s available-for-sale security was valued based on a discounted cash flow method (Level 3), which incorporates the U.S. Treasury yield curve, credit information and an estimate of future cash flows. During the nine months ended November 1, 2020,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242"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6350</wp:posOffset>
            </wp:positionV>
            <wp:extent cx="42176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6"/>
                <w:szCs w:val="16"/>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8"/>
                <w:szCs w:val="18"/>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7"/>
                <w:szCs w:val="17"/>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r>
    </w:tbl>
    <w:p>
      <w:pPr>
        <w:spacing w:after="0" w:line="350" w:lineRule="exact"/>
        <w:rPr>
          <w:sz w:val="20"/>
          <w:szCs w:val="20"/>
          <w:color w:val="auto"/>
        </w:rPr>
      </w:pPr>
    </w:p>
    <w:p>
      <w:pPr>
        <w:ind w:right="40" w:firstLine="492"/>
        <w:spacing w:after="0" w:line="231" w:lineRule="auto"/>
        <w:rPr>
          <w:sz w:val="20"/>
          <w:szCs w:val="20"/>
          <w:color w:val="auto"/>
        </w:rPr>
      </w:pPr>
      <w:r>
        <w:rPr>
          <w:rFonts w:ascii="Arial" w:cs="Arial" w:eastAsia="Arial" w:hAnsi="Arial"/>
          <w:sz w:val="18"/>
          <w:szCs w:val="18"/>
          <w:color w:val="auto"/>
        </w:rPr>
        <w:t>The Company does not intend to sell the available-for-sale-security in the near term and does not believe that it will be required to sell the security. The Company reviews its securities on a quarterly basis to monitor its exposure to other-than-temporary impairment. The Company assessed the unrealized loss position as of November 1, 2020 and determined that the Company is expected to recover the entire amortized cost basis of the available-for-sale security.</w:t>
      </w:r>
    </w:p>
    <w:p>
      <w:pPr>
        <w:spacing w:after="0" w:line="148" w:lineRule="exact"/>
        <w:rPr>
          <w:sz w:val="20"/>
          <w:szCs w:val="20"/>
          <w:color w:val="auto"/>
        </w:rPr>
      </w:pPr>
    </w:p>
    <w:p>
      <w:pPr>
        <w:ind w:right="500" w:firstLine="492"/>
        <w:spacing w:after="0" w:line="246" w:lineRule="auto"/>
        <w:rPr>
          <w:sz w:val="20"/>
          <w:szCs w:val="20"/>
          <w:color w:val="auto"/>
        </w:rPr>
      </w:pPr>
      <w:r>
        <w:rPr>
          <w:rFonts w:ascii="Arial" w:cs="Arial" w:eastAsia="Arial" w:hAnsi="Arial"/>
          <w:sz w:val="18"/>
          <w:szCs w:val="18"/>
          <w:color w:val="auto"/>
        </w:rPr>
        <w:t>Accordingly, no other-than-temporary impairment was recorded in the unaudited condensed consolidated statements of operations for the nine months ended November 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94"/>
              </w:rPr>
              <w:t>February 2, 2020</w:t>
            </w: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11"/>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r>
    </w:tbl>
    <w:p>
      <w:pPr>
        <w:spacing w:after="0" w:line="3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future principal receipts related to the Company’s available-for-sale security by contractual maturity as of November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b w:val="1"/>
                <w:bCs w:val="1"/>
                <w:color w:val="auto"/>
              </w:rPr>
              <w:t>Amortized</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20" w:type="dxa"/>
            <w:vAlign w:val="bottom"/>
          </w:tcPr>
          <w:p>
            <w:pPr>
              <w:ind w:left="38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4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500" w:type="dxa"/>
            <w:vAlign w:val="bottom"/>
            <w:gridSpan w:val="2"/>
            <w:shd w:val="clear" w:color="auto" w:fill="CCEEFF"/>
          </w:tcPr>
          <w:p>
            <w:pPr>
              <w:jc w:val="right"/>
              <w:ind w:right="13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9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19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w:t>
            </w:r>
          </w:p>
        </w:tc>
      </w:tr>
      <w:tr>
        <w:trPr>
          <w:trHeight w:val="196"/>
        </w:trPr>
        <w:tc>
          <w:tcPr>
            <w:tcW w:w="4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9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36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6,082</w:t>
            </w: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6,022</w:t>
            </w:r>
          </w:p>
        </w:tc>
      </w:tr>
      <w:tr>
        <w:trPr>
          <w:trHeight w:val="20"/>
        </w:trPr>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values and fair values of other financial instruments in the Consolidated Balance Sheets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November 1, 2020</w:t>
            </w: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February 2, 2020</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8"/>
                <w:szCs w:val="18"/>
                <w:color w:val="auto"/>
              </w:rPr>
            </w:pPr>
          </w:p>
        </w:tc>
        <w:tc>
          <w:tcPr>
            <w:tcW w:w="940" w:type="dxa"/>
            <w:vAlign w:val="bottom"/>
          </w:tcPr>
          <w:p>
            <w:pPr>
              <w:jc w:val="center"/>
              <w:ind w:right="4"/>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 including short-term portion</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28,335</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30,238</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above long-term debt, including short-term portion is attributable to the consolidation of TRI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also based on a discounted cash flow method (Level 3) based on credit information and an estimate of future cash flows.</w:t>
      </w:r>
    </w:p>
    <w:p>
      <w:pPr>
        <w:spacing w:after="0" w:line="142" w:lineRule="exact"/>
        <w:rPr>
          <w:sz w:val="20"/>
          <w:szCs w:val="20"/>
          <w:color w:val="auto"/>
        </w:rPr>
      </w:pPr>
    </w:p>
    <w:p>
      <w:pPr>
        <w:ind w:right="580" w:firstLine="492"/>
        <w:spacing w:after="0" w:line="228" w:lineRule="auto"/>
        <w:rPr>
          <w:sz w:val="20"/>
          <w:szCs w:val="20"/>
          <w:color w:val="auto"/>
        </w:rPr>
      </w:pPr>
      <w:r>
        <w:rPr>
          <w:rFonts w:ascii="Arial" w:cs="Arial" w:eastAsia="Arial" w:hAnsi="Arial"/>
          <w:sz w:val="18"/>
          <w:szCs w:val="18"/>
          <w:color w:val="auto"/>
        </w:rPr>
        <w:t>As of November 1, 2020 and February 2, 2020, the carrying values of the long-term delayed draw term loan and long-term line of credit both approximated their fair value.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62" w:lineRule="exact"/>
        <w:rPr>
          <w:sz w:val="20"/>
          <w:szCs w:val="20"/>
          <w:color w:val="auto"/>
        </w:rPr>
      </w:pPr>
    </w:p>
    <w:p>
      <w:pPr>
        <w:ind w:right="340" w:firstLine="492"/>
        <w:spacing w:after="0" w:line="228" w:lineRule="auto"/>
        <w:rPr>
          <w:sz w:val="20"/>
          <w:szCs w:val="20"/>
          <w:color w:val="auto"/>
        </w:rPr>
      </w:pPr>
      <w:r>
        <w:rPr>
          <w:rFonts w:ascii="Arial" w:cs="Arial" w:eastAsia="Arial" w:hAnsi="Arial"/>
          <w:sz w:val="18"/>
          <w:szCs w:val="18"/>
          <w:color w:val="auto"/>
        </w:rPr>
        <w:t xml:space="preserve">Based upon the criteria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November 1, 2020 and February 2, 2020.</w:t>
      </w:r>
    </w:p>
    <w:p>
      <w:pPr>
        <w:spacing w:after="0" w:line="151" w:lineRule="exact"/>
        <w:rPr>
          <w:sz w:val="20"/>
          <w:szCs w:val="20"/>
          <w:color w:val="auto"/>
        </w:rPr>
      </w:pPr>
    </w:p>
    <w:p>
      <w:pPr>
        <w:ind w:right="40" w:firstLine="428"/>
        <w:spacing w:after="0" w:line="227"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TRI as of November 1, 2020 and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February 2,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1, 2020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February 2, 2020</w:t>
            </w:r>
          </w:p>
        </w:tc>
      </w:tr>
      <w:tr>
        <w:trPr>
          <w:trHeight w:val="196"/>
        </w:trPr>
        <w:tc>
          <w:tcPr>
            <w:tcW w:w="7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25,981</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25,859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26,260</w:t>
            </w:r>
          </w:p>
        </w:tc>
      </w:tr>
      <w:tr>
        <w:trPr>
          <w:trHeight w:val="20"/>
        </w:trPr>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27,778</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Noncontrolling interest in VIE</w:t>
            </w: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(2,166)</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25,859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26,260</w:t>
            </w:r>
          </w:p>
        </w:tc>
      </w:tr>
      <w:tr>
        <w:trPr>
          <w:trHeight w:val="20"/>
        </w:trPr>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(LOSS) PER SHARE</w:t>
      </w:r>
    </w:p>
    <w:p>
      <w:pPr>
        <w:spacing w:after="0" w:line="175" w:lineRule="exact"/>
        <w:rPr>
          <w:sz w:val="20"/>
          <w:szCs w:val="20"/>
          <w:color w:val="auto"/>
        </w:rPr>
      </w:pPr>
    </w:p>
    <w:p>
      <w:pPr>
        <w:ind w:firstLine="428"/>
        <w:spacing w:after="0" w:line="242" w:lineRule="auto"/>
        <w:rPr>
          <w:sz w:val="20"/>
          <w:szCs w:val="20"/>
          <w:color w:val="auto"/>
        </w:rPr>
      </w:pPr>
      <w:r>
        <w:rPr>
          <w:rFonts w:ascii="Arial" w:cs="Arial" w:eastAsia="Arial" w:hAnsi="Arial"/>
          <w:sz w:val="17"/>
          <w:szCs w:val="17"/>
          <w:color w:val="auto"/>
        </w:rPr>
        <w:t>Earnings (loss)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(loss) per share unless considered anti-dilutive. The reconciliation of the numerator and denominator of the basic and diluted earnings (loss) per share calculation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1, 2020</w:t>
            </w:r>
          </w:p>
        </w:tc>
        <w:tc>
          <w:tcPr>
            <w:tcW w:w="1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 2019</w:t>
            </w:r>
          </w:p>
        </w:tc>
        <w:tc>
          <w:tcPr>
            <w:tcW w:w="16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November 1, 2020</w:t>
            </w:r>
          </w:p>
        </w:tc>
        <w:tc>
          <w:tcPr>
            <w:tcW w:w="180" w:type="dxa"/>
            <w:vAlign w:val="bottom"/>
          </w:tcPr>
          <w:p>
            <w:pPr>
              <w:spacing w:after="0"/>
              <w:rPr>
                <w:sz w:val="15"/>
                <w:szCs w:val="15"/>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7"/>
              </w:rPr>
              <w:t>November 3, 2019</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 to</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Arial" w:cs="Arial" w:eastAsia="Arial" w:hAnsi="Arial"/>
                <w:sz w:val="18"/>
                <w:szCs w:val="18"/>
                <w:color w:val="auto"/>
              </w:rPr>
              <w:t>Denominator - weighted average shares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140"/>
              <w:spacing w:after="0"/>
              <w:rPr>
                <w:sz w:val="20"/>
                <w:szCs w:val="20"/>
                <w:color w:val="auto"/>
              </w:rPr>
            </w:pPr>
            <w:r>
              <w:rPr>
                <w:rFonts w:ascii="Arial" w:cs="Arial" w:eastAsia="Arial" w:hAnsi="Arial"/>
                <w:sz w:val="18"/>
                <w:szCs w:val="18"/>
                <w:color w:val="auto"/>
              </w:rPr>
              <w:t>(Class A and Class B)</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Dilutive shares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32,606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32,322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32,431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32,299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Earnings (loss) per share (Class A and Class B)</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2"/>
        </w:trPr>
        <w:tc>
          <w:tcPr>
            <w:tcW w:w="4660" w:type="dxa"/>
            <w:vAlign w:val="bottom"/>
          </w:tcPr>
          <w:p>
            <w:pPr>
              <w:ind w:left="120"/>
              <w:spacing w:after="0" w:line="201" w:lineRule="exact"/>
              <w:rPr>
                <w:sz w:val="20"/>
                <w:szCs w:val="20"/>
                <w:color w:val="auto"/>
              </w:rPr>
            </w:pPr>
            <w:r>
              <w:rPr>
                <w:rFonts w:ascii="Arial" w:cs="Arial" w:eastAsia="Arial" w:hAnsi="Arial"/>
                <w:sz w:val="18"/>
                <w:szCs w:val="18"/>
                <w:color w:val="auto"/>
              </w:rPr>
              <w:t>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0.03</w:t>
            </w:r>
          </w:p>
        </w:tc>
        <w:tc>
          <w:tcPr>
            <w:tcW w:w="8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(0.25)</w:t>
            </w: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34"/>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4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92"/>
        <w:spacing w:after="0" w:line="231" w:lineRule="auto"/>
        <w:rPr>
          <w:sz w:val="20"/>
          <w:szCs w:val="20"/>
          <w:color w:val="auto"/>
        </w:rPr>
      </w:pPr>
      <w:r>
        <w:rPr>
          <w:rFonts w:ascii="Arial" w:cs="Arial" w:eastAsia="Arial" w:hAnsi="Arial"/>
          <w:sz w:val="18"/>
          <w:szCs w:val="18"/>
          <w:color w:val="auto"/>
        </w:rPr>
        <w:t>The computation of diluted earnings (loss) per share excluded (0.1) million shares of unvested restricted stock for the three months ended November 3, 2019, because their inclusion would be anti-dilutive due to the amount of forfeitures. The computation of diluted earnings (loss) per share excluded 0.1 million shares of unvested restricted stock for both the nine months ended November 1, 2020 and November 3, 2019 because their inclusion would be anti-dilutive due to a net loss.</w:t>
      </w:r>
    </w:p>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62" w:lineRule="exact"/>
        <w:rPr>
          <w:sz w:val="20"/>
          <w:szCs w:val="20"/>
          <w:color w:val="auto"/>
        </w:rPr>
      </w:pPr>
    </w:p>
    <w:p>
      <w:pPr>
        <w:ind w:right="320" w:firstLine="428"/>
        <w:spacing w:after="0" w:line="274" w:lineRule="auto"/>
        <w:rPr>
          <w:sz w:val="20"/>
          <w:szCs w:val="20"/>
          <w:color w:val="auto"/>
        </w:rPr>
      </w:pPr>
      <w:r>
        <w:rPr>
          <w:rFonts w:ascii="Arial" w:cs="Arial" w:eastAsia="Arial" w:hAnsi="Arial"/>
          <w:sz w:val="17"/>
          <w:szCs w:val="17"/>
          <w:color w:val="auto"/>
        </w:rPr>
        <w:t xml:space="preserve">The Company accounts for its stock-based compensation plan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ind w:right="160" w:firstLine="428"/>
        <w:spacing w:after="0" w:line="231" w:lineRule="auto"/>
        <w:rPr>
          <w:sz w:val="20"/>
          <w:szCs w:val="20"/>
          <w:color w:val="auto"/>
        </w:rPr>
      </w:pPr>
      <w:r>
        <w:rPr>
          <w:rFonts w:ascii="Arial" w:cs="Arial" w:eastAsia="Arial" w:hAnsi="Arial"/>
          <w:sz w:val="18"/>
          <w:szCs w:val="18"/>
          <w:color w:val="auto"/>
        </w:rPr>
        <w:t>Total stock compensation expense (benefit) associated with restricted stock recognized by the Company was $0.3 million and $1.1 million for the three and nine months ended November 1, 2020, respectively and $(0.8) million and $0.2 million for the three and nine months ended November 3, 2019, respectively. The Company’s total stock compensation expense (benefit) is included in selling, general and administrative expenses on the Condensed Consolidated Statements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activity in the Company’s unvested restricted stock during the nine months ended November 1, 2020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fair value</w:t>
            </w:r>
          </w:p>
        </w:tc>
      </w:tr>
      <w:tr>
        <w:trPr>
          <w:trHeight w:val="215"/>
        </w:trPr>
        <w:tc>
          <w:tcPr>
            <w:tcW w:w="83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8"/>
                <w:szCs w:val="18"/>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2,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192,094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283,063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(119,449)</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(16,326)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November 1, 2020</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339,382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9.77</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28"/>
        <w:spacing w:after="0" w:line="246" w:lineRule="auto"/>
        <w:rPr>
          <w:sz w:val="20"/>
          <w:szCs w:val="20"/>
          <w:color w:val="auto"/>
        </w:rPr>
      </w:pPr>
      <w:r>
        <w:rPr>
          <w:rFonts w:ascii="Arial" w:cs="Arial" w:eastAsia="Arial" w:hAnsi="Arial"/>
          <w:sz w:val="18"/>
          <w:szCs w:val="18"/>
          <w:color w:val="auto"/>
        </w:rPr>
        <w:t>At November 1, 2020, the Company had unrecognized compensation expense of $2.5 million related to the restricted stock awards, which is expected to be recognized over a weighted average period of 2.5 years.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November 1, 2020</w:t>
            </w:r>
          </w:p>
        </w:tc>
        <w:tc>
          <w:tcPr>
            <w:tcW w:w="220" w:type="dxa"/>
            <w:vAlign w:val="bottom"/>
          </w:tcPr>
          <w:p>
            <w:pPr>
              <w:spacing w:after="0"/>
              <w:rPr>
                <w:sz w:val="14"/>
                <w:szCs w:val="14"/>
                <w:color w:val="auto"/>
              </w:rPr>
            </w:pPr>
          </w:p>
        </w:tc>
        <w:tc>
          <w:tcPr>
            <w:tcW w:w="1560" w:type="dxa"/>
            <w:vAlign w:val="bottom"/>
          </w:tcPr>
          <w:p>
            <w:pPr>
              <w:jc w:val="right"/>
              <w:ind w:right="271"/>
              <w:spacing w:after="0"/>
              <w:rPr>
                <w:sz w:val="20"/>
                <w:szCs w:val="20"/>
                <w:color w:val="auto"/>
              </w:rPr>
            </w:pPr>
            <w:r>
              <w:rPr>
                <w:rFonts w:ascii="Arial" w:cs="Arial" w:eastAsia="Arial" w:hAnsi="Arial"/>
                <w:sz w:val="14"/>
                <w:szCs w:val="14"/>
                <w:b w:val="1"/>
                <w:bCs w:val="1"/>
                <w:color w:val="auto"/>
              </w:rPr>
              <w:t>February 2, 2020</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46,989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42,784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Vehicles</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52,579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49,756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3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197,765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187,106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(70,746)</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(53,255)</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127,019</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133,851</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3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182"/>
        </w:trPr>
        <w:tc>
          <w:tcPr>
            <w:tcW w:w="4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and equipment, net</w:t>
            </w:r>
          </w:p>
        </w:tc>
        <w:tc>
          <w:tcPr>
            <w:tcW w:w="3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129,938</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137,071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140" w:type="dxa"/>
            <w:vAlign w:val="bottom"/>
            <w:vMerge w:val="restart"/>
          </w:tcPr>
          <w:p>
            <w:pPr>
              <w:jc w:val="right"/>
              <w:ind w:right="167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3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3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REVENUE</w:t>
      </w:r>
    </w:p>
    <w:p>
      <w:pPr>
        <w:spacing w:after="0" w:line="162" w:lineRule="exact"/>
        <w:rPr>
          <w:sz w:val="20"/>
          <w:szCs w:val="20"/>
          <w:color w:val="auto"/>
        </w:rPr>
      </w:pPr>
    </w:p>
    <w:p>
      <w:pPr>
        <w:ind w:right="220" w:firstLine="570"/>
        <w:spacing w:after="0" w:line="242" w:lineRule="auto"/>
        <w:rPr>
          <w:sz w:val="20"/>
          <w:szCs w:val="20"/>
          <w:color w:val="auto"/>
        </w:rPr>
      </w:pPr>
      <w:r>
        <w:rPr>
          <w:rFonts w:ascii="Arial" w:cs="Arial" w:eastAsia="Arial" w:hAnsi="Arial"/>
          <w:sz w:val="17"/>
          <w:szCs w:val="17"/>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1, 2020</w:t>
            </w:r>
          </w:p>
        </w:tc>
        <w:tc>
          <w:tcPr>
            <w:tcW w:w="14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 2019</w:t>
            </w: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1, 2020</w:t>
            </w:r>
          </w:p>
        </w:tc>
        <w:tc>
          <w:tcPr>
            <w:tcW w:w="140" w:type="dxa"/>
            <w:vAlign w:val="bottom"/>
          </w:tcPr>
          <w:p>
            <w:pPr>
              <w:spacing w:after="0"/>
              <w:rPr>
                <w:sz w:val="18"/>
                <w:szCs w:val="18"/>
                <w:color w:val="auto"/>
              </w:rPr>
            </w:pPr>
          </w:p>
        </w:tc>
        <w:tc>
          <w:tcPr>
            <w:tcW w:w="132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November 3, 2019</w:t>
            </w:r>
          </w:p>
        </w:tc>
      </w:tr>
      <w:tr>
        <w:trPr>
          <w:trHeight w:val="210"/>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187,549</w:t>
            </w:r>
          </w:p>
        </w:tc>
      </w:tr>
      <w:tr>
        <w:trPr>
          <w:trHeight w:val="23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Stores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109,320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168,426</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135,531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119,768</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382,823</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355,975</w:t>
            </w: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58" w:lineRule="exact"/>
        <w:rPr>
          <w:sz w:val="20"/>
          <w:szCs w:val="20"/>
          <w:color w:val="auto"/>
        </w:rPr>
      </w:pPr>
    </w:p>
    <w:p>
      <w:pPr>
        <w:ind w:right="160" w:firstLine="492"/>
        <w:spacing w:after="0" w:line="242"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November 1, 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February 2, 2020</w:t>
            </w:r>
          </w:p>
        </w:tc>
      </w:tr>
      <w:tr>
        <w:trPr>
          <w:trHeight w:val="196"/>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7,030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9,790</w:t>
            </w:r>
          </w:p>
        </w:tc>
      </w:tr>
    </w:tbl>
    <w:p>
      <w:pPr>
        <w:spacing w:after="0" w:line="322" w:lineRule="exact"/>
        <w:rPr>
          <w:sz w:val="20"/>
          <w:szCs w:val="20"/>
          <w:color w:val="auto"/>
        </w:rPr>
      </w:pPr>
    </w:p>
    <w:p>
      <w:pPr>
        <w:ind w:right="120" w:firstLine="570"/>
        <w:spacing w:after="0" w:line="231" w:lineRule="auto"/>
        <w:rPr>
          <w:sz w:val="20"/>
          <w:szCs w:val="20"/>
          <w:color w:val="auto"/>
        </w:rPr>
      </w:pPr>
      <w:r>
        <w:rPr>
          <w:rFonts w:ascii="Arial" w:cs="Arial" w:eastAsia="Arial" w:hAnsi="Arial"/>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nine months ended: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November 1, 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November 3, 2019</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31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Gift cards sold</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Gift cards redeemed</w:t>
            </w:r>
          </w:p>
        </w:tc>
        <w:tc>
          <w:tcPr>
            <w:tcW w:w="2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Gift card breakage</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end of period</w:t>
            </w:r>
          </w:p>
        </w:tc>
        <w:tc>
          <w:tcPr>
            <w:tcW w:w="28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40" w:type="dxa"/>
            <w:vAlign w:val="bottom"/>
            <w:vMerge w:val="restart"/>
          </w:tcPr>
          <w:p>
            <w:pPr>
              <w:jc w:val="right"/>
              <w:ind w:right="101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9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9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20" w:firstLine="428"/>
        <w:spacing w:after="0" w:line="225" w:lineRule="auto"/>
        <w:rPr>
          <w:sz w:val="20"/>
          <w:szCs w:val="20"/>
          <w:color w:val="auto"/>
        </w:rPr>
      </w:pPr>
      <w:r>
        <w:rPr>
          <w:rFonts w:ascii="Arial" w:cs="Arial" w:eastAsia="Arial" w:hAnsi="Arial"/>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29% for the three months ended November 1, 2020, which was impacted by changes to certain discrete items during the quarter, and 26% for the nine months ended November 1, 2020. The effective tax rate related to controlling interest, which was not meaningful for the three months ended November 3, 2019 was impacted by discrete items related to stock compensation activity. The effective tax rate was 29% for the nine months ended November 3, 2019. The income from TRI was excluded from the calculation of the Company’s effective tax rate, as TRI is a limited liability company and not subject to income taxes.</w:t>
      </w:r>
    </w:p>
    <w:p>
      <w:pPr>
        <w:spacing w:after="0" w:line="154" w:lineRule="exact"/>
        <w:rPr>
          <w:sz w:val="20"/>
          <w:szCs w:val="20"/>
          <w:color w:val="auto"/>
        </w:rPr>
      </w:pPr>
    </w:p>
    <w:p>
      <w:pPr>
        <w:ind w:right="120" w:firstLine="428"/>
        <w:spacing w:after="0"/>
        <w:rPr>
          <w:sz w:val="20"/>
          <w:szCs w:val="20"/>
          <w:color w:val="auto"/>
        </w:rPr>
      </w:pPr>
      <w:r>
        <w:rPr>
          <w:rFonts w:ascii="Arial" w:cs="Arial" w:eastAsia="Arial" w:hAnsi="Arial"/>
          <w:sz w:val="17"/>
          <w:szCs w:val="17"/>
          <w:color w:val="auto"/>
        </w:rPr>
        <w:t>On March 27, 2020 the United States enacted the CARES Act (the “Act”) to combat the negative economic impact of COVID-19. The CARES Act includes several provisions aimed at assisting corporate taxpayers, including correcting the drafting error from the Tax Cuts and Jobs Act related to the tax life for qualified improvement property, loosening of the interest deduction limitation in the 2019 and 2020 tax years and including the allowance of a five year carryback for net operating losses originating in the 2018, 2019 and 2020 tax years. The effective tax rate for the three and nine months ended November 1, 2020 was not materially impacted by the Act, but the Company continues to evaluate the Act’s provisions and how certain decisions may impact the Company’s financial position, results of operations and disclosures in future periods.</w:t>
      </w: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RECENT ACCOUNTING PRONOUNCEMENTS</w:t>
      </w:r>
    </w:p>
    <w:p>
      <w:pPr>
        <w:spacing w:after="0" w:line="162" w:lineRule="exact"/>
        <w:rPr>
          <w:sz w:val="20"/>
          <w:szCs w:val="20"/>
          <w:color w:val="auto"/>
        </w:rPr>
      </w:pPr>
    </w:p>
    <w:p>
      <w:pPr>
        <w:ind w:firstLine="440"/>
        <w:spacing w:after="0" w:line="237"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 (Topic 326):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which amends the impairment model by requiring entities to use a forward-looking approach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Arial" w:cs="Arial" w:eastAsia="Arial" w:hAnsi="Arial"/>
          <w:sz w:val="17"/>
          <w:szCs w:val="17"/>
          <w:i w:val="1"/>
          <w:iCs w:val="1"/>
          <w:color w:val="auto"/>
        </w:rPr>
        <w:t>“Financial Instruments-Credit Losses (Topic 326),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(Topic 815, and Leases (Topic 842),” </w:t>
      </w:r>
      <w:r>
        <w:rPr>
          <w:rFonts w:ascii="Arial" w:cs="Arial" w:eastAsia="Arial" w:hAnsi="Arial"/>
          <w:sz w:val="17"/>
          <w:szCs w:val="17"/>
          <w:color w:val="auto"/>
        </w:rPr>
        <w:t>(ASU 2019-10”), which provides framework to stagger effective dates for future major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level of impact adopting ASU 2016-13 will have on the Company’s consolidated financial statements.</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162" w:lineRule="exact"/>
        <w:rPr>
          <w:sz w:val="20"/>
          <w:szCs w:val="20"/>
          <w:color w:val="auto"/>
        </w:rPr>
      </w:pPr>
    </w:p>
    <w:p>
      <w:pPr>
        <w:ind w:right="80" w:firstLine="428"/>
        <w:spacing w:after="0" w:line="307" w:lineRule="auto"/>
        <w:rPr>
          <w:sz w:val="20"/>
          <w:szCs w:val="20"/>
          <w:color w:val="auto"/>
        </w:rPr>
      </w:pPr>
      <w:r>
        <w:rPr>
          <w:rFonts w:ascii="Arial" w:cs="Arial" w:eastAsia="Arial" w:hAnsi="Arial"/>
          <w:sz w:val="16"/>
          <w:szCs w:val="16"/>
          <w:color w:val="auto"/>
        </w:rPr>
        <w:t>The Company has evaluated subsequent events through the date which these condensed consolidated financial statements were available to be issued and has determined that it does not have any material subsequent events to disclose in these condensed consolidated financial statements.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right="2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February 2, 2020 (“2019 Form 10-K”).</w:t>
      </w:r>
    </w:p>
    <w:p>
      <w:pPr>
        <w:spacing w:after="0" w:line="156" w:lineRule="exact"/>
        <w:rPr>
          <w:sz w:val="20"/>
          <w:szCs w:val="20"/>
          <w:color w:val="auto"/>
        </w:rPr>
      </w:pPr>
    </w:p>
    <w:p>
      <w:pPr>
        <w:ind w:right="280" w:firstLine="428"/>
        <w:spacing w:after="0" w:line="238" w:lineRule="auto"/>
        <w:rPr>
          <w:sz w:val="20"/>
          <w:szCs w:val="20"/>
          <w:color w:val="auto"/>
        </w:rPr>
      </w:pPr>
      <w:r>
        <w:rPr>
          <w:rFonts w:ascii="Arial" w:cs="Arial" w:eastAsia="Arial" w:hAnsi="Arial"/>
          <w:sz w:val="14"/>
          <w:szCs w:val="14"/>
          <w:i w:val="1"/>
          <w:iCs w:val="1"/>
          <w:color w:val="auto"/>
        </w:rPr>
        <w:t>The Company’s fiscal year ends on the Sunday nearest to January 31 of the following year. Fiscal 2020 is a 52-week period and ends on January 31, 2021. Fiscal 2019 was a 52-week period and ended on February 2, 2020. The three and nine months of fiscal 2020 and fiscal 2019 represent our 13 and 39-week periods ended November 1, 2020 and November 3, 2019, respectively.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28"/>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2019 Form 10-K, Part II, Item 1A “Risk Factors” in our first and second quarter Form 10-Q and other SEC filings, which factors are incorporated by reference herein. These risks and uncertainties include, but are not limited to, the following: adverse changes in the economy or business conditions, including the adverse effects of the COVID-19 pandemic; prolonged effects of the COVID-19 on store traffic and disruptions to our distribution network, supply chains and operations; our ability to maintain and enhance a strong brand image; our ability to successfully open new stores; effectively adapting to new challenges associated with our expansion into new geographic markets; generating adequate cash from our existing stores to support our growth;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natural disasters, unusually adverse weather conditions, boycotts and unanticipated events;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337" w:lineRule="exact"/>
        <w:rPr>
          <w:sz w:val="20"/>
          <w:szCs w:val="20"/>
          <w:color w:val="auto"/>
        </w:rPr>
      </w:pPr>
    </w:p>
    <w:p>
      <w:pPr>
        <w:ind w:right="1180" w:firstLine="428"/>
        <w:spacing w:after="0" w:line="430" w:lineRule="auto"/>
        <w:rPr>
          <w:sz w:val="20"/>
          <w:szCs w:val="20"/>
          <w:color w:val="auto"/>
        </w:rPr>
      </w:pPr>
      <w:r>
        <w:rPr>
          <w:rFonts w:ascii="Arial" w:cs="Arial" w:eastAsia="Arial" w:hAnsi="Arial"/>
          <w:sz w:val="18"/>
          <w:szCs w:val="18"/>
          <w:color w:val="auto"/>
        </w:rPr>
        <w:t xml:space="preserve">We undertake no obligation to update or revise these forward-looking statements, except as required under the federal securities laws.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ind w:right="160" w:firstLine="428"/>
        <w:spacing w:after="0" w:line="253" w:lineRule="auto"/>
        <w:rPr>
          <w:sz w:val="20"/>
          <w:szCs w:val="20"/>
          <w:color w:val="auto"/>
        </w:rPr>
      </w:pPr>
      <w:r>
        <w:rPr>
          <w:rFonts w:ascii="Arial" w:cs="Arial" w:eastAsia="Arial" w:hAnsi="Arial"/>
          <w:sz w:val="17"/>
          <w:szCs w:val="17"/>
          <w:color w:val="auto"/>
        </w:rPr>
        <w:t>We are a lifestyle brand of men’s and women’s casual wear, workwear and accessories sold exclusively through our own omnichannel platform. We offer products nationwide through our website and catalog. In 2010, we initiated our omnichannel platform with the opening of our first store. Since then, we have expanded our retail presence, and as of November 1, 2020, we operated 62 retail stores and three outlet stores.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shirts, Buck Naked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underwear, Fire Hose</w:t>
      </w:r>
      <w:r>
        <w:rPr>
          <w:rFonts w:ascii="Arial" w:cs="Arial" w:eastAsia="Arial" w:hAnsi="Arial"/>
          <w:sz w:val="20"/>
          <w:szCs w:val="20"/>
          <w:color w:val="auto"/>
          <w:vertAlign w:val="superscript"/>
        </w:rPr>
        <w:t>®</w:t>
      </w:r>
    </w:p>
    <w:p>
      <w:pPr>
        <w:spacing w:after="0" w:line="15" w:lineRule="exact"/>
        <w:rPr>
          <w:sz w:val="20"/>
          <w:szCs w:val="20"/>
          <w:color w:val="auto"/>
        </w:rPr>
      </w:pPr>
    </w:p>
    <w:p>
      <w:pPr>
        <w:ind w:right="220"/>
        <w:spacing w:after="0" w:line="205" w:lineRule="auto"/>
        <w:rPr>
          <w:sz w:val="20"/>
          <w:szCs w:val="20"/>
          <w:color w:val="auto"/>
        </w:rPr>
      </w:pPr>
      <w:r>
        <w:rPr>
          <w:rFonts w:ascii="Arial" w:cs="Arial" w:eastAsia="Arial" w:hAnsi="Arial"/>
          <w:sz w:val="18"/>
          <w:szCs w:val="18"/>
          <w:color w:val="auto"/>
        </w:rPr>
        <w:t>work pants, and No-Yank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428"/>
        <w:spacing w:after="0" w:line="231" w:lineRule="auto"/>
        <w:rPr>
          <w:sz w:val="20"/>
          <w:szCs w:val="20"/>
          <w:color w:val="auto"/>
        </w:rPr>
      </w:pPr>
      <w:r>
        <w:rPr>
          <w:rFonts w:ascii="Arial" w:cs="Arial" w:eastAsia="Arial" w:hAnsi="Arial"/>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77" w:lineRule="exact"/>
        <w:rPr>
          <w:sz w:val="20"/>
          <w:szCs w:val="20"/>
          <w:color w:val="auto"/>
        </w:rPr>
      </w:pPr>
    </w:p>
    <w:p>
      <w:pPr>
        <w:ind w:left="880" w:right="480"/>
        <w:spacing w:after="0" w:line="261" w:lineRule="auto"/>
        <w:rPr>
          <w:sz w:val="20"/>
          <w:szCs w:val="20"/>
          <w:color w:val="auto"/>
        </w:rPr>
      </w:pPr>
      <w:r>
        <w:rPr>
          <w:rFonts w:ascii="Arial" w:cs="Arial" w:eastAsia="Arial" w:hAnsi="Arial"/>
          <w:sz w:val="18"/>
          <w:szCs w:val="18"/>
          <w:color w:val="auto"/>
        </w:rPr>
        <w:t>Net sales in fiscal 2020 third quarter increased by 13.2% over the prior year third quarter to $135.5 million, and net sales in the first nine months of fiscal 2020 increased by 7.5% over the first nine months of the prior year to $382.8 million;</w:t>
      </w:r>
    </w:p>
    <w:p>
      <w:pPr>
        <w:spacing w:after="0" w:line="36" w:lineRule="exact"/>
        <w:rPr>
          <w:sz w:val="20"/>
          <w:szCs w:val="20"/>
          <w:color w:val="auto"/>
        </w:rPr>
      </w:pPr>
    </w:p>
    <w:p>
      <w:pPr>
        <w:ind w:left="880" w:right="200"/>
        <w:spacing w:after="0" w:line="290" w:lineRule="auto"/>
        <w:rPr>
          <w:sz w:val="20"/>
          <w:szCs w:val="20"/>
          <w:color w:val="auto"/>
        </w:rPr>
      </w:pPr>
      <w:r>
        <w:rPr>
          <w:rFonts w:ascii="Arial" w:cs="Arial" w:eastAsia="Arial" w:hAnsi="Arial"/>
          <w:sz w:val="17"/>
          <w:szCs w:val="17"/>
          <w:color w:val="auto"/>
        </w:rPr>
        <w:t>Net income of $0.9 million in fiscal 2020 third quarter compared to the prior year third quarter net income of $0.2 million and net loss in the first nine months of fiscal 2020 of $8.3 million compared to the net loss in the first nine months of fiscal 2019 of $5.5 million;</w:t>
      </w:r>
    </w:p>
    <w:p>
      <w:pPr>
        <w:jc w:val="both"/>
        <w:ind w:left="880" w:right="40"/>
        <w:spacing w:after="0"/>
        <w:rPr>
          <w:sz w:val="20"/>
          <w:szCs w:val="20"/>
          <w:color w:val="auto"/>
        </w:rPr>
      </w:pPr>
      <w:r>
        <w:rPr>
          <w:rFonts w:ascii="Arial" w:cs="Arial" w:eastAsia="Arial" w:hAnsi="Arial"/>
          <w:sz w:val="18"/>
          <w:szCs w:val="18"/>
          <w:color w:val="auto"/>
        </w:rPr>
        <w:t>Adjusted EBITDA increased by 57.4% to $11.4 million in fiscal 2020 third quarter compared to the prior year third quarter Adjusted EBITDA of $7.3 million and adjusted EBITDA in the first nine months of fiscal 2020 increased by 38.6% over the first nine months of the prior year to $16.6 million; and</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opened three new stores in fiscal 2020 third quarter, adding approximately 32,800 of gross square feet.</w:t>
      </w:r>
    </w:p>
    <w:p>
      <w:pPr>
        <w:spacing w:after="0" w:line="171" w:lineRule="exact"/>
        <w:rPr>
          <w:sz w:val="20"/>
          <w:szCs w:val="20"/>
          <w:color w:val="auto"/>
        </w:rPr>
      </w:pPr>
    </w:p>
    <w:p>
      <w:pPr>
        <w:ind w:right="20" w:firstLine="402"/>
        <w:spacing w:after="0" w:line="235" w:lineRule="auto"/>
        <w:rPr>
          <w:sz w:val="20"/>
          <w:szCs w:val="20"/>
          <w:color w:val="auto"/>
        </w:rPr>
      </w:pPr>
      <w:r>
        <w:rPr>
          <w:rFonts w:ascii="Arial" w:cs="Arial" w:eastAsia="Arial" w:hAnsi="Arial"/>
          <w:sz w:val="18"/>
          <w:szCs w:val="18"/>
          <w:color w:val="auto"/>
        </w:rPr>
        <w:t>See “Reconciliation of Net Income (Loss)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8" w:lineRule="exact"/>
        <w:rPr>
          <w:sz w:val="20"/>
          <w:szCs w:val="20"/>
          <w:color w:val="auto"/>
        </w:rPr>
      </w:pPr>
    </w:p>
    <w:p>
      <w:pPr>
        <w:ind w:right="140" w:firstLine="428"/>
        <w:spacing w:after="0" w:line="246"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29" w:lineRule="exact"/>
        <w:rPr>
          <w:sz w:val="20"/>
          <w:szCs w:val="20"/>
          <w:color w:val="auto"/>
        </w:rPr>
      </w:pPr>
    </w:p>
    <w:p>
      <w:pPr>
        <w:ind w:right="400" w:firstLine="428"/>
        <w:spacing w:after="0" w:line="307" w:lineRule="auto"/>
        <w:rPr>
          <w:sz w:val="20"/>
          <w:szCs w:val="20"/>
          <w:color w:val="auto"/>
        </w:rPr>
      </w:pPr>
      <w:r>
        <w:rPr>
          <w:rFonts w:ascii="Arial" w:cs="Arial" w:eastAsia="Arial" w:hAnsi="Arial"/>
          <w:sz w:val="16"/>
          <w:szCs w:val="16"/>
          <w:color w:val="auto"/>
        </w:rPr>
        <w:t>With an emphasis on profitable growth we are pursuing several strategies, including building brand awareness to continue customer acquisition, continuing selective retail expansion, selectively broadening assortments in certain men’s product categories and growing our women’s business.</w:t>
      </w:r>
    </w:p>
    <w:p>
      <w:pPr>
        <w:spacing w:after="0" w:line="83" w:lineRule="exact"/>
        <w:rPr>
          <w:sz w:val="20"/>
          <w:szCs w:val="20"/>
          <w:color w:val="auto"/>
        </w:rPr>
      </w:pPr>
    </w:p>
    <w:p>
      <w:pPr>
        <w:ind w:right="20" w:firstLine="428"/>
        <w:spacing w:after="0" w:line="227" w:lineRule="auto"/>
        <w:rPr>
          <w:sz w:val="20"/>
          <w:szCs w:val="20"/>
          <w:color w:val="auto"/>
        </w:rPr>
      </w:pPr>
      <w:r>
        <w:rPr>
          <w:rFonts w:ascii="Arial" w:cs="Arial" w:eastAsia="Arial" w:hAnsi="Arial"/>
          <w:sz w:val="18"/>
          <w:szCs w:val="18"/>
          <w:color w:val="auto"/>
        </w:rPr>
        <w:t>We continue to grow our omnichannel distribution network which allows the consumer to interact with us through a consistent customer experience whether on the company website or at company stores. As we expand our distribution network, and in conjunction with assessing the similar nature of products sold, production process, distribution process, target customers and economic characteristics between our sales channels, we have determined that the historical structure of separate reporting segments for direct and retail was no longer representative of the way in which we manage our business. Therefore, as of February 3, 2020, we have updated our segment reporting to one reportable external segment, consistent with our omnichannel business approach.</w:t>
      </w:r>
    </w:p>
    <w:p>
      <w:pPr>
        <w:spacing w:after="0" w:line="148" w:lineRule="exact"/>
        <w:rPr>
          <w:sz w:val="20"/>
          <w:szCs w:val="20"/>
          <w:color w:val="auto"/>
        </w:rPr>
      </w:pPr>
    </w:p>
    <w:p>
      <w:pPr>
        <w:jc w:val="both"/>
        <w:ind w:right="60" w:firstLine="428"/>
        <w:spacing w:after="0" w:line="235" w:lineRule="auto"/>
        <w:rPr>
          <w:sz w:val="20"/>
          <w:szCs w:val="20"/>
          <w:color w:val="auto"/>
        </w:rPr>
      </w:pPr>
      <w:r>
        <w:rPr>
          <w:rFonts w:ascii="Arial" w:cs="Arial" w:eastAsia="Arial" w:hAnsi="Arial"/>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80" w:firstLine="492"/>
        <w:spacing w:after="0" w:line="235" w:lineRule="auto"/>
        <w:rPr>
          <w:sz w:val="20"/>
          <w:szCs w:val="20"/>
          <w:color w:val="auto"/>
        </w:rPr>
      </w:pPr>
      <w:r>
        <w:rPr>
          <w:rFonts w:ascii="Arial" w:cs="Arial" w:eastAsia="Arial" w:hAnsi="Arial"/>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48" w:lineRule="exact"/>
        <w:rPr>
          <w:sz w:val="20"/>
          <w:szCs w:val="20"/>
          <w:color w:val="auto"/>
        </w:rPr>
      </w:pPr>
    </w:p>
    <w:p>
      <w:pPr>
        <w:jc w:val="both"/>
        <w:ind w:right="220" w:firstLine="492"/>
        <w:spacing w:after="0" w:line="253" w:lineRule="auto"/>
        <w:rPr>
          <w:sz w:val="20"/>
          <w:szCs w:val="20"/>
          <w:color w:val="auto"/>
        </w:rPr>
      </w:pPr>
      <w:r>
        <w:rPr>
          <w:rFonts w:ascii="Arial" w:cs="Arial" w:eastAsia="Arial" w:hAnsi="Arial"/>
          <w:sz w:val="17"/>
          <w:szCs w:val="17"/>
          <w:color w:val="auto"/>
        </w:rPr>
        <w:t>The Company has focused on protecting the health and safety of our employees, customers and suppliers, working with our customers, landlords, suppliers and vendors to minimize potential disruptions and supporting our community, while managing our business in these unprecedented times. The Company took the following significant actions during the first fiscal quarter as a response to the pandemic:</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Beginning March 20, 2020 temporarily closed all stores for a period of seven weeks;</w:t>
      </w:r>
    </w:p>
    <w:p>
      <w:pPr>
        <w:spacing w:after="0" w:line="90" w:lineRule="exact"/>
        <w:rPr>
          <w:sz w:val="20"/>
          <w:szCs w:val="20"/>
          <w:color w:val="auto"/>
        </w:rPr>
      </w:pPr>
    </w:p>
    <w:p>
      <w:pPr>
        <w:ind w:left="880" w:right="3680"/>
        <w:spacing w:after="0" w:line="336" w:lineRule="auto"/>
        <w:rPr>
          <w:sz w:val="20"/>
          <w:szCs w:val="20"/>
          <w:color w:val="auto"/>
        </w:rPr>
      </w:pPr>
      <w:r>
        <w:rPr>
          <w:rFonts w:ascii="Arial" w:cs="Arial" w:eastAsia="Arial" w:hAnsi="Arial"/>
          <w:sz w:val="18"/>
          <w:szCs w:val="18"/>
          <w:color w:val="auto"/>
        </w:rPr>
        <w:t>Made operational changes to accommodate social distancing within our distribution centers; Made work from home accommodations for corporate employees;</w:t>
      </w:r>
    </w:p>
    <w:p>
      <w:pPr>
        <w:spacing w:after="0" w:line="1" w:lineRule="exact"/>
        <w:rPr>
          <w:sz w:val="20"/>
          <w:szCs w:val="20"/>
          <w:color w:val="auto"/>
        </w:rPr>
      </w:pPr>
    </w:p>
    <w:p>
      <w:pPr>
        <w:ind w:left="880"/>
        <w:spacing w:after="0" w:line="261" w:lineRule="auto"/>
        <w:rPr>
          <w:sz w:val="20"/>
          <w:szCs w:val="20"/>
          <w:color w:val="auto"/>
        </w:rPr>
      </w:pPr>
      <w:r>
        <w:rPr>
          <w:rFonts w:ascii="Arial" w:cs="Arial" w:eastAsia="Arial" w:hAnsi="Arial"/>
          <w:sz w:val="18"/>
          <w:szCs w:val="18"/>
          <w:color w:val="auto"/>
        </w:rPr>
        <w:t>Amended our Credit Agreement to include an incremental delayed draw term loan of $20.5 million and amended the loan covenants to provide greater flexibility during peak borrowing periods in fiscal 2020;</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Partnered with landlords, suppliers and vendors to materially reduce costs, extend payment terms and cancel merchandise receipts;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Initiated furloughs of varying lengths with benefits intact for 68% of salaried staff;</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Began a six-month pay reduction for senior leadership ranging from 10 to 20 percent;</w:t>
      </w:r>
    </w:p>
    <w:p>
      <w:pPr>
        <w:spacing w:after="0" w:line="77" w:lineRule="exact"/>
        <w:rPr>
          <w:sz w:val="20"/>
          <w:szCs w:val="20"/>
          <w:color w:val="auto"/>
        </w:rPr>
      </w:pPr>
    </w:p>
    <w:p>
      <w:pPr>
        <w:ind w:left="880" w:right="3580"/>
        <w:spacing w:after="0" w:line="387" w:lineRule="auto"/>
        <w:rPr>
          <w:sz w:val="20"/>
          <w:szCs w:val="20"/>
          <w:color w:val="auto"/>
        </w:rPr>
      </w:pPr>
      <w:r>
        <w:rPr>
          <w:rFonts w:ascii="Arial" w:cs="Arial" w:eastAsia="Arial" w:hAnsi="Arial"/>
          <w:sz w:val="16"/>
          <w:szCs w:val="16"/>
          <w:color w:val="auto"/>
        </w:rPr>
        <w:t>The Company’s Chief Executive Officer (“CEO”) agreed to temporarily forgo his base salary; The Board of Directors agreed to forgo cash retainers for the second and third quarters;</w:t>
      </w:r>
    </w:p>
    <w:p>
      <w:pPr>
        <w:spacing w:after="0" w:line="1" w:lineRule="exact"/>
        <w:rPr>
          <w:sz w:val="20"/>
          <w:szCs w:val="20"/>
          <w:color w:val="auto"/>
        </w:rPr>
      </w:pPr>
    </w:p>
    <w:p>
      <w:pPr>
        <w:ind w:left="880" w:right="880"/>
        <w:spacing w:after="0" w:line="355" w:lineRule="auto"/>
        <w:rPr>
          <w:sz w:val="20"/>
          <w:szCs w:val="20"/>
          <w:color w:val="auto"/>
        </w:rPr>
      </w:pPr>
      <w:r>
        <w:rPr>
          <w:rFonts w:ascii="Arial" w:cs="Arial" w:eastAsia="Arial" w:hAnsi="Arial"/>
          <w:sz w:val="18"/>
          <w:szCs w:val="18"/>
          <w:color w:val="auto"/>
        </w:rPr>
        <w:t>Reduced planned capital spend levels by approximately 40% primarily by decreasing new store openings to four in fiscal 2020; and Partnered with the American Red Cross to donate a portion of sales on key apparel items.</w:t>
      </w:r>
    </w:p>
    <w:p>
      <w:pPr>
        <w:spacing w:after="0" w:line="63" w:lineRule="exact"/>
        <w:rPr>
          <w:sz w:val="20"/>
          <w:szCs w:val="20"/>
          <w:color w:val="auto"/>
        </w:rPr>
      </w:pPr>
    </w:p>
    <w:p>
      <w:pPr>
        <w:ind w:right="20" w:firstLine="492"/>
        <w:spacing w:after="0" w:line="231" w:lineRule="auto"/>
        <w:rPr>
          <w:sz w:val="20"/>
          <w:szCs w:val="20"/>
          <w:color w:val="auto"/>
        </w:rPr>
      </w:pPr>
      <w:r>
        <w:rPr>
          <w:rFonts w:ascii="Arial" w:cs="Arial" w:eastAsia="Arial" w:hAnsi="Arial"/>
          <w:sz w:val="18"/>
          <w:szCs w:val="18"/>
          <w:color w:val="auto"/>
        </w:rPr>
        <w:t>While the business environment and above actions have impacted our results for the first three quarters of the fiscal year, our strong brand awareness and loyal customer base were evident by a continued surge in direct sales and improved profitability during the third fiscal quarter. As of June 15, 2020, all of our retail stores have re-opened in some capacity, but prolonged COVID-19 safety concerns are expected to keep store traffic at subdued levels through fiscal 2020, particularly as we head into the peak holiday season.</w:t>
      </w:r>
    </w:p>
    <w:p>
      <w:pPr>
        <w:spacing w:after="0" w:line="135" w:lineRule="exact"/>
        <w:rPr>
          <w:sz w:val="20"/>
          <w:szCs w:val="20"/>
          <w:color w:val="auto"/>
        </w:rPr>
      </w:pPr>
    </w:p>
    <w:p>
      <w:pPr>
        <w:ind w:right="80" w:firstLine="492"/>
        <w:spacing w:after="0" w:line="246" w:lineRule="auto"/>
        <w:rPr>
          <w:sz w:val="20"/>
          <w:szCs w:val="20"/>
          <w:color w:val="auto"/>
        </w:rPr>
      </w:pPr>
      <w:r>
        <w:rPr>
          <w:rFonts w:ascii="Arial" w:cs="Arial" w:eastAsia="Arial" w:hAnsi="Arial"/>
          <w:sz w:val="17"/>
          <w:szCs w:val="17"/>
          <w:color w:val="auto"/>
        </w:rPr>
        <w:t>The ultimate impact of COVID-19 on our operational and financial performance still depends on future developments outside of our control, including the duration and spread of the pandemic and related actions taken by federal, state and local government officials, and international governments to prevent disease spread. Given the uncertainty, we cannot reasonably estimate store traffic patterns and the prolonged impact on overall consumer demand. We continue to actively evaluate all federal, state and local regulations to ensure compliance with store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assessing the performance of our business, we consider a variety of financial and operating measures that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jc w:val="both"/>
        <w:ind w:right="400" w:firstLine="428"/>
        <w:spacing w:after="0" w:line="235"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 We also use net sales as one of the key financial metrics in determining our annual bonus compensation for our employees.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shipping thresholds allocated to us by our primary delivery provider have increased based on anticipated sales volume during the fourth quarter.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added an additional shipping partner to mitigate any constraints on our shipping capacity.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firstLine="428"/>
        <w:spacing w:after="0" w:line="252"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sales through our direct-to-consumer sales channel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20" w:firstLine="428"/>
        <w:spacing w:after="0" w:line="227"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8" w:lineRule="exact"/>
        <w:rPr>
          <w:sz w:val="20"/>
          <w:szCs w:val="20"/>
          <w:color w:val="auto"/>
        </w:rPr>
      </w:pPr>
    </w:p>
    <w:p>
      <w:pPr>
        <w:ind w:firstLine="428"/>
        <w:spacing w:after="0" w:line="261" w:lineRule="auto"/>
        <w:rPr>
          <w:sz w:val="20"/>
          <w:szCs w:val="20"/>
          <w:color w:val="auto"/>
        </w:rPr>
      </w:pPr>
      <w:r>
        <w:rPr>
          <w:rFonts w:ascii="Arial" w:cs="Arial" w:eastAsia="Arial" w:hAnsi="Arial"/>
          <w:sz w:val="16"/>
          <w:szCs w:val="16"/>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 Our shipping and handling expenses increased during the third quarter and are expected to continue to increase during the fourth quarter, in part because of additional surcharges during our peak holiday shopping season due to the expected strained distribution network.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120" w:firstLine="428"/>
        <w:spacing w:after="0" w:line="246"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20" w:firstLine="428"/>
        <w:spacing w:after="0" w:line="253" w:lineRule="auto"/>
        <w:rPr>
          <w:sz w:val="20"/>
          <w:szCs w:val="20"/>
          <w:color w:val="auto"/>
        </w:rPr>
      </w:pPr>
      <w:r>
        <w:rPr>
          <w:rFonts w:ascii="Arial" w:cs="Arial" w:eastAsia="Arial" w:hAnsi="Arial"/>
          <w:sz w:val="16"/>
          <w:szCs w:val="16"/>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unaudited consolidated results of operations for the periods indicated, both in dollars and as a percentage of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November 1, 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November 3, 2019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November 1, 2020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November 3, 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355,975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Cost of goods sold (excluding depreciation</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and amortization)</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164,888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196,128</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6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6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(8,254)</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(5,453)</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Percentage of Net sales:</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Net sales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amortization)</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Gross margin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income (loss), net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4000"/>
        <w:spacing w:after="0" w:line="432" w:lineRule="auto"/>
        <w:rPr>
          <w:sz w:val="20"/>
          <w:szCs w:val="20"/>
          <w:color w:val="auto"/>
        </w:rPr>
      </w:pPr>
      <w:r>
        <w:rPr>
          <w:rFonts w:ascii="Arial" w:cs="Arial" w:eastAsia="Arial" w:hAnsi="Arial"/>
          <w:sz w:val="18"/>
          <w:szCs w:val="18"/>
          <w:b w:val="1"/>
          <w:bCs w:val="1"/>
          <w:color w:val="auto"/>
        </w:rPr>
        <w:t xml:space="preserve">Three Months Ended November 1, 2020 Compared to Three Months Ended November 3, 2019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140" w:firstLine="428"/>
        <w:spacing w:after="0" w:line="246" w:lineRule="auto"/>
        <w:rPr>
          <w:sz w:val="20"/>
          <w:szCs w:val="20"/>
          <w:color w:val="auto"/>
        </w:rPr>
      </w:pPr>
      <w:r>
        <w:rPr>
          <w:rFonts w:ascii="Arial" w:cs="Arial" w:eastAsia="Arial" w:hAnsi="Arial"/>
          <w:sz w:val="18"/>
          <w:szCs w:val="18"/>
          <w:color w:val="auto"/>
        </w:rPr>
        <w:t>Net sales increased $15.8 million, or 13.2%, to $135.5 million in the three months ended November 1, 2020 compared to $119.8 million in the three months ended November 3, 2019. The increase was due to increases in both non-store and store market sales.</w:t>
      </w:r>
    </w:p>
    <w:p>
      <w:pPr>
        <w:spacing w:after="0" w:line="129" w:lineRule="exact"/>
        <w:rPr>
          <w:sz w:val="20"/>
          <w:szCs w:val="20"/>
          <w:color w:val="auto"/>
        </w:rPr>
      </w:pPr>
    </w:p>
    <w:p>
      <w:pPr>
        <w:ind w:right="180" w:firstLine="428"/>
        <w:spacing w:after="0" w:line="227" w:lineRule="auto"/>
        <w:rPr>
          <w:sz w:val="20"/>
          <w:szCs w:val="20"/>
          <w:color w:val="auto"/>
        </w:rPr>
      </w:pPr>
      <w:r>
        <w:rPr>
          <w:rFonts w:ascii="Arial" w:cs="Arial" w:eastAsia="Arial" w:hAnsi="Arial"/>
          <w:sz w:val="18"/>
          <w:szCs w:val="18"/>
          <w:color w:val="auto"/>
        </w:rPr>
        <w:t>Non-store market sales increased $11.1 million, or 37.5%, to $40.6 million in the three months ended November 1, 2020 compared to $29.5 million in the three months ended November 3, 2019. The increase was driven by new buyer growth and effective digital advertising to promote our Pink Buck Naked, Big Dam Birthday and global sales events. Store market sales increased $5.0 million, or 5.6%, to $93.8 million in the three months ended November 1, 2020 compared to $88.8 million in the three months ended November 3, 2019. The increase was driven by growth in online sales from both existing customers and new buyers, partially offset by a decline in in-store sales, caused by a decrease in store traffic due to continued COVID-19 safety concerns.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right="80" w:firstLine="428"/>
        <w:spacing w:after="0" w:line="228" w:lineRule="auto"/>
        <w:rPr>
          <w:sz w:val="20"/>
          <w:szCs w:val="20"/>
          <w:color w:val="auto"/>
        </w:rPr>
      </w:pPr>
      <w:r>
        <w:rPr>
          <w:rFonts w:ascii="Arial" w:cs="Arial" w:eastAsia="Arial" w:hAnsi="Arial"/>
          <w:sz w:val="18"/>
          <w:szCs w:val="18"/>
          <w:color w:val="auto"/>
        </w:rPr>
        <w:t>Gross profit increased $5.7 million, or 8.7%, to $71.0 million in the three months ended November 1, 2020 compared to $65.4 million in the three months ended November 3, 2019. As a percentage of net sales, gross margin decreased to 52.4% of net sales in the three months ended November 1, 2020, compared to 54.6% of net sales in the three months ended November 3, 2019. The decrease in gross margin rate was driven by promotional, clearance and sitewide sales events to continue moving inventory during the period of slower store traffic and drive top-line growth. The decrease was partially offset by reduced store delivery costs from lower store sales volumes.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7"/>
          <w:szCs w:val="17"/>
          <w:color w:val="auto"/>
        </w:rPr>
        <w:t>Selling, general and administrative expenses increased $4.2 million, or 6.5%, to $68.2 million in the three months ended November 1, 2020 compared to $64.0 million in the three months ended November 3, 2019. Selling, general and administrative expenses as a percentage of net sales decreased to 50.3% in the three months ended November 1, 2020, compared to 53.5% in the three months ended November 3, 2019. The positive leverage was primarily due to shifting to a more efficient digital marketing approach as customer purchasing patterns migrated to online.</w:t>
      </w:r>
    </w:p>
    <w:p>
      <w:pPr>
        <w:spacing w:after="0" w:line="130" w:lineRule="exact"/>
        <w:rPr>
          <w:sz w:val="20"/>
          <w:szCs w:val="20"/>
          <w:color w:val="auto"/>
        </w:rPr>
      </w:pPr>
    </w:p>
    <w:p>
      <w:pPr>
        <w:ind w:right="120" w:firstLine="428"/>
        <w:spacing w:after="0" w:line="235" w:lineRule="auto"/>
        <w:rPr>
          <w:sz w:val="20"/>
          <w:szCs w:val="20"/>
          <w:color w:val="auto"/>
        </w:rPr>
      </w:pPr>
      <w:r>
        <w:rPr>
          <w:rFonts w:ascii="Arial" w:cs="Arial" w:eastAsia="Arial" w:hAnsi="Arial"/>
          <w:sz w:val="18"/>
          <w:szCs w:val="18"/>
          <w:color w:val="auto"/>
        </w:rPr>
        <w:t>The increase in selling, general and administrative expense was due to increased shipping costs to support website sales, higher retail overhead costs driven by new store growth and increased depreciation expense associated with investments in technology, partially offset by reduced catalog spend and national TV advertising.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58" w:lineRule="exact"/>
        <w:rPr>
          <w:sz w:val="20"/>
          <w:szCs w:val="20"/>
          <w:color w:val="auto"/>
        </w:rPr>
      </w:pPr>
    </w:p>
    <w:p>
      <w:pPr>
        <w:ind w:right="180" w:firstLine="428"/>
        <w:spacing w:after="0" w:line="246" w:lineRule="auto"/>
        <w:rPr>
          <w:sz w:val="20"/>
          <w:szCs w:val="20"/>
          <w:color w:val="auto"/>
        </w:rPr>
      </w:pPr>
      <w:r>
        <w:rPr>
          <w:rFonts w:ascii="Arial" w:cs="Arial" w:eastAsia="Arial" w:hAnsi="Arial"/>
          <w:sz w:val="17"/>
          <w:szCs w:val="17"/>
          <w:color w:val="auto"/>
        </w:rPr>
        <w:t>Income tax expense was $0.4 million in the three months ended November 1, 2020, compared to an income tax benefit of $0.2 million in the three months ended November 3, 2019. Our effective tax rate related to controlling interest, which was 29% for the three months ended November 1, 2020 was impacted by changes to certain discrete items during the quarter. Our effective tax rate related to controlling interest, which was not meaningful for the three months ended November 3, 2019, was impacted by discrete items related to stock compensation activity.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Controlling Interest</w:t>
      </w:r>
    </w:p>
    <w:p>
      <w:pPr>
        <w:spacing w:after="0" w:line="171" w:lineRule="exact"/>
        <w:rPr>
          <w:sz w:val="20"/>
          <w:szCs w:val="20"/>
          <w:color w:val="auto"/>
        </w:rPr>
      </w:pPr>
    </w:p>
    <w:p>
      <w:pPr>
        <w:ind w:right="200" w:firstLine="428"/>
        <w:spacing w:after="0" w:line="246" w:lineRule="auto"/>
        <w:rPr>
          <w:sz w:val="20"/>
          <w:szCs w:val="20"/>
          <w:color w:val="auto"/>
        </w:rPr>
      </w:pPr>
      <w:r>
        <w:rPr>
          <w:rFonts w:ascii="Arial" w:cs="Arial" w:eastAsia="Arial" w:hAnsi="Arial"/>
          <w:sz w:val="18"/>
          <w:szCs w:val="18"/>
          <w:color w:val="auto"/>
        </w:rPr>
        <w:t>Net income attributable to controlling interest was $0.9 million, in the three months ended November 1, 2020 compared to $0.2 million in the three months ended November 3, 2019, primarily due to the factors discussed above.</w:t>
      </w:r>
    </w:p>
    <w:p>
      <w:pPr>
        <w:spacing w:after="0" w:line="200" w:lineRule="exact"/>
        <w:rPr>
          <w:sz w:val="20"/>
          <w:szCs w:val="20"/>
          <w:color w:val="auto"/>
        </w:rPr>
      </w:pPr>
    </w:p>
    <w:p>
      <w:pPr>
        <w:spacing w:after="0" w:line="290" w:lineRule="exact"/>
        <w:rPr>
          <w:sz w:val="20"/>
          <w:szCs w:val="20"/>
          <w:color w:val="auto"/>
        </w:rPr>
      </w:pPr>
    </w:p>
    <w:p>
      <w:pPr>
        <w:ind w:right="4200"/>
        <w:spacing w:after="0" w:line="432" w:lineRule="auto"/>
        <w:rPr>
          <w:sz w:val="20"/>
          <w:szCs w:val="20"/>
          <w:color w:val="auto"/>
        </w:rPr>
      </w:pPr>
      <w:r>
        <w:rPr>
          <w:rFonts w:ascii="Arial" w:cs="Arial" w:eastAsia="Arial" w:hAnsi="Arial"/>
          <w:sz w:val="18"/>
          <w:szCs w:val="18"/>
          <w:b w:val="1"/>
          <w:bCs w:val="1"/>
          <w:color w:val="auto"/>
        </w:rPr>
        <w:t xml:space="preserve">Nine Months Ended November 1, 2020 Compared to Nine Months Ended November 3, 2019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40" w:firstLine="428"/>
        <w:spacing w:after="0" w:line="235" w:lineRule="auto"/>
        <w:rPr>
          <w:sz w:val="20"/>
          <w:szCs w:val="20"/>
          <w:color w:val="auto"/>
        </w:rPr>
      </w:pPr>
      <w:r>
        <w:rPr>
          <w:rFonts w:ascii="Arial" w:cs="Arial" w:eastAsia="Arial" w:hAnsi="Arial"/>
          <w:sz w:val="18"/>
          <w:szCs w:val="18"/>
          <w:color w:val="auto"/>
        </w:rPr>
        <w:t>Net sales increased $26.8 million, or 7.5%, to $382.8 million in the nine months ended November 1, 2020 compared to $356.0 million in the nine months ended November 3, 2019. The increase was primarily due to an increase in non-store market sales slightly offset by a decrease in store market sales driven by temporary store closures in the first and second quarters of fiscal 2020.</w:t>
      </w:r>
    </w:p>
    <w:p>
      <w:pPr>
        <w:spacing w:after="0" w:line="134" w:lineRule="exact"/>
        <w:rPr>
          <w:sz w:val="20"/>
          <w:szCs w:val="20"/>
          <w:color w:val="auto"/>
        </w:rPr>
      </w:pPr>
    </w:p>
    <w:p>
      <w:pPr>
        <w:ind w:right="60" w:firstLine="428"/>
        <w:spacing w:after="0" w:line="258" w:lineRule="auto"/>
        <w:rPr>
          <w:sz w:val="20"/>
          <w:szCs w:val="20"/>
          <w:color w:val="auto"/>
        </w:rPr>
      </w:pPr>
      <w:r>
        <w:rPr>
          <w:rFonts w:ascii="Arial" w:cs="Arial" w:eastAsia="Arial" w:hAnsi="Arial"/>
          <w:sz w:val="16"/>
          <w:szCs w:val="16"/>
          <w:color w:val="auto"/>
        </w:rPr>
        <w:t>Non-store market sales increased $36.7 million, or 40.2%, to $128.1 million in the nine months ended November 1, 2020 compared to $91.3 million in the nine months ended November 3, 2019. The increase was also primarily driven by effective digital advertising to promote our Mother’s Day, Father’s Day, Pink Buck Naked, Big Dam Birthday, online warehouse clearance and global sales events, coupled with extended free shipping offers. Store market sales decreased $9.0 million, or 3.5%, to $250.9 million in the nine months ended November 1, 2020 compared to $259.9 million in the nine months ended November 3, 2019. The decrease was due to the temporary closure of all stores beginning on March 20, 2020 until they re-opened beginning in the first week of May through the third week of June, partially offset by an increase in online sales from both existing customers and new buyers.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right="40" w:firstLine="428"/>
        <w:spacing w:after="0" w:line="250" w:lineRule="auto"/>
        <w:rPr>
          <w:sz w:val="20"/>
          <w:szCs w:val="20"/>
          <w:color w:val="auto"/>
        </w:rPr>
      </w:pPr>
      <w:r>
        <w:rPr>
          <w:rFonts w:ascii="Arial" w:cs="Arial" w:eastAsia="Arial" w:hAnsi="Arial"/>
          <w:sz w:val="16"/>
          <w:szCs w:val="16"/>
          <w:color w:val="auto"/>
        </w:rPr>
        <w:t>Gross profit increased $4.8 million, or 2.5%, to $195.8 million in the nine months ended November 1, 2020 compared to $191.1 million in the nine months ended November 3, 2019. As a percentage of net sales, gross margin decreased to 51.2% of net sales in the nine months ended November 1, 2020, compared to 53.7% of net sales in the nine months ended November 3, 2019. The decrease in gross margin rate was driven by promotional events, extending clearance events and sitewide sales events to continue moving inventory during the period of store closures and uncertainty in customer demand. The decrease was partially offset by reduced store delivery costs from lower store sales volumes and lower product returns.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jc w:val="both"/>
        <w:ind w:right="700" w:firstLine="428"/>
        <w:spacing w:after="0" w:line="276" w:lineRule="auto"/>
        <w:rPr>
          <w:sz w:val="20"/>
          <w:szCs w:val="20"/>
          <w:color w:val="auto"/>
        </w:rPr>
      </w:pPr>
      <w:r>
        <w:rPr>
          <w:rFonts w:ascii="Arial" w:cs="Arial" w:eastAsia="Arial" w:hAnsi="Arial"/>
          <w:sz w:val="16"/>
          <w:szCs w:val="16"/>
          <w:color w:val="auto"/>
        </w:rPr>
        <w:t>Selling, general and administrative expenses increased $6.0 million, or 3.1%, to $202.2 million in the nine months ended November 1, 2020 compared to $196.1 million in the nine months ended November 3, 2019. Selling, general and administrative expenses as a percentage of net sales decreased to 52.8% in the nine months ended November 1, 2020, compared to 55.1% in the nine months ended November 3, 2019.</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drivers of the increase in selling, general and administrative expense were consistent with those for three months ended November 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8" w:lineRule="exact"/>
        <w:rPr>
          <w:sz w:val="20"/>
          <w:szCs w:val="20"/>
          <w:color w:val="auto"/>
        </w:rPr>
      </w:pPr>
    </w:p>
    <w:p>
      <w:pPr>
        <w:ind w:right="220" w:firstLine="428"/>
        <w:spacing w:after="0" w:line="235" w:lineRule="auto"/>
        <w:rPr>
          <w:sz w:val="20"/>
          <w:szCs w:val="20"/>
          <w:color w:val="auto"/>
        </w:rPr>
      </w:pPr>
      <w:r>
        <w:rPr>
          <w:rFonts w:ascii="Arial" w:cs="Arial" w:eastAsia="Arial" w:hAnsi="Arial"/>
          <w:sz w:val="18"/>
          <w:szCs w:val="18"/>
          <w:color w:val="auto"/>
        </w:rPr>
        <w:t>Income tax benefit was $2.8 million in the nine months ended November 1, 2020, compared to $2.2 million in the nine months ended November 3, 2019. Our effective tax rate related to controlling interest was 26% for the nine months ended November 1, 2020, compared to 29% for the nine months ended November 3,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Controlling Interest</w:t>
      </w:r>
    </w:p>
    <w:p>
      <w:pPr>
        <w:spacing w:after="0" w:line="158" w:lineRule="exact"/>
        <w:rPr>
          <w:sz w:val="20"/>
          <w:szCs w:val="20"/>
          <w:color w:val="auto"/>
        </w:rPr>
      </w:pPr>
    </w:p>
    <w:p>
      <w:pPr>
        <w:ind w:right="560" w:firstLine="428"/>
        <w:spacing w:after="0" w:line="246" w:lineRule="auto"/>
        <w:rPr>
          <w:sz w:val="20"/>
          <w:szCs w:val="20"/>
          <w:color w:val="auto"/>
        </w:rPr>
      </w:pPr>
      <w:r>
        <w:rPr>
          <w:rFonts w:ascii="Arial" w:cs="Arial" w:eastAsia="Arial" w:hAnsi="Arial"/>
          <w:sz w:val="18"/>
          <w:szCs w:val="18"/>
          <w:color w:val="auto"/>
        </w:rPr>
        <w:t>Net loss attributable to controlling interest was $8.3 million, in the nine months ended November 1, 2020 compared to $5.5 million in the nine months ended November 3, 2019, primarily due to the factors discussed above.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to EBITDA and EBITDA to Adjusted EBITDA</w:t>
      </w:r>
    </w:p>
    <w:p>
      <w:pPr>
        <w:spacing w:after="0" w:line="175" w:lineRule="exact"/>
        <w:rPr>
          <w:sz w:val="20"/>
          <w:szCs w:val="20"/>
          <w:color w:val="auto"/>
        </w:rPr>
      </w:pPr>
    </w:p>
    <w:p>
      <w:pPr>
        <w:jc w:val="both"/>
        <w:ind w:right="100" w:firstLine="428"/>
        <w:spacing w:after="0" w:line="235" w:lineRule="auto"/>
        <w:rPr>
          <w:sz w:val="20"/>
          <w:szCs w:val="20"/>
          <w:color w:val="auto"/>
        </w:rPr>
      </w:pPr>
      <w:r>
        <w:rPr>
          <w:rFonts w:ascii="Arial" w:cs="Arial" w:eastAsia="Arial" w:hAnsi="Arial"/>
          <w:sz w:val="18"/>
          <w:szCs w:val="18"/>
          <w:color w:val="auto"/>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87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1, 2020</w:t>
            </w:r>
          </w:p>
        </w:tc>
        <w:tc>
          <w:tcPr>
            <w:tcW w:w="140" w:type="dxa"/>
            <w:vAlign w:val="bottom"/>
          </w:tcPr>
          <w:p>
            <w:pPr>
              <w:spacing w:after="0"/>
              <w:rPr>
                <w:sz w:val="17"/>
                <w:szCs w:val="17"/>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November 3, 2019</w:t>
            </w:r>
          </w:p>
        </w:tc>
        <w:tc>
          <w:tcPr>
            <w:tcW w:w="14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1, 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November 3, 2019</w:t>
            </w:r>
          </w:p>
        </w:tc>
      </w:tr>
      <w:tr>
        <w:trPr>
          <w:trHeight w:val="196"/>
        </w:trPr>
        <w:tc>
          <w:tcPr>
            <w:tcW w:w="4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15,934</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42"/>
        </w:trPr>
        <w:tc>
          <w:tcPr>
            <w:tcW w:w="4680" w:type="dxa"/>
            <w:vAlign w:val="bottom"/>
          </w:tcPr>
          <w:p>
            <w:pPr>
              <w:ind w:left="120"/>
              <w:spacing w:after="0"/>
              <w:rPr>
                <w:sz w:val="20"/>
                <w:szCs w:val="20"/>
                <w:color w:val="auto"/>
              </w:rPr>
            </w:pPr>
            <w:r>
              <w:rPr>
                <w:rFonts w:ascii="Arial" w:cs="Arial" w:eastAsia="Arial" w:hAnsi="Arial"/>
                <w:sz w:val="18"/>
                <w:szCs w:val="18"/>
                <w:color w:val="auto"/>
              </w:rPr>
              <w:t>Amortization of build-to-suit operating leases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7"/>
        </w:trPr>
        <w:tc>
          <w:tcPr>
            <w:tcW w:w="4680" w:type="dxa"/>
            <w:vAlign w:val="bottom"/>
          </w:tcPr>
          <w:p>
            <w:pPr>
              <w:ind w:left="120"/>
              <w:spacing w:after="0"/>
              <w:rPr>
                <w:sz w:val="20"/>
                <w:szCs w:val="20"/>
                <w:color w:val="auto"/>
              </w:rPr>
            </w:pPr>
            <w:r>
              <w:rPr>
                <w:rFonts w:ascii="Arial" w:cs="Arial" w:eastAsia="Arial" w:hAnsi="Arial"/>
                <w:sz w:val="18"/>
                <w:szCs w:val="18"/>
                <w:color w:val="auto"/>
              </w:rPr>
              <w:t>capital contribution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11,051</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8,009</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15,367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11,720</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183"/>
        </w:trPr>
        <w:tc>
          <w:tcPr>
            <w:tcW w:w="46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11,433</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7,262</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16,630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12,002</w:t>
            </w: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28"/>
        <w:spacing w:after="0" w:line="231"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$4.2 million, or 57.4%, to $11.4 million in the three months ended November 1, 2020 compared to $7.3 million in the three months ended November 3, 2019. As a percentage of net sales, Adjusted EBITDA increased to 8.4% of net sales in the three months ended November 1, 2020 compared to 6.1% of net sales in the three months ended November 3, 2019.</w:t>
      </w:r>
    </w:p>
    <w:p>
      <w:pPr>
        <w:spacing w:after="0" w:line="148" w:lineRule="exact"/>
        <w:rPr>
          <w:sz w:val="20"/>
          <w:szCs w:val="20"/>
          <w:color w:val="auto"/>
        </w:rPr>
      </w:pPr>
    </w:p>
    <w:p>
      <w:pPr>
        <w:ind w:right="140" w:firstLine="428"/>
        <w:spacing w:after="0" w:line="231"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$4.6 million, or 38.6%, to $16.6 million in the nine months ended November 1, 2020 compared to $12.0 million in the nine months ended November 3, 2019. As a percentage of net sales, Adjusted EBITDA increased to 4.3% of net sales in the nine months ended November 1, 2020 compared to 3.4% of net sales in the nine months ended November 3,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240" w:firstLine="428"/>
        <w:spacing w:after="0" w:line="236" w:lineRule="auto"/>
        <w:rPr>
          <w:sz w:val="20"/>
          <w:szCs w:val="20"/>
          <w:color w:val="auto"/>
        </w:rPr>
      </w:pPr>
      <w:r>
        <w:rPr>
          <w:rFonts w:ascii="Arial" w:cs="Arial" w:eastAsia="Arial" w:hAnsi="Arial"/>
          <w:sz w:val="17"/>
          <w:szCs w:val="17"/>
          <w:color w:val="auto"/>
        </w:rPr>
        <w:t>Our business relies on cash from operating activities and a credit facility as our primary sources of liquidity.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 At November 1, 2020, our net working capital was $136.6 million, including $12.8 million of cash and cash equivalents.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firstLine="428"/>
        <w:spacing w:after="0" w:line="258" w:lineRule="auto"/>
        <w:rPr>
          <w:sz w:val="20"/>
          <w:szCs w:val="20"/>
          <w:color w:val="auto"/>
        </w:rPr>
      </w:pPr>
      <w:r>
        <w:rPr>
          <w:rFonts w:ascii="Arial" w:cs="Arial" w:eastAsia="Arial" w:hAnsi="Arial"/>
          <w:sz w:val="16"/>
          <w:szCs w:val="16"/>
          <w:color w:val="auto"/>
        </w:rPr>
        <w:t>We expect to spend approximately $17.0 million in fiscal 2020 on capital expenditures, which is an approximately 40% reduction from the beginning of the fiscal year plan. Capital expenditures includes a total of approximately $10.0 million for new retail store expansion and point of sale upgrades. We expect capital expenditures of approximately $2.0 million and starting inventory of $0.5 million to open a new store.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23"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5"/>
          </w:tcPr>
          <w:p>
            <w:pPr>
              <w:jc w:val="right"/>
              <w:ind w:right="137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7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ind w:left="160"/>
              <w:spacing w:after="0"/>
              <w:rPr>
                <w:sz w:val="20"/>
                <w:szCs w:val="20"/>
                <w:color w:val="auto"/>
              </w:rPr>
            </w:pPr>
            <w:r>
              <w:rPr>
                <w:rFonts w:ascii="Arial" w:cs="Arial" w:eastAsia="Arial" w:hAnsi="Arial"/>
                <w:sz w:val="14"/>
                <w:szCs w:val="14"/>
                <w:b w:val="1"/>
                <w:bCs w:val="1"/>
                <w:color w:val="auto"/>
              </w:rPr>
              <w:t>November 1, 2020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34"/>
              <w:spacing w:after="0"/>
              <w:rPr>
                <w:sz w:val="20"/>
                <w:szCs w:val="20"/>
                <w:color w:val="auto"/>
              </w:rPr>
            </w:pPr>
            <w:r>
              <w:rPr>
                <w:rFonts w:ascii="Arial" w:cs="Arial" w:eastAsia="Arial" w:hAnsi="Arial"/>
                <w:sz w:val="14"/>
                <w:szCs w:val="14"/>
                <w:b w:val="1"/>
                <w:bCs w:val="1"/>
                <w:color w:val="auto"/>
              </w:rPr>
              <w:t>November 3, 2019</w:t>
            </w:r>
          </w:p>
        </w:tc>
      </w:tr>
      <w:tr>
        <w:trPr>
          <w:trHeight w:val="250"/>
        </w:trPr>
        <w:tc>
          <w:tcPr>
            <w:tcW w:w="7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(28,614)</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(47,624)</w:t>
            </w: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(11,483)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(24,541)</w:t>
            </w: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50,657</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73,043</w:t>
            </w:r>
          </w:p>
        </w:tc>
      </w:tr>
      <w:tr>
        <w:trPr>
          <w:trHeight w:val="196"/>
        </w:trPr>
        <w:tc>
          <w:tcPr>
            <w:tcW w:w="7080" w:type="dxa"/>
            <w:vAlign w:val="bottom"/>
          </w:tcPr>
          <w:p>
            <w:pPr>
              <w:spacing w:after="0" w:line="196" w:lineRule="exact"/>
              <w:rPr>
                <w:sz w:val="20"/>
                <w:szCs w:val="20"/>
                <w:color w:val="auto"/>
              </w:rPr>
            </w:pPr>
            <w:r>
              <w:rPr>
                <w:rFonts w:ascii="Arial" w:cs="Arial" w:eastAsia="Arial" w:hAnsi="Arial"/>
                <w:sz w:val="18"/>
                <w:szCs w:val="18"/>
                <w:color w:val="auto"/>
              </w:rPr>
              <w:t>Increase in cash, cash equivalents and restricted cash</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10,560</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878</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58"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29" w:lineRule="exact"/>
        <w:rPr>
          <w:sz w:val="20"/>
          <w:szCs w:val="20"/>
          <w:color w:val="auto"/>
        </w:rPr>
      </w:pPr>
    </w:p>
    <w:p>
      <w:pPr>
        <w:ind w:right="160" w:firstLine="428"/>
        <w:spacing w:after="0" w:line="231" w:lineRule="auto"/>
        <w:rPr>
          <w:sz w:val="20"/>
          <w:szCs w:val="20"/>
          <w:color w:val="auto"/>
        </w:rPr>
      </w:pPr>
      <w:r>
        <w:rPr>
          <w:rFonts w:ascii="Arial" w:cs="Arial" w:eastAsia="Arial" w:hAnsi="Arial"/>
          <w:sz w:val="18"/>
          <w:szCs w:val="18"/>
          <w:color w:val="auto"/>
        </w:rPr>
        <w:t>While our cash flows from operations for the nine months ended November 1, 2020 is negative, due in part to the seasonal nature of our business, it has improved as compared to the nine months ended November 3, 2019 by $19.0 million. We expect cash flows from operations for the full year fiscal 2020 to be positive based on operating performance and seasonal reductions in working capital during the fourth quarter of our fiscal year, which is consistent with previous full fiscal years.</w:t>
      </w:r>
    </w:p>
    <w:p>
      <w:pPr>
        <w:spacing w:after="0" w:line="148" w:lineRule="exact"/>
        <w:rPr>
          <w:sz w:val="20"/>
          <w:szCs w:val="20"/>
          <w:color w:val="auto"/>
        </w:rPr>
      </w:pPr>
    </w:p>
    <w:p>
      <w:pPr>
        <w:ind w:right="60" w:firstLine="428"/>
        <w:spacing w:after="0" w:line="266" w:lineRule="auto"/>
        <w:rPr>
          <w:sz w:val="20"/>
          <w:szCs w:val="20"/>
          <w:color w:val="auto"/>
        </w:rPr>
      </w:pPr>
      <w:r>
        <w:rPr>
          <w:rFonts w:ascii="Arial" w:cs="Arial" w:eastAsia="Arial" w:hAnsi="Arial"/>
          <w:sz w:val="16"/>
          <w:szCs w:val="16"/>
          <w:color w:val="auto"/>
        </w:rPr>
        <w:t>For the nine months ended November 1, 2020, net cash used in operating activities was $28.6 million, which consisted of net loss of $8.4 million and cash used in operating assets and liabilities of $46.5 million, partially offset by non-cash depreciation and amortization of $21.2 million, stock based compensation of $1.3 million and deferred income taxes of $3.5 million. The cash used in operating assets and liabilities of $46.5 million primarily consisted of a $65.6 million increase in inventory in advance of our peak season, partially offset by a $21.4 million increase in trade accounts payable.</w:t>
      </w:r>
    </w:p>
    <w:p>
      <w:pPr>
        <w:spacing w:after="0" w:line="116" w:lineRule="exact"/>
        <w:rPr>
          <w:sz w:val="20"/>
          <w:szCs w:val="20"/>
          <w:color w:val="auto"/>
        </w:rPr>
      </w:pPr>
    </w:p>
    <w:p>
      <w:pPr>
        <w:ind w:right="120" w:firstLine="428"/>
        <w:spacing w:after="0" w:line="228" w:lineRule="auto"/>
        <w:rPr>
          <w:sz w:val="20"/>
          <w:szCs w:val="20"/>
          <w:color w:val="auto"/>
        </w:rPr>
      </w:pPr>
      <w:r>
        <w:rPr>
          <w:rFonts w:ascii="Arial" w:cs="Arial" w:eastAsia="Arial" w:hAnsi="Arial"/>
          <w:sz w:val="18"/>
          <w:szCs w:val="18"/>
          <w:color w:val="auto"/>
        </w:rPr>
        <w:t>For the nine months ended November 3, 2019, net cash used in operating activities was $47.6 million, which primarily consisted of net loss of $5.7 million and cash used in operating assets and liabilities of $57.2 million, partially offset by non-cash depreciation and amortization of $15.9 million and stock based compensation of $0.3 million. The cash used in operating assets and liabilities of $57.2 million primarily consisted of a $85.4 million increase in inventory, primarily due to building of inventory for our peak season and an increase in the number of retail stores, partially offset by a $29.9 million increase in trade accounts payable due to timing of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Investing activities consist primarily of capital expenditures for growth related to new store openings and information technology.</w:t>
      </w:r>
    </w:p>
    <w:p>
      <w:pPr>
        <w:spacing w:after="0" w:line="158" w:lineRule="exact"/>
        <w:rPr>
          <w:sz w:val="20"/>
          <w:szCs w:val="20"/>
          <w:color w:val="auto"/>
        </w:rPr>
      </w:pPr>
    </w:p>
    <w:p>
      <w:pPr>
        <w:ind w:right="940" w:firstLine="428"/>
        <w:spacing w:after="0" w:line="246" w:lineRule="auto"/>
        <w:rPr>
          <w:sz w:val="20"/>
          <w:szCs w:val="20"/>
          <w:color w:val="auto"/>
        </w:rPr>
      </w:pPr>
      <w:r>
        <w:rPr>
          <w:rFonts w:ascii="Arial" w:cs="Arial" w:eastAsia="Arial" w:hAnsi="Arial"/>
          <w:sz w:val="18"/>
          <w:szCs w:val="18"/>
          <w:color w:val="auto"/>
        </w:rPr>
        <w:t>For the nine months ended November 1, 2020, net cash used in investing activities was $11.5 million and was primarily driven by capital expenditures of $11.1 million for new retail stores, as well as investments in information technology.</w:t>
      </w:r>
    </w:p>
    <w:p>
      <w:pPr>
        <w:spacing w:after="0" w:line="129" w:lineRule="exact"/>
        <w:rPr>
          <w:sz w:val="20"/>
          <w:szCs w:val="20"/>
          <w:color w:val="auto"/>
        </w:rPr>
      </w:pPr>
    </w:p>
    <w:p>
      <w:pPr>
        <w:ind w:right="200" w:firstLine="428"/>
        <w:spacing w:after="0" w:line="225" w:lineRule="auto"/>
        <w:rPr>
          <w:sz w:val="20"/>
          <w:szCs w:val="20"/>
          <w:color w:val="auto"/>
        </w:rPr>
      </w:pPr>
      <w:r>
        <w:rPr>
          <w:rFonts w:ascii="Arial" w:cs="Arial" w:eastAsia="Arial" w:hAnsi="Arial"/>
          <w:sz w:val="18"/>
          <w:szCs w:val="18"/>
          <w:color w:val="auto"/>
        </w:rPr>
        <w:t>For the nine months ended November 3, 2019, net cash used in investing activities was $24.5 million and was primarily driven by capital expenditures of $20.9 million for new retail stores and retail store build-out, as well as investments in information technology, and $3.7 million of capital contributions towards our build-to-suit stores.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58" w:lineRule="exact"/>
        <w:rPr>
          <w:sz w:val="20"/>
          <w:szCs w:val="20"/>
          <w:color w:val="auto"/>
        </w:rPr>
      </w:pPr>
    </w:p>
    <w:p>
      <w:pPr>
        <w:ind w:right="680" w:firstLine="428"/>
        <w:spacing w:after="0" w:line="246"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 as well as payments on finance lease obligations.</w:t>
      </w:r>
    </w:p>
    <w:p>
      <w:pPr>
        <w:spacing w:after="0" w:line="143"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For the nine months ended November 1, 2020, net cash provided by financing activities was $50.7 million, primarily consisting of proceeds of $28.9 million, net from our term loan and proceeds of $23.7 million, net from our revolving line of credit to fund working capital.</w:t>
      </w:r>
    </w:p>
    <w:p>
      <w:pPr>
        <w:spacing w:after="0" w:line="129"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For the nine months ended November 3, 2019, net cash provided by financing activities was $73.0 million, primarily consisting of proceeds of $53.9 million, net from our revolving line of credit and proceeds of $20.0 million from our term loan to fund working capital.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ind w:right="60" w:firstLine="428"/>
        <w:spacing w:after="0" w:line="228" w:lineRule="auto"/>
        <w:rPr>
          <w:sz w:val="20"/>
          <w:szCs w:val="20"/>
          <w:color w:val="auto"/>
        </w:rPr>
      </w:pPr>
      <w:r>
        <w:rPr>
          <w:rFonts w:ascii="Arial" w:cs="Arial" w:eastAsia="Arial" w:hAnsi="Arial"/>
          <w:sz w:val="18"/>
          <w:szCs w:val="18"/>
          <w:color w:val="auto"/>
        </w:rPr>
        <w:t>On May 17, 2018, we entered into a credit agreement (the “Credit Agreement”) which provides for borrowings of up to $80.0 million on a revolving line of credit and an additional $50.0 million in a delayed draw term loan. The $80.0 million revolving line of credit matures on May 17, 2023 and we had the option to draw in various amounts on the $50.0 million term loan through May 17, 2020, with a maturity on May 17, 2023. On April 30, 2020, the Credit Agreement was amended to include an incremental delayed draw term loan of $20.5 million that is available to draw upon before March 31, 2021, and matures on April 29, 2021, for a total credit facility of $150.5 million.</w:t>
      </w:r>
    </w:p>
    <w:p>
      <w:pPr>
        <w:spacing w:after="0" w:line="137" w:lineRule="exact"/>
        <w:rPr>
          <w:sz w:val="20"/>
          <w:szCs w:val="20"/>
          <w:color w:val="auto"/>
        </w:rPr>
      </w:pPr>
    </w:p>
    <w:p>
      <w:pPr>
        <w:ind w:right="140" w:firstLine="428"/>
        <w:spacing w:after="0" w:line="246" w:lineRule="auto"/>
        <w:rPr>
          <w:sz w:val="20"/>
          <w:szCs w:val="20"/>
          <w:color w:val="auto"/>
        </w:rPr>
      </w:pPr>
      <w:r>
        <w:rPr>
          <w:rFonts w:ascii="Arial" w:cs="Arial" w:eastAsia="Arial" w:hAnsi="Arial"/>
          <w:sz w:val="18"/>
          <w:szCs w:val="18"/>
          <w:color w:val="auto"/>
        </w:rPr>
        <w:t>As of November 1, 2020 and for the nine months then ended, the Company was in compliance with all financial and non-financial covenants for all debts discussed above and expects to be in compliance for the remainder of fiscal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February 2,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61"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20" w:lineRule="exact"/>
        <w:rPr>
          <w:sz w:val="20"/>
          <w:szCs w:val="20"/>
          <w:color w:val="auto"/>
        </w:rPr>
      </w:pPr>
    </w:p>
    <w:p>
      <w:pPr>
        <w:ind w:right="40" w:firstLine="428"/>
        <w:spacing w:after="0" w:line="246"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2019 Form 10-K, except as discussed below.</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158" w:lineRule="exact"/>
        <w:rPr>
          <w:sz w:val="20"/>
          <w:szCs w:val="20"/>
          <w:color w:val="auto"/>
        </w:rPr>
      </w:pPr>
    </w:p>
    <w:p>
      <w:pPr>
        <w:ind w:right="60" w:firstLine="428"/>
        <w:spacing w:after="0" w:line="231" w:lineRule="auto"/>
        <w:rPr>
          <w:sz w:val="20"/>
          <w:szCs w:val="20"/>
          <w:color w:val="auto"/>
        </w:rPr>
      </w:pPr>
      <w:r>
        <w:rPr>
          <w:rFonts w:ascii="Arial" w:cs="Arial" w:eastAsia="Arial" w:hAnsi="Arial"/>
          <w:sz w:val="18"/>
          <w:szCs w:val="18"/>
          <w:color w:val="auto"/>
        </w:rPr>
        <w:t>On February 3, 2020, we adopted authoritative guidance related to accounting for costs of implementation activities performed in a cloud computing arrangement that is a service contract and elected the prospective transition. As such, the comparative prior period information has not been restated and continues to be reported under the accounting standards in effect for those periods. Beginning with the first quarter of fiscal 2020, our financial results reflect adoption of the standard.</w:t>
      </w:r>
    </w:p>
    <w:p>
      <w:pPr>
        <w:spacing w:after="0" w:line="135"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See Note 1 “Nature of Operations and Basis of Presentation,” of Notes to Condensed Consolidated Financial Statements included in Part 1, Item 1, of this quarterly report on Form 10-Q for further information regarding recently adopted accounting pronouncements.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There have been no significant changes in the market risks described in our 2019 Form 10-K. See Note 3 “Debt and Line of Credit,” of Notes to Condensed Consolidated Financial Statements included in Part 1, Item 1, of this quarterly report on Form 10-Q, for disclosure on our interest rate related to borrowings under our credit agreement.</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28"/>
        <w:spacing w:after="0" w:line="228" w:lineRule="auto"/>
        <w:rPr>
          <w:sz w:val="20"/>
          <w:szCs w:val="20"/>
          <w:color w:val="auto"/>
        </w:rPr>
      </w:pPr>
      <w:r>
        <w:rPr>
          <w:rFonts w:ascii="Arial" w:cs="Arial" w:eastAsia="Arial" w:hAnsi="Arial"/>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ind w:right="220" w:firstLine="428"/>
        <w:spacing w:after="0" w:line="235" w:lineRule="auto"/>
        <w:rPr>
          <w:sz w:val="20"/>
          <w:szCs w:val="20"/>
          <w:color w:val="auto"/>
        </w:rPr>
      </w:pPr>
      <w:r>
        <w:rPr>
          <w:rFonts w:ascii="Arial" w:cs="Arial" w:eastAsia="Arial" w:hAnsi="Arial"/>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48"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There were no material impacts, due to COVID-19 and the resulting need to close our books remotely, on our ability to maintain internal control over financial reporting and disclosure controls and procedures for the nine months ended November 1,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right="160" w:firstLine="428"/>
        <w:spacing w:after="0" w:line="231"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80" w:firstLine="440"/>
        <w:spacing w:after="0" w:line="246" w:lineRule="auto"/>
        <w:rPr>
          <w:sz w:val="20"/>
          <w:szCs w:val="20"/>
          <w:color w:val="auto"/>
        </w:rPr>
      </w:pPr>
      <w:r>
        <w:rPr>
          <w:rFonts w:ascii="Arial" w:cs="Arial" w:eastAsia="Arial" w:hAnsi="Arial"/>
          <w:sz w:val="17"/>
          <w:szCs w:val="17"/>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2019 Form 10-K, our first and second quarter fiscal 2020 Form 10-Q or other SEC filings. There have been no material changes to our risk factors as previously disclosed in our fiscal 2019 Annual Report on Form 10-K or first and second quarter fiscal 2020 Form 10-Q.</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sell any equity securities during the quarter ended November 1, 2020, which were not registered under the Securities Act.</w:t>
      </w:r>
    </w:p>
    <w:p>
      <w:pPr>
        <w:spacing w:after="0" w:line="171" w:lineRule="exact"/>
        <w:rPr>
          <w:sz w:val="20"/>
          <w:szCs w:val="20"/>
          <w:color w:val="auto"/>
        </w:rPr>
      </w:pPr>
    </w:p>
    <w:p>
      <w:pPr>
        <w:ind w:right="600" w:firstLine="492"/>
        <w:spacing w:after="0" w:line="246" w:lineRule="auto"/>
        <w:rPr>
          <w:sz w:val="20"/>
          <w:szCs w:val="20"/>
          <w:color w:val="auto"/>
        </w:rPr>
      </w:pPr>
      <w:r>
        <w:rPr>
          <w:rFonts w:ascii="Arial" w:cs="Arial" w:eastAsia="Arial" w:hAnsi="Arial"/>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November 1, 2020.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purchased under the</w:t>
            </w:r>
          </w:p>
        </w:tc>
      </w:tr>
      <w:tr>
        <w:trPr>
          <w:trHeight w:val="188"/>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per share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or programs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plans or programs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3, 2020 – August 30, 2020</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gridSpan w:val="2"/>
          </w:tcPr>
          <w:p>
            <w:pPr>
              <w:spacing w:after="0"/>
              <w:rPr>
                <w:sz w:val="20"/>
                <w:szCs w:val="20"/>
                <w:color w:val="auto"/>
              </w:rPr>
            </w:pPr>
            <w:r>
              <w:rPr>
                <w:rFonts w:ascii="Arial" w:cs="Arial" w:eastAsia="Arial" w:hAnsi="Arial"/>
                <w:sz w:val="18"/>
                <w:szCs w:val="18"/>
                <w:color w:val="auto"/>
              </w:rPr>
              <w:t>August 31, 2020 – October 4, 2020</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5, 2020 – November 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4"/>
        </w:trPr>
        <w:tc>
          <w:tcPr>
            <w:tcW w:w="3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r>
      <w:tr>
        <w:trPr>
          <w:trHeight w:val="931"/>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234"/>
        </w:trPr>
        <w:tc>
          <w:tcPr>
            <w:tcW w:w="700" w:type="dxa"/>
            <w:vAlign w:val="bottom"/>
          </w:tcPr>
          <w:p>
            <w:pPr>
              <w:spacing w:after="0"/>
              <w:rPr>
                <w:sz w:val="20"/>
                <w:szCs w:val="20"/>
                <w:color w:val="auto"/>
              </w:rPr>
            </w:pPr>
          </w:p>
        </w:tc>
        <w:tc>
          <w:tcPr>
            <w:tcW w:w="1054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337"/>
        </w:trPr>
        <w:tc>
          <w:tcPr>
            <w:tcW w:w="11240" w:type="dxa"/>
            <w:vAlign w:val="bottom"/>
            <w:gridSpan w:val="2"/>
          </w:tcPr>
          <w:p>
            <w:pPr>
              <w:spacing w:after="0"/>
              <w:rPr>
                <w:sz w:val="20"/>
                <w:szCs w:val="20"/>
                <w:color w:val="auto"/>
              </w:rPr>
            </w:pPr>
            <w:r>
              <w:rPr>
                <w:rFonts w:ascii="Arial" w:cs="Arial" w:eastAsia="Arial" w:hAnsi="Arial"/>
                <w:sz w:val="18"/>
                <w:szCs w:val="18"/>
                <w:color w:val="auto"/>
              </w:rPr>
              <w:t>Exhibit No.</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10540" w:type="dxa"/>
            <w:vAlign w:val="bottom"/>
          </w:tcPr>
          <w:p>
            <w:pPr>
              <w:ind w:left="580"/>
              <w:spacing w:after="0"/>
              <w:rPr>
                <w:rFonts w:ascii="Arial" w:cs="Arial" w:eastAsia="Arial" w:hAnsi="Arial"/>
                <w:sz w:val="16"/>
                <w:szCs w:val="16"/>
                <w:color w:val="0000FF"/>
              </w:rPr>
            </w:pPr>
            <w:hyperlink w:anchor="page34">
              <w:r>
                <w:rPr>
                  <w:rFonts w:ascii="Arial" w:cs="Arial" w:eastAsia="Arial" w:hAnsi="Arial"/>
                  <w:sz w:val="16"/>
                  <w:szCs w:val="16"/>
                  <w:u w:val="single" w:color="auto"/>
                  <w:color w:val="0000FF"/>
                </w:rPr>
                <w:t>Certification of Chief Executive Officer pursuant to Rule 13a-14(a) and Rule 15d-14(a) of the Securities and Exchange Act, as amended.</w:t>
              </w:r>
            </w:hyperlink>
            <w:r>
              <w:rPr>
                <w:rFonts w:ascii="Arial" w:cs="Arial" w:eastAsia="Arial" w:hAnsi="Arial"/>
                <w:sz w:val="16"/>
                <w:szCs w:val="16"/>
                <w:color w:val="000000"/>
              </w:rPr>
              <w: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31.2</w:t>
            </w:r>
          </w:p>
        </w:tc>
        <w:tc>
          <w:tcPr>
            <w:tcW w:w="10540" w:type="dxa"/>
            <w:vAlign w:val="bottom"/>
          </w:tcPr>
          <w:p>
            <w:pPr>
              <w:ind w:left="580"/>
              <w:spacing w:after="0"/>
              <w:rPr>
                <w:rFonts w:ascii="Arial" w:cs="Arial" w:eastAsia="Arial" w:hAnsi="Arial"/>
                <w:sz w:val="16"/>
                <w:szCs w:val="16"/>
                <w:color w:val="0000FF"/>
                <w:w w:val="97"/>
              </w:rPr>
            </w:pPr>
            <w:hyperlink w:anchor="page35">
              <w:r>
                <w:rPr>
                  <w:rFonts w:ascii="Arial" w:cs="Arial" w:eastAsia="Arial" w:hAnsi="Arial"/>
                  <w:sz w:val="16"/>
                  <w:szCs w:val="16"/>
                  <w:u w:val="single" w:color="auto"/>
                  <w:color w:val="0000FF"/>
                  <w:w w:val="97"/>
                </w:rPr>
                <w:t>Certification of Chief Financial Officer pursuant to Rule 13a-14(a) and Rule 15d-14(a) of the Securities and Exchange Act of 1934, as amended.</w:t>
              </w:r>
            </w:hyperlink>
            <w:r>
              <w:rPr>
                <w:rFonts w:ascii="Arial" w:cs="Arial" w:eastAsia="Arial" w:hAnsi="Arial"/>
                <w:sz w:val="16"/>
                <w:szCs w:val="16"/>
                <w:color w:val="000000"/>
                <w:w w:val="97"/>
              </w:rPr>
              <w: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32.1</w:t>
            </w:r>
          </w:p>
        </w:tc>
        <w:tc>
          <w:tcPr>
            <w:tcW w:w="10540" w:type="dxa"/>
            <w:vAlign w:val="bottom"/>
          </w:tcPr>
          <w:p>
            <w:pPr>
              <w:ind w:left="580"/>
              <w:spacing w:after="0"/>
              <w:rPr>
                <w:rFonts w:ascii="Arial" w:cs="Arial" w:eastAsia="Arial" w:hAnsi="Arial"/>
                <w:sz w:val="16"/>
                <w:szCs w:val="16"/>
                <w:color w:val="0000FF"/>
                <w:w w:val="94"/>
              </w:rPr>
            </w:pPr>
            <w:hyperlink w:anchor="page36">
              <w:r>
                <w:rPr>
                  <w:rFonts w:ascii="Arial" w:cs="Arial" w:eastAsia="Arial" w:hAnsi="Arial"/>
                  <w:sz w:val="16"/>
                  <w:szCs w:val="16"/>
                  <w:u w:val="single" w:color="auto"/>
                  <w:color w:val="0000FF"/>
                  <w:w w:val="94"/>
                </w:rPr>
                <w:t>Certification of Chief Executive Officer pursuant to 18 U.S.C. Section 1350, as adopted pursuant to Section 906 of the Sarbanes-Oxley Act of 2002.</w:t>
              </w:r>
            </w:hyperlink>
            <w:r>
              <w:rPr>
                <w:rFonts w:ascii="Arial" w:cs="Arial" w:eastAsia="Arial" w:hAnsi="Arial"/>
                <w:sz w:val="16"/>
                <w:szCs w:val="16"/>
                <w:color w:val="000000"/>
                <w:w w:val="94"/>
              </w:rPr>
              <w: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32.2</w:t>
            </w:r>
          </w:p>
        </w:tc>
        <w:tc>
          <w:tcPr>
            <w:tcW w:w="10540" w:type="dxa"/>
            <w:vAlign w:val="bottom"/>
          </w:tcPr>
          <w:p>
            <w:pPr>
              <w:ind w:left="580"/>
              <w:spacing w:after="0"/>
              <w:rPr>
                <w:rFonts w:ascii="Arial" w:cs="Arial" w:eastAsia="Arial" w:hAnsi="Arial"/>
                <w:sz w:val="16"/>
                <w:szCs w:val="16"/>
                <w:color w:val="0000FF"/>
                <w:w w:val="95"/>
              </w:rPr>
            </w:pPr>
            <w:hyperlink w:anchor="page37">
              <w:r>
                <w:rPr>
                  <w:rFonts w:ascii="Arial" w:cs="Arial" w:eastAsia="Arial" w:hAnsi="Arial"/>
                  <w:sz w:val="16"/>
                  <w:szCs w:val="16"/>
                  <w:u w:val="single" w:color="auto"/>
                  <w:color w:val="0000FF"/>
                  <w:w w:val="95"/>
                </w:rPr>
                <w:t>Certification of Chief Financial Officer pursuant to 18 U.S.C. Section 1350, as adopted pursuant to Section 906 of the Sarbanes-Oxley Act of 2002.</w:t>
              </w:r>
            </w:hyperlink>
            <w:r>
              <w:rPr>
                <w:rFonts w:ascii="Arial" w:cs="Arial" w:eastAsia="Arial" w:hAnsi="Arial"/>
                <w:sz w:val="16"/>
                <w:szCs w:val="16"/>
                <w:color w:val="000000"/>
                <w:w w:val="95"/>
              </w:rPr>
              <w: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101.INS</w:t>
            </w:r>
          </w:p>
        </w:tc>
        <w:tc>
          <w:tcPr>
            <w:tcW w:w="10540" w:type="dxa"/>
            <w:vAlign w:val="bottom"/>
          </w:tcPr>
          <w:p>
            <w:pPr>
              <w:ind w:left="580"/>
              <w:spacing w:after="0"/>
              <w:rPr>
                <w:sz w:val="20"/>
                <w:szCs w:val="20"/>
                <w:color w:val="auto"/>
              </w:rPr>
            </w:pPr>
            <w:r>
              <w:rPr>
                <w:rFonts w:ascii="Arial" w:cs="Arial" w:eastAsia="Arial" w:hAnsi="Arial"/>
                <w:sz w:val="16"/>
                <w:szCs w:val="16"/>
                <w:color w:val="auto"/>
              </w:rPr>
              <w:t>XBRL Instance Document**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3"/>
              </w:rPr>
              <w:t>101.SCH</w:t>
            </w:r>
          </w:p>
        </w:tc>
        <w:tc>
          <w:tcPr>
            <w:tcW w:w="10540" w:type="dxa"/>
            <w:vAlign w:val="bottom"/>
          </w:tcPr>
          <w:p>
            <w:pPr>
              <w:ind w:left="580"/>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7"/>
              </w:rPr>
              <w:t>101.CAL</w:t>
            </w:r>
          </w:p>
        </w:tc>
        <w:tc>
          <w:tcPr>
            <w:tcW w:w="10540" w:type="dxa"/>
            <w:vAlign w:val="bottom"/>
          </w:tcPr>
          <w:p>
            <w:pPr>
              <w:ind w:left="5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5"/>
              </w:rPr>
              <w:t>101.DEF</w:t>
            </w:r>
          </w:p>
        </w:tc>
        <w:tc>
          <w:tcPr>
            <w:tcW w:w="10540" w:type="dxa"/>
            <w:vAlign w:val="bottom"/>
          </w:tcPr>
          <w:p>
            <w:pPr>
              <w:ind w:left="580"/>
              <w:spacing w:after="0"/>
              <w:rPr>
                <w:sz w:val="20"/>
                <w:szCs w:val="20"/>
                <w:color w:val="auto"/>
              </w:rPr>
            </w:pPr>
            <w:r>
              <w:rPr>
                <w:rFonts w:ascii="Arial" w:cs="Arial" w:eastAsia="Arial" w:hAnsi="Arial"/>
                <w:sz w:val="16"/>
                <w:szCs w:val="16"/>
                <w:color w:val="auto"/>
              </w:rPr>
              <w:t>XBRL Taxonomy Extension Definition Document**</w:t>
            </w: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8"/>
              </w:rPr>
              <w:t>101.LAB</w:t>
            </w:r>
          </w:p>
        </w:tc>
        <w:tc>
          <w:tcPr>
            <w:tcW w:w="10540" w:type="dxa"/>
            <w:vAlign w:val="bottom"/>
          </w:tcPr>
          <w:p>
            <w:pPr>
              <w:ind w:left="580"/>
              <w:spacing w:after="0"/>
              <w:rPr>
                <w:sz w:val="20"/>
                <w:szCs w:val="20"/>
                <w:color w:val="auto"/>
              </w:rPr>
            </w:pPr>
            <w:r>
              <w:rPr>
                <w:rFonts w:ascii="Arial" w:cs="Arial" w:eastAsia="Arial" w:hAnsi="Arial"/>
                <w:sz w:val="16"/>
                <w:szCs w:val="16"/>
                <w:color w:val="auto"/>
              </w:rPr>
              <w:t>XBRL Taxonomy Extension Label Linkbase Document**</w:t>
            </w:r>
          </w:p>
        </w:tc>
      </w:tr>
      <w:tr>
        <w:trPr>
          <w:trHeight w:val="21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101.PRE</w:t>
            </w:r>
          </w:p>
        </w:tc>
        <w:tc>
          <w:tcPr>
            <w:tcW w:w="105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649"/>
        </w:trPr>
        <w:tc>
          <w:tcPr>
            <w:tcW w:w="700" w:type="dxa"/>
            <w:vAlign w:val="bottom"/>
          </w:tcPr>
          <w:p>
            <w:pPr>
              <w:spacing w:after="0"/>
              <w:rPr>
                <w:sz w:val="20"/>
                <w:szCs w:val="20"/>
                <w:color w:val="auto"/>
              </w:rPr>
            </w:pPr>
            <w:r>
              <w:rPr>
                <w:rFonts w:ascii="Arial" w:cs="Arial" w:eastAsia="Arial" w:hAnsi="Arial"/>
                <w:sz w:val="16"/>
                <w:szCs w:val="16"/>
                <w:color w:val="auto"/>
              </w:rPr>
              <w:t>*</w:t>
            </w:r>
          </w:p>
        </w:tc>
        <w:tc>
          <w:tcPr>
            <w:tcW w:w="10540" w:type="dxa"/>
            <w:vAlign w:val="bottom"/>
          </w:tcPr>
          <w:p>
            <w:pPr>
              <w:ind w:left="880"/>
              <w:spacing w:after="0"/>
              <w:rPr>
                <w:sz w:val="20"/>
                <w:szCs w:val="20"/>
                <w:color w:val="auto"/>
              </w:rPr>
            </w:pPr>
            <w:r>
              <w:rPr>
                <w:rFonts w:ascii="Arial" w:cs="Arial" w:eastAsia="Arial" w:hAnsi="Arial"/>
                <w:sz w:val="16"/>
                <w:szCs w:val="16"/>
                <w:color w:val="auto"/>
              </w:rPr>
              <w:t>Filed herewith</w:t>
            </w:r>
          </w:p>
        </w:tc>
      </w:tr>
      <w:tr>
        <w:trPr>
          <w:trHeight w:val="334"/>
        </w:trPr>
        <w:tc>
          <w:tcPr>
            <w:tcW w:w="700" w:type="dxa"/>
            <w:vAlign w:val="bottom"/>
          </w:tcPr>
          <w:p>
            <w:pPr>
              <w:spacing w:after="0"/>
              <w:rPr>
                <w:sz w:val="20"/>
                <w:szCs w:val="20"/>
                <w:color w:val="auto"/>
              </w:rPr>
            </w:pPr>
            <w:r>
              <w:rPr>
                <w:rFonts w:ascii="Arial" w:cs="Arial" w:eastAsia="Arial" w:hAnsi="Arial"/>
                <w:sz w:val="16"/>
                <w:szCs w:val="16"/>
                <w:color w:val="auto"/>
              </w:rPr>
              <w:t>**</w:t>
            </w:r>
          </w:p>
        </w:tc>
        <w:tc>
          <w:tcPr>
            <w:tcW w:w="10540" w:type="dxa"/>
            <w:vAlign w:val="bottom"/>
          </w:tcPr>
          <w:p>
            <w:pPr>
              <w:ind w:left="880"/>
              <w:spacing w:after="0"/>
              <w:rPr>
                <w:sz w:val="20"/>
                <w:szCs w:val="20"/>
                <w:color w:val="auto"/>
              </w:rPr>
            </w:pPr>
            <w:r>
              <w:rPr>
                <w:rFonts w:ascii="Arial" w:cs="Arial" w:eastAsia="Arial" w:hAnsi="Arial"/>
                <w:sz w:val="16"/>
                <w:szCs w:val="16"/>
                <w:color w:val="auto"/>
                <w:w w:val="96"/>
              </w:rPr>
              <w:t>In accordance with Regulation S-T, the XBRL-related information in Exhibit 101 to this Quarterly Report on Form 10-Q shall be deemed to be</w:t>
            </w:r>
          </w:p>
        </w:tc>
      </w:tr>
      <w:tr>
        <w:trPr>
          <w:trHeight w:val="206"/>
        </w:trPr>
        <w:tc>
          <w:tcPr>
            <w:tcW w:w="700" w:type="dxa"/>
            <w:vAlign w:val="bottom"/>
          </w:tcPr>
          <w:p>
            <w:pPr>
              <w:spacing w:after="0"/>
              <w:rPr>
                <w:sz w:val="17"/>
                <w:szCs w:val="17"/>
                <w:color w:val="auto"/>
              </w:rPr>
            </w:pPr>
          </w:p>
        </w:tc>
        <w:tc>
          <w:tcPr>
            <w:tcW w:w="10540" w:type="dxa"/>
            <w:vAlign w:val="bottom"/>
          </w:tcPr>
          <w:p>
            <w:pPr>
              <w:ind w:left="880"/>
              <w:spacing w:after="0"/>
              <w:rPr>
                <w:sz w:val="20"/>
                <w:szCs w:val="20"/>
                <w:color w:val="auto"/>
              </w:rPr>
            </w:pPr>
            <w:r>
              <w:rPr>
                <w:rFonts w:ascii="Arial" w:cs="Arial" w:eastAsia="Arial" w:hAnsi="Arial"/>
                <w:sz w:val="16"/>
                <w:szCs w:val="16"/>
                <w:color w:val="auto"/>
              </w:rPr>
              <w:t>“furnished” and not “filed.”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Date: December 4, 2020</w:t>
      </w:r>
    </w:p>
    <w:p>
      <w:pPr>
        <w:ind w:left="4540"/>
        <w:spacing w:after="0" w:line="238" w:lineRule="auto"/>
        <w:rPr>
          <w:sz w:val="20"/>
          <w:szCs w:val="20"/>
          <w:color w:val="auto"/>
        </w:rPr>
      </w:pPr>
      <w:r>
        <w:rPr>
          <w:rFonts w:ascii="Arial" w:cs="Arial" w:eastAsia="Arial" w:hAnsi="Arial"/>
          <w:sz w:val="18"/>
          <w:szCs w:val="18"/>
          <w:color w:val="auto"/>
        </w:rPr>
        <w:t>DULUTH HOLDINGS INC.</w:t>
      </w:r>
    </w:p>
    <w:p>
      <w:pPr>
        <w:ind w:left="4540"/>
        <w:spacing w:after="0"/>
        <w:rPr>
          <w:sz w:val="20"/>
          <w:szCs w:val="20"/>
          <w:color w:val="auto"/>
        </w:rPr>
      </w:pPr>
      <w:r>
        <w:rPr>
          <w:rFonts w:ascii="Arial" w:cs="Arial" w:eastAsia="Arial" w:hAnsi="Arial"/>
          <w:sz w:val="18"/>
          <w:szCs w:val="18"/>
          <w:color w:val="auto"/>
        </w:rPr>
        <w:t>(Registrant)</w:t>
      </w:r>
    </w:p>
    <w:p>
      <w:pPr>
        <w:spacing w:after="0" w:line="34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David Loretta</w:t>
      </w:r>
    </w:p>
    <w:p>
      <w:pPr>
        <w:ind w:left="4820"/>
        <w:spacing w:after="0" w:line="219" w:lineRule="auto"/>
        <w:rPr>
          <w:sz w:val="20"/>
          <w:szCs w:val="20"/>
          <w:color w:val="auto"/>
        </w:rPr>
      </w:pPr>
      <w:r>
        <w:rPr>
          <w:rFonts w:ascii="Arial" w:cs="Arial" w:eastAsia="Arial" w:hAnsi="Arial"/>
          <w:sz w:val="18"/>
          <w:szCs w:val="18"/>
          <w:b w:val="1"/>
          <w:bCs w:val="1"/>
          <w:i w:val="1"/>
          <w:iCs w:val="1"/>
          <w:color w:val="auto"/>
        </w:rPr>
        <w:t>Senior Vice President and Chief Financial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Michael Murphy</w:t>
      </w:r>
    </w:p>
    <w:p>
      <w:pPr>
        <w:ind w:left="4820"/>
        <w:spacing w:after="0" w:line="219" w:lineRule="auto"/>
        <w:rPr>
          <w:sz w:val="20"/>
          <w:szCs w:val="20"/>
          <w:color w:val="auto"/>
        </w:rPr>
      </w:pPr>
      <w:r>
        <w:rPr>
          <w:rFonts w:ascii="Arial" w:cs="Arial" w:eastAsia="Arial" w:hAnsi="Arial"/>
          <w:sz w:val="18"/>
          <w:szCs w:val="18"/>
          <w:b w:val="1"/>
          <w:bCs w:val="1"/>
          <w:i w:val="1"/>
          <w:iCs w:val="1"/>
          <w:color w:val="auto"/>
        </w:rPr>
        <w:t>Vice President and Chief Accounting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Accounting Officer)</w:t>
      </w:r>
    </w:p>
    <w:p>
      <w:pPr>
        <w:spacing w:after="0" w:line="1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00"/>
          </w:cols>
          <w:pgMar w:left="320" w:top="287" w:right="8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L. Schlecht,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2020</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Stephen L. Schlecht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0007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120" w:hanging="324"/>
        <w:spacing w:after="0" w:line="263"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2020</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0007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8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November 1, 2020 as filed with the Securities and Exchange Commission on the date hereof (the “Report”), I, Stephen L. Schlecht,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660" w:right="3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Stephen L. Schlecht</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4, 2020</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60007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November 1, 2020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980" w:right="2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4, 2020</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60007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1."/>
      <w:numFmt w:val="upperLetter"/>
      <w:start w:val="2"/>
    </w:lvl>
  </w:abstractNum>
  <w:abstractNum w:abstractNumId="4">
    <w:nsid w:val="216231B"/>
    <w:multiLevelType w:val="hybridMultilevel"/>
    <w:lvl w:ilvl="0">
      <w:lvlJc w:val="left"/>
      <w:lvlText w:val="%1."/>
      <w:numFmt w:val="upperLetter"/>
      <w:start w:val="3"/>
    </w:lvl>
  </w:abstractNum>
  <w:abstractNum w:abstractNumId="5">
    <w:nsid w:val="1F16E9E8"/>
    <w:multiLevelType w:val="hybridMultilevel"/>
    <w:lvl w:ilvl="0">
      <w:lvlJc w:val="left"/>
      <w:lvlText w:val="%1."/>
      <w:numFmt w:val="upperLetter"/>
      <w:start w:val="5"/>
    </w:lvl>
  </w:abstractNum>
  <w:abstractNum w:abstractNumId="6">
    <w:nsid w:val="1190CDE7"/>
    <w:multiLevelType w:val="hybridMultilevel"/>
    <w:lvl w:ilvl="0">
      <w:lvlJc w:val="left"/>
      <w:lvlText w:val="%1."/>
      <w:numFmt w:val="upperLetter"/>
      <w:start w:val="6"/>
    </w:lvl>
  </w:abstractNum>
  <w:abstractNum w:abstractNumId="7">
    <w:nsid w:val="66EF438D"/>
    <w:multiLevelType w:val="hybridMultilevel"/>
    <w:lvl w:ilvl="0">
      <w:lvlJc w:val="left"/>
      <w:lvlText w:val="%1."/>
      <w:numFmt w:val="upperLetter"/>
      <w:start w:val="9"/>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decimal"/>
      <w:start w:val="4"/>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2020-12-04T10:54:18Z</dcterms:created>
  <dcterms:modified xsi:type="dcterms:W3CDTF">2020-12-04T10:54:18Z</dcterms:modified>
</cp:coreProperties>
</file>