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line="228" w:lineRule="auto"/>
        <w:rPr>
          <w:sz w:val="20"/>
          <w:szCs w:val="20"/>
          <w:color w:val="auto"/>
        </w:rPr>
      </w:pPr>
      <w:r>
        <w:rPr>
          <w:rFonts w:ascii="Arial" w:cs="Arial" w:eastAsia="Arial" w:hAnsi="Arial"/>
          <w:sz w:val="22"/>
          <w:szCs w:val="22"/>
          <w:b w:val="1"/>
          <w:bCs w:val="1"/>
          <w:color w:val="auto"/>
        </w:rPr>
        <w:t>Washington, D.C. 20549</w:t>
      </w:r>
    </w:p>
    <w:p>
      <w:pPr>
        <w:ind w:left="3300"/>
        <w:spacing w:after="0" w:line="231" w:lineRule="auto"/>
        <w:rPr>
          <w:sz w:val="20"/>
          <w:szCs w:val="20"/>
          <w:color w:val="auto"/>
        </w:rPr>
      </w:pPr>
      <w:r>
        <w:rPr>
          <w:rFonts w:ascii="Arial" w:cs="Arial" w:eastAsia="Arial" w:hAnsi="Arial"/>
          <w:sz w:val="14"/>
          <w:szCs w:val="14"/>
          <w:color w:val="auto"/>
        </w:rPr>
        <w:t>_________________________________________</w:t>
      </w:r>
    </w:p>
    <w:p>
      <w:pPr>
        <w:jc w:val="center"/>
        <w:ind w:right="-39"/>
        <w:spacing w:after="0" w:line="238" w:lineRule="auto"/>
        <w:rPr>
          <w:sz w:val="20"/>
          <w:szCs w:val="20"/>
          <w:color w:val="auto"/>
        </w:rPr>
      </w:pPr>
      <w:r>
        <w:rPr>
          <w:rFonts w:ascii="Arial" w:cs="Arial" w:eastAsia="Arial" w:hAnsi="Arial"/>
          <w:sz w:val="29"/>
          <w:szCs w:val="29"/>
          <w:b w:val="1"/>
          <w:bCs w:val="1"/>
          <w:color w:val="auto"/>
        </w:rPr>
        <w:t>FORM 10-Q</w:t>
      </w:r>
    </w:p>
    <w:p>
      <w:pPr>
        <w:spacing w:after="0" w:line="1" w:lineRule="exact"/>
        <w:rPr>
          <w:sz w:val="24"/>
          <w:szCs w:val="24"/>
          <w:color w:val="auto"/>
        </w:rPr>
      </w:pPr>
    </w:p>
    <w:p>
      <w:pPr>
        <w:ind w:left="3300"/>
        <w:spacing w:after="0"/>
        <w:rPr>
          <w:sz w:val="20"/>
          <w:szCs w:val="20"/>
          <w:color w:val="auto"/>
        </w:rPr>
      </w:pPr>
      <w:r>
        <w:rPr>
          <w:rFonts w:ascii="Arial" w:cs="Arial" w:eastAsia="Arial" w:hAnsi="Arial"/>
          <w:sz w:val="14"/>
          <w:szCs w:val="14"/>
          <w:color w:val="auto"/>
        </w:rPr>
        <w:t>_________________________________________</w:t>
      </w:r>
    </w:p>
    <w:p>
      <w:pPr>
        <w:spacing w:after="0" w:line="129" w:lineRule="exact"/>
        <w:rPr>
          <w:sz w:val="24"/>
          <w:szCs w:val="24"/>
          <w:color w:val="auto"/>
        </w:rPr>
      </w:pPr>
    </w:p>
    <w:p>
      <w:pPr>
        <w:ind w:left="820" w:right="360" w:hanging="695"/>
        <w:spacing w:after="0" w:line="256" w:lineRule="auto"/>
        <w:tabs>
          <w:tab w:leader="none" w:pos="8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October 29, 2017</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84" w:lineRule="exact"/>
        <w:rPr>
          <w:sz w:val="24"/>
          <w:szCs w:val="24"/>
          <w:color w:val="auto"/>
        </w:rPr>
      </w:pPr>
    </w:p>
    <w:p>
      <w:pPr>
        <w:ind w:left="920" w:right="260" w:hanging="795"/>
        <w:spacing w:after="0" w:line="256" w:lineRule="auto"/>
        <w:tabs>
          <w:tab w:leader="none" w:pos="9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2940"/>
        <w:spacing w:after="0"/>
        <w:tabs>
          <w:tab w:leader="none" w:pos="5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3368040</wp:posOffset>
            </wp:positionH>
            <wp:positionV relativeFrom="paragraph">
              <wp:posOffset>-7620</wp:posOffset>
            </wp:positionV>
            <wp:extent cx="809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9625"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001-37641</w:t>
      </w:r>
    </w:p>
    <w:p>
      <w:pPr>
        <w:spacing w:after="0" w:line="13"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_________________________________________</w:t>
      </w:r>
    </w:p>
    <w:p>
      <w:pPr>
        <w:jc w:val="center"/>
        <w:ind w:right="-39"/>
        <w:spacing w:after="0" w:line="234" w:lineRule="auto"/>
        <w:rPr>
          <w:sz w:val="20"/>
          <w:szCs w:val="20"/>
          <w:color w:val="auto"/>
        </w:rPr>
      </w:pPr>
      <w:r>
        <w:rPr>
          <w:rFonts w:ascii="Arial" w:cs="Arial" w:eastAsia="Arial" w:hAnsi="Arial"/>
          <w:sz w:val="40"/>
          <w:szCs w:val="40"/>
          <w:b w:val="1"/>
          <w:bCs w:val="1"/>
          <w:color w:val="auto"/>
        </w:rPr>
        <w:t>DULUTH HOLDINGS INC.</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3320"/>
        <w:spacing w:after="0"/>
        <w:rPr>
          <w:sz w:val="20"/>
          <w:szCs w:val="20"/>
          <w:color w:val="auto"/>
        </w:rPr>
      </w:pPr>
      <w:r>
        <w:rPr>
          <w:rFonts w:ascii="Arial" w:cs="Arial" w:eastAsia="Arial" w:hAnsi="Arial"/>
          <w:sz w:val="14"/>
          <w:szCs w:val="14"/>
          <w:color w:val="auto"/>
        </w:rPr>
        <w:t>_________________________________________</w:t>
      </w:r>
    </w:p>
    <w:p>
      <w:pPr>
        <w:spacing w:after="0" w:line="138" w:lineRule="exact"/>
        <w:rPr>
          <w:sz w:val="24"/>
          <w:szCs w:val="24"/>
          <w:color w:val="auto"/>
        </w:rPr>
      </w:pPr>
    </w:p>
    <w:tbl>
      <w:tblPr>
        <w:tblLayout w:type="fixed"/>
        <w:tblInd w:w="1200" w:type="dxa"/>
        <w:tblCellMar>
          <w:top w:w="0" w:type="dxa"/>
          <w:left w:w="0" w:type="dxa"/>
          <w:bottom w:w="0" w:type="dxa"/>
          <w:right w:w="0" w:type="dxa"/>
        </w:tblCellMar>
      </w:tblPr>
      <w:tr>
        <w:trPr>
          <w:trHeight w:val="212"/>
        </w:trPr>
        <w:tc>
          <w:tcPr>
            <w:tcW w:w="5180" w:type="dxa"/>
            <w:vAlign w:val="bottom"/>
          </w:tcPr>
          <w:p>
            <w:pPr>
              <w:jc w:val="center"/>
              <w:ind w:right="2721"/>
              <w:spacing w:after="0"/>
              <w:rPr>
                <w:sz w:val="20"/>
                <w:szCs w:val="20"/>
                <w:color w:val="auto"/>
              </w:rPr>
            </w:pPr>
            <w:r>
              <w:rPr>
                <w:rFonts w:ascii="Arial" w:cs="Arial" w:eastAsia="Arial" w:hAnsi="Arial"/>
                <w:sz w:val="18"/>
                <w:szCs w:val="18"/>
                <w:b w:val="1"/>
                <w:bCs w:val="1"/>
                <w:color w:val="auto"/>
                <w:w w:val="86"/>
              </w:rPr>
              <w:t>Wisconsin</w:t>
            </w:r>
          </w:p>
        </w:tc>
        <w:tc>
          <w:tcPr>
            <w:tcW w:w="1500" w:type="dxa"/>
            <w:vAlign w:val="bottom"/>
          </w:tcPr>
          <w:p>
            <w:pPr>
              <w:jc w:val="right"/>
              <w:ind w:right="201"/>
              <w:spacing w:after="0"/>
              <w:rPr>
                <w:sz w:val="20"/>
                <w:szCs w:val="20"/>
                <w:color w:val="auto"/>
              </w:rPr>
            </w:pPr>
            <w:r>
              <w:rPr>
                <w:rFonts w:ascii="Arial" w:cs="Arial" w:eastAsia="Arial" w:hAnsi="Arial"/>
                <w:sz w:val="18"/>
                <w:szCs w:val="18"/>
                <w:b w:val="1"/>
                <w:bCs w:val="1"/>
                <w:color w:val="auto"/>
              </w:rPr>
              <w:t>39-1564801</w:t>
            </w:r>
          </w:p>
        </w:tc>
      </w:tr>
      <w:tr>
        <w:trPr>
          <w:trHeight w:val="149"/>
        </w:trPr>
        <w:tc>
          <w:tcPr>
            <w:tcW w:w="5180" w:type="dxa"/>
            <w:vAlign w:val="bottom"/>
          </w:tcPr>
          <w:p>
            <w:pPr>
              <w:jc w:val="center"/>
              <w:ind w:right="270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180" w:type="dxa"/>
            <w:vAlign w:val="bottom"/>
          </w:tcPr>
          <w:p>
            <w:pPr>
              <w:jc w:val="center"/>
              <w:ind w:right="2701"/>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Number)</w:t>
            </w:r>
          </w:p>
        </w:tc>
      </w:tr>
      <w:tr>
        <w:trPr>
          <w:trHeight w:val="399"/>
        </w:trPr>
        <w:tc>
          <w:tcPr>
            <w:tcW w:w="5180" w:type="dxa"/>
            <w:vAlign w:val="bottom"/>
          </w:tcPr>
          <w:p>
            <w:pPr>
              <w:jc w:val="center"/>
              <w:ind w:right="2721"/>
              <w:spacing w:after="0"/>
              <w:rPr>
                <w:sz w:val="20"/>
                <w:szCs w:val="20"/>
                <w:color w:val="auto"/>
              </w:rPr>
            </w:pPr>
            <w:r>
              <w:rPr>
                <w:rFonts w:ascii="Arial" w:cs="Arial" w:eastAsia="Arial" w:hAnsi="Arial"/>
                <w:sz w:val="18"/>
                <w:szCs w:val="18"/>
                <w:b w:val="1"/>
                <w:bCs w:val="1"/>
                <w:color w:val="auto"/>
                <w:w w:val="91"/>
              </w:rPr>
              <w:t>170 Countryside Drive</w:t>
            </w:r>
          </w:p>
        </w:tc>
        <w:tc>
          <w:tcPr>
            <w:tcW w:w="1500" w:type="dxa"/>
            <w:vAlign w:val="bottom"/>
          </w:tcPr>
          <w:p>
            <w:pPr>
              <w:spacing w:after="0"/>
              <w:rPr>
                <w:sz w:val="24"/>
                <w:szCs w:val="24"/>
                <w:color w:val="auto"/>
              </w:rPr>
            </w:pPr>
          </w:p>
        </w:tc>
      </w:tr>
      <w:tr>
        <w:trPr>
          <w:trHeight w:val="216"/>
        </w:trPr>
        <w:tc>
          <w:tcPr>
            <w:tcW w:w="5180" w:type="dxa"/>
            <w:vAlign w:val="bottom"/>
          </w:tcPr>
          <w:p>
            <w:pPr>
              <w:jc w:val="center"/>
              <w:ind w:right="2721"/>
              <w:spacing w:after="0"/>
              <w:rPr>
                <w:sz w:val="20"/>
                <w:szCs w:val="20"/>
                <w:color w:val="auto"/>
              </w:rPr>
            </w:pPr>
            <w:r>
              <w:rPr>
                <w:rFonts w:ascii="Arial" w:cs="Arial" w:eastAsia="Arial" w:hAnsi="Arial"/>
                <w:sz w:val="18"/>
                <w:szCs w:val="18"/>
                <w:b w:val="1"/>
                <w:bCs w:val="1"/>
                <w:color w:val="auto"/>
                <w:w w:val="89"/>
              </w:rPr>
              <w:t>P.O. Box 409</w:t>
            </w:r>
          </w:p>
        </w:tc>
        <w:tc>
          <w:tcPr>
            <w:tcW w:w="1500" w:type="dxa"/>
            <w:vAlign w:val="bottom"/>
          </w:tcPr>
          <w:p>
            <w:pPr>
              <w:jc w:val="right"/>
              <w:ind w:right="421"/>
              <w:spacing w:after="0"/>
              <w:rPr>
                <w:sz w:val="20"/>
                <w:szCs w:val="20"/>
                <w:color w:val="auto"/>
              </w:rPr>
            </w:pPr>
            <w:r>
              <w:rPr>
                <w:rFonts w:ascii="Arial" w:cs="Arial" w:eastAsia="Arial" w:hAnsi="Arial"/>
                <w:sz w:val="18"/>
                <w:szCs w:val="18"/>
                <w:b w:val="1"/>
                <w:bCs w:val="1"/>
                <w:color w:val="auto"/>
              </w:rPr>
              <w:t>53508</w:t>
            </w:r>
          </w:p>
        </w:tc>
      </w:tr>
      <w:tr>
        <w:trPr>
          <w:trHeight w:val="212"/>
        </w:trPr>
        <w:tc>
          <w:tcPr>
            <w:tcW w:w="5180" w:type="dxa"/>
            <w:vAlign w:val="bottom"/>
          </w:tcPr>
          <w:p>
            <w:pPr>
              <w:jc w:val="center"/>
              <w:ind w:right="2721"/>
              <w:spacing w:after="0"/>
              <w:rPr>
                <w:sz w:val="20"/>
                <w:szCs w:val="20"/>
                <w:color w:val="auto"/>
              </w:rPr>
            </w:pPr>
            <w:r>
              <w:rPr>
                <w:rFonts w:ascii="Arial" w:cs="Arial" w:eastAsia="Arial" w:hAnsi="Arial"/>
                <w:sz w:val="18"/>
                <w:szCs w:val="18"/>
                <w:b w:val="1"/>
                <w:bCs w:val="1"/>
                <w:color w:val="auto"/>
                <w:w w:val="88"/>
              </w:rPr>
              <w:t>Belleville, Wisconsin</w:t>
            </w:r>
          </w:p>
        </w:tc>
        <w:tc>
          <w:tcPr>
            <w:tcW w:w="1500" w:type="dxa"/>
            <w:vAlign w:val="bottom"/>
          </w:tcPr>
          <w:p>
            <w:pPr>
              <w:spacing w:after="0"/>
              <w:rPr>
                <w:sz w:val="18"/>
                <w:szCs w:val="18"/>
                <w:color w:val="auto"/>
              </w:rPr>
            </w:pPr>
          </w:p>
        </w:tc>
      </w:tr>
      <w:tr>
        <w:trPr>
          <w:trHeight w:val="186"/>
        </w:trPr>
        <w:tc>
          <w:tcPr>
            <w:tcW w:w="5180" w:type="dxa"/>
            <w:vAlign w:val="bottom"/>
          </w:tcPr>
          <w:p>
            <w:pPr>
              <w:jc w:val="center"/>
              <w:ind w:right="27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5180" w:type="dxa"/>
            <w:vAlign w:val="bottom"/>
          </w:tcPr>
          <w:p>
            <w:pPr>
              <w:jc w:val="right"/>
              <w:ind w:right="1141"/>
              <w:spacing w:after="0"/>
              <w:rPr>
                <w:sz w:val="20"/>
                <w:szCs w:val="20"/>
                <w:color w:val="auto"/>
              </w:rPr>
            </w:pPr>
            <w:r>
              <w:rPr>
                <w:rFonts w:ascii="Arial" w:cs="Arial" w:eastAsia="Arial" w:hAnsi="Arial"/>
                <w:sz w:val="14"/>
                <w:szCs w:val="14"/>
                <w:b w:val="1"/>
                <w:bCs w:val="1"/>
                <w:color w:val="auto"/>
              </w:rPr>
              <w:t>(608) 424-1544</w:t>
            </w:r>
          </w:p>
        </w:tc>
        <w:tc>
          <w:tcPr>
            <w:tcW w:w="1500" w:type="dxa"/>
            <w:vAlign w:val="bottom"/>
          </w:tcPr>
          <w:p>
            <w:pPr>
              <w:spacing w:after="0"/>
              <w:rPr>
                <w:sz w:val="24"/>
                <w:szCs w:val="24"/>
                <w:color w:val="auto"/>
              </w:rPr>
            </w:pPr>
          </w:p>
        </w:tc>
      </w:tr>
      <w:tr>
        <w:trPr>
          <w:trHeight w:val="166"/>
        </w:trPr>
        <w:tc>
          <w:tcPr>
            <w:tcW w:w="5180" w:type="dxa"/>
            <w:vAlign w:val="bottom"/>
          </w:tcPr>
          <w:p>
            <w:pPr>
              <w:jc w:val="center"/>
              <w:ind w:left="174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4"/>
                <w:szCs w:val="14"/>
                <w:color w:val="auto"/>
              </w:rPr>
            </w:pPr>
          </w:p>
        </w:tc>
      </w:tr>
      <w:tr>
        <w:trPr>
          <w:trHeight w:val="171"/>
        </w:trPr>
        <w:tc>
          <w:tcPr>
            <w:tcW w:w="5180" w:type="dxa"/>
            <w:vAlign w:val="bottom"/>
          </w:tcPr>
          <w:p>
            <w:pPr>
              <w:jc w:val="right"/>
              <w:ind w:right="41"/>
              <w:spacing w:after="0"/>
              <w:rPr>
                <w:sz w:val="20"/>
                <w:szCs w:val="20"/>
                <w:color w:val="auto"/>
              </w:rPr>
            </w:pPr>
            <w:r>
              <w:rPr>
                <w:rFonts w:ascii="Arial" w:cs="Arial" w:eastAsia="Arial" w:hAnsi="Arial"/>
                <w:sz w:val="14"/>
                <w:szCs w:val="14"/>
                <w:color w:val="auto"/>
              </w:rPr>
              <w:t>_________________________________________</w:t>
            </w:r>
          </w:p>
        </w:tc>
        <w:tc>
          <w:tcPr>
            <w:tcW w:w="1500" w:type="dxa"/>
            <w:vAlign w:val="bottom"/>
          </w:tcPr>
          <w:p>
            <w:pPr>
              <w:spacing w:after="0"/>
              <w:rPr>
                <w:sz w:val="14"/>
                <w:szCs w:val="14"/>
                <w:color w:val="auto"/>
              </w:rPr>
            </w:pPr>
          </w:p>
        </w:tc>
      </w:tr>
    </w:tbl>
    <w:p>
      <w:pPr>
        <w:ind w:firstLine="428"/>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20" w:firstLine="42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40" w:firstLine="42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3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08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13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08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00" w:type="dxa"/>
            <w:vAlign w:val="bottom"/>
          </w:tcPr>
          <w:p>
            <w:pPr>
              <w:spacing w:after="0"/>
              <w:rPr>
                <w:sz w:val="20"/>
                <w:szCs w:val="20"/>
                <w:color w:val="auto"/>
              </w:rPr>
            </w:pPr>
            <w:r>
              <w:rPr>
                <w:rFonts w:ascii="Arial" w:cs="Arial" w:eastAsia="Arial" w:hAnsi="Arial"/>
                <w:sz w:val="13"/>
                <w:szCs w:val="13"/>
                <w:color w:val="auto"/>
                <w:w w:val="94"/>
              </w:rPr>
              <w:t>(Do not check if smaller reporting company)</w:t>
            </w:r>
          </w:p>
        </w:tc>
        <w:tc>
          <w:tcPr>
            <w:tcW w:w="1380" w:type="dxa"/>
            <w:vAlign w:val="bottom"/>
          </w:tcPr>
          <w:p>
            <w:pPr>
              <w:spacing w:after="0"/>
              <w:rPr>
                <w:sz w:val="22"/>
                <w:szCs w:val="22"/>
                <w:color w:val="auto"/>
              </w:rPr>
            </w:pPr>
          </w:p>
        </w:tc>
        <w:tc>
          <w:tcPr>
            <w:tcW w:w="3180" w:type="dxa"/>
            <w:vAlign w:val="bottom"/>
          </w:tcPr>
          <w:p>
            <w:pPr>
              <w:ind w:left="108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4" w:lineRule="exact"/>
        <w:rPr>
          <w:sz w:val="24"/>
          <w:szCs w:val="24"/>
          <w:color w:val="auto"/>
        </w:rPr>
      </w:pPr>
    </w:p>
    <w:p>
      <w:pPr>
        <w:ind w:right="20" w:firstLine="432"/>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4"/>
          <w:szCs w:val="24"/>
          <w:color w:val="auto"/>
        </w:rPr>
      </w:pPr>
    </w:p>
    <w:p>
      <w:pPr>
        <w:ind w:left="440"/>
        <w:spacing w:after="0" w:line="184" w:lineRule="exact"/>
        <w:tabs>
          <w:tab w:leader="none" w:pos="7940" w:val="left"/>
          <w:tab w:leader="none" w:pos="85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1" w:lineRule="exact"/>
        <w:rPr>
          <w:sz w:val="24"/>
          <w:szCs w:val="24"/>
          <w:color w:val="auto"/>
        </w:rPr>
      </w:pPr>
    </w:p>
    <w:p>
      <w:pPr>
        <w:ind w:left="440"/>
        <w:spacing w:after="0"/>
        <w:rPr>
          <w:sz w:val="20"/>
          <w:szCs w:val="20"/>
          <w:color w:val="auto"/>
        </w:rPr>
      </w:pPr>
      <w:r>
        <w:rPr>
          <w:rFonts w:ascii="Arial" w:cs="Arial" w:eastAsia="Arial" w:hAnsi="Arial"/>
          <w:sz w:val="15"/>
          <w:szCs w:val="15"/>
          <w:color w:val="auto"/>
        </w:rPr>
        <w:t>The number of shares outstanding of the Registrant’s Class A common stock, no par value, as of December 4, 2017, was 3,364,200.</w:t>
      </w:r>
    </w:p>
    <w:p>
      <w:pPr>
        <w:spacing w:after="0" w:line="34" w:lineRule="exact"/>
        <w:rPr>
          <w:sz w:val="24"/>
          <w:szCs w:val="24"/>
          <w:color w:val="auto"/>
        </w:rPr>
      </w:pPr>
    </w:p>
    <w:p>
      <w:pPr>
        <w:ind w:left="440"/>
        <w:spacing w:after="0"/>
        <w:rPr>
          <w:sz w:val="20"/>
          <w:szCs w:val="20"/>
          <w:color w:val="auto"/>
        </w:rPr>
      </w:pPr>
      <w:r>
        <w:rPr>
          <w:rFonts w:ascii="Arial" w:cs="Arial" w:eastAsia="Arial" w:hAnsi="Arial"/>
          <w:sz w:val="15"/>
          <w:szCs w:val="15"/>
          <w:color w:val="auto"/>
        </w:rPr>
        <w:t>The number of shares outstanding of the Registrant’s Class B common stock, no par value, as of December 4, 2017, was 29,097,107.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756285</wp:posOffset>
            </wp:positionV>
            <wp:extent cx="613981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20"/>
          </w:cols>
          <w:pgMar w:left="1140" w:top="215" w:right="1239" w:bottom="1440" w:gutter="0" w:footer="0" w:header="0"/>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QUARTER ENDED October 29, 2017</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bottom w:val="single" w:sz="8" w:color="0000EE"/>
            </w:tcBorders>
            <w:gridSpan w:val="7"/>
          </w:tcPr>
          <w:p>
            <w:pPr>
              <w:jc w:val="cente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Part I—Financial Information</w:t>
              </w:r>
            </w:hyperlink>
          </w:p>
        </w:tc>
        <w:tc>
          <w:tcPr>
            <w:tcW w:w="1980" w:type="dxa"/>
            <w:vAlign w:val="bottom"/>
            <w:gridSpan w:val="7"/>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Page</w:t>
            </w:r>
          </w:p>
        </w:tc>
      </w:tr>
      <w:tr>
        <w:trPr>
          <w:trHeight w:val="412"/>
        </w:trPr>
        <w:tc>
          <w:tcPr>
            <w:tcW w:w="54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720" w:type="dxa"/>
            <w:vAlign w:val="bottom"/>
            <w:gridSpan w:val="3"/>
          </w:tcPr>
          <w:p>
            <w:pPr>
              <w:spacing w:after="0"/>
              <w:rPr>
                <w:sz w:val="24"/>
                <w:szCs w:val="24"/>
                <w:color w:val="auto"/>
              </w:rPr>
            </w:pPr>
          </w:p>
        </w:tc>
        <w:tc>
          <w:tcPr>
            <w:tcW w:w="646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7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60" w:type="dxa"/>
            <w:vAlign w:val="bottom"/>
            <w:gridSpan w:val="22"/>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Condensed Consolidated Balance Sheets as of October 29, 2017 and January 29, 2017</w:t>
              </w:r>
            </w:hyperlink>
          </w:p>
        </w:tc>
        <w:tc>
          <w:tcPr>
            <w:tcW w:w="17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(Unaudited)</w:t>
              </w:r>
            </w:hyperlink>
          </w:p>
        </w:tc>
        <w:tc>
          <w:tcPr>
            <w:tcW w:w="5320" w:type="dxa"/>
            <w:vAlign w:val="bottom"/>
            <w:tcBorders>
              <w:top w:val="single" w:sz="8" w:color="0000EE"/>
            </w:tcBorders>
            <w:gridSpan w:val="17"/>
          </w:tcPr>
          <w:p>
            <w:pPr>
              <w:spacing w:after="0"/>
              <w:rPr>
                <w:sz w:val="17"/>
                <w:szCs w:val="17"/>
                <w:color w:val="auto"/>
              </w:rPr>
            </w:pPr>
          </w:p>
        </w:tc>
        <w:tc>
          <w:tcPr>
            <w:tcW w:w="260" w:type="dxa"/>
            <w:vAlign w:val="bottom"/>
            <w:gridSpan w:val="3"/>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0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w:t>
              </w:r>
            </w:hyperlink>
          </w:p>
        </w:tc>
        <w:tc>
          <w:tcPr>
            <w:tcW w:w="160" w:type="dxa"/>
            <w:vAlign w:val="bottom"/>
            <w:gridSpan w:val="2"/>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October 29, 2017 and October 30, 2016 (Unaudited)</w:t>
              </w:r>
            </w:hyperlink>
          </w:p>
        </w:tc>
        <w:tc>
          <w:tcPr>
            <w:tcW w:w="2680" w:type="dxa"/>
            <w:vAlign w:val="bottom"/>
            <w:gridSpan w:val="12"/>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2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and</w:t>
              </w:r>
            </w:hyperlink>
          </w:p>
        </w:tc>
        <w:tc>
          <w:tcPr>
            <w:tcW w:w="1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nine months ended October 29, 2017 and October 30, 2016 (Unaudited)</w:t>
              </w:r>
            </w:hyperlink>
          </w:p>
        </w:tc>
        <w:tc>
          <w:tcPr>
            <w:tcW w:w="1280" w:type="dxa"/>
            <w:vAlign w:val="bottom"/>
            <w:gridSpan w:val="5"/>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Shareholders’ Equity for the nine months ended</w:t>
              </w:r>
            </w:hyperlink>
          </w:p>
        </w:tc>
        <w:tc>
          <w:tcPr>
            <w:tcW w:w="160" w:type="dxa"/>
            <w:vAlign w:val="bottom"/>
            <w:gridSpan w:val="2"/>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October 29, 2017 (Unaudited)</w:t>
              </w:r>
            </w:hyperlink>
          </w:p>
        </w:tc>
        <w:tc>
          <w:tcPr>
            <w:tcW w:w="4280" w:type="dxa"/>
            <w:vAlign w:val="bottom"/>
            <w:gridSpan w:val="15"/>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Cash Flows for the nine months ended</w:t>
              </w:r>
            </w:hyperlink>
          </w:p>
        </w:tc>
        <w:tc>
          <w:tcPr>
            <w:tcW w:w="740" w:type="dxa"/>
            <w:vAlign w:val="bottom"/>
            <w:gridSpan w:val="4"/>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October 29, 2017 and October 30, 2016 (Unaudited)</w:t>
              </w:r>
            </w:hyperlink>
          </w:p>
        </w:tc>
        <w:tc>
          <w:tcPr>
            <w:tcW w:w="2640" w:type="dxa"/>
            <w:vAlign w:val="bottom"/>
            <w:gridSpan w:val="11"/>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1540" w:type="dxa"/>
            <w:vAlign w:val="bottom"/>
            <w:gridSpan w:val="6"/>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412"/>
        </w:trPr>
        <w:tc>
          <w:tcPr>
            <w:tcW w:w="540" w:type="dxa"/>
            <w:vAlign w:val="bottom"/>
            <w:tcBorders>
              <w:bottom w:val="single" w:sz="8" w:color="0000EE"/>
            </w:tcBorders>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720" w:type="dxa"/>
            <w:vAlign w:val="bottom"/>
            <w:gridSpan w:val="3"/>
          </w:tcPr>
          <w:p>
            <w:pPr>
              <w:spacing w:after="0"/>
              <w:rPr>
                <w:sz w:val="24"/>
                <w:szCs w:val="24"/>
                <w:color w:val="auto"/>
              </w:rPr>
            </w:pPr>
          </w:p>
        </w:tc>
        <w:tc>
          <w:tcPr>
            <w:tcW w:w="646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17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412"/>
        </w:trPr>
        <w:tc>
          <w:tcPr>
            <w:tcW w:w="540" w:type="dxa"/>
            <w:vAlign w:val="bottom"/>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720" w:type="dxa"/>
            <w:vAlign w:val="bottom"/>
            <w:gridSpan w:val="3"/>
          </w:tcPr>
          <w:p>
            <w:pPr>
              <w:spacing w:after="0"/>
              <w:rPr>
                <w:sz w:val="24"/>
                <w:szCs w:val="24"/>
                <w:color w:val="auto"/>
              </w:rPr>
            </w:pPr>
          </w:p>
        </w:tc>
        <w:tc>
          <w:tcPr>
            <w:tcW w:w="646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17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412"/>
        </w:trPr>
        <w:tc>
          <w:tcPr>
            <w:tcW w:w="540" w:type="dxa"/>
            <w:vAlign w:val="bottom"/>
            <w:tcBorders>
              <w:top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720" w:type="dxa"/>
            <w:vAlign w:val="bottom"/>
            <w:gridSpan w:val="3"/>
          </w:tcPr>
          <w:p>
            <w:pPr>
              <w:spacing w:after="0"/>
              <w:rPr>
                <w:sz w:val="24"/>
                <w:szCs w:val="24"/>
                <w:color w:val="auto"/>
              </w:rPr>
            </w:pPr>
          </w:p>
        </w:tc>
        <w:tc>
          <w:tcPr>
            <w:tcW w:w="4360" w:type="dxa"/>
            <w:vAlign w:val="bottom"/>
            <w:tcBorders>
              <w:top w:val="single" w:sz="8" w:color="0000EE"/>
            </w:tcBorders>
            <w:gridSpan w:val="1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2100" w:type="dxa"/>
            <w:vAlign w:val="bottom"/>
            <w:gridSpan w:val="9"/>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412"/>
        </w:trPr>
        <w:tc>
          <w:tcPr>
            <w:tcW w:w="5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Borders>
              <w:bottom w:val="single" w:sz="8" w:color="0000EE"/>
            </w:tcBorders>
            <w:gridSpan w:val="5"/>
          </w:tcPr>
          <w:p>
            <w:pPr>
              <w:jc w:val="cente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Part II—Other Information</w:t>
              </w:r>
            </w:hyperlink>
          </w:p>
        </w:tc>
        <w:tc>
          <w:tcPr>
            <w:tcW w:w="2080" w:type="dxa"/>
            <w:vAlign w:val="bottom"/>
            <w:gridSpan w:val="8"/>
          </w:tcPr>
          <w:p>
            <w:pPr>
              <w:spacing w:after="0"/>
              <w:rPr>
                <w:sz w:val="24"/>
                <w:szCs w:val="24"/>
                <w:color w:val="auto"/>
              </w:rPr>
            </w:pPr>
          </w:p>
        </w:tc>
        <w:tc>
          <w:tcPr>
            <w:tcW w:w="1740" w:type="dxa"/>
            <w:vAlign w:val="bottom"/>
          </w:tcPr>
          <w:p>
            <w:pPr>
              <w:spacing w:after="0"/>
              <w:rPr>
                <w:sz w:val="24"/>
                <w:szCs w:val="24"/>
                <w:color w:val="auto"/>
              </w:rPr>
            </w:pPr>
          </w:p>
        </w:tc>
      </w:tr>
      <w:tr>
        <w:trPr>
          <w:trHeight w:val="412"/>
        </w:trPr>
        <w:tc>
          <w:tcPr>
            <w:tcW w:w="54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1.</w:t>
              </w:r>
            </w:hyperlink>
          </w:p>
        </w:tc>
        <w:tc>
          <w:tcPr>
            <w:tcW w:w="720" w:type="dxa"/>
            <w:vAlign w:val="bottom"/>
            <w:gridSpan w:val="3"/>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5120" w:type="dxa"/>
            <w:vAlign w:val="bottom"/>
            <w:gridSpan w:val="18"/>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412"/>
        </w:trPr>
        <w:tc>
          <w:tcPr>
            <w:tcW w:w="126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646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17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2120" w:type="dxa"/>
            <w:vAlign w:val="bottom"/>
            <w:gridSpan w:val="1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540" w:type="dxa"/>
            <w:vAlign w:val="bottom"/>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10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646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17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412"/>
        </w:trPr>
        <w:tc>
          <w:tcPr>
            <w:tcW w:w="540" w:type="dxa"/>
            <w:vAlign w:val="bottom"/>
            <w:tcBorders>
              <w:top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6.</w:t>
              </w:r>
            </w:hyperlink>
          </w:p>
        </w:tc>
        <w:tc>
          <w:tcPr>
            <w:tcW w:w="720" w:type="dxa"/>
            <w:vAlign w:val="bottom"/>
            <w:gridSpan w:val="3"/>
          </w:tcPr>
          <w:p>
            <w:pPr>
              <w:spacing w:after="0"/>
              <w:rPr>
                <w:sz w:val="24"/>
                <w:szCs w:val="24"/>
                <w:color w:val="auto"/>
              </w:rPr>
            </w:pPr>
          </w:p>
        </w:tc>
        <w:tc>
          <w:tcPr>
            <w:tcW w:w="4340" w:type="dxa"/>
            <w:vAlign w:val="bottom"/>
            <w:tcBorders>
              <w:top w:val="single" w:sz="8" w:color="0000EE"/>
            </w:tcBorders>
            <w:gridSpan w:val="1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2120" w:type="dxa"/>
            <w:vAlign w:val="bottom"/>
            <w:gridSpan w:val="10"/>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844"/>
        </w:trPr>
        <w:tc>
          <w:tcPr>
            <w:tcW w:w="126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208280</wp:posOffset>
            </wp:positionV>
            <wp:extent cx="6139815"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460"/>
          </w:cols>
          <w:pgMar w:left="1260" w:top="121" w:right="11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vMerge w:val="restart"/>
          </w:tcPr>
          <w:p>
            <w:pPr>
              <w:ind w:left="286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29, 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110"/>
              <w:spacing w:after="0"/>
              <w:rPr>
                <w:sz w:val="20"/>
                <w:szCs w:val="20"/>
                <w:color w:val="auto"/>
              </w:rPr>
            </w:pPr>
            <w:r>
              <w:rPr>
                <w:rFonts w:ascii="Arial" w:cs="Arial" w:eastAsia="Arial" w:hAnsi="Arial"/>
                <w:sz w:val="14"/>
                <w:szCs w:val="14"/>
                <w:b w:val="1"/>
                <w:bCs w:val="1"/>
                <w:color w:val="auto"/>
                <w:w w:val="96"/>
              </w:rPr>
              <w:t>January 29,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Cash</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958</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Inventory, less reserve for excess and obsolete items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 $2,899 and $1,242, respectively</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129,475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catalog costs</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145,415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252,947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24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accounts payable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30,082</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25,676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Bank overdrafts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58,772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Long-term line of credit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Finance lease obligations under build-to-suit leases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Deferred rent obligations, less current maturities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133,614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no par value; 10,000 shares authorized; no shares</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 or outstanding as of October 29, 2017 and January 29, 2017</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rPr>
              <w:t>Common stock (Class A), no par value; 10,000 shares authorized;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w w:val="92"/>
              </w:rPr>
              <w:t>3,364 shares issued and outstanding as of October 29, 2017 and January 29, 2017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Common stock (Class B), no par value; 200,000 shares authorized;</w:t>
            </w: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29,100 shares issued and 29,097 shares outstanding as of October 29, 2017 and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29,012 shares issued and outstanding as of January 29, 2017</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Treasury stock, at cost; 3 and 0 shares as of October 29, 2017 and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January 29, 2017, respectively</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shareholders' equity of Duluth Holdings Inc.</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252,947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October 29, 2017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11"/>
              <w:spacing w:after="0"/>
              <w:rPr>
                <w:sz w:val="20"/>
                <w:szCs w:val="20"/>
                <w:color w:val="auto"/>
              </w:rPr>
            </w:pPr>
            <w:r>
              <w:rPr>
                <w:rFonts w:ascii="Arial" w:cs="Arial" w:eastAsia="Arial" w:hAnsi="Arial"/>
                <w:sz w:val="14"/>
                <w:szCs w:val="14"/>
                <w:b w:val="1"/>
                <w:bCs w:val="1"/>
                <w:color w:val="auto"/>
                <w:w w:val="92"/>
              </w:rPr>
              <w:t>October 30, 2016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October 29, 2017</w:t>
            </w:r>
          </w:p>
        </w:tc>
        <w:tc>
          <w:tcPr>
            <w:tcW w:w="100" w:type="dxa"/>
            <w:vAlign w:val="bottom"/>
          </w:tcPr>
          <w:p>
            <w:pPr>
              <w:spacing w:after="0"/>
              <w:rPr>
                <w:sz w:val="15"/>
                <w:szCs w:val="15"/>
                <w:color w:val="auto"/>
              </w:rPr>
            </w:pPr>
          </w:p>
        </w:tc>
        <w:tc>
          <w:tcPr>
            <w:tcW w:w="1180" w:type="dxa"/>
            <w:vAlign w:val="bottom"/>
          </w:tcPr>
          <w:p>
            <w:pPr>
              <w:jc w:val="right"/>
              <w:ind w:right="31"/>
              <w:spacing w:after="0"/>
              <w:rPr>
                <w:sz w:val="20"/>
                <w:szCs w:val="20"/>
                <w:color w:val="auto"/>
              </w:rPr>
            </w:pPr>
            <w:r>
              <w:rPr>
                <w:rFonts w:ascii="Arial" w:cs="Arial" w:eastAsia="Arial" w:hAnsi="Arial"/>
                <w:sz w:val="14"/>
                <w:szCs w:val="14"/>
                <w:b w:val="1"/>
                <w:bCs w:val="1"/>
                <w:color w:val="auto"/>
                <w:w w:val="92"/>
              </w:rPr>
              <w:t>October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253,642</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Cost of goods sold (excluding depreciation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28,260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108,649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144,993</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48,039</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37,929</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137,467</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(loss)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Net income attributable to noncontrolling interest</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7"/>
        </w:trPr>
        <w:tc>
          <w:tcPr>
            <w:tcW w:w="4200" w:type="dxa"/>
            <w:vAlign w:val="bottom"/>
            <w:gridSpan w:val="2"/>
          </w:tcPr>
          <w:p>
            <w:pPr>
              <w:spacing w:after="0"/>
              <w:rPr>
                <w:sz w:val="20"/>
                <w:szCs w:val="20"/>
                <w:color w:val="auto"/>
              </w:rPr>
            </w:pPr>
            <w:r>
              <w:rPr>
                <w:rFonts w:ascii="Arial" w:cs="Arial" w:eastAsia="Arial" w:hAnsi="Arial"/>
                <w:sz w:val="18"/>
                <w:szCs w:val="18"/>
                <w:color w:val="auto"/>
              </w:rPr>
              <w:t>Net (loss) income attributable to controlling interest</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(816)</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462</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3,823</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(Class A and Class B):</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spacing w:after="0"/>
              <w:rPr>
                <w:sz w:val="20"/>
                <w:szCs w:val="20"/>
                <w:color w:val="auto"/>
              </w:rPr>
            </w:pPr>
            <w:r>
              <w:rPr>
                <w:rFonts w:ascii="Arial" w:cs="Arial" w:eastAsia="Arial" w:hAnsi="Arial"/>
                <w:sz w:val="18"/>
                <w:szCs w:val="18"/>
                <w:color w:val="auto"/>
              </w:rPr>
              <w:t>Weighted average shares of</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common stock outstanding</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31,861</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31,520</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31,837</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attributable</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300" w:type="dxa"/>
            <w:vAlign w:val="bottom"/>
            <w:gridSpan w:val="2"/>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40" w:type="dxa"/>
            <w:vAlign w:val="bottom"/>
            <w:gridSpan w:val="2"/>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60" w:type="dxa"/>
            <w:vAlign w:val="bottom"/>
            <w:gridSpan w:val="2"/>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w w:val="98"/>
              </w:rPr>
              <w:t>Diluted earnings per share (Class A and Class B):</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and</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equivalents outstanding</w:t>
            </w:r>
          </w:p>
        </w:tc>
        <w:tc>
          <w:tcPr>
            <w:tcW w:w="2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31,861</w:t>
            </w: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32,294</w:t>
            </w: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32,297</w:t>
            </w: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32,286</w:t>
            </w:r>
          </w:p>
        </w:tc>
        <w:tc>
          <w:tcPr>
            <w:tcW w:w="0" w:type="dxa"/>
            <w:vAlign w:val="bottom"/>
          </w:tcPr>
          <w:p>
            <w:pPr>
              <w:spacing w:after="0"/>
              <w:rPr>
                <w:sz w:val="1"/>
                <w:szCs w:val="1"/>
                <w:color w:val="auto"/>
              </w:rPr>
            </w:pPr>
          </w:p>
        </w:tc>
      </w:tr>
      <w:tr>
        <w:trPr>
          <w:trHeight w:val="209"/>
        </w:trPr>
        <w:tc>
          <w:tcPr>
            <w:tcW w:w="4200" w:type="dxa"/>
            <w:vAlign w:val="bottom"/>
            <w:gridSpan w:val="2"/>
          </w:tcPr>
          <w:p>
            <w:pPr>
              <w:spacing w:after="0"/>
              <w:rPr>
                <w:sz w:val="20"/>
                <w:szCs w:val="20"/>
                <w:color w:val="auto"/>
              </w:rPr>
            </w:pPr>
            <w:r>
              <w:rPr>
                <w:rFonts w:ascii="Arial" w:cs="Arial" w:eastAsia="Arial" w:hAnsi="Arial"/>
                <w:sz w:val="18"/>
                <w:szCs w:val="18"/>
                <w:color w:val="auto"/>
              </w:rPr>
              <w:t>Net (loss) income per share attributable</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to controlling interest</w:t>
            </w:r>
          </w:p>
        </w:tc>
        <w:tc>
          <w:tcPr>
            <w:tcW w:w="30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October 29, 2017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October 30, 2016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29, 2017</w:t>
            </w:r>
          </w:p>
        </w:tc>
        <w:tc>
          <w:tcPr>
            <w:tcW w:w="100" w:type="dxa"/>
            <w:vAlign w:val="bottom"/>
          </w:tcPr>
          <w:p>
            <w:pPr>
              <w:spacing w:after="0"/>
              <w:rPr>
                <w:sz w:val="15"/>
                <w:szCs w:val="15"/>
                <w:color w:val="auto"/>
              </w:rPr>
            </w:pPr>
          </w:p>
        </w:tc>
        <w:tc>
          <w:tcPr>
            <w:tcW w:w="122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October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Change in value of interest rate swap agreement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right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4,022</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attributable</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noncontrolling interest</w:t>
            </w:r>
          </w:p>
        </w:tc>
        <w:tc>
          <w:tcPr>
            <w:tcW w:w="3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60" w:type="dxa"/>
            <w:vAlign w:val="bottom"/>
          </w:tcPr>
          <w:p>
            <w:pPr>
              <w:spacing w:after="0" w:line="182" w:lineRule="exact"/>
              <w:rPr>
                <w:sz w:val="20"/>
                <w:szCs w:val="20"/>
                <w:color w:val="auto"/>
              </w:rPr>
            </w:pPr>
            <w:r>
              <w:rPr>
                <w:rFonts w:ascii="Arial" w:cs="Arial" w:eastAsia="Arial" w:hAnsi="Arial"/>
                <w:sz w:val="18"/>
                <w:szCs w:val="18"/>
                <w:color w:val="auto"/>
              </w:rPr>
              <w:t>Comprehensive (loss) income attributable</w:t>
            </w:r>
          </w:p>
        </w:tc>
        <w:tc>
          <w:tcPr>
            <w:tcW w:w="300" w:type="dxa"/>
            <w:vAlign w:val="bottom"/>
            <w:vMerge w:val="restart"/>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(816)</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477</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3,823</w:t>
            </w:r>
          </w:p>
        </w:tc>
        <w:tc>
          <w:tcPr>
            <w:tcW w:w="8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to controlling interest</w:t>
            </w:r>
          </w:p>
        </w:tc>
        <w:tc>
          <w:tcPr>
            <w:tcW w:w="3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6"/>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Capital stock</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 in</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Total</w:t>
            </w:r>
          </w:p>
        </w:tc>
      </w:tr>
      <w:tr>
        <w:trPr>
          <w:trHeight w:val="198"/>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3"/>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b w:val="1"/>
                <w:bCs w:val="1"/>
                <w:color w:val="auto"/>
                <w:w w:val="94"/>
              </w:rPr>
              <w:t>Retained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variable interest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shareholders'</w:t>
            </w:r>
          </w:p>
        </w:tc>
      </w:tr>
      <w:tr>
        <w:trPr>
          <w:trHeight w:val="188"/>
        </w:trPr>
        <w:tc>
          <w:tcPr>
            <w:tcW w:w="20" w:type="dxa"/>
            <w:vAlign w:val="bottom"/>
          </w:tcPr>
          <w:p>
            <w:pPr>
              <w:spacing w:after="0"/>
              <w:rPr>
                <w:sz w:val="16"/>
                <w:szCs w:val="16"/>
                <w:color w:val="auto"/>
              </w:rPr>
            </w:pPr>
          </w:p>
        </w:tc>
        <w:tc>
          <w:tcPr>
            <w:tcW w:w="35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stock</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earnings</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entity</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2"/>
              </w:rPr>
              <w:t>equity</w:t>
            </w: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29, 2017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113,788</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stock forfeitures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Amortization of stock-based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1,186</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stock surrendered for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Capital contributions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w:t>
            </w:r>
          </w:p>
        </w:tc>
      </w:tr>
      <w:tr>
        <w:trPr>
          <w:trHeight w:val="217"/>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29, 2017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87,632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28,556</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119,333</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20" w:type="dxa"/>
            <w:vAlign w:val="bottom"/>
          </w:tcPr>
          <w:p>
            <w:pPr>
              <w:spacing w:after="0"/>
              <w:rPr>
                <w:sz w:val="15"/>
                <w:szCs w:val="15"/>
                <w:color w:val="auto"/>
              </w:rPr>
            </w:pPr>
          </w:p>
        </w:tc>
        <w:tc>
          <w:tcPr>
            <w:tcW w:w="59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October 29, 2017</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8"/>
              </w:rPr>
              <w:t>October 30, 2016</w:t>
            </w:r>
          </w:p>
        </w:tc>
      </w:tr>
      <w:tr>
        <w:trPr>
          <w:trHeight w:val="196"/>
        </w:trPr>
        <w:tc>
          <w:tcPr>
            <w:tcW w:w="20" w:type="dxa"/>
            <w:vAlign w:val="bottom"/>
          </w:tcPr>
          <w:p>
            <w:pPr>
              <w:spacing w:after="0"/>
              <w:rPr>
                <w:sz w:val="17"/>
                <w:szCs w:val="17"/>
                <w:color w:val="auto"/>
              </w:rPr>
            </w:pPr>
          </w:p>
        </w:tc>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4,022</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7,510</w:t>
            </w:r>
          </w:p>
        </w:tc>
      </w:tr>
      <w:tr>
        <w:trPr>
          <w:trHeight w:val="230"/>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to net cash used in operating activities:</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3,215</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stock-based compensation</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and equipment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Other receivables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(3,007)</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(40,891)</w:t>
            </w: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Prepaid expense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catalog costs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Trade accounts payable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6,713</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Accrued expenses and deferred rent obligations</w:t>
            </w: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(26,783)</w:t>
            </w:r>
          </w:p>
        </w:tc>
      </w:tr>
      <w:tr>
        <w:trPr>
          <w:trHeight w:val="196"/>
        </w:trPr>
        <w:tc>
          <w:tcPr>
            <w:tcW w:w="20" w:type="dxa"/>
            <w:vAlign w:val="bottom"/>
          </w:tcPr>
          <w:p>
            <w:pPr>
              <w:spacing w:after="0"/>
              <w:rPr>
                <w:sz w:val="17"/>
                <w:szCs w:val="17"/>
                <w:color w:val="auto"/>
              </w:rPr>
            </w:pPr>
          </w:p>
        </w:tc>
        <w:tc>
          <w:tcPr>
            <w:tcW w:w="592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(21,026)</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Purchase of available-for-sale security</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Purchases of other assets</w:t>
            </w: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(22,473)</w:t>
            </w:r>
          </w:p>
        </w:tc>
      </w:tr>
      <w:tr>
        <w:trPr>
          <w:trHeight w:val="196"/>
        </w:trPr>
        <w:tc>
          <w:tcPr>
            <w:tcW w:w="20" w:type="dxa"/>
            <w:vAlign w:val="bottom"/>
          </w:tcPr>
          <w:p>
            <w:pPr>
              <w:spacing w:after="0"/>
              <w:rPr>
                <w:sz w:val="17"/>
                <w:szCs w:val="17"/>
                <w:color w:val="auto"/>
              </w:rPr>
            </w:pPr>
          </w:p>
        </w:tc>
        <w:tc>
          <w:tcPr>
            <w:tcW w:w="592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line of credit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18,156</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Payments on line of credit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(26,375)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(4,947)</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 term debt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Payments on long term debt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(4,216)</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Payments on capital lease obligations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Change in bank overdrafts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2,055</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shareholders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Distributions to holders of noncontrolling interest in variable interest entity</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finance lease obligations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Capital contributions to variable interest entity</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30"/>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for tax payments on vested restricted shares</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11,556</w:t>
            </w: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Decrease in cash</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(37,700)</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37,873</w:t>
            </w:r>
          </w:p>
        </w:tc>
      </w:tr>
      <w:tr>
        <w:trPr>
          <w:trHeight w:val="217"/>
        </w:trPr>
        <w:tc>
          <w:tcPr>
            <w:tcW w:w="594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4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958</w:t>
            </w:r>
          </w:p>
        </w:tc>
        <w:tc>
          <w:tcPr>
            <w:tcW w:w="1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03"/>
        </w:trPr>
        <w:tc>
          <w:tcPr>
            <w:tcW w:w="2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Interest paid</w:t>
            </w:r>
          </w:p>
        </w:tc>
        <w:tc>
          <w:tcPr>
            <w:tcW w:w="6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947</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6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acquired under build-to-suit leases</w:t>
            </w:r>
          </w:p>
        </w:tc>
        <w:tc>
          <w:tcPr>
            <w:tcW w:w="6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12,739</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Unpaid liability to acquire property and equipment</w:t>
            </w:r>
          </w:p>
        </w:tc>
        <w:tc>
          <w:tcPr>
            <w:tcW w:w="6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4,144</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3,922</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right="4280"/>
        <w:spacing w:after="0" w:line="456" w:lineRule="auto"/>
        <w:rPr>
          <w:sz w:val="20"/>
          <w:szCs w:val="20"/>
          <w:color w:val="auto"/>
        </w:rPr>
      </w:pPr>
      <w:r>
        <w:rPr>
          <w:rFonts w:ascii="Arial" w:cs="Arial" w:eastAsia="Arial" w:hAnsi="Arial"/>
          <w:sz w:val="18"/>
          <w:szCs w:val="18"/>
          <w:b w:val="1"/>
          <w:bCs w:val="1"/>
          <w:color w:val="auto"/>
        </w:rPr>
        <w:t xml:space="preserve">1. NATURE OF OPERATIONS AND BASIS OF PRESENTATION </w:t>
      </w:r>
      <w:r>
        <w:rPr>
          <w:rFonts w:ascii="Arial" w:cs="Arial" w:eastAsia="Arial" w:hAnsi="Arial"/>
          <w:sz w:val="18"/>
          <w:szCs w:val="18"/>
          <w:b w:val="1"/>
          <w:bCs w:val="1"/>
          <w:i w:val="1"/>
          <w:iCs w:val="1"/>
          <w:color w:val="auto"/>
        </w:rPr>
        <w:t>A. Nature of Operations</w:t>
      </w:r>
    </w:p>
    <w:p>
      <w:pPr>
        <w:spacing w:after="0" w:line="1" w:lineRule="exact"/>
        <w:rPr>
          <w:sz w:val="20"/>
          <w:szCs w:val="20"/>
          <w:color w:val="auto"/>
        </w:rPr>
      </w:pPr>
    </w:p>
    <w:p>
      <w:pPr>
        <w:ind w:right="120" w:firstLine="428"/>
        <w:spacing w:after="0" w:line="272" w:lineRule="auto"/>
        <w:rPr>
          <w:sz w:val="20"/>
          <w:szCs w:val="20"/>
          <w:color w:val="auto"/>
        </w:rPr>
      </w:pPr>
      <w:r>
        <w:rPr>
          <w:rFonts w:ascii="Arial" w:cs="Arial" w:eastAsia="Arial" w:hAnsi="Arial"/>
          <w:sz w:val="17"/>
          <w:szCs w:val="17"/>
          <w:color w:val="auto"/>
        </w:rPr>
        <w:t>Duluth Holdings Inc. (“Duluth Trading” or the “Company”), a Wisconsin corporation, is a lifestyle brand of men’s and women’s casual wear, workwear and accessories sold exclusively through the Company’s own direct and retail channels. The direct segment, consisting of the Company’s website and catalogs, offers products nationwide. In 2010, the Company added retail to its omni-channel platform with the opening of its first store. Since then, Duluth Trading has expanded its retail presence, and as of October 29, 2017, the Company operated 23 retail stores and three outlet stores across the Midwestern, Eastern and Western United States. The Company’s products are marketed under the Duluth Trading brand, with the majority of products being exclusively developed and sold as Duluth Trading branded merchandise.</w:t>
      </w:r>
    </w:p>
    <w:p>
      <w:pPr>
        <w:spacing w:after="0" w:line="151" w:lineRule="exact"/>
        <w:rPr>
          <w:sz w:val="20"/>
          <w:szCs w:val="20"/>
          <w:color w:val="auto"/>
        </w:rPr>
      </w:pPr>
    </w:p>
    <w:p>
      <w:pPr>
        <w:ind w:right="40" w:firstLine="428"/>
        <w:spacing w:after="0" w:line="257" w:lineRule="auto"/>
        <w:rPr>
          <w:sz w:val="20"/>
          <w:szCs w:val="20"/>
          <w:color w:val="auto"/>
        </w:rPr>
      </w:pPr>
      <w:r>
        <w:rPr>
          <w:rFonts w:ascii="Arial" w:cs="Arial" w:eastAsia="Arial" w:hAnsi="Arial"/>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Basis of Presentation</w:t>
      </w:r>
    </w:p>
    <w:p>
      <w:pPr>
        <w:spacing w:after="0" w:line="185" w:lineRule="exact"/>
        <w:rPr>
          <w:sz w:val="20"/>
          <w:szCs w:val="20"/>
          <w:color w:val="auto"/>
        </w:rPr>
      </w:pPr>
    </w:p>
    <w:p>
      <w:pPr>
        <w:ind w:right="120" w:firstLine="428"/>
        <w:spacing w:after="0" w:line="273" w:lineRule="auto"/>
        <w:rPr>
          <w:sz w:val="20"/>
          <w:szCs w:val="20"/>
          <w:color w:val="auto"/>
        </w:rPr>
      </w:pPr>
      <w:r>
        <w:rPr>
          <w:rFonts w:ascii="Arial" w:cs="Arial" w:eastAsia="Arial" w:hAnsi="Arial"/>
          <w:sz w:val="17"/>
          <w:szCs w:val="17"/>
          <w:color w:val="auto"/>
        </w:rPr>
        <w:t>The condensed consolidated financial statements are prepared in accordance with U.S. Generally Accepted Accounting Principles (“U.S. GAAP”). The accompanying condensed consolidated financial statements include the accounts of the parent, Duluth Holdings Inc., and its wholly-owned subsidiary, Duluth Trading Company, LLC. Effective October 3, 2016, Duluth Trading Company, LLC was dissolved and no longer consolidated, which did not impact the Company’s consolidated financial statements. The Company also consolidates Schlecht Retail Ventures LLC (“SRV”) as a variable interest entity (see Note 5 “Variable Interest Entity”). All intercompany balances and transactions have been eliminated.</w:t>
      </w:r>
    </w:p>
    <w:p>
      <w:pPr>
        <w:spacing w:after="0" w:line="151" w:lineRule="exact"/>
        <w:rPr>
          <w:sz w:val="20"/>
          <w:szCs w:val="20"/>
          <w:color w:val="auto"/>
        </w:rPr>
      </w:pPr>
    </w:p>
    <w:p>
      <w:pPr>
        <w:ind w:right="180" w:firstLine="428"/>
        <w:spacing w:after="0" w:line="259" w:lineRule="auto"/>
        <w:rPr>
          <w:sz w:val="20"/>
          <w:szCs w:val="20"/>
          <w:color w:val="auto"/>
        </w:rPr>
      </w:pPr>
      <w:r>
        <w:rPr>
          <w:rFonts w:ascii="Arial" w:cs="Arial" w:eastAsia="Arial" w:hAnsi="Arial"/>
          <w:sz w:val="18"/>
          <w:szCs w:val="18"/>
          <w:color w:val="auto"/>
        </w:rPr>
        <w:t>The Company’s fiscal year ends on the Sunday nearest to January 31 of the following year. Fiscal 2017 is a 52-week period and ends on January 28, 2018. Fiscal 2016 was a 52-week period and ended on January 29, 2017. The three and nine months of fiscal 2017 and fiscal 2016 represent the Company’s 13-week and 39-week periods ended October 29, 2017 and October 30, 2016, respectively.</w:t>
      </w:r>
    </w:p>
    <w:p>
      <w:pPr>
        <w:spacing w:after="0" w:line="146" w:lineRule="exact"/>
        <w:rPr>
          <w:sz w:val="20"/>
          <w:szCs w:val="20"/>
          <w:color w:val="auto"/>
        </w:rPr>
      </w:pPr>
    </w:p>
    <w:p>
      <w:pPr>
        <w:ind w:firstLine="428"/>
        <w:spacing w:after="0" w:line="270" w:lineRule="auto"/>
        <w:rPr>
          <w:sz w:val="20"/>
          <w:szCs w:val="20"/>
          <w:color w:val="auto"/>
        </w:rPr>
      </w:pPr>
      <w:r>
        <w:rPr>
          <w:rFonts w:ascii="Arial" w:cs="Arial" w:eastAsia="Arial" w:hAnsi="Arial"/>
          <w:sz w:val="17"/>
          <w:szCs w:val="17"/>
          <w:color w:val="auto"/>
        </w:rPr>
        <w:t>The accompanying condensed consolidated financial statements as of and for the three and nine months ended October 29, 2017 and October 30, 2016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and nine months ended October 29, 2017 and October 30, 2016. These interim condensed consolidated financial statements should be read in conjunction with the consolidated financial statements and notes included in the Company’s annual report on Form 10-K for the fiscal year ended January 29, 2017.</w:t>
      </w:r>
    </w:p>
    <w:p>
      <w:pPr>
        <w:spacing w:after="0" w:line="14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Seasonality of Business</w:t>
      </w:r>
    </w:p>
    <w:p>
      <w:pPr>
        <w:spacing w:after="0" w:line="198" w:lineRule="exact"/>
        <w:rPr>
          <w:sz w:val="20"/>
          <w:szCs w:val="20"/>
          <w:color w:val="auto"/>
        </w:rPr>
      </w:pPr>
    </w:p>
    <w:p>
      <w:pPr>
        <w:jc w:val="both"/>
        <w:ind w:right="160" w:firstLine="428"/>
        <w:spacing w:after="0" w:line="264" w:lineRule="auto"/>
        <w:rPr>
          <w:sz w:val="20"/>
          <w:szCs w:val="20"/>
          <w:color w:val="auto"/>
        </w:rPr>
      </w:pPr>
      <w:r>
        <w:rPr>
          <w:rFonts w:ascii="Arial" w:cs="Arial" w:eastAsia="Arial" w:hAnsi="Arial"/>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14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Restricted Cash</w:t>
      </w:r>
    </w:p>
    <w:p>
      <w:pPr>
        <w:spacing w:after="0" w:line="185" w:lineRule="exact"/>
        <w:rPr>
          <w:sz w:val="20"/>
          <w:szCs w:val="20"/>
          <w:color w:val="auto"/>
        </w:rPr>
      </w:pPr>
    </w:p>
    <w:p>
      <w:pPr>
        <w:ind w:right="40" w:firstLine="428"/>
        <w:spacing w:after="0" w:line="286" w:lineRule="auto"/>
        <w:rPr>
          <w:sz w:val="20"/>
          <w:szCs w:val="20"/>
          <w:color w:val="auto"/>
        </w:rPr>
      </w:pPr>
      <w:r>
        <w:rPr>
          <w:rFonts w:ascii="Arial" w:cs="Arial" w:eastAsia="Arial" w:hAnsi="Arial"/>
          <w:sz w:val="17"/>
          <w:szCs w:val="17"/>
          <w:color w:val="auto"/>
        </w:rPr>
        <w:t>The Company’s restricted cash is held in escrow accounts and is used to pay a portion of the construction loans entered into by third party landlords (the “Landlords”) in connection with the Company’s retail store leases. The restricted cash is disbursed based on the escrow agreements entered into by and among the Landlords, the Company and the escrow agent.</w:t>
      </w:r>
    </w:p>
    <w:p>
      <w:pPr>
        <w:spacing w:after="0" w:line="13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Build-to-Suit Lease</w:t>
      </w:r>
    </w:p>
    <w:p>
      <w:pPr>
        <w:spacing w:after="0" w:line="185" w:lineRule="exact"/>
        <w:rPr>
          <w:sz w:val="20"/>
          <w:szCs w:val="20"/>
          <w:color w:val="auto"/>
        </w:rPr>
      </w:pPr>
    </w:p>
    <w:p>
      <w:pPr>
        <w:ind w:right="160" w:firstLine="428"/>
        <w:spacing w:after="0" w:line="302" w:lineRule="auto"/>
        <w:rPr>
          <w:sz w:val="20"/>
          <w:szCs w:val="20"/>
          <w:color w:val="auto"/>
        </w:rPr>
      </w:pPr>
      <w:r>
        <w:rPr>
          <w:rFonts w:ascii="Arial" w:cs="Arial" w:eastAsia="Arial" w:hAnsi="Arial"/>
          <w:sz w:val="16"/>
          <w:szCs w:val="16"/>
          <w:color w:val="auto"/>
        </w:rPr>
        <w:t>The Company may at times be involved in the construction of stores to be leased by the Company and, depending on the extent to which the Company is involved, the Company may be deemed the owner of the leased premises for accounting purposes during the store construction period. The Company’s lease for its new headquarters is treated as a build-to-suit lease transaction for accounting purposes during the construction period. For leases that the Company is deemed the owner of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property during the construction period, upon commencement of the construction project, the Company is required to capitalize the cash and non-cash assets contributed by the landlord for construction as property and equipment on the Company’s Condensed Consolidated Balance Sheets. Upon the completion of the construction project, the Company performs an analysis on the lease to determine if the Company qualifies for sale-leaseback treatment. For those qualifying leases, the finance lease obligation and the associated property and equipment are removed and the difference is reclassified to either prepaid or deferred rent and amortized over the lease term as an increase or decrease to rent expense. If the lease does not qualify for sale-leaseback treatment, the finance lease obligation is amortized over the lease term based on the rent payments in the lease agreement and the associated property and equipment are depreciated over the estimated useful life.</w:t>
      </w:r>
    </w:p>
    <w:p>
      <w:pPr>
        <w:spacing w:after="0" w:line="138" w:lineRule="exact"/>
        <w:rPr>
          <w:sz w:val="20"/>
          <w:szCs w:val="20"/>
          <w:color w:val="auto"/>
        </w:rPr>
      </w:pPr>
    </w:p>
    <w:p>
      <w:pPr>
        <w:ind w:right="280" w:firstLine="428"/>
        <w:spacing w:after="0" w:line="276" w:lineRule="auto"/>
        <w:rPr>
          <w:sz w:val="20"/>
          <w:szCs w:val="20"/>
          <w:color w:val="auto"/>
        </w:rPr>
      </w:pPr>
      <w:r>
        <w:rPr>
          <w:rFonts w:ascii="Arial" w:cs="Arial" w:eastAsia="Arial" w:hAnsi="Arial"/>
          <w:sz w:val="17"/>
          <w:szCs w:val="17"/>
          <w:color w:val="auto"/>
        </w:rPr>
        <w:t>As of October 29, 2017, the Company capitalized $27.5 million in property and equipment and $0.2 million in accumulated depreciation and recorded an $18.5 million non-current liability related to build-to-suit transactions in which the Company is considered the owner for accounting purposes. As of January 29, 2017, the Company capitalized $6.6 million in property and equipment and $0.01 million in accumulated depreciation and recorded a $3.3 million non-current liability related to build-to-suit transactions in which the Company is considered the owner for accounting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440" w:right="6840" w:hanging="432"/>
        <w:spacing w:after="0" w:line="428" w:lineRule="auto"/>
        <w:tabs>
          <w:tab w:leader="none" w:pos="32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DEBT AND LINE OF CREDIT </w:t>
      </w:r>
      <w:r>
        <w:rPr>
          <w:rFonts w:ascii="Arial" w:cs="Arial" w:eastAsia="Arial" w:hAnsi="Arial"/>
          <w:sz w:val="17"/>
          <w:szCs w:val="17"/>
          <w:color w:val="auto"/>
        </w:rPr>
        <w:t>Debt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October 29, 2017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January 29, 2017</w:t>
            </w:r>
          </w:p>
        </w:tc>
      </w:tr>
      <w:tr>
        <w:trPr>
          <w:trHeight w:val="196"/>
        </w:trPr>
        <w:tc>
          <w:tcPr>
            <w:tcW w:w="4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SRV Mortgage Term A Note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SRV Mortgage Term B Note</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Capitalized lease obligations</w:t>
            </w:r>
          </w:p>
        </w:tc>
        <w:tc>
          <w:tcPr>
            <w:tcW w:w="2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2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r>
      <w:tr>
        <w:trPr>
          <w:trHeight w:val="217"/>
        </w:trPr>
        <w:tc>
          <w:tcPr>
            <w:tcW w:w="2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Schlecht Retail Ventures LLC</w:t>
      </w:r>
    </w:p>
    <w:p>
      <w:pPr>
        <w:spacing w:after="0" w:line="185" w:lineRule="exact"/>
        <w:rPr>
          <w:sz w:val="20"/>
          <w:szCs w:val="20"/>
          <w:color w:val="auto"/>
        </w:rPr>
      </w:pPr>
    </w:p>
    <w:p>
      <w:pPr>
        <w:ind w:right="120" w:firstLine="428"/>
        <w:spacing w:after="0" w:line="257" w:lineRule="auto"/>
        <w:rPr>
          <w:sz w:val="20"/>
          <w:szCs w:val="20"/>
          <w:color w:val="auto"/>
        </w:rPr>
      </w:pPr>
      <w:r>
        <w:rPr>
          <w:rFonts w:ascii="Arial" w:cs="Arial" w:eastAsia="Arial" w:hAnsi="Arial"/>
          <w:sz w:val="18"/>
          <w:szCs w:val="18"/>
          <w:color w:val="auto"/>
        </w:rPr>
        <w:t>SRV entered into a mortgage note (“SRV Term A Note”) with an original balance of $0.8 million. The SRV Term A Note was scheduled to mature in September 2017 and required monthly payments of $3,300 plus interest at 3.1%, with a final balloon payment due in September 2017. On July 20, 2017, SRV refinanced the SRV Term A Note, which extended the maturity date to September 2022, with a final balloon payment in September 2022, and changed the interest rate to 3.69%. The required monthly payments of $3,300 did not change.</w:t>
      </w:r>
    </w:p>
    <w:p>
      <w:pPr>
        <w:spacing w:after="0" w:line="161" w:lineRule="exact"/>
        <w:rPr>
          <w:sz w:val="20"/>
          <w:szCs w:val="20"/>
          <w:color w:val="auto"/>
        </w:rPr>
      </w:pPr>
    </w:p>
    <w:p>
      <w:pPr>
        <w:ind w:right="120" w:firstLine="428"/>
        <w:spacing w:after="0" w:line="264" w:lineRule="auto"/>
        <w:rPr>
          <w:sz w:val="20"/>
          <w:szCs w:val="20"/>
          <w:color w:val="auto"/>
        </w:rPr>
      </w:pPr>
      <w:r>
        <w:rPr>
          <w:rFonts w:ascii="Arial" w:cs="Arial" w:eastAsia="Arial" w:hAnsi="Arial"/>
          <w:sz w:val="18"/>
          <w:szCs w:val="18"/>
          <w:color w:val="auto"/>
        </w:rPr>
        <w:t>On July 20, 2017, SRV entered into a mortgage note (“SRV Term B Note”) with an original balance of $0.8 million. The SRV Term B Note matures in September 2022 and requires monthly payments of $3,300 plus interest at 3.69%, with a final balloon payment in September 2022.</w:t>
      </w:r>
    </w:p>
    <w:p>
      <w:pPr>
        <w:spacing w:after="0" w:line="141" w:lineRule="exact"/>
        <w:rPr>
          <w:sz w:val="20"/>
          <w:szCs w:val="20"/>
          <w:color w:val="auto"/>
        </w:rPr>
      </w:pPr>
    </w:p>
    <w:p>
      <w:pPr>
        <w:ind w:right="320" w:firstLine="428"/>
        <w:spacing w:after="0" w:line="277" w:lineRule="auto"/>
        <w:rPr>
          <w:sz w:val="20"/>
          <w:szCs w:val="20"/>
          <w:color w:val="auto"/>
        </w:rPr>
      </w:pPr>
      <w:r>
        <w:rPr>
          <w:rFonts w:ascii="Arial" w:cs="Arial" w:eastAsia="Arial" w:hAnsi="Arial"/>
          <w:sz w:val="18"/>
          <w:szCs w:val="18"/>
          <w:color w:val="auto"/>
        </w:rPr>
        <w:t>The SRV Term A Note and SRV Term B Note are guaranteed by the Company’s majority shareholder and collateralized by certain real property owned by SRV in Mt. Horeb, Wisconsin.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98" w:lineRule="exact"/>
        <w:rPr>
          <w:sz w:val="20"/>
          <w:szCs w:val="20"/>
          <w:color w:val="auto"/>
        </w:rPr>
      </w:pPr>
    </w:p>
    <w:p>
      <w:pPr>
        <w:ind w:right="20" w:firstLine="428"/>
        <w:spacing w:after="0" w:line="271" w:lineRule="auto"/>
        <w:rPr>
          <w:sz w:val="20"/>
          <w:szCs w:val="20"/>
          <w:color w:val="auto"/>
        </w:rPr>
      </w:pPr>
      <w:r>
        <w:rPr>
          <w:rFonts w:ascii="Arial" w:cs="Arial" w:eastAsia="Arial" w:hAnsi="Arial"/>
          <w:sz w:val="17"/>
          <w:szCs w:val="17"/>
          <w:color w:val="auto"/>
        </w:rPr>
        <w:t>On September 29, 2017, the Company entered into a first amendment to the Amended and Restated Loan Agreement dated as of October 7, 2016 (the “Amended and Restated Agreement”), providing for borrowing availability of up to $60.0 million from September 29, 2017 through July 31, 2019. Effective November 1, 2017, the Company entered into a second amendment to the Amended and Restated Agreement, providing for borrowing availability of up to $80.0 million from November 1, 2017 through December 31, 2017 and borrowing availability of up to $60.0 million from January 1, 2018 through July 31, 2019. The Amended and Restated Agreement matures on July 31, 2019, and bears interest, payable monthly, at a rate equal to the adjusted LIBOR rate, as defined in the Amended and Restated Agreement (effective rate of 2.5% at October 29, 2017). The Amended and Restated Agreement is secured by essentially all Company assets and requires the Company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maintain compliance with certain financial and non-financial covenants, including minimum tangible net worth and a minimum trailing twelve month EBITDA. In addition, the Amended and Restated Agreement does not contain borrowing base limits.</w:t>
      </w:r>
    </w:p>
    <w:p>
      <w:pPr>
        <w:spacing w:after="0" w:line="83" w:lineRule="exact"/>
        <w:rPr>
          <w:sz w:val="20"/>
          <w:szCs w:val="20"/>
          <w:color w:val="auto"/>
        </w:rPr>
      </w:pPr>
    </w:p>
    <w:p>
      <w:pPr>
        <w:ind w:right="540" w:firstLine="428"/>
        <w:spacing w:after="0" w:line="277" w:lineRule="auto"/>
        <w:rPr>
          <w:sz w:val="20"/>
          <w:szCs w:val="20"/>
          <w:color w:val="auto"/>
        </w:rPr>
      </w:pPr>
      <w:r>
        <w:rPr>
          <w:rFonts w:ascii="Arial" w:cs="Arial" w:eastAsia="Arial" w:hAnsi="Arial"/>
          <w:sz w:val="18"/>
          <w:szCs w:val="18"/>
          <w:color w:val="auto"/>
        </w:rPr>
        <w:t>As of October 29, 2017 and for the nine months then ended, the Company was in compliance with all financial and non-financial covenants for all debts discussed above.</w:t>
      </w:r>
    </w:p>
    <w:p>
      <w:pPr>
        <w:spacing w:after="0" w:line="200" w:lineRule="exact"/>
        <w:rPr>
          <w:sz w:val="20"/>
          <w:szCs w:val="20"/>
          <w:color w:val="auto"/>
        </w:rPr>
      </w:pPr>
    </w:p>
    <w:p>
      <w:pPr>
        <w:spacing w:after="0" w:line="331" w:lineRule="exact"/>
        <w:rPr>
          <w:sz w:val="20"/>
          <w:szCs w:val="20"/>
          <w:color w:val="auto"/>
        </w:rPr>
      </w:pPr>
    </w:p>
    <w:p>
      <w:pPr>
        <w:ind w:left="440" w:right="4120" w:hanging="432"/>
        <w:spacing w:after="0" w:line="490" w:lineRule="auto"/>
        <w:tabs>
          <w:tab w:leader="none" w:pos="31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8"/>
              </w:rPr>
              <w:t>October 29, 2017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January 29, 2017</w:t>
            </w:r>
          </w:p>
        </w:tc>
      </w:tr>
      <w:tr>
        <w:trPr>
          <w:trHeight w:val="196"/>
        </w:trPr>
        <w:tc>
          <w:tcPr>
            <w:tcW w:w="5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 revenue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5,590</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Product returns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Catalog costs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Unpaid purchases of property &amp; equipment</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3,485</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w:t>
            </w:r>
          </w:p>
        </w:tc>
      </w:tr>
      <w:tr>
        <w:trPr>
          <w:trHeight w:val="217"/>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19,822</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INVESTMENT</w:t>
      </w:r>
    </w:p>
    <w:p>
      <w:pPr>
        <w:spacing w:after="0" w:line="202"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w:t>
      </w:r>
      <w:r>
        <w:rPr>
          <w:rFonts w:ascii="Arial" w:cs="Arial" w:eastAsia="Arial" w:hAnsi="Arial"/>
          <w:sz w:val="18"/>
          <w:szCs w:val="18"/>
          <w:i w:val="1"/>
          <w:iCs w:val="1"/>
          <w:color w:val="auto"/>
        </w:rPr>
        <w:t>,</w:t>
      </w:r>
      <w:r>
        <w:rPr>
          <w:rFonts w:ascii="Arial" w:cs="Arial" w:eastAsia="Arial" w:hAnsi="Arial"/>
          <w:sz w:val="18"/>
          <w:szCs w:val="18"/>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85"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54"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30"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The carrying value of the Company’s available-for-sale security was valued based on a recent purchase in inactive market (Level 3).</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October 29, 2017</w:t>
            </w:r>
          </w:p>
        </w:tc>
        <w:tc>
          <w:tcPr>
            <w:tcW w:w="11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January 29, 2017</w:t>
            </w:r>
          </w:p>
        </w:tc>
        <w:tc>
          <w:tcPr>
            <w:tcW w:w="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right="164"/>
              <w:spacing w:after="0"/>
              <w:rPr>
                <w:sz w:val="20"/>
                <w:szCs w:val="20"/>
                <w:color w:val="auto"/>
              </w:rPr>
            </w:pPr>
            <w:r>
              <w:rPr>
                <w:rFonts w:ascii="Arial" w:cs="Arial" w:eastAsia="Arial" w:hAnsi="Arial"/>
                <w:sz w:val="14"/>
                <w:szCs w:val="14"/>
                <w:b w:val="1"/>
                <w:bCs w:val="1"/>
                <w:color w:val="auto"/>
                <w:w w:val="89"/>
              </w:rPr>
              <w:t>Cost or</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ind w:right="162"/>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Gross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64"/>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62"/>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5"/>
              </w:rPr>
              <w:t>Unrealized</w:t>
            </w: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Estimated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524"/>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2"/>
              </w:rPr>
              <w:t>Losses</w:t>
            </w:r>
          </w:p>
        </w:tc>
        <w:tc>
          <w:tcPr>
            <w:tcW w:w="1100" w:type="dxa"/>
            <w:vAlign w:val="bottom"/>
          </w:tcPr>
          <w:p>
            <w:pPr>
              <w:ind w:left="12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w w:val="98"/>
              </w:rPr>
              <w:t>Fair Value</w:t>
            </w:r>
          </w:p>
        </w:tc>
        <w:tc>
          <w:tcPr>
            <w:tcW w:w="20" w:type="dxa"/>
            <w:vAlign w:val="bottom"/>
          </w:tcPr>
          <w:p>
            <w:pPr>
              <w:spacing w:after="0"/>
              <w:rPr>
                <w:sz w:val="16"/>
                <w:szCs w:val="16"/>
                <w:color w:val="auto"/>
              </w:rPr>
            </w:pPr>
          </w:p>
        </w:tc>
      </w:tr>
      <w:tr>
        <w:trPr>
          <w:trHeight w:val="182"/>
        </w:trPr>
        <w:tc>
          <w:tcPr>
            <w:tcW w:w="1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Level 3 security:</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trust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864"/>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322"/>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right="180" w:firstLine="428"/>
        <w:spacing w:after="0" w:line="277" w:lineRule="auto"/>
        <w:rPr>
          <w:sz w:val="20"/>
          <w:szCs w:val="20"/>
          <w:color w:val="auto"/>
        </w:rPr>
      </w:pPr>
      <w:r>
        <w:rPr>
          <w:rFonts w:ascii="Arial" w:cs="Arial" w:eastAsia="Arial" w:hAnsi="Arial"/>
          <w:sz w:val="18"/>
          <w:szCs w:val="18"/>
          <w:color w:val="auto"/>
        </w:rPr>
        <w:t>The following table presents future receipts related to the Company’s available-for-sale security by contractual maturity as of October 29, 2017. Cost and estimated fair value are equal.</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95"/>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33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0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ten years</w:t>
            </w:r>
          </w:p>
        </w:tc>
        <w:tc>
          <w:tcPr>
            <w:tcW w:w="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4,423</w:t>
            </w:r>
          </w:p>
        </w:tc>
      </w:tr>
      <w:tr>
        <w:trPr>
          <w:trHeight w:val="217"/>
        </w:trPr>
        <w:tc>
          <w:tcPr>
            <w:tcW w:w="2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VARIABLE INTEREST ENTITY</w:t>
      </w:r>
    </w:p>
    <w:p>
      <w:pPr>
        <w:spacing w:after="0" w:line="202" w:lineRule="exact"/>
        <w:rPr>
          <w:sz w:val="20"/>
          <w:szCs w:val="20"/>
          <w:color w:val="auto"/>
        </w:rPr>
      </w:pPr>
    </w:p>
    <w:p>
      <w:pPr>
        <w:jc w:val="both"/>
        <w:ind w:right="140" w:firstLine="428"/>
        <w:spacing w:after="0" w:line="286" w:lineRule="auto"/>
        <w:rPr>
          <w:sz w:val="20"/>
          <w:szCs w:val="20"/>
          <w:color w:val="auto"/>
        </w:rPr>
      </w:pPr>
      <w:r>
        <w:rPr>
          <w:rFonts w:ascii="Arial" w:cs="Arial" w:eastAsia="Arial" w:hAnsi="Arial"/>
          <w:sz w:val="17"/>
          <w:szCs w:val="17"/>
          <w:color w:val="auto"/>
        </w:rPr>
        <w:t xml:space="preserve">Based upon the criteria set forth in ASC 810, </w:t>
      </w:r>
      <w:r>
        <w:rPr>
          <w:rFonts w:ascii="Arial" w:cs="Arial" w:eastAsia="Arial" w:hAnsi="Arial"/>
          <w:sz w:val="17"/>
          <w:szCs w:val="17"/>
          <w:i w:val="1"/>
          <w:iCs w:val="1"/>
          <w:color w:val="auto"/>
        </w:rPr>
        <w:t>Consolidation</w:t>
      </w:r>
      <w:r>
        <w:rPr>
          <w:rFonts w:ascii="Arial" w:cs="Arial" w:eastAsia="Arial" w:hAnsi="Arial"/>
          <w:sz w:val="17"/>
          <w:szCs w:val="17"/>
          <w:color w:val="auto"/>
        </w:rPr>
        <w:t>, the Company has determined that it was the primary beneficiary of one variable interest entity (“VIE”) as of October 29, 2017 and January 29, 2017, as the Company absorbs significant economics of the entity and has the power to direct the activities that are considered most significant to the entity.</w:t>
      </w:r>
    </w:p>
    <w:p>
      <w:pPr>
        <w:spacing w:after="0" w:line="125" w:lineRule="exact"/>
        <w:rPr>
          <w:sz w:val="20"/>
          <w:szCs w:val="20"/>
          <w:color w:val="auto"/>
        </w:rPr>
      </w:pPr>
    </w:p>
    <w:p>
      <w:pPr>
        <w:ind w:right="120" w:firstLine="428"/>
        <w:spacing w:after="0" w:line="257" w:lineRule="auto"/>
        <w:rPr>
          <w:sz w:val="20"/>
          <w:szCs w:val="20"/>
          <w:color w:val="auto"/>
        </w:rPr>
      </w:pPr>
      <w:r>
        <w:rPr>
          <w:rFonts w:ascii="Arial" w:cs="Arial" w:eastAsia="Arial" w:hAnsi="Arial"/>
          <w:sz w:val="18"/>
          <w:szCs w:val="18"/>
          <w:color w:val="auto"/>
        </w:rPr>
        <w:t>The Company leases certain retail store facilities and office buildings from SRV, a VIE whose primary purpose and activity is to own this real property. SRV is a Wisconsin limited liability company that is owned by the majority shareholder of the Company. The Company considers itself the primary beneficiary for SRV as the Company is expected to receive a majority of SRV’s expected residual returns based on the activity of SRV. As the Company is the primary beneficiary, it consolidates SRV and the leases are eliminated in consolidation.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condensed consolidated balance sheets include the following amounts as a result of the consolidation of SRV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29, 2017 and January 29, 2017:</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29, 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ind w:right="172"/>
              <w:spacing w:after="0"/>
              <w:rPr>
                <w:sz w:val="20"/>
                <w:szCs w:val="20"/>
                <w:color w:val="auto"/>
              </w:rPr>
            </w:pPr>
            <w:r>
              <w:rPr>
                <w:rFonts w:ascii="Arial" w:cs="Arial" w:eastAsia="Arial" w:hAnsi="Arial"/>
                <w:sz w:val="14"/>
                <w:szCs w:val="14"/>
                <w:b w:val="1"/>
                <w:bCs w:val="1"/>
                <w:color w:val="auto"/>
                <w:w w:val="99"/>
              </w:rPr>
              <w:t>January 29, 2017</w:t>
            </w:r>
          </w:p>
        </w:tc>
        <w:tc>
          <w:tcPr>
            <w:tcW w:w="0" w:type="dxa"/>
            <w:vAlign w:val="bottom"/>
          </w:tcPr>
          <w:p>
            <w:pPr>
              <w:spacing w:after="0"/>
              <w:rPr>
                <w:sz w:val="1"/>
                <w:szCs w:val="1"/>
                <w:color w:val="auto"/>
              </w:rPr>
            </w:pPr>
          </w:p>
        </w:tc>
      </w:tr>
      <w:tr>
        <w:trPr>
          <w:trHeight w:val="196"/>
        </w:trPr>
        <w:tc>
          <w:tcPr>
            <w:tcW w:w="46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receivables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w:t>
            </w:r>
          </w:p>
        </w:tc>
        <w:tc>
          <w:tcPr>
            <w:tcW w:w="1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1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Long-term debt</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VIE</w:t>
            </w:r>
          </w:p>
        </w:tc>
        <w:tc>
          <w:tcPr>
            <w:tcW w:w="1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Total liabilities and shareholders' equity</w:t>
            </w:r>
          </w:p>
        </w:tc>
        <w:tc>
          <w:tcPr>
            <w:tcW w:w="16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428"/>
        <w:spacing w:after="0" w:line="259" w:lineRule="auto"/>
        <w:rPr>
          <w:sz w:val="20"/>
          <w:szCs w:val="20"/>
          <w:color w:val="auto"/>
        </w:rPr>
      </w:pPr>
      <w:r>
        <w:rPr>
          <w:rFonts w:ascii="Arial" w:cs="Arial" w:eastAsia="Arial" w:hAnsi="Arial"/>
          <w:sz w:val="18"/>
          <w:szCs w:val="18"/>
          <w:color w:val="auto"/>
        </w:rPr>
        <w:t>On August 18, 2017, the Company entered into a lease agreement with TRI Holdings, LLC (“TRI”), the developer of the Company’s future headquarters in Mt. Horeb, Wisconsin. The Company expects to take occupancy of the future headquarters on November 1, 2018. The Company determined it had a variable interest in TRI, however, the Company does not consolidate TRI, as the Company is not the primary beneficiary.</w:t>
      </w:r>
    </w:p>
    <w:p>
      <w:pPr>
        <w:spacing w:after="0" w:line="187" w:lineRule="exact"/>
        <w:rPr>
          <w:sz w:val="20"/>
          <w:szCs w:val="20"/>
          <w:color w:val="auto"/>
        </w:rPr>
      </w:pPr>
    </w:p>
    <w:p>
      <w:pPr>
        <w:ind w:right="140" w:firstLine="428"/>
        <w:spacing w:after="0" w:line="259" w:lineRule="auto"/>
        <w:rPr>
          <w:sz w:val="20"/>
          <w:szCs w:val="20"/>
          <w:color w:val="auto"/>
        </w:rPr>
      </w:pPr>
      <w:r>
        <w:rPr>
          <w:rFonts w:ascii="Arial" w:cs="Arial" w:eastAsia="Arial" w:hAnsi="Arial"/>
          <w:sz w:val="18"/>
          <w:szCs w:val="18"/>
          <w:color w:val="auto"/>
        </w:rPr>
        <w:t>During the construction phase of the Company’s future headquarters, the Company is considered the owner for accounting purposes, as noted in footnote one, under build-to-suit lease. As of October 29, 2017, the Company capitalized $8.5 million in property &amp; equipment and recorded $8.5 million non-current liability related to build-to-suit transactions, which are included in the balances disclosed under footnote one.</w:t>
      </w:r>
    </w:p>
    <w:p>
      <w:pPr>
        <w:spacing w:after="0" w:line="187" w:lineRule="exact"/>
        <w:rPr>
          <w:sz w:val="20"/>
          <w:szCs w:val="20"/>
          <w:color w:val="auto"/>
        </w:rPr>
      </w:pPr>
    </w:p>
    <w:p>
      <w:pPr>
        <w:jc w:val="both"/>
        <w:ind w:right="200" w:firstLine="428"/>
        <w:spacing w:after="0" w:line="264" w:lineRule="auto"/>
        <w:rPr>
          <w:sz w:val="20"/>
          <w:szCs w:val="20"/>
          <w:color w:val="auto"/>
        </w:rPr>
      </w:pPr>
      <w:r>
        <w:rPr>
          <w:rFonts w:ascii="Arial" w:cs="Arial" w:eastAsia="Arial" w:hAnsi="Arial"/>
          <w:sz w:val="18"/>
          <w:szCs w:val="18"/>
          <w:color w:val="auto"/>
        </w:rPr>
        <w:t>In conjunction with the headquarters lease, the Company invested $6.3 million in a trust (see Note 4 Investment) that funded the mortgage to TRI for the construction of the Company’s future headquarters. The Company does not consolidate the trust as the Company is not the primary beneficiary.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EARNINGS PER SHARE</w:t>
      </w:r>
    </w:p>
    <w:p>
      <w:pPr>
        <w:spacing w:after="0" w:line="189" w:lineRule="exact"/>
        <w:rPr>
          <w:sz w:val="20"/>
          <w:szCs w:val="20"/>
          <w:color w:val="auto"/>
        </w:rPr>
      </w:pPr>
    </w:p>
    <w:p>
      <w:pPr>
        <w:jc w:val="both"/>
        <w:ind w:right="40" w:firstLine="428"/>
        <w:spacing w:after="0" w:line="276" w:lineRule="auto"/>
        <w:rPr>
          <w:sz w:val="20"/>
          <w:szCs w:val="20"/>
          <w:color w:val="auto"/>
        </w:rPr>
      </w:pPr>
      <w:r>
        <w:rPr>
          <w:rFonts w:ascii="Arial" w:cs="Arial" w:eastAsia="Arial" w:hAnsi="Arial"/>
          <w:sz w:val="17"/>
          <w:szCs w:val="17"/>
          <w:color w:val="auto"/>
        </w:rPr>
        <w:t>Earnings per share is computed under the provisions of ASC 260</w:t>
      </w:r>
      <w:r>
        <w:rPr>
          <w:rFonts w:ascii="Arial" w:cs="Arial" w:eastAsia="Arial" w:hAnsi="Arial"/>
          <w:sz w:val="17"/>
          <w:szCs w:val="17"/>
          <w:i w:val="1"/>
          <w:iCs w:val="1"/>
          <w:color w:val="auto"/>
        </w:rPr>
        <w:t>, Earnings Per Share</w:t>
      </w:r>
      <w:r>
        <w:rPr>
          <w:rFonts w:ascii="Arial" w:cs="Arial" w:eastAsia="Arial" w:hAnsi="Arial"/>
          <w:sz w:val="17"/>
          <w:szCs w:val="17"/>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The reconciliation of the numerator and denominator of the basic and diluted earnings per share calculation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320" w:type="dxa"/>
            <w:vAlign w:val="bottom"/>
            <w:gridSpan w:val="3"/>
          </w:tcPr>
          <w:p>
            <w:pPr>
              <w:ind w:left="100"/>
              <w:spacing w:after="0"/>
              <w:rPr>
                <w:sz w:val="20"/>
                <w:szCs w:val="20"/>
                <w:color w:val="auto"/>
              </w:rPr>
            </w:pPr>
            <w:r>
              <w:rPr>
                <w:rFonts w:ascii="Arial" w:cs="Arial" w:eastAsia="Arial" w:hAnsi="Arial"/>
                <w:sz w:val="14"/>
                <w:szCs w:val="14"/>
                <w:b w:val="1"/>
                <w:bCs w:val="1"/>
                <w:color w:val="auto"/>
              </w:rPr>
              <w:t>October 29, 2017</w:t>
            </w:r>
          </w:p>
        </w:tc>
        <w:tc>
          <w:tcPr>
            <w:tcW w:w="100" w:type="dxa"/>
            <w:vAlign w:val="bottom"/>
          </w:tcPr>
          <w:p>
            <w:pPr>
              <w:spacing w:after="0"/>
              <w:rPr>
                <w:sz w:val="15"/>
                <w:szCs w:val="15"/>
                <w:color w:val="auto"/>
              </w:rPr>
            </w:pPr>
          </w:p>
        </w:tc>
        <w:tc>
          <w:tcPr>
            <w:tcW w:w="116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October 30, 2016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October 29, 2017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October 30, 2016</w:t>
            </w:r>
          </w:p>
        </w:tc>
      </w:tr>
      <w:tr>
        <w:trPr>
          <w:trHeight w:val="196"/>
        </w:trPr>
        <w:tc>
          <w:tcPr>
            <w:tcW w:w="43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 income attributable</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w:t>
            </w:r>
          </w:p>
        </w:tc>
      </w:tr>
      <w:tr>
        <w:trPr>
          <w:trHeight w:val="229"/>
        </w:trPr>
        <w:tc>
          <w:tcPr>
            <w:tcW w:w="4300" w:type="dxa"/>
            <w:vAlign w:val="bottom"/>
            <w:gridSpan w:val="2"/>
          </w:tcPr>
          <w:p>
            <w:pPr>
              <w:spacing w:after="0"/>
              <w:rPr>
                <w:sz w:val="20"/>
                <w:szCs w:val="20"/>
                <w:color w:val="auto"/>
              </w:rPr>
            </w:pPr>
            <w:r>
              <w:rPr>
                <w:rFonts w:ascii="Arial" w:cs="Arial" w:eastAsia="Arial" w:hAnsi="Arial"/>
                <w:sz w:val="18"/>
                <w:szCs w:val="18"/>
                <w:color w:val="auto"/>
              </w:rPr>
              <w:t>Denominator - weighted average shares</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(Class A and Class B)</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31,520</w:t>
            </w:r>
          </w:p>
        </w:tc>
      </w:tr>
      <w:tr>
        <w:trPr>
          <w:trHeight w:val="216"/>
        </w:trPr>
        <w:tc>
          <w:tcPr>
            <w:tcW w:w="2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Dilutive shares</w:t>
            </w:r>
          </w:p>
        </w:tc>
        <w:tc>
          <w:tcPr>
            <w:tcW w:w="3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30"/>
        </w:trPr>
        <w:tc>
          <w:tcPr>
            <w:tcW w:w="20" w:type="dxa"/>
            <w:vAlign w:val="bottom"/>
          </w:tcPr>
          <w:p>
            <w:pPr>
              <w:spacing w:after="0"/>
              <w:rPr>
                <w:sz w:val="19"/>
                <w:szCs w:val="19"/>
                <w:color w:val="auto"/>
              </w:rPr>
            </w:pPr>
          </w:p>
        </w:tc>
        <w:tc>
          <w:tcPr>
            <w:tcW w:w="42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32,286</w:t>
            </w:r>
          </w:p>
        </w:tc>
      </w:tr>
      <w:tr>
        <w:trPr>
          <w:trHeight w:val="244"/>
        </w:trPr>
        <w:tc>
          <w:tcPr>
            <w:tcW w:w="4300" w:type="dxa"/>
            <w:vAlign w:val="bottom"/>
            <w:gridSpan w:val="2"/>
          </w:tcPr>
          <w:p>
            <w:pPr>
              <w:spacing w:after="0"/>
              <w:rPr>
                <w:sz w:val="20"/>
                <w:szCs w:val="20"/>
                <w:color w:val="auto"/>
              </w:rPr>
            </w:pPr>
            <w:r>
              <w:rPr>
                <w:rFonts w:ascii="Arial" w:cs="Arial" w:eastAsia="Arial" w:hAnsi="Arial"/>
                <w:sz w:val="18"/>
                <w:szCs w:val="18"/>
                <w:color w:val="auto"/>
              </w:rPr>
              <w:t>(Loss) earnings per share (Class A and Class B)</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45"/>
        </w:trPr>
        <w:tc>
          <w:tcPr>
            <w:tcW w:w="20" w:type="dxa"/>
            <w:vAlign w:val="bottom"/>
          </w:tcPr>
          <w:p>
            <w:pPr>
              <w:spacing w:after="0"/>
              <w:rPr>
                <w:sz w:val="21"/>
                <w:szCs w:val="21"/>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STOCK-BASED COMPENSATION</w:t>
      </w:r>
    </w:p>
    <w:p>
      <w:pPr>
        <w:spacing w:after="0" w:line="202" w:lineRule="exact"/>
        <w:rPr>
          <w:sz w:val="20"/>
          <w:szCs w:val="20"/>
          <w:color w:val="auto"/>
        </w:rPr>
      </w:pPr>
    </w:p>
    <w:p>
      <w:pPr>
        <w:ind w:right="180" w:firstLine="428"/>
        <w:spacing w:after="0" w:line="264" w:lineRule="auto"/>
        <w:rPr>
          <w:sz w:val="20"/>
          <w:szCs w:val="20"/>
          <w:color w:val="auto"/>
        </w:rPr>
      </w:pPr>
      <w:r>
        <w:rPr>
          <w:rFonts w:ascii="Arial" w:cs="Arial" w:eastAsia="Arial" w:hAnsi="Arial"/>
          <w:sz w:val="18"/>
          <w:szCs w:val="18"/>
          <w:color w:val="auto"/>
        </w:rPr>
        <w:t xml:space="preserve">The Company accounts for its stock-based compensation plan in accordance with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which requires the Company to measure all share-based payments at grant date fair value and recognize the cost over the requisite service period of the award.</w:t>
      </w:r>
    </w:p>
    <w:p>
      <w:pPr>
        <w:spacing w:after="0" w:line="141" w:lineRule="exact"/>
        <w:rPr>
          <w:sz w:val="20"/>
          <w:szCs w:val="20"/>
          <w:color w:val="auto"/>
        </w:rPr>
      </w:pPr>
    </w:p>
    <w:p>
      <w:pPr>
        <w:ind w:right="20" w:firstLine="428"/>
        <w:spacing w:after="0" w:line="279" w:lineRule="auto"/>
        <w:rPr>
          <w:sz w:val="20"/>
          <w:szCs w:val="20"/>
          <w:color w:val="auto"/>
        </w:rPr>
      </w:pPr>
      <w:r>
        <w:rPr>
          <w:rFonts w:ascii="Arial" w:cs="Arial" w:eastAsia="Arial" w:hAnsi="Arial"/>
          <w:sz w:val="17"/>
          <w:szCs w:val="17"/>
          <w:color w:val="auto"/>
        </w:rPr>
        <w:t>Total stock compensation expense associated with restricted stock recognized by the Company during the three and nine months ended October 29, 2017 was $0.6 million and $1.2 million, respectively, and during the three and nine months ended October 30, 2016 was $0.4 million and $1.0 million, respectively. The Company’s total stock compensation expense is included in selling, general and administrative expenses on the Condensed Consolidated Statements of Operations.</w:t>
      </w:r>
    </w:p>
    <w:p>
      <w:pPr>
        <w:spacing w:after="0" w:line="131" w:lineRule="exact"/>
        <w:rPr>
          <w:sz w:val="20"/>
          <w:szCs w:val="20"/>
          <w:color w:val="auto"/>
        </w:rPr>
      </w:pPr>
    </w:p>
    <w:p>
      <w:pPr>
        <w:ind w:right="320" w:firstLine="428"/>
        <w:spacing w:after="0" w:line="277" w:lineRule="auto"/>
        <w:rPr>
          <w:sz w:val="20"/>
          <w:szCs w:val="20"/>
          <w:color w:val="auto"/>
        </w:rPr>
      </w:pPr>
      <w:r>
        <w:rPr>
          <w:rFonts w:ascii="Arial" w:cs="Arial" w:eastAsia="Arial" w:hAnsi="Arial"/>
          <w:sz w:val="18"/>
          <w:szCs w:val="18"/>
          <w:color w:val="auto"/>
        </w:rPr>
        <w:t>A summary of the activity in the Company’s unvested restricted stock during the nine months ended October 29, 2017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r>
      <w:tr>
        <w:trPr>
          <w:trHeight w:val="203"/>
        </w:trPr>
        <w:tc>
          <w:tcPr>
            <w:tcW w:w="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average</w:t>
            </w: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97"/>
              </w:rPr>
              <w:t>fair value</w:t>
            </w:r>
          </w:p>
        </w:tc>
      </w:tr>
      <w:tr>
        <w:trPr>
          <w:trHeight w:val="215"/>
        </w:trPr>
        <w:tc>
          <w:tcPr>
            <w:tcW w:w="20" w:type="dxa"/>
            <w:vAlign w:val="bottom"/>
          </w:tcPr>
          <w:p>
            <w:pPr>
              <w:spacing w:after="0"/>
              <w:rPr>
                <w:sz w:val="18"/>
                <w:szCs w:val="18"/>
                <w:color w:val="auto"/>
              </w:rPr>
            </w:pPr>
          </w:p>
        </w:tc>
        <w:tc>
          <w:tcPr>
            <w:tcW w:w="7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per share</w:t>
            </w: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29, 2017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30"/>
        </w:trPr>
        <w:tc>
          <w:tcPr>
            <w:tcW w:w="20" w:type="dxa"/>
            <w:vAlign w:val="bottom"/>
          </w:tcPr>
          <w:p>
            <w:pPr>
              <w:spacing w:after="0"/>
              <w:rPr>
                <w:sz w:val="19"/>
                <w:szCs w:val="19"/>
                <w:color w:val="auto"/>
              </w:rPr>
            </w:pPr>
          </w:p>
        </w:tc>
        <w:tc>
          <w:tcPr>
            <w:tcW w:w="7160" w:type="dxa"/>
            <w:vAlign w:val="bottom"/>
          </w:tcPr>
          <w:p>
            <w:pPr>
              <w:ind w:left="10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109,735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19.56</w:t>
            </w: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(311,933)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w:t>
            </w:r>
          </w:p>
        </w:tc>
      </w:tr>
      <w:tr>
        <w:trPr>
          <w:trHeight w:val="217"/>
        </w:trPr>
        <w:tc>
          <w:tcPr>
            <w:tcW w:w="20" w:type="dxa"/>
            <w:vAlign w:val="bottom"/>
          </w:tcPr>
          <w:p>
            <w:pPr>
              <w:spacing w:after="0"/>
              <w:rPr>
                <w:sz w:val="18"/>
                <w:szCs w:val="18"/>
                <w:color w:val="auto"/>
              </w:rPr>
            </w:pPr>
          </w:p>
        </w:tc>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29, 2017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571,220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bl>
    <w:p>
      <w:pPr>
        <w:spacing w:after="0" w:line="175" w:lineRule="exact"/>
        <w:rPr>
          <w:sz w:val="20"/>
          <w:szCs w:val="20"/>
          <w:color w:val="auto"/>
        </w:rPr>
      </w:pPr>
    </w:p>
    <w:p>
      <w:pPr>
        <w:ind w:right="420" w:firstLine="428"/>
        <w:spacing w:after="0" w:line="277" w:lineRule="auto"/>
        <w:rPr>
          <w:sz w:val="20"/>
          <w:szCs w:val="20"/>
          <w:color w:val="auto"/>
        </w:rPr>
      </w:pPr>
      <w:r>
        <w:rPr>
          <w:rFonts w:ascii="Arial" w:cs="Arial" w:eastAsia="Arial" w:hAnsi="Arial"/>
          <w:sz w:val="18"/>
          <w:szCs w:val="18"/>
          <w:color w:val="auto"/>
        </w:rPr>
        <w:t>At October 29, 2017, the Company had unrecognized compensation expense of $2.5 million related to the restricted stock awards, which is expected to be recognized over a weighted average period of 1.8 years.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PROPERTY AND EQUIPMENT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October 29, 2017</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January 29, 2017</w:t>
            </w:r>
          </w:p>
        </w:tc>
      </w:tr>
      <w:tr>
        <w:trPr>
          <w:trHeight w:val="196"/>
        </w:trPr>
        <w:tc>
          <w:tcPr>
            <w:tcW w:w="4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19,938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12,752</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16,178</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Vehicles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11,125</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1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6,659</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56,325</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 and amortization</w:t>
            </w:r>
          </w:p>
        </w:tc>
        <w:tc>
          <w:tcPr>
            <w:tcW w:w="1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(15,529)</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40,796</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11,636</w:t>
            </w:r>
          </w:p>
        </w:tc>
      </w:tr>
      <w:tr>
        <w:trPr>
          <w:trHeight w:val="217"/>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98,151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52,432</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SEGMENT REPORTING</w:t>
      </w:r>
    </w:p>
    <w:p>
      <w:pPr>
        <w:spacing w:after="0" w:line="189" w:lineRule="exact"/>
        <w:rPr>
          <w:sz w:val="20"/>
          <w:szCs w:val="20"/>
          <w:color w:val="auto"/>
        </w:rPr>
      </w:pPr>
    </w:p>
    <w:p>
      <w:pPr>
        <w:ind w:right="280" w:firstLine="428"/>
        <w:spacing w:after="0" w:line="257" w:lineRule="auto"/>
        <w:rPr>
          <w:sz w:val="20"/>
          <w:szCs w:val="20"/>
          <w:color w:val="auto"/>
        </w:rPr>
      </w:pPr>
      <w:r>
        <w:rPr>
          <w:rFonts w:ascii="Arial" w:cs="Arial" w:eastAsia="Arial" w:hAnsi="Arial"/>
          <w:sz w:val="18"/>
          <w:szCs w:val="18"/>
          <w:color w:val="auto"/>
        </w:rPr>
        <w:t>The Company has two operating segments, which are also its reportable segments: direct and retail. The direct segment includes net sales from the Company’s website and catalogs. The retail segment includes net sales from the Company’s retail and outlet stores. These two operating segments are components of the Company for which separate financial information is available and for which operating results are evaluated on a regular basis by the chief operating decision maker in deciding how to allocate resources and in assessing performance of the segments.</w:t>
      </w:r>
    </w:p>
    <w:p>
      <w:pPr>
        <w:spacing w:after="0" w:line="161" w:lineRule="exact"/>
        <w:rPr>
          <w:sz w:val="20"/>
          <w:szCs w:val="20"/>
          <w:color w:val="auto"/>
        </w:rPr>
      </w:pPr>
    </w:p>
    <w:p>
      <w:pPr>
        <w:ind w:right="20" w:firstLine="428"/>
        <w:spacing w:after="0" w:line="257" w:lineRule="auto"/>
        <w:rPr>
          <w:sz w:val="20"/>
          <w:szCs w:val="20"/>
          <w:color w:val="auto"/>
        </w:rPr>
      </w:pPr>
      <w:r>
        <w:rPr>
          <w:rFonts w:ascii="Arial" w:cs="Arial" w:eastAsia="Arial" w:hAnsi="Arial"/>
          <w:sz w:val="18"/>
          <w:szCs w:val="18"/>
          <w:color w:val="auto"/>
        </w:rPr>
        <w:t>Income tax expense, and corporate expenses, which include but are not limited to: human resources, legal, finance, information technology, design and other corporate-related expenses are included in the Company’s direct segment. Interest expense, depreciation and amortization, and property and equipment expenditures, are recognized in each segment. Advertising expenses are generally included in the Company’s direct segment, except for specific store advertising, which is included in the Company’s retail segment.</w:t>
      </w:r>
    </w:p>
    <w:p>
      <w:pPr>
        <w:spacing w:after="0" w:line="148" w:lineRule="exact"/>
        <w:rPr>
          <w:sz w:val="20"/>
          <w:szCs w:val="20"/>
          <w:color w:val="auto"/>
        </w:rPr>
      </w:pPr>
    </w:p>
    <w:p>
      <w:pPr>
        <w:jc w:val="both"/>
        <w:ind w:right="40" w:firstLine="428"/>
        <w:spacing w:after="0" w:line="264" w:lineRule="auto"/>
        <w:rPr>
          <w:sz w:val="20"/>
          <w:szCs w:val="20"/>
          <w:color w:val="auto"/>
        </w:rPr>
      </w:pPr>
      <w:r>
        <w:rPr>
          <w:rFonts w:ascii="Arial" w:cs="Arial" w:eastAsia="Arial" w:hAnsi="Arial"/>
          <w:sz w:val="18"/>
          <w:szCs w:val="18"/>
          <w:color w:val="auto"/>
        </w:rPr>
        <w:t>Net sales by product is not presented because providing the information is impracticable. Net sales outside of the United States were insignificant. Variable allocations of assets are not made for segment reporting. The Company does not have any assets outside of the United States.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information is presented in the following tables: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731"/>
              <w:spacing w:after="0"/>
              <w:rPr>
                <w:sz w:val="20"/>
                <w:szCs w:val="20"/>
                <w:color w:val="auto"/>
              </w:rPr>
            </w:pPr>
            <w:r>
              <w:rPr>
                <w:rFonts w:ascii="Arial" w:cs="Arial" w:eastAsia="Arial" w:hAnsi="Arial"/>
                <w:sz w:val="14"/>
                <w:szCs w:val="14"/>
                <w:b w:val="1"/>
                <w:bCs w:val="1"/>
                <w:color w:val="auto"/>
              </w:rPr>
              <w:t>Nine Months Ended</w:t>
            </w:r>
          </w:p>
        </w:tc>
      </w:tr>
      <w:tr>
        <w:trPr>
          <w:trHeight w:val="210"/>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October 29, 2017</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w w:val="94"/>
              </w:rPr>
              <w:t>October 30, 2016</w:t>
            </w:r>
          </w:p>
        </w:tc>
        <w:tc>
          <w:tcPr>
            <w:tcW w:w="160" w:type="dxa"/>
            <w:vAlign w:val="bottom"/>
          </w:tcPr>
          <w:p>
            <w:pPr>
              <w:spacing w:after="0"/>
              <w:rPr>
                <w:sz w:val="18"/>
                <w:szCs w:val="18"/>
                <w:color w:val="auto"/>
              </w:rPr>
            </w:pPr>
          </w:p>
        </w:tc>
        <w:tc>
          <w:tcPr>
            <w:tcW w:w="132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October 29, 2017</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October 30, 2016</w:t>
            </w:r>
          </w:p>
        </w:tc>
      </w:tr>
      <w:tr>
        <w:trPr>
          <w:trHeight w:val="210"/>
        </w:trPr>
        <w:tc>
          <w:tcPr>
            <w:tcW w:w="30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Direct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54,146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52,271</w:t>
            </w:r>
          </w:p>
        </w:tc>
        <w:tc>
          <w:tcPr>
            <w:tcW w:w="84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175,588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166,437</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14,737</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78,054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35,026</w:t>
            </w:r>
          </w:p>
        </w:tc>
      </w:tr>
      <w:tr>
        <w:trPr>
          <w:trHeight w:val="217"/>
        </w:trPr>
        <w:tc>
          <w:tcPr>
            <w:tcW w:w="20" w:type="dxa"/>
            <w:vAlign w:val="bottom"/>
          </w:tcPr>
          <w:p>
            <w:pPr>
              <w:spacing w:after="0"/>
              <w:rPr>
                <w:sz w:val="18"/>
                <w:szCs w:val="18"/>
                <w:color w:val="auto"/>
              </w:rPr>
            </w:pPr>
          </w:p>
        </w:tc>
        <w:tc>
          <w:tcPr>
            <w:tcW w:w="3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net sales</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83,729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67,008</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253,642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201,463</w:t>
            </w: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(loss) income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Direct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84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8,694</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r>
      <w:tr>
        <w:trPr>
          <w:trHeight w:val="210"/>
        </w:trPr>
        <w:tc>
          <w:tcPr>
            <w:tcW w:w="20" w:type="dxa"/>
            <w:vAlign w:val="bottom"/>
          </w:tcPr>
          <w:p>
            <w:pPr>
              <w:spacing w:after="0"/>
              <w:rPr>
                <w:sz w:val="18"/>
                <w:szCs w:val="18"/>
                <w:color w:val="auto"/>
              </w:rPr>
            </w:pPr>
          </w:p>
        </w:tc>
        <w:tc>
          <w:tcPr>
            <w:tcW w:w="3000" w:type="dxa"/>
            <w:vAlign w:val="bottom"/>
          </w:tcPr>
          <w:p>
            <w:pPr>
              <w:ind w:left="100"/>
              <w:spacing w:after="0"/>
              <w:rPr>
                <w:sz w:val="20"/>
                <w:szCs w:val="20"/>
                <w:color w:val="auto"/>
              </w:rPr>
            </w:pPr>
            <w:r>
              <w:rPr>
                <w:rFonts w:ascii="Arial" w:cs="Arial" w:eastAsia="Arial" w:hAnsi="Arial"/>
                <w:sz w:val="18"/>
                <w:szCs w:val="18"/>
                <w:color w:val="auto"/>
              </w:rPr>
              <w:t>Total operating (loss) income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819</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7,526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12,146</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20" w:type="dxa"/>
            <w:vAlign w:val="bottom"/>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(Loss) income before income taxes</w:t>
            </w: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12,201</w:t>
            </w:r>
          </w:p>
        </w:tc>
      </w:tr>
      <w:tr>
        <w:trPr>
          <w:trHeight w:val="784"/>
        </w:trPr>
        <w:tc>
          <w:tcPr>
            <w:tcW w:w="20" w:type="dxa"/>
            <w:vAlign w:val="bottom"/>
          </w:tcPr>
          <w:p>
            <w:pPr>
              <w:spacing w:after="0"/>
              <w:rPr>
                <w:sz w:val="24"/>
                <w:szCs w:val="24"/>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Segment total assets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4"/>
                <w:szCs w:val="14"/>
                <w:b w:val="1"/>
                <w:bCs w:val="1"/>
                <w:color w:val="auto"/>
              </w:rPr>
              <w:t>October 29, 2017</w:t>
            </w:r>
          </w:p>
        </w:tc>
        <w:tc>
          <w:tcPr>
            <w:tcW w:w="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4"/>
                <w:szCs w:val="14"/>
                <w:b w:val="1"/>
                <w:bCs w:val="1"/>
                <w:color w:val="auto"/>
                <w:w w:val="94"/>
              </w:rPr>
              <w:t>January 29, 2017</w:t>
            </w:r>
          </w:p>
        </w:tc>
      </w:tr>
      <w:tr>
        <w:trPr>
          <w:trHeight w:val="183"/>
        </w:trPr>
        <w:tc>
          <w:tcPr>
            <w:tcW w:w="30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168,865</w:t>
            </w:r>
          </w:p>
        </w:tc>
        <w:tc>
          <w:tcPr>
            <w:tcW w:w="6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115,239</w:t>
            </w:r>
          </w:p>
        </w:tc>
      </w:tr>
      <w:tr>
        <w:trPr>
          <w:trHeight w:val="216"/>
        </w:trPr>
        <w:tc>
          <w:tcPr>
            <w:tcW w:w="20" w:type="dxa"/>
            <w:vAlign w:val="bottom"/>
          </w:tcPr>
          <w:p>
            <w:pPr>
              <w:spacing w:after="0"/>
              <w:rPr>
                <w:sz w:val="18"/>
                <w:szCs w:val="18"/>
                <w:color w:val="auto"/>
              </w:rPr>
            </w:pPr>
          </w:p>
        </w:tc>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84,082</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40,728</w:t>
            </w:r>
          </w:p>
        </w:tc>
      </w:tr>
      <w:tr>
        <w:trPr>
          <w:trHeight w:val="217"/>
        </w:trPr>
        <w:tc>
          <w:tcPr>
            <w:tcW w:w="20" w:type="dxa"/>
            <w:vAlign w:val="bottom"/>
          </w:tcPr>
          <w:p>
            <w:pPr>
              <w:spacing w:after="0"/>
              <w:rPr>
                <w:sz w:val="18"/>
                <w:szCs w:val="18"/>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period end</w:t>
            </w: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252,947</w:t>
            </w:r>
          </w:p>
        </w:tc>
        <w:tc>
          <w:tcPr>
            <w:tcW w:w="2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155,967</w:t>
            </w:r>
          </w:p>
        </w:tc>
      </w:tr>
    </w:tbl>
    <w:p>
      <w:pPr>
        <w:spacing w:after="0" w:line="200" w:lineRule="exact"/>
        <w:rPr>
          <w:sz w:val="20"/>
          <w:szCs w:val="20"/>
          <w:color w:val="auto"/>
        </w:rPr>
      </w:pPr>
    </w:p>
    <w:p>
      <w:pPr>
        <w:spacing w:after="0" w:line="2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INCOME TAXES</w:t>
      </w:r>
    </w:p>
    <w:p>
      <w:pPr>
        <w:spacing w:after="0" w:line="202" w:lineRule="exact"/>
        <w:rPr>
          <w:sz w:val="20"/>
          <w:szCs w:val="20"/>
          <w:color w:val="auto"/>
        </w:rPr>
      </w:pPr>
    </w:p>
    <w:p>
      <w:pPr>
        <w:ind w:right="80" w:firstLine="428"/>
        <w:spacing w:after="0" w:line="255" w:lineRule="auto"/>
        <w:rPr>
          <w:sz w:val="20"/>
          <w:szCs w:val="20"/>
          <w:color w:val="auto"/>
        </w:rPr>
      </w:pPr>
      <w:r>
        <w:rPr>
          <w:rFonts w:ascii="Arial" w:cs="Arial" w:eastAsia="Arial" w:hAnsi="Arial"/>
          <w:sz w:val="18"/>
          <w:szCs w:val="18"/>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was 36% and 39% for the three and nine months ended October 29, 2017, respectively, and 40% and 39% for the three and nine months ended October 30, 2016, respectively. The income from SRV was excluded from the calculation of the Company’s effective tax rate, as SRV is an “S” corporation and not subject to income taxes.</w:t>
      </w:r>
    </w:p>
    <w:p>
      <w:pPr>
        <w:spacing w:after="0" w:line="200" w:lineRule="exact"/>
        <w:rPr>
          <w:sz w:val="20"/>
          <w:szCs w:val="20"/>
          <w:color w:val="auto"/>
        </w:rPr>
      </w:pPr>
    </w:p>
    <w:p>
      <w:pPr>
        <w:spacing w:after="0" w:line="3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RECENT ACCOUNTING PRONOUNCEMENTS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Simplifying the Measurement of Inventory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July 2015, the FASB issued Accounting Standards Update No. 2015-11, </w:t>
      </w:r>
      <w:r>
        <w:rPr>
          <w:rFonts w:ascii="Arial" w:cs="Arial" w:eastAsia="Arial" w:hAnsi="Arial"/>
          <w:sz w:val="16"/>
          <w:szCs w:val="16"/>
          <w:i w:val="1"/>
          <w:iCs w:val="1"/>
          <w:color w:val="auto"/>
        </w:rPr>
        <w:t>Simplifying the Measurement of Inventory (Topic</w:t>
      </w:r>
    </w:p>
    <w:p>
      <w:pPr>
        <w:spacing w:after="0" w:line="46" w:lineRule="exact"/>
        <w:rPr>
          <w:sz w:val="20"/>
          <w:szCs w:val="20"/>
          <w:color w:val="auto"/>
        </w:rPr>
      </w:pPr>
    </w:p>
    <w:p>
      <w:pPr>
        <w:ind w:right="40" w:firstLine="8"/>
        <w:spacing w:after="0" w:line="268" w:lineRule="auto"/>
        <w:tabs>
          <w:tab w:leader="none" w:pos="375" w:val="left"/>
        </w:tabs>
        <w:numPr>
          <w:ilvl w:val="0"/>
          <w:numId w:val="5"/>
        </w:numPr>
        <w:rPr>
          <w:rFonts w:ascii="Arial" w:cs="Arial" w:eastAsia="Arial" w:hAnsi="Arial"/>
          <w:sz w:val="17"/>
          <w:szCs w:val="17"/>
          <w:i w:val="1"/>
          <w:iCs w:val="1"/>
          <w:color w:val="auto"/>
        </w:rPr>
      </w:pPr>
      <w:r>
        <w:rPr>
          <w:rFonts w:ascii="Arial" w:cs="Arial" w:eastAsia="Arial" w:hAnsi="Arial"/>
          <w:sz w:val="17"/>
          <w:szCs w:val="17"/>
          <w:color w:val="auto"/>
        </w:rPr>
        <w:t>(“ASU 2015-11”),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 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The Company adopted ASU 2015-11 as of January 30, 2017, the first day of the Company’s fiscal year 2017, and there was no significant impact to the Company’s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Improvements to Employee Share-Based Payment Accounting</w:t>
      </w:r>
    </w:p>
    <w:p>
      <w:pPr>
        <w:spacing w:after="0" w:line="185" w:lineRule="exact"/>
        <w:rPr>
          <w:sz w:val="20"/>
          <w:szCs w:val="20"/>
          <w:color w:val="auto"/>
        </w:rPr>
      </w:pPr>
    </w:p>
    <w:p>
      <w:pPr>
        <w:ind w:right="120" w:firstLine="428"/>
        <w:spacing w:after="0" w:line="270" w:lineRule="auto"/>
        <w:rPr>
          <w:sz w:val="20"/>
          <w:szCs w:val="20"/>
          <w:color w:val="auto"/>
        </w:rPr>
      </w:pPr>
      <w:r>
        <w:rPr>
          <w:rFonts w:ascii="Arial" w:cs="Arial" w:eastAsia="Arial" w:hAnsi="Arial"/>
          <w:sz w:val="17"/>
          <w:szCs w:val="17"/>
          <w:color w:val="auto"/>
        </w:rPr>
        <w:t xml:space="preserve">In March 2016, the FASB issued Accounting Standards Update No. 2016-09,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(Topic 718):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(“ASU 2016-09”), which is intended to improve the accounting for share-based payment transactions. ASU 2016-09 changes certain aspects of the accounting for share-based payment award transactions, including: (1) accounting for income taxes; (2) classification of excess tax benefits on the statement of cash flows; (3) forfeitures; (4) minimum statutory tax withholding requirements; and (5) classification of employee taxes paid on the statement of cash flows when an employer withholds shares for tax-withholding purposes. The provisions of ASU 2016-09 are effective for public entities with fiscal years beginning after December 15, 2016, and interim periods within those years, early adoption is permitted. The Company adopted ASU 2016-09 as of May 1, 2016 and there was no significant impact to the Company’s consolidated financial statements.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Balance Sheet Classification of Deferred Taxes</w:t>
      </w:r>
    </w:p>
    <w:p>
      <w:pPr>
        <w:spacing w:after="0" w:line="185" w:lineRule="exact"/>
        <w:rPr>
          <w:sz w:val="20"/>
          <w:szCs w:val="20"/>
          <w:color w:val="auto"/>
        </w:rPr>
      </w:pPr>
    </w:p>
    <w:p>
      <w:pPr>
        <w:ind w:right="160" w:firstLine="441"/>
        <w:spacing w:after="0" w:line="291" w:lineRule="auto"/>
        <w:rPr>
          <w:sz w:val="20"/>
          <w:szCs w:val="20"/>
          <w:color w:val="auto"/>
        </w:rPr>
      </w:pPr>
      <w:r>
        <w:rPr>
          <w:rFonts w:ascii="Arial" w:cs="Arial" w:eastAsia="Arial" w:hAnsi="Arial"/>
          <w:sz w:val="16"/>
          <w:szCs w:val="16"/>
          <w:color w:val="auto"/>
        </w:rPr>
        <w:t xml:space="preserve">In November 2015, the FASB issued Accounting Standards Update No. 2015-17, </w:t>
      </w:r>
      <w:r>
        <w:rPr>
          <w:rFonts w:ascii="Arial" w:cs="Arial" w:eastAsia="Arial" w:hAnsi="Arial"/>
          <w:sz w:val="16"/>
          <w:szCs w:val="16"/>
          <w:i w:val="1"/>
          <w:iCs w:val="1"/>
          <w:color w:val="auto"/>
        </w:rPr>
        <w:t>Balance Sheet Classification of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(Topic 740) (“ASU 2015-17”), which requires the classification of all deferred tax assets and liabilities as noncurrent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instead of separating deferred taxes into current and noncurrent amounts. In addition, an allocation of valuation allowances between current and noncurrent deferred tax assets is not required, because the allowances will be classified as noncurrent. The provisions of ASU 2015-17 are effective for public entities with fiscal years beginning after December 15, 2016, and interim periods within those fiscal years, with early adoption permitted. The Company adopted ASU 2015-17 as of January 31, 2016 and has reported deferred tax assets and liabilities as noncurrent on the balance sheet.</w:t>
      </w:r>
    </w:p>
    <w:p>
      <w:pPr>
        <w:spacing w:after="0" w:line="200" w:lineRule="exact"/>
        <w:rPr>
          <w:sz w:val="20"/>
          <w:szCs w:val="20"/>
          <w:color w:val="auto"/>
        </w:rPr>
      </w:pPr>
    </w:p>
    <w:p>
      <w:pPr>
        <w:spacing w:after="0" w:line="332"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Recently Issued Accounting Pronouncements Not Yet Adopted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7"/>
          <w:szCs w:val="17"/>
          <w:i w:val="1"/>
          <w:iCs w:val="1"/>
          <w:color w:val="auto"/>
        </w:rPr>
      </w:pPr>
      <w:r>
        <w:rPr>
          <w:rFonts w:ascii="Arial" w:cs="Arial" w:eastAsia="Arial" w:hAnsi="Arial"/>
          <w:sz w:val="17"/>
          <w:szCs w:val="17"/>
          <w:color w:val="auto"/>
        </w:rPr>
        <w:t xml:space="preserve">(“ASU 2014-09”), which supersedes the revenue recognition requirements in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ASU</w:t>
      </w:r>
    </w:p>
    <w:p>
      <w:pPr>
        <w:spacing w:after="0" w:line="20" w:lineRule="exact"/>
        <w:rPr>
          <w:rFonts w:ascii="Arial" w:cs="Arial" w:eastAsia="Arial" w:hAnsi="Arial"/>
          <w:sz w:val="17"/>
          <w:szCs w:val="17"/>
          <w:i w:val="1"/>
          <w:iCs w:val="1"/>
          <w:color w:val="auto"/>
        </w:rPr>
      </w:pPr>
    </w:p>
    <w:p>
      <w:pPr>
        <w:spacing w:after="0" w:line="281" w:lineRule="auto"/>
        <w:rPr>
          <w:rFonts w:ascii="Arial" w:cs="Arial" w:eastAsia="Arial" w:hAnsi="Arial"/>
          <w:sz w:val="17"/>
          <w:szCs w:val="17"/>
          <w:i w:val="1"/>
          <w:iCs w:val="1"/>
          <w:color w:val="auto"/>
        </w:rPr>
      </w:pPr>
      <w:r>
        <w:rPr>
          <w:rFonts w:ascii="Arial" w:cs="Arial" w:eastAsia="Arial" w:hAnsi="Arial"/>
          <w:sz w:val="16"/>
          <w:szCs w:val="16"/>
          <w:color w:val="auto"/>
        </w:rPr>
        <w:t>2014-09 requires revenue recognition to depict the transfer of goods or services to customers in an amount that reflects the consideration to which the entity expects to be entitled in exchange for those goods or services. The new revenue recognition model requires identifying the contract, identifying the performance obligations, determining the transaction price, allocating the transaction price to performance obligations and recognizing the revenue upon satisfaction of the performance obligations. ASU 2014-09 also requires additional disclosure about the nature, amount, timing and uncertainty of revenue and cash flows arising from customer contracts, including significant judgments and change in judgments, and assets recognized from costs incurred to obtain or fulfill a contract. ASU 2014-09 can be applied either retrospectively to each prior reporting period presented or retrospectively with the cumulative effect of initially applying the update recognized at the date of the initial application along with additional disclosures. On July 9, 2015, the FASB deferred the effective date of ASU 2014-09 for one year. ASU 2014-09 is effective for annual reporting periods beginning after December 15, 2017. Accordingly, the Company will adopt ASU 2014-09 on January 29, 2018, the first day of the Company’s first quarter for the fiscal year ending February 3, 2019, the Company’s fiscal year 2018. The Company expects to adopt ASU 2014-09 retrospectively with the cumulative effect of initially applying the update recognized at the date of the adoption along with additional disclosures. The Company’s revenue is primarily generated from the sale of finished goods to customers and those sales predominately contain a single performance obligation, revenue is recognized at the point of sale for the retail segment or when the products have been delivered to the customer for the direct segment. The Company’s review is ongoing as it specifically relates to sales returns and gift cards, and the Company has not yet identified any material changes in the timing of</w:t>
      </w:r>
    </w:p>
    <w:p>
      <w:pPr>
        <w:spacing w:after="0" w:line="10" w:lineRule="exact"/>
        <w:rPr>
          <w:rFonts w:ascii="Arial" w:cs="Arial" w:eastAsia="Arial" w:hAnsi="Arial"/>
          <w:sz w:val="17"/>
          <w:szCs w:val="17"/>
          <w:i w:val="1"/>
          <w:iCs w:val="1"/>
          <w:color w:val="auto"/>
        </w:rPr>
      </w:pPr>
    </w:p>
    <w:p>
      <w:pPr>
        <w:ind w:right="480"/>
        <w:spacing w:after="0" w:line="261" w:lineRule="auto"/>
        <w:rPr>
          <w:rFonts w:ascii="Arial" w:cs="Arial" w:eastAsia="Arial" w:hAnsi="Arial"/>
          <w:sz w:val="17"/>
          <w:szCs w:val="17"/>
          <w:i w:val="1"/>
          <w:iCs w:val="1"/>
          <w:color w:val="auto"/>
        </w:rPr>
      </w:pPr>
      <w:r>
        <w:rPr>
          <w:rFonts w:ascii="Arial" w:cs="Arial" w:eastAsia="Arial" w:hAnsi="Arial"/>
          <w:sz w:val="18"/>
          <w:szCs w:val="18"/>
          <w:color w:val="auto"/>
        </w:rPr>
        <w:t>revenue recognition. The Company continues to evaluate the new disclosure requirements of ASU 2014-09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 xml:space="preserve">In February 2016, the FASB issued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(“ASU 2016-02”), which requires lessees to recognize most leases on the balance sheets (right-of-use asset and lease liability), but recognize expenses on the income statements in a manner that is similar to the current lease standard. The provisions of ASU 2016-02 are effective for public entities with fiscal years beginning after December 15, 2018, and interim periods within those years, with early adoption permitted. The Company expects to early adopt ASU 2016-02 on January 29, 2018, the first day of the Company’s first quarter for the fiscal year ending February 3, 2019, the Company’s fiscal year 2018. The Company conducts its retail operations through leased stores and therefore, the Company expects the adoption of ASU 2016-02 to have a significant impact on its consolidated financial statements.</w:t>
      </w:r>
    </w:p>
    <w:p>
      <w:pPr>
        <w:spacing w:after="0" w:line="200" w:lineRule="exact"/>
        <w:rPr>
          <w:sz w:val="20"/>
          <w:szCs w:val="20"/>
          <w:color w:val="auto"/>
        </w:rPr>
      </w:pPr>
    </w:p>
    <w:p>
      <w:pPr>
        <w:spacing w:after="0" w:line="3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Statement of Cash Flows</w:t>
      </w:r>
    </w:p>
    <w:p>
      <w:pPr>
        <w:spacing w:after="0" w:line="18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In November 2016, the FASB issued Accounting Standards Update No.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(Topic 230</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(“ASU 2016-18”), which requires companies to include cash and cash equivalents that have restrictions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withdrawal or use in total cash and cash equivalents on the statement of cash flows. ASU 2016-18 is effective for public entities with fiscal years beginning after December 15, 2017, and interim periods within those years, with early adoption permitted. The Company expects to adopt ASU 2016-18 on January 29, 2018, the first day of the Company’s first quarter for the fiscal year ending February 3, 2019, the Company’s fiscal year 2018. The Company is evaluating the level of impact of adopting ASU 2016-18 will have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4" w:lineRule="exact"/>
        <w:rPr>
          <w:sz w:val="20"/>
          <w:szCs w:val="20"/>
          <w:color w:val="auto"/>
        </w:rPr>
      </w:pPr>
    </w:p>
    <w:p>
      <w:pPr>
        <w:ind w:right="100" w:firstLine="428"/>
        <w:spacing w:after="0" w:line="238" w:lineRule="auto"/>
        <w:rPr>
          <w:sz w:val="20"/>
          <w:szCs w:val="20"/>
          <w:color w:val="auto"/>
        </w:rPr>
      </w:pPr>
      <w:r>
        <w:rPr>
          <w:rFonts w:ascii="Arial" w:cs="Arial" w:eastAsia="Arial" w:hAnsi="Arial"/>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January 29, 2017 (“2016 Form 10-K”).</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3"/>
          <w:szCs w:val="13"/>
          <w:i w:val="1"/>
          <w:iCs w:val="1"/>
          <w:color w:val="auto"/>
        </w:rPr>
        <w:t>The three and nine months of fiscal 2017 and fiscal 2016 represent our 13 and 39-week periods ended October 29, 2017 and October 30, 2016, respectively.</w:t>
      </w:r>
    </w:p>
    <w:p>
      <w:pPr>
        <w:spacing w:after="0" w:line="175" w:lineRule="exact"/>
        <w:rPr>
          <w:sz w:val="20"/>
          <w:szCs w:val="20"/>
          <w:color w:val="auto"/>
        </w:rPr>
      </w:pPr>
    </w:p>
    <w:p>
      <w:pPr>
        <w:ind w:right="180" w:firstLine="428"/>
        <w:spacing w:after="0" w:line="253" w:lineRule="auto"/>
        <w:rPr>
          <w:sz w:val="20"/>
          <w:szCs w:val="20"/>
          <w:color w:val="auto"/>
        </w:rPr>
      </w:pPr>
      <w:r>
        <w:rPr>
          <w:rFonts w:ascii="Arial" w:cs="Arial" w:eastAsia="Arial" w:hAnsi="Arial"/>
          <w:sz w:val="14"/>
          <w:szCs w:val="14"/>
          <w:i w:val="1"/>
          <w:iCs w:val="1"/>
          <w:color w:val="auto"/>
        </w:rPr>
        <w:t>Unless the context indicates otherwise, the terms the “Company,” “Duluth,” “Duluth Trading,” “we,” “our,” or “us” are used to refer to Duluth Holdings Inc. and its subsidiary on a consolidated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40" w:firstLine="428"/>
        <w:spacing w:after="0" w:line="267"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including the risks and uncertainties described under Part I, Item 1A “Risk Factors,” in our 2016 Form 10-K, which factors are incorporated by reference herein.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52" w:lineRule="exact"/>
        <w:rPr>
          <w:sz w:val="20"/>
          <w:szCs w:val="20"/>
          <w:color w:val="auto"/>
        </w:rPr>
      </w:pPr>
    </w:p>
    <w:p>
      <w:pPr>
        <w:ind w:right="680" w:firstLine="428"/>
        <w:spacing w:after="0" w:line="277" w:lineRule="auto"/>
        <w:rPr>
          <w:sz w:val="20"/>
          <w:szCs w:val="20"/>
          <w:color w:val="auto"/>
        </w:rPr>
      </w:pPr>
      <w:r>
        <w:rPr>
          <w:rFonts w:ascii="Arial" w:cs="Arial" w:eastAsia="Arial" w:hAnsi="Arial"/>
          <w:sz w:val="18"/>
          <w:szCs w:val="18"/>
          <w:color w:val="auto"/>
        </w:rPr>
        <w:t>We undertake no obligation to update or revise these forward-looking statements, except as required under the federal securities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80" w:firstLine="428"/>
        <w:spacing w:after="0" w:line="290" w:lineRule="auto"/>
        <w:rPr>
          <w:sz w:val="20"/>
          <w:szCs w:val="20"/>
          <w:color w:val="auto"/>
        </w:rPr>
      </w:pPr>
      <w:r>
        <w:rPr>
          <w:rFonts w:ascii="Arial" w:cs="Arial" w:eastAsia="Arial" w:hAnsi="Arial"/>
          <w:sz w:val="16"/>
          <w:szCs w:val="16"/>
          <w:color w:val="auto"/>
        </w:rPr>
        <w:t>We are a rapidly growing lifestyle brand of men’s and women’s casual wear, workwear and accessories sold exclusively through our own direct and retail channels. The direct segment, consisting of our website and catalogs, offers products nationwide and represented 64.7% and 69.2% of our consolidated net sales for the three and nine months ended October 29, 2017, respectively, and 78.0% and 82.6% of our consolidated net sales for the three and nine months ended October 30, 2016, respectively. In 2010, we added retail to our omni-channel platform with the opening of our first store. Since then, we have expanded our retail presence, and as of October 29, 2017, we operated 23 retail stores and three outlet stores. Net sales for our retail segment represented 35.3% and 30.8% of consolidated net sales for the three and nine months ended October 29, 2017, and 22.0% and 17.4% of consolidated net sales for the three and nine months ended October 30, 2016, respectively.</w:t>
      </w:r>
    </w:p>
    <w:p>
      <w:pPr>
        <w:spacing w:after="0" w:line="126"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We offer a comprehensive line of innovative, durable and functional products, such as our Longtail T</w:t>
      </w:r>
      <w:r>
        <w:rPr>
          <w:rFonts w:ascii="Arial" w:cs="Arial" w:eastAsia="Arial" w:hAnsi="Arial"/>
          <w:sz w:val="7"/>
          <w:szCs w:val="7"/>
          <w:color w:val="auto"/>
        </w:rPr>
        <w:t>®</w:t>
      </w:r>
      <w:r>
        <w:rPr>
          <w:rFonts w:ascii="Arial" w:cs="Arial" w:eastAsia="Arial" w:hAnsi="Arial"/>
          <w:sz w:val="18"/>
          <w:szCs w:val="18"/>
          <w:color w:val="auto"/>
        </w:rPr>
        <w:t xml:space="preserve"> shirts, Buck Naked</w:t>
      </w:r>
      <w:r>
        <w:rPr>
          <w:rFonts w:ascii="Arial" w:cs="Arial" w:eastAsia="Arial" w:hAnsi="Arial"/>
          <w:sz w:val="7"/>
          <w:szCs w:val="7"/>
          <w:color w:val="auto"/>
        </w:rPr>
        <w:t>TM</w:t>
      </w:r>
      <w:r>
        <w:rPr>
          <w:rFonts w:ascii="Arial" w:cs="Arial" w:eastAsia="Arial" w:hAnsi="Arial"/>
          <w:sz w:val="18"/>
          <w:szCs w:val="18"/>
          <w:color w:val="auto"/>
        </w:rPr>
        <w:t xml:space="preserve"> underwear, Fire Hose</w:t>
      </w:r>
      <w:r>
        <w:rPr>
          <w:rFonts w:ascii="Arial" w:cs="Arial" w:eastAsia="Arial" w:hAnsi="Arial"/>
          <w:sz w:val="7"/>
          <w:szCs w:val="7"/>
          <w:color w:val="auto"/>
        </w:rPr>
        <w:t>®</w:t>
      </w:r>
      <w:r>
        <w:rPr>
          <w:rFonts w:ascii="Arial" w:cs="Arial" w:eastAsia="Arial" w:hAnsi="Arial"/>
          <w:sz w:val="18"/>
          <w:szCs w:val="18"/>
          <w:color w:val="auto"/>
        </w:rPr>
        <w:t xml:space="preserve"> work pants, and No-Yank</w:t>
      </w:r>
      <w:r>
        <w:rPr>
          <w:rFonts w:ascii="Arial" w:cs="Arial" w:eastAsia="Arial" w:hAnsi="Arial"/>
          <w:sz w:val="7"/>
          <w:szCs w:val="7"/>
          <w:color w:val="auto"/>
        </w:rPr>
        <w:t>®</w:t>
      </w:r>
      <w:r>
        <w:rPr>
          <w:rFonts w:ascii="Arial" w:cs="Arial" w:eastAsia="Arial" w:hAnsi="Arial"/>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46" w:lineRule="exact"/>
        <w:rPr>
          <w:sz w:val="20"/>
          <w:szCs w:val="20"/>
          <w:color w:val="auto"/>
        </w:rPr>
      </w:pPr>
    </w:p>
    <w:p>
      <w:pPr>
        <w:ind w:right="40" w:firstLine="428"/>
        <w:spacing w:after="0" w:line="279" w:lineRule="auto"/>
        <w:rPr>
          <w:sz w:val="20"/>
          <w:szCs w:val="20"/>
          <w:color w:val="auto"/>
        </w:rPr>
      </w:pPr>
      <w:r>
        <w:rPr>
          <w:rFonts w:ascii="Arial" w:cs="Arial" w:eastAsia="Arial" w:hAnsi="Arial"/>
          <w:sz w:val="17"/>
          <w:szCs w:val="17"/>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ind w:left="860" w:hanging="420"/>
        <w:spacing w:after="0" w:line="230" w:lineRule="auto"/>
        <w:tabs>
          <w:tab w:leader="none" w:pos="86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Net sales have increased year-over-year for 31 consecutive quarters through October 29, 2017;</w:t>
      </w:r>
    </w:p>
    <w:p>
      <w:pPr>
        <w:spacing w:after="0" w:line="97" w:lineRule="exact"/>
        <w:rPr>
          <w:rFonts w:ascii="Arial" w:cs="Arial" w:eastAsia="Arial" w:hAnsi="Arial"/>
          <w:sz w:val="29"/>
          <w:szCs w:val="29"/>
          <w:color w:val="auto"/>
          <w:vertAlign w:val="superscript"/>
        </w:rPr>
      </w:pPr>
    </w:p>
    <w:p>
      <w:pPr>
        <w:ind w:left="860" w:right="140" w:hanging="420"/>
        <w:spacing w:after="0" w:line="199" w:lineRule="auto"/>
        <w:tabs>
          <w:tab w:leader="none" w:pos="86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Net sales in fiscal 2017 third quarter increased by 25.0% over the prior year third quarter to $83.7 million and net sales in the fiscal 2017 nine months increased by 25.9% over the prior year nine months to $253.6 million;</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860" w:right="180" w:hanging="420"/>
        <w:spacing w:after="0" w:line="221" w:lineRule="auto"/>
        <w:tabs>
          <w:tab w:leader="none" w:pos="86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Net loss of $0.8 million in fiscal 2017 third quarter compared to the prior year third quarter net income of $0.5 million and net income in the fiscal 2017 nine months decreased by 47.8% over the prior year nine months to $3.8 million;</w:t>
      </w:r>
    </w:p>
    <w:p>
      <w:pPr>
        <w:spacing w:after="0" w:line="81" w:lineRule="exact"/>
        <w:rPr>
          <w:rFonts w:ascii="Arial" w:cs="Arial" w:eastAsia="Arial" w:hAnsi="Arial"/>
          <w:sz w:val="26"/>
          <w:szCs w:val="26"/>
          <w:color w:val="auto"/>
          <w:vertAlign w:val="superscript"/>
        </w:rPr>
      </w:pPr>
    </w:p>
    <w:p>
      <w:pPr>
        <w:jc w:val="both"/>
        <w:ind w:left="860" w:right="160" w:hanging="420"/>
        <w:spacing w:after="0" w:line="212" w:lineRule="auto"/>
        <w:tabs>
          <w:tab w:leader="none" w:pos="86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Adjusted EBITDA in fiscal 2017 third quarter decreased by 24.9% over the prior year third quarter to $1.9 million and adjusted EBITDA in the fiscal 2017 nine months decreased by 15.2% over the prior year nine months to $14.0 million; and</w:t>
      </w:r>
    </w:p>
    <w:p>
      <w:pPr>
        <w:spacing w:after="0" w:line="2" w:lineRule="exact"/>
        <w:rPr>
          <w:rFonts w:ascii="Arial" w:cs="Arial" w:eastAsia="Arial" w:hAnsi="Arial"/>
          <w:sz w:val="29"/>
          <w:szCs w:val="29"/>
          <w:color w:val="auto"/>
          <w:vertAlign w:val="superscript"/>
        </w:rPr>
      </w:pPr>
    </w:p>
    <w:p>
      <w:pPr>
        <w:ind w:left="860" w:hanging="420"/>
        <w:spacing w:after="0" w:line="223" w:lineRule="auto"/>
        <w:tabs>
          <w:tab w:leader="none" w:pos="86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Our retail stores have achieved and are expected to have an average payback of less than two years.</w:t>
      </w:r>
    </w:p>
    <w:p>
      <w:pPr>
        <w:spacing w:after="0" w:line="176" w:lineRule="exact"/>
        <w:rPr>
          <w:sz w:val="20"/>
          <w:szCs w:val="20"/>
          <w:color w:val="auto"/>
        </w:rPr>
      </w:pPr>
    </w:p>
    <w:p>
      <w:pPr>
        <w:ind w:right="360" w:firstLine="428"/>
        <w:spacing w:after="0" w:line="259" w:lineRule="auto"/>
        <w:rPr>
          <w:sz w:val="20"/>
          <w:szCs w:val="20"/>
          <w:color w:val="auto"/>
        </w:rPr>
      </w:pPr>
      <w:r>
        <w:rPr>
          <w:rFonts w:ascii="Arial" w:cs="Arial" w:eastAsia="Arial" w:hAnsi="Arial"/>
          <w:sz w:val="18"/>
          <w:szCs w:val="18"/>
          <w:color w:val="auto"/>
        </w:rPr>
        <w:t>See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6" w:lineRule="exact"/>
        <w:rPr>
          <w:sz w:val="20"/>
          <w:szCs w:val="20"/>
          <w:color w:val="auto"/>
        </w:rPr>
      </w:pPr>
    </w:p>
    <w:p>
      <w:pPr>
        <w:ind w:right="180" w:firstLine="428"/>
        <w:spacing w:after="0" w:line="264" w:lineRule="auto"/>
        <w:rPr>
          <w:sz w:val="20"/>
          <w:szCs w:val="20"/>
          <w:color w:val="auto"/>
        </w:rPr>
      </w:pPr>
      <w:r>
        <w:rPr>
          <w:rFonts w:ascii="Arial" w:cs="Arial" w:eastAsia="Arial" w:hAnsi="Arial"/>
          <w:sz w:val="18"/>
          <w:szCs w:val="18"/>
          <w:color w:val="auto"/>
        </w:rPr>
        <w:t>Our business is seasonal, and as a result, our net sales fluctuate from quarter to quarter, which often affects the comparability of our results between quarters. Net sales are historically higher in the fourth quarter of our fiscal year due to the holiday selling season.</w:t>
      </w:r>
    </w:p>
    <w:p>
      <w:pPr>
        <w:spacing w:after="0" w:line="154" w:lineRule="exact"/>
        <w:rPr>
          <w:sz w:val="20"/>
          <w:szCs w:val="20"/>
          <w:color w:val="auto"/>
        </w:rPr>
      </w:pPr>
    </w:p>
    <w:p>
      <w:pPr>
        <w:ind w:right="240" w:firstLine="428"/>
        <w:spacing w:after="0" w:line="264" w:lineRule="auto"/>
        <w:rPr>
          <w:sz w:val="20"/>
          <w:szCs w:val="20"/>
          <w:color w:val="auto"/>
        </w:rPr>
      </w:pPr>
      <w:r>
        <w:rPr>
          <w:rFonts w:ascii="Arial" w:cs="Arial" w:eastAsia="Arial" w:hAnsi="Arial"/>
          <w:sz w:val="18"/>
          <w:szCs w:val="18"/>
          <w:color w:val="auto"/>
        </w:rPr>
        <w:t>We are pursuing several strategies to continue our growth, including building brand awareness to continue customer acquisition, accelerating retail expansion, selectively broadening assortments in certain men’s product categories and growing our women’s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89" w:lineRule="exact"/>
        <w:rPr>
          <w:sz w:val="20"/>
          <w:szCs w:val="20"/>
          <w:color w:val="auto"/>
        </w:rPr>
      </w:pPr>
    </w:p>
    <w:p>
      <w:pPr>
        <w:ind w:right="660" w:firstLine="428"/>
        <w:spacing w:after="0" w:line="277" w:lineRule="auto"/>
        <w:rPr>
          <w:sz w:val="20"/>
          <w:szCs w:val="20"/>
          <w:color w:val="auto"/>
        </w:rPr>
      </w:pPr>
      <w:r>
        <w:rPr>
          <w:rFonts w:ascii="Arial" w:cs="Arial" w:eastAsia="Arial" w:hAnsi="Arial"/>
          <w:sz w:val="18"/>
          <w:szCs w:val="18"/>
          <w:color w:val="auto"/>
        </w:rPr>
        <w:t>In assessing the performance of our business, we consider a variety of financial and operating measures that affect our operating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80" w:firstLine="428"/>
        <w:spacing w:after="0" w:line="312" w:lineRule="auto"/>
        <w:rPr>
          <w:sz w:val="20"/>
          <w:szCs w:val="20"/>
          <w:color w:val="auto"/>
        </w:rPr>
      </w:pPr>
      <w:r>
        <w:rPr>
          <w:rFonts w:ascii="Arial" w:cs="Arial" w:eastAsia="Arial" w:hAnsi="Arial"/>
          <w:sz w:val="16"/>
          <w:szCs w:val="16"/>
          <w:color w:val="auto"/>
        </w:rPr>
        <w:t>Net sales reflect our sale of merchandise plus shipping and handling revenue collected from our customers, less returns and discounts. Direct sales are recognized upon customer receipt of the product, while retail sales are recognized at the point of sale. We also use net sales as one of the key financial metrics in determining our annual bonus compensation for our employees.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w:t>
      </w:r>
    </w:p>
    <w:p>
      <w:pPr>
        <w:spacing w:after="0" w:line="198" w:lineRule="exact"/>
        <w:rPr>
          <w:sz w:val="20"/>
          <w:szCs w:val="20"/>
          <w:color w:val="auto"/>
        </w:rPr>
      </w:pPr>
    </w:p>
    <w:p>
      <w:pPr>
        <w:ind w:right="120" w:firstLine="428"/>
        <w:spacing w:after="0" w:line="308" w:lineRule="auto"/>
        <w:rPr>
          <w:sz w:val="20"/>
          <w:szCs w:val="20"/>
          <w:color w:val="auto"/>
        </w:rPr>
      </w:pPr>
      <w:r>
        <w:rPr>
          <w:rFonts w:ascii="Arial" w:cs="Arial" w:eastAsia="Arial" w:hAnsi="Arial"/>
          <w:sz w:val="17"/>
          <w:szCs w:val="17"/>
          <w:color w:val="auto"/>
        </w:rPr>
        <w:t>Comparable store sales are generally calculated based upon retail stores that were open at least twelve full fiscal months as of the end of the reporting period. Our outlet stores are not included in the comparable store sales calculations.</w:t>
      </w:r>
    </w:p>
    <w:p>
      <w:pPr>
        <w:spacing w:after="0" w:line="106" w:lineRule="exact"/>
        <w:rPr>
          <w:sz w:val="20"/>
          <w:szCs w:val="20"/>
          <w:color w:val="auto"/>
        </w:rPr>
      </w:pPr>
    </w:p>
    <w:p>
      <w:pPr>
        <w:ind w:right="40" w:firstLine="428"/>
        <w:spacing w:after="0" w:line="257" w:lineRule="auto"/>
        <w:rPr>
          <w:sz w:val="20"/>
          <w:szCs w:val="20"/>
          <w:color w:val="auto"/>
        </w:rPr>
      </w:pPr>
      <w:r>
        <w:rPr>
          <w:rFonts w:ascii="Arial" w:cs="Arial" w:eastAsia="Arial" w:hAnsi="Arial"/>
          <w:sz w:val="18"/>
          <w:szCs w:val="18"/>
          <w:color w:val="auto"/>
        </w:rPr>
        <w:t>Comparable store sales allow us to evaluate how our retail store base is performing by measuring the change in period over-period net sales in stores that have been open for twelve fiscal months or more. Some of our competitors and other retailers calculate comparable store sales differently than we do; as a result, our comparable store sales may not be comparable to similar data made available by other companies. We have excluded comparable store sales data from this Form 10-Q due to the limited number of comparable retail stores as of October 29, 2017.</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8" w:lineRule="exact"/>
        <w:rPr>
          <w:sz w:val="20"/>
          <w:szCs w:val="20"/>
          <w:color w:val="auto"/>
        </w:rPr>
      </w:pPr>
    </w:p>
    <w:p>
      <w:pPr>
        <w:ind w:firstLine="428"/>
        <w:spacing w:after="0" w:line="269" w:lineRule="auto"/>
        <w:rPr>
          <w:sz w:val="20"/>
          <w:szCs w:val="20"/>
          <w:color w:val="auto"/>
        </w:rPr>
      </w:pPr>
      <w:r>
        <w:rPr>
          <w:rFonts w:ascii="Arial" w:cs="Arial" w:eastAsia="Arial" w:hAnsi="Arial"/>
          <w:sz w:val="17"/>
          <w:szCs w:val="17"/>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Given the size of our direct segment sales relative to our total net sales, shipping and handling revenue has had a significant impact on our gross profit and gross profit margin. Historically, this revenue has partially offset shipping and handling expense included in selling, general and administrative expenses.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180" w:firstLine="428"/>
        <w:spacing w:after="0" w:line="255" w:lineRule="auto"/>
        <w:rPr>
          <w:sz w:val="20"/>
          <w:szCs w:val="20"/>
          <w:color w:val="auto"/>
        </w:rPr>
      </w:pPr>
      <w:r>
        <w:rPr>
          <w:rFonts w:ascii="Arial" w:cs="Arial" w:eastAsia="Arial" w:hAnsi="Arial"/>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62"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Our historical sales growth has been accompanied by increased selling, general and administrative expenses. The most significant components of these increases are advertising, marketing and payroll costs. While we expect these expenses to increase as we continue to open new stores, increase brand awareness and grow our organization to support our growing business, we believe these expenses will decrease as a percentage of sales over time.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85" w:lineRule="exact"/>
        <w:rPr>
          <w:sz w:val="20"/>
          <w:szCs w:val="20"/>
          <w:color w:val="auto"/>
        </w:rPr>
      </w:pPr>
    </w:p>
    <w:p>
      <w:pPr>
        <w:ind w:firstLine="428"/>
        <w:spacing w:after="0" w:line="255" w:lineRule="auto"/>
        <w:rPr>
          <w:sz w:val="20"/>
          <w:szCs w:val="20"/>
          <w:color w:val="auto"/>
        </w:rPr>
      </w:pPr>
      <w:r>
        <w:rPr>
          <w:rFonts w:ascii="Arial" w:cs="Arial" w:eastAsia="Arial" w:hAnsi="Arial"/>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 We also use Adjusted EBITDA as one of the key financial metrics in determining our annual bonus compensation for our employees.</w:t>
      </w:r>
    </w:p>
    <w:p>
      <w:pPr>
        <w:spacing w:after="0" w:line="166" w:lineRule="exact"/>
        <w:rPr>
          <w:sz w:val="20"/>
          <w:szCs w:val="20"/>
          <w:color w:val="auto"/>
        </w:rPr>
      </w:pPr>
    </w:p>
    <w:p>
      <w:pPr>
        <w:ind w:right="380" w:firstLine="428"/>
        <w:spacing w:after="0" w:line="259" w:lineRule="auto"/>
        <w:rPr>
          <w:sz w:val="20"/>
          <w:szCs w:val="20"/>
          <w:color w:val="auto"/>
        </w:rPr>
      </w:pPr>
      <w:r>
        <w:rPr>
          <w:rFonts w:ascii="Arial" w:cs="Arial" w:eastAsia="Arial" w:hAnsi="Arial"/>
          <w:sz w:val="18"/>
          <w:szCs w:val="18"/>
          <w:color w:val="auto"/>
        </w:rPr>
        <w:t>We define Adjusted EBITDA as consolidated net income (loss)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ind w:right="120" w:firstLine="428"/>
        <w:spacing w:after="0" w:line="277" w:lineRule="auto"/>
        <w:rPr>
          <w:sz w:val="20"/>
          <w:szCs w:val="20"/>
          <w:color w:val="auto"/>
        </w:rPr>
      </w:pPr>
      <w:r>
        <w:rPr>
          <w:rFonts w:ascii="Arial" w:cs="Arial" w:eastAsia="Arial" w:hAnsi="Arial"/>
          <w:sz w:val="18"/>
          <w:szCs w:val="18"/>
          <w:color w:val="auto"/>
        </w:rPr>
        <w:t>The following table summarizes our unaudited consolidated results of operations for the periods indicated, both in dollars and as a percentage of net sales.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w w:val="96"/>
              </w:rPr>
              <w:t>October 29, 2017</w:t>
            </w:r>
          </w:p>
        </w:tc>
        <w:tc>
          <w:tcPr>
            <w:tcW w:w="138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w w:val="98"/>
              </w:rPr>
              <w:t>October 30, 2016</w:t>
            </w:r>
          </w:p>
        </w:tc>
        <w:tc>
          <w:tcPr>
            <w:tcW w:w="138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w w:val="98"/>
              </w:rPr>
              <w:t>October 29, 2017</w:t>
            </w:r>
          </w:p>
        </w:tc>
        <w:tc>
          <w:tcPr>
            <w:tcW w:w="80" w:type="dxa"/>
            <w:vAlign w:val="bottom"/>
          </w:tcPr>
          <w:p>
            <w:pPr>
              <w:spacing w:after="0"/>
              <w:rPr>
                <w:sz w:val="15"/>
                <w:szCs w:val="15"/>
                <w:color w:val="auto"/>
              </w:rPr>
            </w:pPr>
          </w:p>
        </w:tc>
        <w:tc>
          <w:tcPr>
            <w:tcW w:w="13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90"/>
              </w:rPr>
              <w:t>October 30, 2016</w:t>
            </w:r>
          </w:p>
        </w:tc>
        <w:tc>
          <w:tcPr>
            <w:tcW w:w="0" w:type="dxa"/>
            <w:vAlign w:val="bottom"/>
          </w:tcPr>
          <w:p>
            <w:pPr>
              <w:spacing w:after="0"/>
              <w:rPr>
                <w:sz w:val="1"/>
                <w:szCs w:val="1"/>
                <w:color w:val="auto"/>
              </w:rPr>
            </w:pPr>
          </w:p>
        </w:tc>
      </w:tr>
      <w:tr>
        <w:trPr>
          <w:trHeight w:val="196"/>
        </w:trPr>
        <w:tc>
          <w:tcPr>
            <w:tcW w:w="3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Direct net sales</w:t>
            </w:r>
          </w:p>
        </w:tc>
        <w:tc>
          <w:tcPr>
            <w:tcW w:w="50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54,146</w:t>
            </w:r>
          </w:p>
        </w:tc>
        <w:tc>
          <w:tcPr>
            <w:tcW w:w="16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52,271</w:t>
            </w:r>
          </w:p>
        </w:tc>
        <w:tc>
          <w:tcPr>
            <w:tcW w:w="16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175,588</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166,437</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 net sales</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29,583</w:t>
            </w:r>
          </w:p>
        </w:tc>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14,737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78,054</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35,026</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83,729</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67,008</w:t>
            </w:r>
          </w:p>
        </w:tc>
        <w:tc>
          <w:tcPr>
            <w:tcW w:w="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253,642</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201,463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Cost of goods sold (excluding depreciation and</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36,302</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28,260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108,649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84,102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47,427</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38,748</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144,993</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117,361</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48,039</w:t>
            </w:r>
          </w:p>
        </w:tc>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37,929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137,467</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105,215</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right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right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Borders>
              <w:right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Borders>
              <w:right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(loss) income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right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right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900" w:type="dxa"/>
            <w:vAlign w:val="bottom"/>
            <w:gridSpan w:val="2"/>
          </w:tcPr>
          <w:p>
            <w:pPr>
              <w:spacing w:after="0"/>
              <w:rPr>
                <w:sz w:val="20"/>
                <w:szCs w:val="20"/>
                <w:color w:val="auto"/>
              </w:rPr>
            </w:pPr>
            <w:r>
              <w:rPr>
                <w:rFonts w:ascii="Arial" w:cs="Arial" w:eastAsia="Arial" w:hAnsi="Arial"/>
                <w:sz w:val="18"/>
                <w:szCs w:val="18"/>
                <w:color w:val="auto"/>
                <w:w w:val="95"/>
              </w:rPr>
              <w:t>Net (loss) income attributable to controlling interest</w:t>
            </w:r>
          </w:p>
        </w:tc>
        <w:tc>
          <w:tcPr>
            <w:tcW w:w="16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(816)</w:t>
            </w:r>
          </w:p>
        </w:tc>
        <w:tc>
          <w:tcPr>
            <w:tcW w:w="160" w:type="dxa"/>
            <w:vAlign w:val="bottom"/>
          </w:tcPr>
          <w:p>
            <w:pPr>
              <w:spacing w:after="0"/>
              <w:rPr>
                <w:sz w:val="18"/>
                <w:szCs w:val="18"/>
                <w:color w:val="auto"/>
              </w:rPr>
            </w:pP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8"/>
                <w:szCs w:val="18"/>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3,823</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Percentage of Net sales:</w:t>
            </w:r>
          </w:p>
        </w:tc>
        <w:tc>
          <w:tcPr>
            <w:tcW w:w="16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Direct net sales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64.7 %</w:t>
            </w:r>
          </w:p>
        </w:tc>
        <w:tc>
          <w:tcPr>
            <w:tcW w:w="6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78.0 %</w:t>
            </w:r>
          </w:p>
        </w:tc>
        <w:tc>
          <w:tcPr>
            <w:tcW w:w="3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69.2 %</w:t>
            </w: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82.6 %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Retail net sales</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35.3 %</w:t>
            </w:r>
          </w:p>
        </w:tc>
        <w:tc>
          <w:tcPr>
            <w:tcW w:w="62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3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30.8 %</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goods sold (excluding depreciation and</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43.4 %</w:t>
            </w:r>
          </w:p>
        </w:tc>
        <w:tc>
          <w:tcPr>
            <w:tcW w:w="62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42.2 %</w:t>
            </w:r>
          </w:p>
        </w:tc>
        <w:tc>
          <w:tcPr>
            <w:tcW w:w="32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42.8 %</w:t>
            </w: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57.4 %</w:t>
            </w:r>
          </w:p>
        </w:tc>
        <w:tc>
          <w:tcPr>
            <w:tcW w:w="62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56.6 %</w:t>
            </w:r>
          </w:p>
        </w:tc>
        <w:tc>
          <w:tcPr>
            <w:tcW w:w="3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54.2 %</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tcPr>
          <w:p>
            <w:pPr>
              <w:spacing w:after="0"/>
              <w:rPr>
                <w:sz w:val="20"/>
                <w:szCs w:val="20"/>
                <w:color w:val="auto"/>
              </w:rPr>
            </w:pPr>
            <w:r>
              <w:rPr>
                <w:rFonts w:ascii="Arial" w:cs="Arial" w:eastAsia="Arial" w:hAnsi="Arial"/>
                <w:sz w:val="18"/>
                <w:szCs w:val="18"/>
                <w:color w:val="auto"/>
              </w:rPr>
              <w:t>Operating (loss) income</w:t>
            </w: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62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3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6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3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6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3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spacing w:after="0"/>
              <w:rPr>
                <w:sz w:val="20"/>
                <w:szCs w:val="20"/>
                <w:color w:val="auto"/>
              </w:rPr>
            </w:pPr>
            <w:r>
              <w:rPr>
                <w:rFonts w:ascii="Arial" w:cs="Arial" w:eastAsia="Arial" w:hAnsi="Arial"/>
                <w:sz w:val="18"/>
                <w:szCs w:val="18"/>
                <w:color w:val="auto"/>
              </w:rPr>
              <w:t>Less: Net income attributable to</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6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3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Net (loss) income attributable to controlling interest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2540"/>
        <w:spacing w:after="0" w:line="464" w:lineRule="auto"/>
        <w:rPr>
          <w:sz w:val="20"/>
          <w:szCs w:val="20"/>
          <w:color w:val="auto"/>
        </w:rPr>
      </w:pPr>
      <w:r>
        <w:rPr>
          <w:rFonts w:ascii="Arial" w:cs="Arial" w:eastAsia="Arial" w:hAnsi="Arial"/>
          <w:sz w:val="18"/>
          <w:szCs w:val="18"/>
          <w:b w:val="1"/>
          <w:bCs w:val="1"/>
          <w:color w:val="auto"/>
        </w:rPr>
        <w:t xml:space="preserve">Three Months Ended October 29, 2017 Compared to Three Months Ended October 30, 2016 </w:t>
      </w:r>
      <w:r>
        <w:rPr>
          <w:rFonts w:ascii="Arial" w:cs="Arial" w:eastAsia="Arial" w:hAnsi="Arial"/>
          <w:sz w:val="18"/>
          <w:szCs w:val="18"/>
          <w:b w:val="1"/>
          <w:bCs w:val="1"/>
          <w:i w:val="1"/>
          <w:iCs w:val="1"/>
          <w:color w:val="auto"/>
        </w:rPr>
        <w:t>Net Sales</w:t>
      </w:r>
    </w:p>
    <w:p>
      <w:pPr>
        <w:jc w:val="both"/>
        <w:ind w:right="120" w:firstLine="428"/>
        <w:spacing w:after="0" w:line="288" w:lineRule="auto"/>
        <w:rPr>
          <w:sz w:val="20"/>
          <w:szCs w:val="20"/>
          <w:color w:val="auto"/>
        </w:rPr>
      </w:pPr>
      <w:r>
        <w:rPr>
          <w:rFonts w:ascii="Arial" w:cs="Arial" w:eastAsia="Arial" w:hAnsi="Arial"/>
          <w:sz w:val="16"/>
          <w:szCs w:val="16"/>
          <w:color w:val="auto"/>
        </w:rPr>
        <w:t>Net sales increased $16.7 million, or 25.0%, to $83.7 million in the three months ended October 29, 2017 compared to $67.0 million in the three months ended October 30, 2016, driven by gains in both direct and retail segments of $1.9 million, or 3.6%, and $14.8 million, or 100.7%, respectively, with gains across virtually all product categories and in both men’s and women’s business.</w:t>
      </w:r>
    </w:p>
    <w:p>
      <w:pPr>
        <w:ind w:right="40"/>
        <w:spacing w:after="0" w:line="255" w:lineRule="auto"/>
        <w:rPr>
          <w:sz w:val="20"/>
          <w:szCs w:val="20"/>
          <w:color w:val="auto"/>
        </w:rPr>
      </w:pPr>
      <w:r>
        <w:rPr>
          <w:rFonts w:ascii="Arial" w:cs="Arial" w:eastAsia="Arial" w:hAnsi="Arial"/>
          <w:sz w:val="18"/>
          <w:szCs w:val="18"/>
          <w:color w:val="auto"/>
        </w:rPr>
        <w:t>Our website visits increased 3.7% in the three months ended October 29, 2017 compared to the three months ended October 30, 2016. The increase in retail net sales was primarily due to having 12 more stores during the three months ended October 29, 2017 as compared to the three months ended October 30, 2016.</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right="20" w:firstLine="428"/>
        <w:spacing w:after="0" w:line="273" w:lineRule="auto"/>
        <w:rPr>
          <w:sz w:val="20"/>
          <w:szCs w:val="20"/>
          <w:color w:val="auto"/>
        </w:rPr>
      </w:pPr>
      <w:r>
        <w:rPr>
          <w:rFonts w:ascii="Arial" w:cs="Arial" w:eastAsia="Arial" w:hAnsi="Arial"/>
          <w:sz w:val="17"/>
          <w:szCs w:val="17"/>
          <w:color w:val="auto"/>
        </w:rPr>
        <w:t>Gross profit increased $8.7 million, or 22.4%, to $47.4 million in the three months ended October 29, 2017 compared to $38.7 million in the three months ended October 30, 2016. As a percentage of net sales, gross margin decreased 120 basis points to 56.6% of net sales in the three months ended October 29, 2017, compared to 57.8% of net sales in the three months ended October 30, 2016. The decrease in gross margin rate was primarily attributable to a continuing decline in shipping revenues, coupled with an increase in freight cost related to transporting inventory from our Belleville distribution center to our retail stores due to geographic expansion, which was partially offset by an increase in product margins.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20" w:firstLine="428"/>
        <w:spacing w:after="0" w:line="255" w:lineRule="auto"/>
        <w:rPr>
          <w:sz w:val="20"/>
          <w:szCs w:val="20"/>
          <w:color w:val="auto"/>
        </w:rPr>
      </w:pPr>
      <w:r>
        <w:rPr>
          <w:rFonts w:ascii="Arial" w:cs="Arial" w:eastAsia="Arial" w:hAnsi="Arial"/>
          <w:sz w:val="18"/>
          <w:szCs w:val="18"/>
          <w:color w:val="auto"/>
        </w:rPr>
        <w:t>Selling, general and administrative expenses increased $10.1 million, or 26.7%, to $48.0 million in the three months ended October 29, 2017 compared to $37.9 million in the three months ended October 30, 2016. Selling, general and administrative expenses as a percentage of net sales increased 80 basis points to 57.4% in the three months ended October 29, 2017, compared to 56.6% in the three months ended October 30, 2016. The increase in selling, general and administrative expenses was attributable to an increase of $2.3 million in advertising and marketing costs, $3.0 million in selling expenses and $4.8 million in general and administrative expenses.</w:t>
      </w:r>
    </w:p>
    <w:p>
      <w:pPr>
        <w:spacing w:after="0" w:line="153" w:lineRule="exact"/>
        <w:rPr>
          <w:sz w:val="20"/>
          <w:szCs w:val="20"/>
          <w:color w:val="auto"/>
        </w:rPr>
      </w:pPr>
    </w:p>
    <w:p>
      <w:pPr>
        <w:ind w:right="60" w:firstLine="428"/>
        <w:spacing w:after="0" w:line="276" w:lineRule="auto"/>
        <w:rPr>
          <w:sz w:val="20"/>
          <w:szCs w:val="20"/>
          <w:color w:val="auto"/>
        </w:rPr>
      </w:pPr>
      <w:r>
        <w:rPr>
          <w:rFonts w:ascii="Arial" w:cs="Arial" w:eastAsia="Arial" w:hAnsi="Arial"/>
          <w:sz w:val="17"/>
          <w:szCs w:val="17"/>
          <w:color w:val="auto"/>
        </w:rPr>
        <w:t>As a percentage of net sales, advertising and marketing costs decreased 160 basis points to 20.2% in the three months ended October 29, 2017, compared to 21.8% in the three months ended October 30, 2016. The 160 basis point decrease in advertising and marketing costs as a percentage of net sales was primarily attributable to a decrease of 140 basis points in digital advertising and a decrease of 130 basis points in catalog costs due to leverage gained from increase in retail net sales as discussed above, which was partially offset by an increase of 90 basis points in television and retail store advertising.</w:t>
      </w:r>
    </w:p>
    <w:p>
      <w:pPr>
        <w:spacing w:after="0" w:line="146"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As a percentage of net sales, selling expenses increased 60 basis points to 15.8% in the three months ended October 29, 2017, compared to 15.2% in the three months ended October 30, 2016, primarily due to an increase of 110 basis points in customer service due to our growth in retail, which was partially offset by a decrease of 60 basis points in shipping expenses attributable to the leverage gained from an increase in the proportion of retail net sales.</w:t>
      </w:r>
    </w:p>
    <w:p>
      <w:pPr>
        <w:spacing w:after="0" w:line="146" w:lineRule="exact"/>
        <w:rPr>
          <w:sz w:val="20"/>
          <w:szCs w:val="20"/>
          <w:color w:val="auto"/>
        </w:rPr>
      </w:pPr>
    </w:p>
    <w:p>
      <w:pPr>
        <w:ind w:right="40" w:firstLine="428"/>
        <w:spacing w:after="0" w:line="257" w:lineRule="auto"/>
        <w:rPr>
          <w:sz w:val="20"/>
          <w:szCs w:val="20"/>
          <w:color w:val="auto"/>
        </w:rPr>
      </w:pPr>
      <w:r>
        <w:rPr>
          <w:rFonts w:ascii="Arial" w:cs="Arial" w:eastAsia="Arial" w:hAnsi="Arial"/>
          <w:sz w:val="18"/>
          <w:szCs w:val="18"/>
          <w:color w:val="auto"/>
        </w:rPr>
        <w:t>As a percentage of net sales, general and administrative expenses increased 170 basis points to 21.4% in the three months ended October 29, 2017, compared to 19.7% in the three months ended October 30, 2016. The 170 basis point increase was primarily attributable to an increase of 70 basis points in occupancy and equipment cost due to growth in retail, an increase of 70 basis points in personnel expenses primarily due to an expense in connection with the retirement of a senior management employee and an increase of 30 basis points in depreciation.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8" w:lineRule="exact"/>
        <w:rPr>
          <w:sz w:val="20"/>
          <w:szCs w:val="20"/>
          <w:color w:val="auto"/>
        </w:rPr>
      </w:pPr>
    </w:p>
    <w:p>
      <w:pPr>
        <w:jc w:val="both"/>
        <w:ind w:right="80" w:firstLine="428"/>
        <w:spacing w:after="0" w:line="264" w:lineRule="auto"/>
        <w:rPr>
          <w:sz w:val="20"/>
          <w:szCs w:val="20"/>
          <w:color w:val="auto"/>
        </w:rPr>
      </w:pPr>
      <w:r>
        <w:rPr>
          <w:rFonts w:ascii="Arial" w:cs="Arial" w:eastAsia="Arial" w:hAnsi="Arial"/>
          <w:sz w:val="18"/>
          <w:szCs w:val="18"/>
          <w:color w:val="auto"/>
        </w:rPr>
        <w:t>Interest expense was $0.7 million in the three months ended October 29, 2017, compared to $0.03 million in the three months ended October 30, 2016. The increase in interest expense was primarily attributable to our build-to-suit retail stores and an increase in borrowings on our revolving line of credit.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85" w:lineRule="exact"/>
        <w:rPr>
          <w:sz w:val="20"/>
          <w:szCs w:val="20"/>
          <w:color w:val="auto"/>
        </w:rPr>
      </w:pPr>
    </w:p>
    <w:p>
      <w:pPr>
        <w:jc w:val="both"/>
        <w:ind w:right="280" w:firstLine="428"/>
        <w:spacing w:after="0" w:line="279" w:lineRule="auto"/>
        <w:rPr>
          <w:sz w:val="20"/>
          <w:szCs w:val="20"/>
          <w:color w:val="auto"/>
        </w:rPr>
      </w:pPr>
      <w:r>
        <w:rPr>
          <w:rFonts w:ascii="Arial" w:cs="Arial" w:eastAsia="Arial" w:hAnsi="Arial"/>
          <w:sz w:val="17"/>
          <w:szCs w:val="17"/>
          <w:color w:val="auto"/>
        </w:rPr>
        <w:t>Income tax benefit was $0.5 million in the three months ended October 29, 2017, compared to income tax expense of $0.3 million in the three months ended October 30, 2016. The decrease was primarily attributable to a net loss in comparison to a net income in the prior year three months ended October 30, 2016. Our effective tax rate related to controlling interest was 36% and 40%, for the three months ended October 29, 2017 and October 30, 2016,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185" w:lineRule="exact"/>
        <w:rPr>
          <w:sz w:val="20"/>
          <w:szCs w:val="20"/>
          <w:color w:val="auto"/>
        </w:rPr>
      </w:pPr>
    </w:p>
    <w:p>
      <w:pPr>
        <w:ind w:right="160" w:firstLine="428"/>
        <w:spacing w:after="0" w:line="277" w:lineRule="auto"/>
        <w:rPr>
          <w:sz w:val="20"/>
          <w:szCs w:val="20"/>
          <w:color w:val="auto"/>
        </w:rPr>
      </w:pPr>
      <w:r>
        <w:rPr>
          <w:rFonts w:ascii="Arial" w:cs="Arial" w:eastAsia="Arial" w:hAnsi="Arial"/>
          <w:sz w:val="18"/>
          <w:szCs w:val="18"/>
          <w:color w:val="auto"/>
        </w:rPr>
        <w:t>Net loss was $0.8 million, in the three months ended October 29, 2017 compared to a net income of $0.5 million in the three months ended October 30, 2016, primarily due to the factors discussed above.</w:t>
      </w:r>
    </w:p>
    <w:p>
      <w:pPr>
        <w:spacing w:after="0" w:line="200" w:lineRule="exact"/>
        <w:rPr>
          <w:sz w:val="20"/>
          <w:szCs w:val="20"/>
          <w:color w:val="auto"/>
        </w:rPr>
      </w:pPr>
    </w:p>
    <w:p>
      <w:pPr>
        <w:spacing w:after="0" w:line="331" w:lineRule="exact"/>
        <w:rPr>
          <w:sz w:val="20"/>
          <w:szCs w:val="20"/>
          <w:color w:val="auto"/>
        </w:rPr>
      </w:pPr>
    </w:p>
    <w:p>
      <w:pPr>
        <w:ind w:right="2660"/>
        <w:spacing w:after="0" w:line="456" w:lineRule="auto"/>
        <w:rPr>
          <w:sz w:val="20"/>
          <w:szCs w:val="20"/>
          <w:color w:val="auto"/>
        </w:rPr>
      </w:pPr>
      <w:r>
        <w:rPr>
          <w:rFonts w:ascii="Arial" w:cs="Arial" w:eastAsia="Arial" w:hAnsi="Arial"/>
          <w:sz w:val="18"/>
          <w:szCs w:val="18"/>
          <w:b w:val="1"/>
          <w:bCs w:val="1"/>
          <w:color w:val="auto"/>
        </w:rPr>
        <w:t xml:space="preserve">Nine Months Ended October 29, 2017 Compared to Nine Months Ended October 30, 2016 </w:t>
      </w:r>
      <w:r>
        <w:rPr>
          <w:rFonts w:ascii="Arial" w:cs="Arial" w:eastAsia="Arial" w:hAnsi="Arial"/>
          <w:sz w:val="18"/>
          <w:szCs w:val="18"/>
          <w:b w:val="1"/>
          <w:bCs w:val="1"/>
          <w:i w:val="1"/>
          <w:iCs w:val="1"/>
          <w:color w:val="auto"/>
        </w:rPr>
        <w:t>Net Sales</w:t>
      </w:r>
    </w:p>
    <w:p>
      <w:pPr>
        <w:spacing w:after="0" w:line="1" w:lineRule="exact"/>
        <w:rPr>
          <w:sz w:val="20"/>
          <w:szCs w:val="20"/>
          <w:color w:val="auto"/>
        </w:rPr>
      </w:pPr>
    </w:p>
    <w:p>
      <w:pPr>
        <w:ind w:right="20" w:firstLine="428"/>
        <w:spacing w:after="0" w:line="286" w:lineRule="auto"/>
        <w:rPr>
          <w:sz w:val="20"/>
          <w:szCs w:val="20"/>
          <w:color w:val="auto"/>
        </w:rPr>
      </w:pPr>
      <w:r>
        <w:rPr>
          <w:rFonts w:ascii="Arial" w:cs="Arial" w:eastAsia="Arial" w:hAnsi="Arial"/>
          <w:sz w:val="17"/>
          <w:szCs w:val="17"/>
          <w:color w:val="auto"/>
        </w:rPr>
        <w:t>Net sales increased $52.2 million, or 25.9%, to $253.6 million in the nine months ended October 29, 2017 compared to $201.5 million in the nine months ended October 30, 2016, driven by gains in both direct and retail segments of $9.2 million, or 5.5%, and $43.0 million, or 122.8%, respectively, with gains across all product categories. Our website visits increased 13.2%</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60"/>
          </w:cols>
          <w:pgMar w:left="1140" w:top="301" w:right="119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the nine months ended October 29, 2017 compared to the nine months ended October 30, 2016. The increase in retail net sales was primarily attributable to the same factors discussed above for the three months ended October 29, 2017 compared to the three months ended October 30, 2016.</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Gross profit increased $27.6 million, or 23.5%, to $145.0 million in the nine months ended October 29, 2017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$117.4 million in the nine months ended October 30, 2016. As a percentage of net sales, gross margin decreased 110 basis points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57.2% of net sales in the nine months ended October 29, 2017, compared to 58.3% of net sales in the nine months ended October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2016. The decrease in gross margin rate was primarily due to the same factors discussed above for the three months ended July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30, 2017 compared to the three months ended July 31, 2016, which was partially offset by an increase in product margins.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200" w:firstLine="428"/>
        <w:spacing w:after="0" w:line="255" w:lineRule="auto"/>
        <w:rPr>
          <w:sz w:val="20"/>
          <w:szCs w:val="20"/>
          <w:color w:val="auto"/>
        </w:rPr>
      </w:pPr>
      <w:r>
        <w:rPr>
          <w:rFonts w:ascii="Arial" w:cs="Arial" w:eastAsia="Arial" w:hAnsi="Arial"/>
          <w:sz w:val="18"/>
          <w:szCs w:val="18"/>
          <w:color w:val="auto"/>
        </w:rPr>
        <w:t>Selling, general and administrative expenses increased $32.3 million, or 30.7%, to $137.5 million in the nine months ended October 29, 2017 compared to $105.2 million in the nine months ended October 30, 2016. Selling, general and administrative expenses as a percentage of net sales increased 200 basis points to 54.2% in the nine months ended October 29, 2017, compared to 52.2% in the nine months ended October 30, 2016. The increase in selling, general and administrative expenses was attributable to an increase of $9.5 million in advertising and marketing costs, $9.3 million in selling expenses and $13.5 million in general and administrative expenses.</w:t>
      </w:r>
    </w:p>
    <w:p>
      <w:pPr>
        <w:spacing w:after="0" w:line="166" w:lineRule="exact"/>
        <w:rPr>
          <w:sz w:val="20"/>
          <w:szCs w:val="20"/>
          <w:color w:val="auto"/>
        </w:rPr>
      </w:pPr>
    </w:p>
    <w:p>
      <w:pPr>
        <w:ind w:right="300" w:firstLine="428"/>
        <w:spacing w:after="0" w:line="302" w:lineRule="auto"/>
        <w:rPr>
          <w:sz w:val="20"/>
          <w:szCs w:val="20"/>
          <w:color w:val="auto"/>
        </w:rPr>
      </w:pPr>
      <w:r>
        <w:rPr>
          <w:rFonts w:ascii="Arial" w:cs="Arial" w:eastAsia="Arial" w:hAnsi="Arial"/>
          <w:sz w:val="16"/>
          <w:szCs w:val="16"/>
          <w:color w:val="auto"/>
        </w:rPr>
        <w:t>As a percentage of net sales, advertising and marketing costs decreased 70 basis points to 20.9% in the nine months ended October 29, 2017, compared to 21.6% in the nine months ended October 30, 2016. The 70 basis point decrease in advertising and marketing costs as a percentage of net sales was primarily attributable to a decrease of 120 basis points in catalog costs and a decrease of 40 basis points in digital advertising, partially offset by an increase of 80 basis points in television advertising.</w:t>
      </w:r>
    </w:p>
    <w:p>
      <w:pPr>
        <w:spacing w:after="0" w:line="114" w:lineRule="exact"/>
        <w:rPr>
          <w:sz w:val="20"/>
          <w:szCs w:val="20"/>
          <w:color w:val="auto"/>
        </w:rPr>
      </w:pPr>
    </w:p>
    <w:p>
      <w:pPr>
        <w:ind w:right="100" w:firstLine="428"/>
        <w:spacing w:after="0" w:line="259" w:lineRule="auto"/>
        <w:rPr>
          <w:sz w:val="20"/>
          <w:szCs w:val="20"/>
          <w:color w:val="auto"/>
        </w:rPr>
      </w:pPr>
      <w:r>
        <w:rPr>
          <w:rFonts w:ascii="Arial" w:cs="Arial" w:eastAsia="Arial" w:hAnsi="Arial"/>
          <w:sz w:val="18"/>
          <w:szCs w:val="18"/>
          <w:color w:val="auto"/>
        </w:rPr>
        <w:t>As a percentage of net sales, selling expenses increased 80 basis points to 14.8% in the nine months ended October 29, 2017, compared to 14.0% in the nine months ended October 30, 2016, primarily due to an increase of 130 basis points in customer service due to growth in retail, offset by a decrease of 50 basis points in shipping expenses attributable to the leverage gained from an increase in the proportion of retail net sales.</w:t>
      </w:r>
    </w:p>
    <w:p>
      <w:pPr>
        <w:spacing w:after="0" w:line="146"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As a percentage of net sales, general and administrative expenses increased 190 basis points to 18.5% in the nine months ended October 29, 2017, compared to 16.6% in the nine months ended October 30, 2016. The 190 basis point increase was primarily attributable to an increase of 120 basis points in occupancy and equipment costs due to retail growth and an increase of 40 basis points in depreciation.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right="320" w:firstLine="428"/>
        <w:spacing w:after="0" w:line="264" w:lineRule="auto"/>
        <w:rPr>
          <w:sz w:val="20"/>
          <w:szCs w:val="20"/>
          <w:color w:val="auto"/>
        </w:rPr>
      </w:pPr>
      <w:r>
        <w:rPr>
          <w:rFonts w:ascii="Arial" w:cs="Arial" w:eastAsia="Arial" w:hAnsi="Arial"/>
          <w:sz w:val="18"/>
          <w:szCs w:val="18"/>
          <w:color w:val="auto"/>
        </w:rPr>
        <w:t>Interest expense was $1.2 million in the nine months ended October 29, 2017, compared to $0.1 million in the nine months ended July 31, 2016. The increase in interest expense was due to the same factors discussed above for the three months ended October 29, 2017 compared to the three months ended October 30, 2016.</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98" w:lineRule="exact"/>
        <w:rPr>
          <w:sz w:val="20"/>
          <w:szCs w:val="20"/>
          <w:color w:val="auto"/>
        </w:rPr>
      </w:pPr>
    </w:p>
    <w:p>
      <w:pPr>
        <w:ind w:right="60" w:firstLine="428"/>
        <w:spacing w:after="0" w:line="264" w:lineRule="auto"/>
        <w:rPr>
          <w:sz w:val="20"/>
          <w:szCs w:val="20"/>
          <w:color w:val="auto"/>
        </w:rPr>
      </w:pPr>
      <w:r>
        <w:rPr>
          <w:rFonts w:ascii="Arial" w:cs="Arial" w:eastAsia="Arial" w:hAnsi="Arial"/>
          <w:sz w:val="18"/>
          <w:szCs w:val="18"/>
          <w:color w:val="auto"/>
        </w:rPr>
        <w:t>Income tax expense was $2.5 million in the nine months ended October 29, 2017, compared to $4.7 million in the nine months ended October 30, 2016. Our effective tax rate related to controlling interest was 39%, for both the nine months ended October 29, 2017 and October 30, 2016.</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85" w:lineRule="exact"/>
        <w:rPr>
          <w:sz w:val="20"/>
          <w:szCs w:val="20"/>
          <w:color w:val="auto"/>
        </w:rPr>
      </w:pPr>
    </w:p>
    <w:p>
      <w:pPr>
        <w:ind w:right="260" w:firstLine="428"/>
        <w:spacing w:after="0" w:line="277" w:lineRule="auto"/>
        <w:rPr>
          <w:sz w:val="20"/>
          <w:szCs w:val="20"/>
          <w:color w:val="auto"/>
        </w:rPr>
      </w:pPr>
      <w:r>
        <w:rPr>
          <w:rFonts w:ascii="Arial" w:cs="Arial" w:eastAsia="Arial" w:hAnsi="Arial"/>
          <w:sz w:val="18"/>
          <w:szCs w:val="18"/>
          <w:color w:val="auto"/>
        </w:rPr>
        <w:t>Net income decreased $3.5 million, or 47.8%, to $3.8 million in the nine months ended October 29, 2017, compared to $7.3 million in the nine months ended October 30, 2016, primarily due to the factors discussed above.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EBITDA and EBITDA to Adjusted EBITDA</w:t>
      </w:r>
    </w:p>
    <w:p>
      <w:pPr>
        <w:spacing w:after="0" w:line="189" w:lineRule="exact"/>
        <w:rPr>
          <w:sz w:val="20"/>
          <w:szCs w:val="20"/>
          <w:color w:val="auto"/>
        </w:rPr>
      </w:pPr>
    </w:p>
    <w:p>
      <w:pPr>
        <w:ind w:right="160" w:firstLine="428"/>
        <w:spacing w:after="0" w:line="264" w:lineRule="auto"/>
        <w:rPr>
          <w:sz w:val="20"/>
          <w:szCs w:val="20"/>
          <w:color w:val="auto"/>
        </w:rPr>
      </w:pPr>
      <w:r>
        <w:rPr>
          <w:rFonts w:ascii="Arial" w:cs="Arial" w:eastAsia="Arial" w:hAnsi="Arial"/>
          <w:sz w:val="18"/>
          <w:szCs w:val="18"/>
          <w:color w:val="auto"/>
        </w:rPr>
        <w:t>The following table presents reconciliations of net income to EBITDA and EBITDA to Adjusted EBITDA, both of which are non-GAAP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October 29, 2017</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October 30, 2016</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October 29, 2017</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October 30, 2016</w:t>
            </w:r>
          </w:p>
        </w:tc>
      </w:tr>
      <w:tr>
        <w:trPr>
          <w:trHeight w:val="250"/>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w:t>
            </w:r>
          </w:p>
        </w:tc>
      </w:tr>
      <w:tr>
        <w:trPr>
          <w:trHeight w:val="216"/>
        </w:trPr>
        <w:tc>
          <w:tcPr>
            <w:tcW w:w="2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3,215</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Income tax (benefit) expense</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w:t>
            </w:r>
          </w:p>
        </w:tc>
      </w:tr>
      <w:tr>
        <w:trPr>
          <w:trHeight w:val="237"/>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15,524</w:t>
            </w: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Non-cash stock based compensation</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r>
      <w:tr>
        <w:trPr>
          <w:trHeight w:val="217"/>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16,493</w:t>
            </w:r>
          </w:p>
        </w:tc>
      </w:tr>
    </w:tbl>
    <w:p>
      <w:pPr>
        <w:spacing w:after="0" w:line="161" w:lineRule="exact"/>
        <w:rPr>
          <w:sz w:val="20"/>
          <w:szCs w:val="20"/>
          <w:color w:val="auto"/>
        </w:rPr>
      </w:pPr>
    </w:p>
    <w:p>
      <w:pPr>
        <w:ind w:right="80" w:firstLine="428"/>
        <w:spacing w:after="0" w:line="279" w:lineRule="auto"/>
        <w:rPr>
          <w:sz w:val="20"/>
          <w:szCs w:val="20"/>
          <w:color w:val="auto"/>
        </w:rPr>
      </w:pPr>
      <w:r>
        <w:rPr>
          <w:rFonts w:ascii="Arial" w:cs="Arial" w:eastAsia="Arial" w:hAnsi="Arial"/>
          <w:sz w:val="17"/>
          <w:szCs w:val="17"/>
          <w:color w:val="auto"/>
        </w:rPr>
        <w:t>As a result of the factors discussed above in the “Results of Operations” section, Adjusted EBITDA decreased $0.6 million, or 24.9%, to $1.9 million in the three months ended October 29, 2017 compared to $2.5 million in the three months ended October 30, 2016. As a percentage of net sales, Adjusted EBITDA decreased 150 basis points to 2.2% of net sales in the three months ended October 29, 2017 compared to 3.7% of net sales in the three months ended October 30, 2016.</w:t>
      </w:r>
    </w:p>
    <w:p>
      <w:pPr>
        <w:spacing w:after="0" w:line="131" w:lineRule="exact"/>
        <w:rPr>
          <w:sz w:val="20"/>
          <w:szCs w:val="20"/>
          <w:color w:val="auto"/>
        </w:rPr>
      </w:pPr>
    </w:p>
    <w:p>
      <w:pPr>
        <w:ind w:right="40" w:firstLine="428"/>
        <w:spacing w:after="0" w:line="279" w:lineRule="auto"/>
        <w:rPr>
          <w:sz w:val="20"/>
          <w:szCs w:val="20"/>
          <w:color w:val="auto"/>
        </w:rPr>
      </w:pPr>
      <w:r>
        <w:rPr>
          <w:rFonts w:ascii="Arial" w:cs="Arial" w:eastAsia="Arial" w:hAnsi="Arial"/>
          <w:sz w:val="17"/>
          <w:szCs w:val="17"/>
          <w:color w:val="auto"/>
        </w:rPr>
        <w:t>As a result of the factors discussed above in the “Results of Operations” section, Adjusted EBITDA decreased $2.5 million, or 15.2%, to $14.0 million in the nine months ended October 29, 2017 compared to $16.5 million in the nine months ended October 30, 2016. As a percentage of net sales, Adjusted EBITDA decreased 270 basis points to 5.5% of net sales in the nine months ended October 29, 2017 compared to 8.2% of net sales in the nine months ended October 30, 2016.</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98" w:lineRule="exact"/>
        <w:rPr>
          <w:sz w:val="20"/>
          <w:szCs w:val="20"/>
          <w:color w:val="auto"/>
        </w:rPr>
      </w:pPr>
    </w:p>
    <w:p>
      <w:pPr>
        <w:ind w:right="20" w:firstLine="428"/>
        <w:spacing w:after="0" w:line="297" w:lineRule="auto"/>
        <w:rPr>
          <w:sz w:val="20"/>
          <w:szCs w:val="20"/>
          <w:color w:val="auto"/>
        </w:rPr>
      </w:pPr>
      <w:r>
        <w:rPr>
          <w:rFonts w:ascii="Arial" w:cs="Arial" w:eastAsia="Arial" w:hAnsi="Arial"/>
          <w:sz w:val="16"/>
          <w:szCs w:val="16"/>
          <w:color w:val="auto"/>
        </w:rPr>
        <w:t>Our business relies on cash from operating activities, as well as cash on hand and a revolving line of credit as our primary sources of liquidity, which was increased effective November 1, 2017, to $80.0 million through December 31, 2017 and then to $60.0 million from January 1, 2018 through July 31, 2019. Our primary cash needs have been for inventory, marketing and advertising, payroll, store leases, capital expenditures associated with opening new stores, infrastructure and information technology. The most significant components of our working capital are cash, inventory, accounts payable and other current liabilities.</w:t>
      </w:r>
    </w:p>
    <w:p>
      <w:pPr>
        <w:spacing w:after="0" w:line="118" w:lineRule="exact"/>
        <w:rPr>
          <w:sz w:val="20"/>
          <w:szCs w:val="20"/>
          <w:color w:val="auto"/>
        </w:rPr>
      </w:pPr>
    </w:p>
    <w:p>
      <w:pPr>
        <w:ind w:right="160" w:firstLine="428"/>
        <w:spacing w:after="0" w:line="271" w:lineRule="auto"/>
        <w:rPr>
          <w:sz w:val="20"/>
          <w:szCs w:val="20"/>
          <w:color w:val="auto"/>
        </w:rPr>
      </w:pPr>
      <w:r>
        <w:rPr>
          <w:rFonts w:ascii="Arial" w:cs="Arial" w:eastAsia="Arial" w:hAnsi="Arial"/>
          <w:sz w:val="17"/>
          <w:szCs w:val="17"/>
          <w:color w:val="auto"/>
        </w:rPr>
        <w:t>We expect to spend approximately $42.0 million to $44.0 million in fiscal 2017 on capital expenditures, net of proceeds from finance lease obligations, including a total of approximately $31.0 million to $33.0 million for new retail store expansion and remodels. We expect capital expenditures of approximately $2.0 million and starting inventory of $0.6 million to open a new store. At October 29, 2017, our net working capital was $86.6 million, including $1.0 million of cash.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w:t>
      </w:r>
    </w:p>
    <w:p>
      <w:pPr>
        <w:spacing w:after="0" w:line="138" w:lineRule="exact"/>
        <w:rPr>
          <w:sz w:val="20"/>
          <w:szCs w:val="20"/>
          <w:color w:val="auto"/>
        </w:rPr>
      </w:pPr>
    </w:p>
    <w:p>
      <w:pPr>
        <w:ind w:right="100" w:firstLine="428"/>
        <w:spacing w:after="0" w:line="264" w:lineRule="auto"/>
        <w:rPr>
          <w:sz w:val="20"/>
          <w:szCs w:val="20"/>
          <w:color w:val="auto"/>
        </w:rPr>
      </w:pPr>
      <w:r>
        <w:rPr>
          <w:rFonts w:ascii="Arial" w:cs="Arial" w:eastAsia="Arial" w:hAnsi="Arial"/>
          <w:sz w:val="18"/>
          <w:szCs w:val="18"/>
          <w:color w:val="auto"/>
        </w:rPr>
        <w:t>We believe that our cash balance as of October 29, 2017, combined with cash flow from operating activities and the availability of cash under our revolving line of credit will be sufficient to cover working capital requirements and anticipated capital expenditures and for funding our growth strategy for the foreseeable future.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5"/>
          </w:tcPr>
          <w:p>
            <w:pPr>
              <w:ind w:left="1160"/>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29, 2017</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ind w:left="180"/>
              <w:spacing w:after="0"/>
              <w:rPr>
                <w:sz w:val="20"/>
                <w:szCs w:val="20"/>
                <w:color w:val="auto"/>
              </w:rPr>
            </w:pPr>
            <w:r>
              <w:rPr>
                <w:rFonts w:ascii="Arial" w:cs="Arial" w:eastAsia="Arial" w:hAnsi="Arial"/>
                <w:sz w:val="14"/>
                <w:szCs w:val="14"/>
                <w:b w:val="1"/>
                <w:bCs w:val="1"/>
                <w:color w:val="auto"/>
              </w:rPr>
              <w:t>October 30, 2016</w:t>
            </w:r>
          </w:p>
        </w:tc>
      </w:tr>
      <w:tr>
        <w:trPr>
          <w:trHeight w:val="250"/>
        </w:trPr>
        <w:tc>
          <w:tcPr>
            <w:tcW w:w="4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center"/>
              <w:ind w:left="896"/>
              <w:spacing w:after="0"/>
              <w:rPr>
                <w:sz w:val="20"/>
                <w:szCs w:val="20"/>
                <w:color w:val="auto"/>
              </w:rPr>
            </w:pPr>
            <w:r>
              <w:rPr>
                <w:rFonts w:ascii="Arial" w:cs="Arial" w:eastAsia="Arial" w:hAnsi="Arial"/>
                <w:sz w:val="18"/>
                <w:szCs w:val="18"/>
                <w:color w:val="auto"/>
                <w:w w:val="89"/>
              </w:rPr>
              <w:t>(34,957)</w:t>
            </w:r>
          </w:p>
        </w:tc>
        <w:tc>
          <w:tcPr>
            <w:tcW w:w="2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center"/>
              <w:ind w:left="954"/>
              <w:spacing w:after="0"/>
              <w:rPr>
                <w:sz w:val="20"/>
                <w:szCs w:val="20"/>
                <w:color w:val="auto"/>
              </w:rPr>
            </w:pPr>
            <w:r>
              <w:rPr>
                <w:rFonts w:ascii="Arial" w:cs="Arial" w:eastAsia="Arial" w:hAnsi="Arial"/>
                <w:sz w:val="18"/>
                <w:szCs w:val="18"/>
                <w:color w:val="auto"/>
                <w:w w:val="92"/>
              </w:rPr>
              <w:t>(26,783)</w:t>
            </w: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center"/>
              <w:ind w:left="896"/>
              <w:spacing w:after="0"/>
              <w:rPr>
                <w:sz w:val="20"/>
                <w:szCs w:val="20"/>
                <w:color w:val="auto"/>
              </w:rPr>
            </w:pPr>
            <w:r>
              <w:rPr>
                <w:rFonts w:ascii="Arial" w:cs="Arial" w:eastAsia="Arial" w:hAnsi="Arial"/>
                <w:sz w:val="18"/>
                <w:szCs w:val="18"/>
                <w:color w:val="auto"/>
                <w:w w:val="89"/>
              </w:rPr>
              <w:t>(44,643)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center"/>
              <w:ind w:left="954"/>
              <w:spacing w:after="0"/>
              <w:rPr>
                <w:sz w:val="20"/>
                <w:szCs w:val="20"/>
                <w:color w:val="auto"/>
              </w:rPr>
            </w:pPr>
            <w:r>
              <w:rPr>
                <w:rFonts w:ascii="Arial" w:cs="Arial" w:eastAsia="Arial" w:hAnsi="Arial"/>
                <w:sz w:val="18"/>
                <w:szCs w:val="18"/>
                <w:color w:val="auto"/>
                <w:w w:val="92"/>
              </w:rPr>
              <w:t>(22,473)</w:t>
            </w: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center"/>
              <w:ind w:left="916"/>
              <w:spacing w:after="0"/>
              <w:rPr>
                <w:sz w:val="20"/>
                <w:szCs w:val="20"/>
                <w:color w:val="auto"/>
              </w:rPr>
            </w:pPr>
            <w:r>
              <w:rPr>
                <w:rFonts w:ascii="Arial" w:cs="Arial" w:eastAsia="Arial" w:hAnsi="Arial"/>
                <w:sz w:val="18"/>
                <w:szCs w:val="18"/>
                <w:color w:val="auto"/>
                <w:w w:val="90"/>
              </w:rPr>
              <w:t>56,516</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center"/>
              <w:ind w:left="974"/>
              <w:spacing w:after="0"/>
              <w:rPr>
                <w:sz w:val="20"/>
                <w:szCs w:val="20"/>
                <w:color w:val="auto"/>
              </w:rPr>
            </w:pPr>
            <w:r>
              <w:rPr>
                <w:rFonts w:ascii="Arial" w:cs="Arial" w:eastAsia="Arial" w:hAnsi="Arial"/>
                <w:sz w:val="18"/>
                <w:szCs w:val="18"/>
                <w:color w:val="auto"/>
                <w:w w:val="87"/>
              </w:rPr>
              <w:t>11,556</w:t>
            </w:r>
          </w:p>
        </w:tc>
      </w:tr>
      <w:tr>
        <w:trPr>
          <w:trHeight w:val="217"/>
        </w:trPr>
        <w:tc>
          <w:tcPr>
            <w:tcW w:w="4260" w:type="dxa"/>
            <w:vAlign w:val="bottom"/>
            <w:gridSpan w:val="2"/>
          </w:tcPr>
          <w:p>
            <w:pPr>
              <w:spacing w:after="0"/>
              <w:rPr>
                <w:sz w:val="20"/>
                <w:szCs w:val="20"/>
                <w:color w:val="auto"/>
              </w:rPr>
            </w:pPr>
            <w:r>
              <w:rPr>
                <w:rFonts w:ascii="Arial" w:cs="Arial" w:eastAsia="Arial" w:hAnsi="Arial"/>
                <w:sz w:val="18"/>
                <w:szCs w:val="18"/>
                <w:color w:val="auto"/>
              </w:rPr>
              <w:t>Decrease in cash</w:t>
            </w:r>
          </w:p>
        </w:tc>
        <w:tc>
          <w:tcPr>
            <w:tcW w:w="13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center"/>
              <w:ind w:left="896"/>
              <w:spacing w:after="0"/>
              <w:rPr>
                <w:sz w:val="20"/>
                <w:szCs w:val="20"/>
                <w:color w:val="auto"/>
              </w:rPr>
            </w:pPr>
            <w:r>
              <w:rPr>
                <w:rFonts w:ascii="Arial" w:cs="Arial" w:eastAsia="Arial" w:hAnsi="Arial"/>
                <w:sz w:val="18"/>
                <w:szCs w:val="18"/>
                <w:color w:val="auto"/>
                <w:w w:val="89"/>
              </w:rPr>
              <w:t>(23,084)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center"/>
              <w:ind w:left="954"/>
              <w:spacing w:after="0"/>
              <w:rPr>
                <w:sz w:val="20"/>
                <w:szCs w:val="20"/>
                <w:color w:val="auto"/>
              </w:rPr>
            </w:pPr>
            <w:r>
              <w:rPr>
                <w:rFonts w:ascii="Arial" w:cs="Arial" w:eastAsia="Arial" w:hAnsi="Arial"/>
                <w:sz w:val="18"/>
                <w:szCs w:val="18"/>
                <w:color w:val="auto"/>
                <w:w w:val="92"/>
              </w:rPr>
              <w:t>(37,700)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85" w:lineRule="exact"/>
        <w:rPr>
          <w:sz w:val="20"/>
          <w:szCs w:val="20"/>
          <w:color w:val="auto"/>
        </w:rPr>
      </w:pPr>
    </w:p>
    <w:p>
      <w:pPr>
        <w:ind w:right="60" w:firstLine="428"/>
        <w:spacing w:after="0" w:line="342" w:lineRule="auto"/>
        <w:rPr>
          <w:sz w:val="20"/>
          <w:szCs w:val="20"/>
          <w:color w:val="auto"/>
        </w:rPr>
      </w:pPr>
      <w:r>
        <w:rPr>
          <w:rFonts w:ascii="Arial" w:cs="Arial" w:eastAsia="Arial" w:hAnsi="Arial"/>
          <w:sz w:val="16"/>
          <w:szCs w:val="16"/>
          <w:color w:val="auto"/>
        </w:rPr>
        <w:t>Operating activities consist primarily of net income adjusted for non-cash items that include depreciation and amortization, loss on disposal of property, equipment and other assets, stock-based compensation and the effect of changes in assets and liabilities.</w:t>
      </w:r>
    </w:p>
    <w:p>
      <w:pPr>
        <w:spacing w:after="0" w:line="83"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While our cash flows from operations for the nine months ended October 29, 2017 is negative, primarily driven by the seasonal nature of our business, we expect cash flows from operations for the full year fiscal 2017 to be positive from normal operating performance and seasonal reductions in working capital during the fourth quarter of our fiscal year, which is consistent with previous full fiscal years.</w:t>
      </w:r>
    </w:p>
    <w:p>
      <w:pPr>
        <w:spacing w:after="0" w:line="160" w:lineRule="exact"/>
        <w:rPr>
          <w:sz w:val="20"/>
          <w:szCs w:val="20"/>
          <w:color w:val="auto"/>
        </w:rPr>
      </w:pPr>
    </w:p>
    <w:p>
      <w:pPr>
        <w:ind w:right="60" w:firstLine="428"/>
        <w:spacing w:after="0" w:line="255" w:lineRule="auto"/>
        <w:rPr>
          <w:sz w:val="20"/>
          <w:szCs w:val="20"/>
          <w:color w:val="auto"/>
        </w:rPr>
      </w:pPr>
      <w:r>
        <w:rPr>
          <w:rFonts w:ascii="Arial" w:cs="Arial" w:eastAsia="Arial" w:hAnsi="Arial"/>
          <w:sz w:val="18"/>
          <w:szCs w:val="18"/>
          <w:color w:val="auto"/>
        </w:rPr>
        <w:t>For the nine months ended October 29, 2017, net cash used in operating activities was $35.0 million, which consisted of net income of $4.0 million, non-cash depreciation and amortization of $5.1 million and stock based compensation of $1.2 million, offset by cash used in operating assets and liabilities of $45.2 million. The cash used in operating assets and liabilities of $45.2 million primarily consisted of $57.0 million increase in inventory, primarily due to the increase in the number of our retail stores and building up our inventory for the peak holiday season, which was partially offset by an increase in trade accounts payable of $18.7 million primarily due to timing of payments.</w:t>
      </w:r>
    </w:p>
    <w:p>
      <w:pPr>
        <w:spacing w:after="0" w:line="153" w:lineRule="exact"/>
        <w:rPr>
          <w:sz w:val="20"/>
          <w:szCs w:val="20"/>
          <w:color w:val="auto"/>
        </w:rPr>
      </w:pPr>
    </w:p>
    <w:p>
      <w:pPr>
        <w:ind w:right="20" w:firstLine="428"/>
        <w:spacing w:after="0" w:line="255" w:lineRule="auto"/>
        <w:rPr>
          <w:sz w:val="20"/>
          <w:szCs w:val="20"/>
          <w:color w:val="auto"/>
        </w:rPr>
      </w:pPr>
      <w:r>
        <w:rPr>
          <w:rFonts w:ascii="Arial" w:cs="Arial" w:eastAsia="Arial" w:hAnsi="Arial"/>
          <w:sz w:val="18"/>
          <w:szCs w:val="18"/>
          <w:color w:val="auto"/>
        </w:rPr>
        <w:t>For the nine months ended October 30, 2016, net cash used in operating activities was $26.8 million, which primarily consisted of net income of $7.5 million, non-cash depreciation and amortization of $3.2 million and stock based compensation of $1.0 million, offset by cash used in operating assets and liabilities of $38.6 million. The cash used in operating assets and liabilities of $38.6 million primarily consisted of $40.9 million increase in inventory, due to building up of inventory for our peak season, coupled with the increase in the number of our retail stores during fiscal 2016, and $3.0 million increase in other receivables primarily due to refunds for excess income tax payments, which was partially offset by a $6.7 million increase in trade accounts payable, primarily due to seasonality and timing of payments.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98" w:lineRule="exact"/>
        <w:rPr>
          <w:sz w:val="20"/>
          <w:szCs w:val="20"/>
          <w:color w:val="auto"/>
        </w:rPr>
      </w:pPr>
    </w:p>
    <w:p>
      <w:pPr>
        <w:jc w:val="both"/>
        <w:ind w:right="120" w:firstLine="428"/>
        <w:spacing w:after="0" w:line="264"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information technology and enhancements for our distribution and corporate facilities, coupled with changes in restricted cash, which is related to our retail store leasing agreements.</w:t>
      </w:r>
    </w:p>
    <w:p>
      <w:pPr>
        <w:spacing w:after="0" w:line="141" w:lineRule="exact"/>
        <w:rPr>
          <w:sz w:val="20"/>
          <w:szCs w:val="20"/>
          <w:color w:val="auto"/>
        </w:rPr>
      </w:pPr>
    </w:p>
    <w:p>
      <w:pPr>
        <w:ind w:right="140" w:firstLine="428"/>
        <w:spacing w:after="0" w:line="286" w:lineRule="auto"/>
        <w:rPr>
          <w:sz w:val="20"/>
          <w:szCs w:val="20"/>
          <w:color w:val="auto"/>
        </w:rPr>
      </w:pPr>
      <w:r>
        <w:rPr>
          <w:rFonts w:ascii="Arial" w:cs="Arial" w:eastAsia="Arial" w:hAnsi="Arial"/>
          <w:sz w:val="17"/>
          <w:szCs w:val="17"/>
          <w:color w:val="auto"/>
        </w:rPr>
        <w:t>For the nine months ended October 29, 2017, net cash used in investing activities was $44.6 million and was primarily driven by capital expenditures of $37.5 million for the opening of ten new retail stores and investments in information technology, $6.3 million purchase of available-for-sale security, and a change in restricted cash of $0.7 million.</w:t>
      </w:r>
    </w:p>
    <w:p>
      <w:pPr>
        <w:spacing w:after="0" w:line="125" w:lineRule="exact"/>
        <w:rPr>
          <w:sz w:val="20"/>
          <w:szCs w:val="20"/>
          <w:color w:val="auto"/>
        </w:rPr>
      </w:pPr>
    </w:p>
    <w:p>
      <w:pPr>
        <w:jc w:val="both"/>
        <w:ind w:right="140" w:firstLine="428"/>
        <w:spacing w:after="0" w:line="264" w:lineRule="auto"/>
        <w:rPr>
          <w:sz w:val="20"/>
          <w:szCs w:val="20"/>
          <w:color w:val="auto"/>
        </w:rPr>
      </w:pPr>
      <w:r>
        <w:rPr>
          <w:rFonts w:ascii="Arial" w:cs="Arial" w:eastAsia="Arial" w:hAnsi="Arial"/>
          <w:sz w:val="18"/>
          <w:szCs w:val="18"/>
          <w:color w:val="auto"/>
        </w:rPr>
        <w:t>For the nine months ended October 30, 2016, net cash used in investing activities was $22.5 million and was primarily driven by capital expenditures of $21.0 million for the expansion of our Belleville distribution center, the opening of five new retail stores, and information technology.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85" w:lineRule="exact"/>
        <w:rPr>
          <w:sz w:val="20"/>
          <w:szCs w:val="20"/>
          <w:color w:val="auto"/>
        </w:rPr>
      </w:pPr>
    </w:p>
    <w:p>
      <w:pPr>
        <w:ind w:firstLine="428"/>
        <w:spacing w:after="0" w:line="312" w:lineRule="auto"/>
        <w:rPr>
          <w:sz w:val="20"/>
          <w:szCs w:val="20"/>
          <w:color w:val="auto"/>
        </w:rPr>
      </w:pPr>
      <w:r>
        <w:rPr>
          <w:rFonts w:ascii="Arial" w:cs="Arial" w:eastAsia="Arial" w:hAnsi="Arial"/>
          <w:sz w:val="16"/>
          <w:szCs w:val="16"/>
          <w:color w:val="auto"/>
        </w:rPr>
        <w:t>Financing activities consist primarily of borrowings and payments related to our revolving line of credit and other long-term debts, as well as distributions to the individuals and entities that were our shareholders prior to our IPO and holders of noncontrolling interest in variable interest entity, proceeds from finance lease obligations and capital contributions to Schlecht Retail Ventures LLC.</w:t>
      </w:r>
    </w:p>
    <w:p>
      <w:pPr>
        <w:spacing w:after="0" w:line="106" w:lineRule="exact"/>
        <w:rPr>
          <w:sz w:val="20"/>
          <w:szCs w:val="20"/>
          <w:color w:val="auto"/>
        </w:rPr>
      </w:pPr>
    </w:p>
    <w:p>
      <w:pPr>
        <w:ind w:right="40" w:firstLine="428"/>
        <w:spacing w:after="0" w:line="308" w:lineRule="auto"/>
        <w:rPr>
          <w:sz w:val="20"/>
          <w:szCs w:val="20"/>
          <w:color w:val="auto"/>
        </w:rPr>
      </w:pPr>
      <w:r>
        <w:rPr>
          <w:rFonts w:ascii="Arial" w:cs="Arial" w:eastAsia="Arial" w:hAnsi="Arial"/>
          <w:sz w:val="17"/>
          <w:szCs w:val="17"/>
          <w:color w:val="auto"/>
        </w:rPr>
        <w:t>For the nine months ended October 29, 2017, net cash provided by financing activities was $56.5 million, primarily consisting of proceeds of $50.1 million, net from our revolving line of credit, $0.8 million from long-term debt, $2.9 million 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change in bank overdraft, $2.4 million from finance lease obligations in connection with our build-to-suit lease transactions and $0.8 million for capital contributions to SRV.</w:t>
      </w:r>
    </w:p>
    <w:p>
      <w:pPr>
        <w:spacing w:after="0" w:line="130" w:lineRule="exact"/>
        <w:rPr>
          <w:sz w:val="20"/>
          <w:szCs w:val="20"/>
          <w:color w:val="auto"/>
        </w:rPr>
      </w:pPr>
    </w:p>
    <w:p>
      <w:pPr>
        <w:ind w:right="100" w:firstLine="428"/>
        <w:spacing w:after="0" w:line="264" w:lineRule="auto"/>
        <w:rPr>
          <w:sz w:val="20"/>
          <w:szCs w:val="20"/>
          <w:color w:val="auto"/>
        </w:rPr>
      </w:pPr>
      <w:r>
        <w:rPr>
          <w:rFonts w:ascii="Arial" w:cs="Arial" w:eastAsia="Arial" w:hAnsi="Arial"/>
          <w:sz w:val="18"/>
          <w:szCs w:val="18"/>
          <w:color w:val="auto"/>
        </w:rPr>
        <w:t>For the nine months ended October 30, 2016, net cash provided by financing activities was $11.6 million, primarily consisting of proceeds of $13.2 million, net from our revolving line of credit, $2.1 million in change in bank overdraft, and $0.7 million for capital contributions to SRV, offset by uses of $4.2 million for payments on long-term debt.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85" w:lineRule="exact"/>
        <w:rPr>
          <w:sz w:val="20"/>
          <w:szCs w:val="20"/>
          <w:color w:val="auto"/>
        </w:rPr>
      </w:pPr>
    </w:p>
    <w:p>
      <w:pPr>
        <w:ind w:right="60" w:firstLine="428"/>
        <w:spacing w:after="0" w:line="269" w:lineRule="auto"/>
        <w:rPr>
          <w:sz w:val="20"/>
          <w:szCs w:val="20"/>
          <w:color w:val="auto"/>
        </w:rPr>
      </w:pPr>
      <w:r>
        <w:rPr>
          <w:rFonts w:ascii="Arial" w:cs="Arial" w:eastAsia="Arial" w:hAnsi="Arial"/>
          <w:sz w:val="17"/>
          <w:szCs w:val="17"/>
          <w:color w:val="auto"/>
        </w:rPr>
        <w:t>On September 29, 2017, we entered into a first amendment to the Amended and Restated Loan Agreement dated as of October 7, 2016 (the “Amended and Restated Agreement”), providing for borrowing availability of up to $60.0 million from September 29, 2017 through July 31, 2019. Effective November 1, 2017, we entered into a second amendment to the Amended and Restated Agreement, providing for borrowing availability of up to $80.0 million from November 1, 2017 through December 31, 2017 and borrowing availability of up to $60.0 million from January 1, 2018 through July 31, 2019. The Amended and Restated Agreement matures on July 31, 2019, and bears interest, payable monthly, at a rate equal to the adjusted LIBOR rate, as defined in the Amended and Restated Agreement (effective rate of 2.5% at October 29, 2017). The Amended and Restated Agreement is secured by essentially all Company assets and requires that we maintain compliance with certain financial and non-financial covenants, including minimum tangible net worth and a minimum trailing twelve month EBITDA. In addition, the Amended and Restated Agreement does not contain borrowing base limits. As of October 29, 2017 and for the nine months then ended, we were in compliance with all financial and non-financial covenants, and we expect to be in compliance with all financial and non-financial covenants for the remainder of fiscal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right="20" w:firstLine="428"/>
        <w:spacing w:after="0" w:line="297" w:lineRule="auto"/>
        <w:rPr>
          <w:sz w:val="20"/>
          <w:szCs w:val="20"/>
          <w:color w:val="auto"/>
        </w:rPr>
      </w:pPr>
      <w:r>
        <w:rPr>
          <w:rFonts w:ascii="Arial" w:cs="Arial" w:eastAsia="Arial" w:hAnsi="Arial"/>
          <w:sz w:val="16"/>
          <w:szCs w:val="16"/>
          <w:color w:val="auto"/>
        </w:rPr>
        <w:t>On August 18, 2017, we entered into a lease agreement for the construction of our headquarters in Mt. Horeb, Wisconsin (the “HQ Lease”). The HQ Lease is for an initial term of 30 years and is expected to begin on November 1, 2018, with annual lease payments of $1.8 million, increasing 2.0% each year through the first 20 years, then beginning in year 21, the annual lease payments reset to $1.3 million, increasing 2.0% each year until the end of the lease term, with a renewal option to extend for up to two terms of ten years each. The construction completion date of our headquarters is expected on or before November 1, 2018.</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Except as discussed above, there have been no significant changes to our contractual obligations as described in our 2016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off-balance sheet arrangements, except for operating leases.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Critical Accounting Estimates</w:t>
      </w:r>
    </w:p>
    <w:p>
      <w:pPr>
        <w:spacing w:after="0" w:line="189" w:lineRule="exact"/>
        <w:rPr>
          <w:sz w:val="20"/>
          <w:szCs w:val="20"/>
          <w:color w:val="auto"/>
        </w:rPr>
      </w:pPr>
    </w:p>
    <w:p>
      <w:pPr>
        <w:ind w:right="40" w:firstLine="428"/>
        <w:spacing w:after="0" w:line="273"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51" w:lineRule="exact"/>
        <w:rPr>
          <w:sz w:val="20"/>
          <w:szCs w:val="20"/>
          <w:color w:val="auto"/>
        </w:rPr>
      </w:pPr>
    </w:p>
    <w:p>
      <w:pPr>
        <w:ind w:right="60" w:firstLine="428"/>
        <w:spacing w:after="0" w:line="277" w:lineRule="auto"/>
        <w:rPr>
          <w:sz w:val="20"/>
          <w:szCs w:val="20"/>
          <w:color w:val="auto"/>
        </w:rPr>
      </w:pPr>
      <w:r>
        <w:rPr>
          <w:rFonts w:ascii="Arial" w:cs="Arial" w:eastAsia="Arial" w:hAnsi="Arial"/>
          <w:sz w:val="18"/>
          <w:szCs w:val="18"/>
          <w:color w:val="auto"/>
        </w:rPr>
        <w:t>As of the date of this filing, there were no significant changes to any of the critical accounting policies and estimates described in our 2016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7"/>
          <w:szCs w:val="17"/>
          <w:i w:val="1"/>
          <w:iCs w:val="1"/>
          <w:color w:val="auto"/>
        </w:rPr>
      </w:pPr>
      <w:r>
        <w:rPr>
          <w:rFonts w:ascii="Arial" w:cs="Arial" w:eastAsia="Arial" w:hAnsi="Arial"/>
          <w:sz w:val="17"/>
          <w:szCs w:val="17"/>
          <w:color w:val="auto"/>
        </w:rPr>
        <w:t xml:space="preserve">(“ASU 2014-09”), which supersedes the revenue recognition requirements in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ASU</w:t>
      </w:r>
    </w:p>
    <w:p>
      <w:pPr>
        <w:spacing w:after="0" w:line="20" w:lineRule="exact"/>
        <w:rPr>
          <w:rFonts w:ascii="Arial" w:cs="Arial" w:eastAsia="Arial" w:hAnsi="Arial"/>
          <w:sz w:val="17"/>
          <w:szCs w:val="17"/>
          <w:i w:val="1"/>
          <w:iCs w:val="1"/>
          <w:color w:val="auto"/>
        </w:rPr>
      </w:pPr>
    </w:p>
    <w:p>
      <w:pPr>
        <w:spacing w:after="0" w:line="270" w:lineRule="auto"/>
        <w:rPr>
          <w:rFonts w:ascii="Arial" w:cs="Arial" w:eastAsia="Arial" w:hAnsi="Arial"/>
          <w:sz w:val="17"/>
          <w:szCs w:val="17"/>
          <w:i w:val="1"/>
          <w:iCs w:val="1"/>
          <w:color w:val="auto"/>
        </w:rPr>
      </w:pPr>
      <w:r>
        <w:rPr>
          <w:rFonts w:ascii="Arial" w:cs="Arial" w:eastAsia="Arial" w:hAnsi="Arial"/>
          <w:sz w:val="17"/>
          <w:szCs w:val="17"/>
          <w:color w:val="auto"/>
        </w:rPr>
        <w:t>2014-09 requires revenue recognition to depict the transfer of goods or services to customers in an amount that reflects the consideration to which the entity expects to be entitled in exchange for those goods or services. The new revenue recognition model requires identifying the contract, identifying the performance obligations, determining the transaction price, allocating the transaction price to performance obligations and recognizing the revenue upon satisfaction of the performance obligations. ASU 2014-09 also requires additional disclosure about the nature, amount, timing and uncertainty of revenue and cash flows arising from customer contracts, including significant judgments and change in judgments,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assets recognized from costs incurred to obtain or fulfill a contract. ASU 2014-09 can be applied either retrospectively to each prior reporting period presented or retrospectively with the cumulative effect of initially applying the update recognized at the date of the initial application along with additional disclosures. On July 9, 2015, the FASB deferred the effective date of ASU 2014-09 for one year. ASU 2014-09 is effective for annual reporting periods beginning after December 15, 2017. Accordingly, we will adopt ASU 2014-09 on January 29, 2018, the first day of our first quarter for the fiscal year ending February 3, 2019, our fiscal year 2018. We expect to adopt ASU 2014-09 retrospectively with the cumulative effect of initially applying the update recognized at the date of the adoption along with additional disclosures. Our revenue is primarily generated from the sale of finished goods to customers and those sales predominately contain a single performance obligation, revenue is recognized at the point of sale for our retail segment or when the products have been delivered to the customer for our direct segment. Our review is ongoing as it specifically relates to sales returns and gift cards, and we not yet identified any material changes in the timing of revenue recognition. We continue to evaluate the new disclosure requirements of ASU 2014-09 on our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Simplifying the Measurement of Inventory</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July 2015, the FASB issued Accounting Standards Update No. 2015-11, </w:t>
      </w:r>
      <w:r>
        <w:rPr>
          <w:rFonts w:ascii="Arial" w:cs="Arial" w:eastAsia="Arial" w:hAnsi="Arial"/>
          <w:sz w:val="16"/>
          <w:szCs w:val="16"/>
          <w:i w:val="1"/>
          <w:iCs w:val="1"/>
          <w:color w:val="auto"/>
        </w:rPr>
        <w:t>Simplifying the Measurement of Inventory (Topic</w:t>
      </w:r>
    </w:p>
    <w:p>
      <w:pPr>
        <w:spacing w:after="0" w:line="46" w:lineRule="exact"/>
        <w:rPr>
          <w:sz w:val="20"/>
          <w:szCs w:val="20"/>
          <w:color w:val="auto"/>
        </w:rPr>
      </w:pPr>
    </w:p>
    <w:p>
      <w:pPr>
        <w:ind w:firstLine="8"/>
        <w:spacing w:after="0" w:line="268" w:lineRule="auto"/>
        <w:tabs>
          <w:tab w:leader="none" w:pos="375" w:val="left"/>
        </w:tabs>
        <w:numPr>
          <w:ilvl w:val="0"/>
          <w:numId w:val="10"/>
        </w:numPr>
        <w:rPr>
          <w:rFonts w:ascii="Arial" w:cs="Arial" w:eastAsia="Arial" w:hAnsi="Arial"/>
          <w:sz w:val="17"/>
          <w:szCs w:val="17"/>
          <w:i w:val="1"/>
          <w:iCs w:val="1"/>
          <w:color w:val="auto"/>
        </w:rPr>
      </w:pPr>
      <w:r>
        <w:rPr>
          <w:rFonts w:ascii="Arial" w:cs="Arial" w:eastAsia="Arial" w:hAnsi="Arial"/>
          <w:sz w:val="17"/>
          <w:szCs w:val="17"/>
          <w:color w:val="auto"/>
        </w:rPr>
        <w:t>(“ASU 2015-11”),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 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We adopted ASU 2015-11 as of January 30, 2017, the first day of our fiscal year 2017 and there was no significant impact to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Classification of Deferred Taxes</w:t>
      </w:r>
    </w:p>
    <w:p>
      <w:pPr>
        <w:spacing w:after="0" w:line="185" w:lineRule="exact"/>
        <w:rPr>
          <w:sz w:val="20"/>
          <w:szCs w:val="20"/>
          <w:color w:val="auto"/>
        </w:rPr>
      </w:pPr>
    </w:p>
    <w:p>
      <w:pPr>
        <w:ind w:right="240" w:firstLine="441"/>
        <w:spacing w:after="0" w:line="291" w:lineRule="auto"/>
        <w:rPr>
          <w:sz w:val="20"/>
          <w:szCs w:val="20"/>
          <w:color w:val="auto"/>
        </w:rPr>
      </w:pPr>
      <w:r>
        <w:rPr>
          <w:rFonts w:ascii="Arial" w:cs="Arial" w:eastAsia="Arial" w:hAnsi="Arial"/>
          <w:sz w:val="16"/>
          <w:szCs w:val="16"/>
          <w:color w:val="auto"/>
        </w:rPr>
        <w:t xml:space="preserve">In November 2015, the FASB issued Accounting Standards Update No. 2015-17, </w:t>
      </w:r>
      <w:r>
        <w:rPr>
          <w:rFonts w:ascii="Arial" w:cs="Arial" w:eastAsia="Arial" w:hAnsi="Arial"/>
          <w:sz w:val="16"/>
          <w:szCs w:val="16"/>
          <w:i w:val="1"/>
          <w:iCs w:val="1"/>
          <w:color w:val="auto"/>
        </w:rPr>
        <w:t>Balance Sheet Classification of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(Topic 740) </w:t>
      </w:r>
      <w:r>
        <w:rPr>
          <w:rFonts w:ascii="Arial" w:cs="Arial" w:eastAsia="Arial" w:hAnsi="Arial"/>
          <w:sz w:val="16"/>
          <w:szCs w:val="16"/>
          <w:color w:val="auto"/>
        </w:rPr>
        <w:t>(“ASU 2015-17”), which requires the classification of all deferred tax assets and liabilities as noncurrent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instead of separating deferred taxes into current and noncurrent amounts. In addition, an allocation of valuation allowances between current and noncurrent deferred tax assets is not required, because the allowances will be classified as noncurrent. The provisions of ASU 2015-17 are effective for public entities with fiscal years beginning after December 15, 2016, and interim periods within those fiscal years, with early adoption permitted. We adopted ASU 2015-17 as of January 31, 2016 and have reported deferred tax assets and liabilities as noncurrent on the consolidated balance sheets.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In February 2016, the FASB issued Accounting Standards Update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(“ASU 2016-02”), which requires lessees to recognize most leases on the balance sheets, but recognize expenses on the income statements in a manner which is similar to the current lease standard. The provisions of ASU 2016-02 are effective for public entities with fiscal years beginning after December 15, 2018, and interim periods within those years, with early adoption permitted. We expect to early adopt ASU 2016-02 on January 29, 2018, the first day of our first quarter for the fiscal year ending February 3, 2019, our fiscal year 2018. We conduct our retail operations through leased stores and therefore, we expect the adoption of ASU 2016-02 to have a significant impact on our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Improvements to Employee Share-Based Payment Accounting</w:t>
      </w:r>
    </w:p>
    <w:p>
      <w:pPr>
        <w:spacing w:after="0" w:line="198" w:lineRule="exact"/>
        <w:rPr>
          <w:sz w:val="20"/>
          <w:szCs w:val="20"/>
          <w:color w:val="auto"/>
        </w:rPr>
      </w:pPr>
    </w:p>
    <w:p>
      <w:pPr>
        <w:ind w:right="40" w:firstLine="428"/>
        <w:spacing w:after="0" w:line="290" w:lineRule="auto"/>
        <w:rPr>
          <w:sz w:val="20"/>
          <w:szCs w:val="20"/>
          <w:color w:val="auto"/>
        </w:rPr>
      </w:pPr>
      <w:r>
        <w:rPr>
          <w:rFonts w:ascii="Arial" w:cs="Arial" w:eastAsia="Arial" w:hAnsi="Arial"/>
          <w:sz w:val="16"/>
          <w:szCs w:val="16"/>
          <w:color w:val="auto"/>
        </w:rPr>
        <w:t xml:space="preserve">In March 2016, the FASB issued Accounting Standards Update No. 2016-09,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(Topic 718):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(“ASU 2016-09”), which is intended to improve the accounting for share-based payment transactions. ASU 2016-09 changes certain aspects of the accounting for share-based payment award transactions, including: (1) accounting for income taxes; (2) classification of excess tax benefits on the statement of cash flows; (3) forfeitures; (4) minimum statutory tax withholding requirements; and (5) classification of employee taxes paid on the statement of cash flows when an employer withholds shares for tax-withholding purposes. The provisions of ASU 2016-09 are effective for public entities with fiscal years beginning after December 15, 2016, and interim periods within those years, early adoption is permitted. We adopted ASU 2016-09 as of May 1, 2016 and there was no significant impact to our consolidated financial statements.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18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In November 2016, the FASB issued Accounting Standards Update No. 2016-18,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(Topic 230</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(“ASU 2016-18”), which requires companies to include cash and cash equivalents that have restrictions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withdrawal or use in total cash and cash equivalents on the statement of cash flows. ASU 2016-18 is effective for public entities with fiscal years beginning after December 15, 2017, and interim periods within those years, with early adoption permitted. We expect to adopt ASU 2016-18 on January 29, 2018, the first day of our first quarter for the fiscal year ending February 3, 2019, our fiscal year 2018. We are evaluating the level of impact of adopting ASU 2016-18 will have on our consolidated financial statements.</w:t>
      </w:r>
    </w:p>
    <w:p>
      <w:pPr>
        <w:spacing w:after="0" w:line="200" w:lineRule="exact"/>
        <w:rPr>
          <w:sz w:val="20"/>
          <w:szCs w:val="20"/>
          <w:color w:val="auto"/>
        </w:rPr>
      </w:pPr>
    </w:p>
    <w:p>
      <w:pPr>
        <w:spacing w:after="0" w:line="3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There have been no significant changes in the market risks described in our 2016 Form 10-K. See Note 2 “Debt and Line of Credit,” of Notes to Condensed Consolidated Financial Statements included in Part 1, Item 1, of this quarterly report on Form 10-Q, for disclosure on our interest rate related to our line of credit.</w:t>
      </w:r>
    </w:p>
    <w:p>
      <w:pPr>
        <w:spacing w:after="0" w:line="200" w:lineRule="exact"/>
        <w:rPr>
          <w:sz w:val="20"/>
          <w:szCs w:val="20"/>
          <w:color w:val="auto"/>
        </w:rPr>
      </w:pPr>
    </w:p>
    <w:p>
      <w:pPr>
        <w:spacing w:after="0" w:line="2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140" w:firstLine="428"/>
        <w:spacing w:after="0" w:line="297" w:lineRule="auto"/>
        <w:rPr>
          <w:sz w:val="20"/>
          <w:szCs w:val="20"/>
          <w:color w:val="auto"/>
        </w:rPr>
      </w:pPr>
      <w:r>
        <w:rPr>
          <w:rFonts w:ascii="Arial" w:cs="Arial" w:eastAsia="Arial" w:hAnsi="Arial"/>
          <w:sz w:val="16"/>
          <w:szCs w:val="16"/>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8" w:lineRule="exact"/>
        <w:rPr>
          <w:sz w:val="20"/>
          <w:szCs w:val="20"/>
          <w:color w:val="auto"/>
        </w:rPr>
      </w:pPr>
    </w:p>
    <w:p>
      <w:pPr>
        <w:jc w:val="both"/>
        <w:ind w:right="300" w:firstLine="428"/>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 13a-15(d) and 15d-15(d) under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right="280" w:firstLine="428"/>
        <w:spacing w:after="0" w:line="279" w:lineRule="auto"/>
        <w:rPr>
          <w:sz w:val="20"/>
          <w:szCs w:val="20"/>
          <w:color w:val="auto"/>
        </w:rPr>
      </w:pPr>
      <w:r>
        <w:rPr>
          <w:rFonts w:ascii="Arial" w:cs="Arial" w:eastAsia="Arial" w:hAnsi="Arial"/>
          <w:sz w:val="17"/>
          <w:szCs w:val="17"/>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2016 Form 10-K. There have been no material changes to our risk factors as previously disclosed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80"/>
          </w:cols>
          <w:pgMar w:left="1140" w:top="301" w:right="11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did not sell any equity securities during the quarter ended October 29, 2017, which were not registered under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84" w:lineRule="exact"/>
        <w:rPr>
          <w:sz w:val="20"/>
          <w:szCs w:val="20"/>
          <w:color w:val="auto"/>
        </w:rPr>
      </w:pPr>
    </w:p>
    <w:p>
      <w:pPr>
        <w:ind w:right="220" w:firstLine="428"/>
        <w:spacing w:after="0" w:line="342" w:lineRule="auto"/>
        <w:rPr>
          <w:sz w:val="20"/>
          <w:szCs w:val="20"/>
          <w:color w:val="auto"/>
        </w:rPr>
      </w:pPr>
      <w:r>
        <w:rPr>
          <w:rFonts w:ascii="Arial" w:cs="Arial" w:eastAsia="Arial" w:hAnsi="Arial"/>
          <w:sz w:val="16"/>
          <w:szCs w:val="16"/>
          <w:color w:val="auto"/>
        </w:rPr>
        <w:t>The following table contains information of shares acquired from employees in lieu of amounts required to satisfy minimum tax withholding requirements upon the vesting of the employees’ restricted stock during the quarter ended October 29, 2017.</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center"/>
              <w:ind w:right="140"/>
              <w:spacing w:after="0"/>
              <w:rPr>
                <w:sz w:val="20"/>
                <w:szCs w:val="20"/>
                <w:color w:val="auto"/>
              </w:rPr>
            </w:pPr>
            <w:r>
              <w:rPr>
                <w:rFonts w:ascii="Arial" w:cs="Arial" w:eastAsia="Arial" w:hAnsi="Arial"/>
                <w:sz w:val="14"/>
                <w:szCs w:val="14"/>
                <w:b w:val="1"/>
                <w:bCs w:val="1"/>
                <w:color w:val="auto"/>
                <w:w w:val="94"/>
              </w:rPr>
              <w:t>Approximate dollar</w:t>
            </w:r>
          </w:p>
        </w:tc>
      </w:tr>
      <w:tr>
        <w:trPr>
          <w:trHeight w:val="203"/>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of shares purchased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value of shares that</w:t>
            </w:r>
          </w:p>
        </w:tc>
      </w:tr>
      <w:tr>
        <w:trPr>
          <w:trHeight w:val="203"/>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as part of publicly</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center"/>
              <w:ind w:right="160"/>
              <w:spacing w:after="0"/>
              <w:rPr>
                <w:sz w:val="20"/>
                <w:szCs w:val="20"/>
                <w:color w:val="auto"/>
              </w:rPr>
            </w:pPr>
            <w:r>
              <w:rPr>
                <w:rFonts w:ascii="Arial" w:cs="Arial" w:eastAsia="Arial" w:hAnsi="Arial"/>
                <w:sz w:val="14"/>
                <w:szCs w:val="14"/>
                <w:b w:val="1"/>
                <w:bCs w:val="1"/>
                <w:color w:val="auto"/>
                <w:w w:val="91"/>
              </w:rPr>
              <w:t>may yet to be</w:t>
            </w:r>
          </w:p>
        </w:tc>
      </w:tr>
      <w:tr>
        <w:trPr>
          <w:trHeight w:val="203"/>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of shares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 plans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purchased under the</w:t>
            </w:r>
          </w:p>
        </w:tc>
      </w:tr>
      <w:tr>
        <w:trPr>
          <w:trHeight w:val="188"/>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 per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or programs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plans or programs</w:t>
            </w:r>
          </w:p>
        </w:tc>
      </w:tr>
      <w:tr>
        <w:trPr>
          <w:trHeight w:val="210"/>
        </w:trPr>
        <w:tc>
          <w:tcPr>
            <w:tcW w:w="20" w:type="dxa"/>
            <w:vAlign w:val="bottom"/>
          </w:tcPr>
          <w:p>
            <w:pPr>
              <w:spacing w:after="0"/>
              <w:rPr>
                <w:sz w:val="18"/>
                <w:szCs w:val="18"/>
                <w:color w:val="auto"/>
              </w:rPr>
            </w:pPr>
          </w:p>
        </w:tc>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31 - August 27, 2017</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August 28 - October 1, 2017</w:t>
            </w:r>
          </w:p>
        </w:tc>
        <w:tc>
          <w:tcPr>
            <w:tcW w:w="1140" w:type="dxa"/>
            <w:vAlign w:val="bottom"/>
          </w:tcPr>
          <w:p>
            <w:pPr>
              <w:jc w:val="right"/>
              <w:spacing w:after="0"/>
              <w:rPr>
                <w:sz w:val="20"/>
                <w:szCs w:val="20"/>
                <w:color w:val="auto"/>
              </w:rPr>
            </w:pPr>
            <w:r>
              <w:rPr>
                <w:rFonts w:ascii="Arial" w:cs="Arial" w:eastAsia="Arial" w:hAnsi="Arial"/>
                <w:sz w:val="18"/>
                <w:szCs w:val="18"/>
                <w:color w:val="auto"/>
              </w:rPr>
              <w:t>2,890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19.75</w:t>
            </w:r>
          </w:p>
        </w:tc>
        <w:tc>
          <w:tcPr>
            <w:tcW w:w="160" w:type="dxa"/>
            <w:vAlign w:val="bottom"/>
          </w:tcPr>
          <w:p>
            <w:pPr>
              <w:spacing w:after="0"/>
              <w:rPr>
                <w:sz w:val="19"/>
                <w:szCs w:val="19"/>
                <w:color w:val="auto"/>
              </w:rPr>
            </w:pPr>
          </w:p>
        </w:tc>
        <w:tc>
          <w:tcPr>
            <w:tcW w:w="1700" w:type="dxa"/>
            <w:vAlign w:val="bottom"/>
          </w:tcPr>
          <w:p>
            <w:pPr>
              <w:ind w:left="1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ind w:left="14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2 - October 29, 2017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w:t>
            </w:r>
          </w:p>
        </w:tc>
      </w:tr>
      <w:tr>
        <w:trPr>
          <w:trHeight w:val="224"/>
        </w:trPr>
        <w:tc>
          <w:tcPr>
            <w:tcW w:w="20" w:type="dxa"/>
            <w:vAlign w:val="bottom"/>
          </w:tcPr>
          <w:p>
            <w:pPr>
              <w:spacing w:after="0"/>
              <w:rPr>
                <w:sz w:val="19"/>
                <w:szCs w:val="19"/>
                <w:color w:val="auto"/>
              </w:rPr>
            </w:pPr>
          </w:p>
        </w:tc>
        <w:tc>
          <w:tcPr>
            <w:tcW w:w="28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160" w:type="dxa"/>
            <w:vAlign w:val="bottom"/>
          </w:tcPr>
          <w:p>
            <w:pPr>
              <w:spacing w:after="0"/>
              <w:rPr>
                <w:sz w:val="19"/>
                <w:szCs w:val="19"/>
                <w:color w:val="auto"/>
              </w:rPr>
            </w:pPr>
          </w:p>
        </w:tc>
        <w:tc>
          <w:tcPr>
            <w:tcW w:w="170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refer to the Exhibit Index.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December 7, 2017</w:t>
      </w:r>
    </w:p>
    <w:p>
      <w:pPr>
        <w:spacing w:after="0" w:line="2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DULUTH HOLDINGS INC.</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(Registrant)</w:t>
      </w:r>
    </w:p>
    <w:p>
      <w:pPr>
        <w:spacing w:after="0" w:line="34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 DAVID LORETTA</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-130810</wp:posOffset>
            </wp:positionV>
            <wp:extent cx="28727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Senior Vice President and Chief Financial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(On behalf of the Registrant as Principal Financial</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20"/>
          </w:cols>
          <w:pgMar w:left="1140" w:top="301" w:right="1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20" w:type="dxa"/>
            <w:vAlign w:val="bottom"/>
            <w:gridSpan w:val="8"/>
          </w:tcPr>
          <w:p>
            <w:pPr>
              <w:ind w:left="3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810"/>
        </w:trPr>
        <w:tc>
          <w:tcPr>
            <w:tcW w:w="1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900" w:type="dxa"/>
            <w:vAlign w:val="bottom"/>
            <w:gridSpan w:val="8"/>
            <w:vMerge w:val="restart"/>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Amended and Restated Loan Agreement, dated October 7, 2016, among BMO Harris Bank N.A. (f/k/a Harris</w:t>
              </w:r>
            </w:hyperlink>
          </w:p>
        </w:tc>
        <w:tc>
          <w:tcPr>
            <w:tcW w:w="50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10.1</w:t>
            </w:r>
          </w:p>
        </w:tc>
        <w:tc>
          <w:tcPr>
            <w:tcW w:w="340" w:type="dxa"/>
            <w:vAlign w:val="bottom"/>
          </w:tcPr>
          <w:p>
            <w:pPr>
              <w:spacing w:after="0"/>
              <w:rPr>
                <w:sz w:val="24"/>
                <w:szCs w:val="24"/>
                <w:color w:val="auto"/>
              </w:rPr>
            </w:pPr>
          </w:p>
        </w:tc>
        <w:tc>
          <w:tcPr>
            <w:tcW w:w="7900" w:type="dxa"/>
            <w:vAlign w:val="bottom"/>
            <w:tcBorders>
              <w:bottom w:val="single" w:sz="8" w:color="0000EE"/>
            </w:tcBorders>
            <w:gridSpan w:val="8"/>
            <w:vMerge w:val="continue"/>
          </w:tcPr>
          <w:p>
            <w:pPr>
              <w:spacing w:after="0"/>
              <w:rPr>
                <w:sz w:val="24"/>
                <w:szCs w:val="24"/>
                <w:color w:val="auto"/>
              </w:rPr>
            </w:pPr>
          </w:p>
        </w:tc>
        <w:tc>
          <w:tcPr>
            <w:tcW w:w="5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N.A.) and Duluth Holdings Inc., as amended by the First Amendment to the Amended and Restated Loan</w:t>
              </w:r>
            </w:hyperlink>
          </w:p>
        </w:tc>
        <w:tc>
          <w:tcPr>
            <w:tcW w:w="8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Agreement dated September 9, 2017, incorporated by reference to Exhibit 10.1 to the Company’s current report on</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Form 8-K dated November 1, 2017.</w:t>
              </w:r>
            </w:hyperlink>
          </w:p>
        </w:tc>
        <w:tc>
          <w:tcPr>
            <w:tcW w:w="58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31.1</w:t>
            </w:r>
          </w:p>
        </w:tc>
        <w:tc>
          <w:tcPr>
            <w:tcW w:w="340" w:type="dxa"/>
            <w:vAlign w:val="bottom"/>
          </w:tcPr>
          <w:p>
            <w:pPr>
              <w:spacing w:after="0"/>
              <w:rPr>
                <w:sz w:val="18"/>
                <w:szCs w:val="18"/>
                <w:color w:val="auto"/>
              </w:rPr>
            </w:pPr>
          </w:p>
        </w:tc>
        <w:tc>
          <w:tcPr>
            <w:tcW w:w="8400" w:type="dxa"/>
            <w:vAlign w:val="bottom"/>
            <w:gridSpan w:val="12"/>
          </w:tcPr>
          <w:p>
            <w:pPr>
              <w:spacing w:after="0"/>
              <w:rPr>
                <w:rFonts w:ascii="Arial" w:cs="Arial" w:eastAsia="Arial" w:hAnsi="Arial"/>
                <w:sz w:val="16"/>
                <w:szCs w:val="16"/>
                <w:color w:val="0000EE"/>
                <w:w w:val="94"/>
              </w:rPr>
            </w:pPr>
            <w:hyperlink w:anchor="page31">
              <w:r>
                <w:rPr>
                  <w:rFonts w:ascii="Arial" w:cs="Arial" w:eastAsia="Arial" w:hAnsi="Arial"/>
                  <w:sz w:val="16"/>
                  <w:szCs w:val="16"/>
                  <w:color w:val="0000EE"/>
                  <w:w w:val="94"/>
                </w:rPr>
                <w:t>Certification of Chief Executive Officer pursuant to Rule 13a-14(a) and Rule 15d-14(a) of the Securities and Exchange Act, as</w:t>
              </w:r>
            </w:hyperlink>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0" w:type="dxa"/>
            <w:vAlign w:val="bottom"/>
            <w:tcBorders>
              <w:top w:val="single" w:sz="8" w:color="0000EE"/>
            </w:tcBorders>
            <w:gridSpan w:val="10"/>
          </w:tcPr>
          <w:p>
            <w:pPr>
              <w:spacing w:after="0" w:line="183" w:lineRule="exact"/>
              <w:rPr>
                <w:rFonts w:ascii="Arial" w:cs="Arial" w:eastAsia="Arial" w:hAnsi="Arial"/>
                <w:sz w:val="16"/>
                <w:szCs w:val="16"/>
                <w:color w:val="0000EE"/>
              </w:rPr>
            </w:pPr>
            <w:hyperlink w:anchor="page31">
              <w:r>
                <w:rPr>
                  <w:rFonts w:ascii="Arial" w:cs="Arial" w:eastAsia="Arial" w:hAnsi="Arial"/>
                  <w:sz w:val="16"/>
                  <w:szCs w:val="16"/>
                  <w:color w:val="0000EE"/>
                </w:rPr>
                <w:t>amended.</w:t>
              </w:r>
              <w:r>
                <w:rPr>
                  <w:rFonts w:ascii="Arial" w:cs="Arial" w:eastAsia="Arial" w:hAnsi="Arial"/>
                  <w:sz w:val="16"/>
                  <w:szCs w:val="16"/>
                  <w:color w:val="000000"/>
                </w:rPr>
                <w:t>*</w:t>
              </w:r>
            </w:hyperlink>
          </w:p>
        </w:tc>
        <w:tc>
          <w:tcPr>
            <w:tcW w:w="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31.2</w:t>
            </w:r>
          </w:p>
        </w:tc>
        <w:tc>
          <w:tcPr>
            <w:tcW w:w="340" w:type="dxa"/>
            <w:vAlign w:val="bottom"/>
          </w:tcPr>
          <w:p>
            <w:pPr>
              <w:spacing w:after="0"/>
              <w:rPr>
                <w:sz w:val="22"/>
                <w:szCs w:val="22"/>
                <w:color w:val="auto"/>
              </w:rPr>
            </w:pPr>
          </w:p>
        </w:tc>
        <w:tc>
          <w:tcPr>
            <w:tcW w:w="8120" w:type="dxa"/>
            <w:vAlign w:val="bottom"/>
            <w:tcBorders>
              <w:bottom w:val="single" w:sz="8" w:color="0000EE"/>
            </w:tcBorders>
            <w:gridSpan w:val="9"/>
          </w:tcPr>
          <w:p>
            <w:pPr>
              <w:spacing w:after="0"/>
              <w:rPr>
                <w:rFonts w:ascii="Arial" w:cs="Arial" w:eastAsia="Arial" w:hAnsi="Arial"/>
                <w:sz w:val="16"/>
                <w:szCs w:val="16"/>
                <w:color w:val="0000EE"/>
                <w:w w:val="92"/>
              </w:rPr>
            </w:pPr>
            <w:hyperlink w:anchor="page32">
              <w:r>
                <w:rPr>
                  <w:rFonts w:ascii="Arial" w:cs="Arial" w:eastAsia="Arial" w:hAnsi="Arial"/>
                  <w:sz w:val="16"/>
                  <w:szCs w:val="16"/>
                  <w:color w:val="0000EE"/>
                  <w:w w:val="92"/>
                </w:rPr>
                <w:t>Certification of Chief Financial Officer pursuant to Rule 13a-14(a) and Rule 15d-14(a) of the Securities and Exchange Act of</w:t>
              </w:r>
            </w:hyperlink>
          </w:p>
        </w:tc>
        <w:tc>
          <w:tcPr>
            <w:tcW w:w="2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0" w:type="dxa"/>
            <w:vAlign w:val="bottom"/>
            <w:gridSpan w:val="12"/>
          </w:tcPr>
          <w:p>
            <w:pPr>
              <w:spacing w:after="0" w:line="183" w:lineRule="exact"/>
              <w:rPr>
                <w:rFonts w:ascii="Arial" w:cs="Arial" w:eastAsia="Arial" w:hAnsi="Arial"/>
                <w:sz w:val="16"/>
                <w:szCs w:val="16"/>
                <w:color w:val="0000EE"/>
              </w:rPr>
            </w:pPr>
            <w:hyperlink w:anchor="page32">
              <w:r>
                <w:rPr>
                  <w:rFonts w:ascii="Arial" w:cs="Arial" w:eastAsia="Arial" w:hAnsi="Arial"/>
                  <w:sz w:val="16"/>
                  <w:szCs w:val="16"/>
                  <w:color w:val="0000EE"/>
                </w:rPr>
                <w:t>1934, as amended.</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32.1</w:t>
            </w:r>
          </w:p>
        </w:tc>
        <w:tc>
          <w:tcPr>
            <w:tcW w:w="340" w:type="dxa"/>
            <w:vAlign w:val="bottom"/>
          </w:tcPr>
          <w:p>
            <w:pPr>
              <w:spacing w:after="0"/>
              <w:rPr>
                <w:sz w:val="21"/>
                <w:szCs w:val="21"/>
                <w:color w:val="auto"/>
              </w:rPr>
            </w:pPr>
          </w:p>
        </w:tc>
        <w:tc>
          <w:tcPr>
            <w:tcW w:w="7680" w:type="dxa"/>
            <w:vAlign w:val="bottom"/>
            <w:tcBorders>
              <w:bottom w:val="single" w:sz="8" w:color="0000EE"/>
            </w:tcBorders>
            <w:gridSpan w:val="7"/>
          </w:tcPr>
          <w:p>
            <w:pPr>
              <w:spacing w:after="0"/>
              <w:rPr>
                <w:rFonts w:ascii="Arial" w:cs="Arial" w:eastAsia="Arial" w:hAnsi="Arial"/>
                <w:sz w:val="16"/>
                <w:szCs w:val="16"/>
                <w:color w:val="0000EE"/>
                <w:w w:val="92"/>
              </w:rPr>
            </w:pPr>
            <w:hyperlink w:anchor="page33">
              <w:r>
                <w:rPr>
                  <w:rFonts w:ascii="Arial" w:cs="Arial" w:eastAsia="Arial" w:hAnsi="Arial"/>
                  <w:sz w:val="16"/>
                  <w:szCs w:val="16"/>
                  <w:color w:val="0000EE"/>
                  <w:w w:val="92"/>
                </w:rPr>
                <w:t>Certification of Chief Executive Officer pursuant to 18 U.S.C. Section 1350, as adopted pursuant to Section 906 of the</w:t>
              </w:r>
            </w:hyperlink>
          </w:p>
        </w:tc>
        <w:tc>
          <w:tcPr>
            <w:tcW w:w="7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0" w:type="dxa"/>
            <w:vAlign w:val="bottom"/>
            <w:gridSpan w:val="12"/>
          </w:tcPr>
          <w:p>
            <w:pPr>
              <w:spacing w:after="0" w:line="183" w:lineRule="exact"/>
              <w:rPr>
                <w:rFonts w:ascii="Arial" w:cs="Arial" w:eastAsia="Arial" w:hAnsi="Arial"/>
                <w:sz w:val="16"/>
                <w:szCs w:val="16"/>
                <w:color w:val="0000EE"/>
              </w:rPr>
            </w:pPr>
            <w:hyperlink w:anchor="page33">
              <w:r>
                <w:rPr>
                  <w:rFonts w:ascii="Arial" w:cs="Arial" w:eastAsia="Arial" w:hAnsi="Arial"/>
                  <w:sz w:val="16"/>
                  <w:szCs w:val="16"/>
                  <w:color w:val="0000EE"/>
                </w:rPr>
                <w:t>Sarbanes-Oxley Act of 2002.</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32.2</w:t>
            </w:r>
          </w:p>
        </w:tc>
        <w:tc>
          <w:tcPr>
            <w:tcW w:w="340" w:type="dxa"/>
            <w:vAlign w:val="bottom"/>
          </w:tcPr>
          <w:p>
            <w:pPr>
              <w:spacing w:after="0"/>
              <w:rPr>
                <w:sz w:val="17"/>
                <w:szCs w:val="17"/>
                <w:color w:val="auto"/>
              </w:rPr>
            </w:pPr>
          </w:p>
        </w:tc>
        <w:tc>
          <w:tcPr>
            <w:tcW w:w="7640" w:type="dxa"/>
            <w:vAlign w:val="bottom"/>
            <w:tcBorders>
              <w:bottom w:val="single" w:sz="8" w:color="0000EE"/>
            </w:tcBorders>
            <w:gridSpan w:val="6"/>
          </w:tcPr>
          <w:p>
            <w:pPr>
              <w:spacing w:after="0"/>
              <w:rPr>
                <w:rFonts w:ascii="Arial" w:cs="Arial" w:eastAsia="Arial" w:hAnsi="Arial"/>
                <w:sz w:val="16"/>
                <w:szCs w:val="16"/>
                <w:color w:val="0000EE"/>
                <w:w w:val="92"/>
              </w:rPr>
            </w:pPr>
            <w:hyperlink w:anchor="page34">
              <w:r>
                <w:rPr>
                  <w:rFonts w:ascii="Arial" w:cs="Arial" w:eastAsia="Arial" w:hAnsi="Arial"/>
                  <w:sz w:val="16"/>
                  <w:szCs w:val="16"/>
                  <w:color w:val="0000EE"/>
                  <w:w w:val="92"/>
                </w:rPr>
                <w:t>Certification of Chief Financial Officer pursuant to 18 U.S.C. Section 1350, as adopted pursuant to Section 906 of the</w:t>
              </w:r>
            </w:hyperlink>
          </w:p>
        </w:tc>
        <w:tc>
          <w:tcPr>
            <w:tcW w:w="7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0" w:type="dxa"/>
            <w:vAlign w:val="bottom"/>
            <w:gridSpan w:val="12"/>
          </w:tcPr>
          <w:p>
            <w:pPr>
              <w:spacing w:after="0" w:line="183" w:lineRule="exact"/>
              <w:rPr>
                <w:rFonts w:ascii="Arial" w:cs="Arial" w:eastAsia="Arial" w:hAnsi="Arial"/>
                <w:sz w:val="16"/>
                <w:szCs w:val="16"/>
                <w:color w:val="0000EE"/>
              </w:rPr>
            </w:pPr>
            <w:hyperlink w:anchor="page34">
              <w:r>
                <w:rPr>
                  <w:rFonts w:ascii="Arial" w:cs="Arial" w:eastAsia="Arial" w:hAnsi="Arial"/>
                  <w:sz w:val="16"/>
                  <w:szCs w:val="16"/>
                  <w:color w:val="0000EE"/>
                </w:rPr>
                <w:t>Sarbanes-Oxley Act of 2002.</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65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400" w:type="dxa"/>
            <w:vAlign w:val="bottom"/>
            <w:gridSpan w:val="12"/>
          </w:tcPr>
          <w:p>
            <w:pPr>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400" w:type="dxa"/>
            <w:vAlign w:val="bottom"/>
            <w:gridSpan w:val="12"/>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400" w:type="dxa"/>
            <w:vAlign w:val="bottom"/>
            <w:gridSpan w:val="12"/>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400" w:type="dxa"/>
            <w:vAlign w:val="bottom"/>
            <w:gridSpan w:val="12"/>
          </w:tcPr>
          <w:p>
            <w:pPr>
              <w:spacing w:after="0"/>
              <w:rPr>
                <w:sz w:val="20"/>
                <w:szCs w:val="20"/>
                <w:color w:val="auto"/>
              </w:rPr>
            </w:pPr>
            <w:r>
              <w:rPr>
                <w:rFonts w:ascii="Arial" w:cs="Arial" w:eastAsia="Arial" w:hAnsi="Arial"/>
                <w:sz w:val="16"/>
                <w:szCs w:val="16"/>
                <w:color w:val="auto"/>
              </w:rPr>
              <w:t>XBRL Taxonomy Extension Definition Document**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400" w:type="dxa"/>
            <w:vAlign w:val="bottom"/>
            <w:gridSpan w:val="12"/>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09"/>
        </w:trPr>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101.PRE</w:t>
            </w:r>
          </w:p>
        </w:tc>
        <w:tc>
          <w:tcPr>
            <w:tcW w:w="8400" w:type="dxa"/>
            <w:vAlign w:val="bottom"/>
            <w:tcBorders>
              <w:bottom w:val="single" w:sz="8" w:color="auto"/>
            </w:tcBorders>
            <w:gridSpan w:val="12"/>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480" w:hanging="1355"/>
        <w:spacing w:after="0"/>
        <w:tabs>
          <w:tab w:leader="none" w:pos="1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35" w:lineRule="exact"/>
        <w:rPr>
          <w:sz w:val="20"/>
          <w:szCs w:val="20"/>
          <w:color w:val="auto"/>
        </w:rPr>
      </w:pPr>
    </w:p>
    <w:p>
      <w:pPr>
        <w:ind w:left="1480" w:right="320" w:hanging="1355"/>
        <w:spacing w:after="0" w:line="293" w:lineRule="auto"/>
        <w:tabs>
          <w:tab w:leader="none" w:pos="1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Stephanie L. Pugliese,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jc w:val="both"/>
        <w:ind w:left="660" w:right="140" w:hanging="328"/>
        <w:spacing w:after="0" w:line="264"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660" w:right="320" w:hanging="328"/>
        <w:spacing w:after="0" w:line="286" w:lineRule="auto"/>
        <w:tabs>
          <w:tab w:leader="none" w:pos="68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0" w:hanging="323"/>
        <w:spacing w:after="0" w:line="259"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120" w:hanging="323"/>
        <w:spacing w:after="0" w:line="312" w:lineRule="auto"/>
        <w:tabs>
          <w:tab w:leader="none" w:pos="1022"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980" w:right="300" w:hanging="323"/>
        <w:spacing w:after="0" w:line="264"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980" w:right="100" w:hanging="323"/>
        <w:spacing w:after="0" w:line="259" w:lineRule="auto"/>
        <w:tabs>
          <w:tab w:leader="none" w:pos="10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660" w:right="40" w:hanging="328"/>
        <w:spacing w:after="0" w:line="264"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ind w:left="980" w:right="460" w:hanging="323"/>
        <w:spacing w:after="0" w:line="264" w:lineRule="auto"/>
        <w:tabs>
          <w:tab w:leader="none" w:pos="10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980" w:right="240" w:hanging="323"/>
        <w:spacing w:after="0" w:line="277" w:lineRule="auto"/>
        <w:tabs>
          <w:tab w:leader="none" w:pos="10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2017</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Loretta,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jc w:val="both"/>
        <w:ind w:left="660" w:right="140" w:hanging="328"/>
        <w:spacing w:after="0" w:line="264"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660" w:right="320" w:hanging="328"/>
        <w:spacing w:after="0" w:line="286" w:lineRule="auto"/>
        <w:tabs>
          <w:tab w:leader="none" w:pos="68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0" w:hanging="323"/>
        <w:spacing w:after="0" w:line="259" w:lineRule="auto"/>
        <w:tabs>
          <w:tab w:leader="none" w:pos="10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120" w:hanging="323"/>
        <w:spacing w:after="0" w:line="312" w:lineRule="auto"/>
        <w:tabs>
          <w:tab w:leader="none" w:pos="1022"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980" w:right="300" w:hanging="323"/>
        <w:spacing w:after="0" w:line="264" w:lineRule="auto"/>
        <w:tabs>
          <w:tab w:leader="none" w:pos="10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980" w:right="100" w:hanging="323"/>
        <w:spacing w:after="0" w:line="264" w:lineRule="auto"/>
        <w:tabs>
          <w:tab w:leader="none" w:pos="102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ind w:left="980" w:right="460" w:hanging="323"/>
        <w:spacing w:after="0" w:line="264" w:lineRule="auto"/>
        <w:tabs>
          <w:tab w:leader="none" w:pos="10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980" w:right="240" w:hanging="323"/>
        <w:spacing w:after="0" w:line="277" w:lineRule="auto"/>
        <w:tabs>
          <w:tab w:leader="none" w:pos="102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2017</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David Loretta</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In connection with the Quarterly Report on Form 10-Q of Duluth Holdings Inc. (the “Company”) for the quarterly period ended October 29, 2017 as filed with the Securities and Exchange Commission on the date hereof (the “Report”), I, Stephanie L. Pugliese, as Chief Executive Officer of the Company, hereby certify, pursuant to 18 U.S.C. Section 1350, as adopted pursuant to Section 906 of the Sarbanes-Oxley Act of 2002, that, to the best of my knowledge:</w:t>
      </w:r>
    </w:p>
    <w:p>
      <w:pPr>
        <w:spacing w:after="0" w:line="50" w:lineRule="exact"/>
        <w:rPr>
          <w:sz w:val="20"/>
          <w:szCs w:val="20"/>
          <w:color w:val="auto"/>
        </w:rPr>
      </w:pPr>
    </w:p>
    <w:p>
      <w:pPr>
        <w:ind w:left="660" w:right="5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December 7, 2017</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connection with the Quarterly Report on Form 10-Q of Duluth Holdings Inc. (the “Company”) for the quarterly period ended October 29, 2017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980" w:right="180" w:hanging="323"/>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980" w:right="220" w:hanging="323"/>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David Loretta</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December 7, 2017</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sectPr>
      <w:pgSz w:w="11900" w:h="16838" w:orient="portrait"/>
      <w:cols w:equalWidth="0" w:num="1">
        <w:col w:w="9620"/>
      </w:cols>
      <w:pgMar w:left="1140" w:top="12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330"/>
    </w:lvl>
  </w:abstractNum>
  <w:abstractNum w:abstractNumId="5">
    <w:nsid w:val="1F16E9E8"/>
    <w:multiLevelType w:val="hybridMultilevel"/>
    <w:lvl w:ilvl="0">
      <w:lvlJc w:val="left"/>
      <w:lvlText w:val="%1)"/>
      <w:numFmt w:val="decimal"/>
      <w:start w:val="606"/>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606"/>
    </w:lvl>
  </w:abstractNum>
  <w:abstractNum w:abstractNumId="9">
    <w:nsid w:val="3352255A"/>
    <w:multiLevelType w:val="hybridMultilevel"/>
    <w:lvl w:ilvl="0">
      <w:lvlJc w:val="left"/>
      <w:lvlText w:val="%1)"/>
      <w:numFmt w:val="decimal"/>
      <w:start w:val="330"/>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40" Type="http://schemas.openxmlformats.org/officeDocument/2006/relationships/hyperlink" Target="http://www.sec.gov/Archives/edgar/data/1649744/000089271217000743/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2019-12-29T02:31:38Z</dcterms:created>
  <dcterms:modified xsi:type="dcterms:W3CDTF">2019-12-29T02:31:38Z</dcterms:modified>
</cp:coreProperties>
</file>