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bidi w:val="0"/>
        <w:spacing w:lineRule="auto" w:line="259"/>
        <w:rPr>
          <w:rFonts w:ascii="Times New Roman;serif" w:hAnsi="Times New Roman;serif"/>
          <w:b/>
          <w:i w:val="false"/>
          <w:caps w:val="false"/>
          <w:smallCaps w:val="false"/>
          <w:sz w:val="28"/>
        </w:rPr>
      </w:pPr>
      <w:bookmarkStart w:id="0" w:name="dlth-20210131x10k.htm"/>
      <w:bookmarkStart w:id="1" w:name="ksdlth20210131x10k"/>
      <w:bookmarkEnd w:id="0"/>
      <w:bookmarkEnd w:id="1"/>
      <w:r>
        <w:rPr>
          <w:rFonts w:ascii="Times New Roman;serif" w:hAnsi="Times New Roman;serif"/>
          <w:b/>
          <w:i w:val="false"/>
          <w:caps w:val="false"/>
          <w:smallCaps w:val="false"/>
          <w:sz w:val="28"/>
        </w:rPr>
        <w:t>UNITED STATES</w:t>
      </w:r>
    </w:p>
    <w:p>
      <w:pPr>
        <w:pStyle w:val="TextBody"/>
        <w:bidi w:val="0"/>
        <w:spacing w:lineRule="auto" w:line="259"/>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SECURITIES AND EXCHANGE COMMISSION</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Washington, D.C. 20549</w:t>
      </w:r>
    </w:p>
    <w:p>
      <w:pPr>
        <w:pStyle w:val="TextBody"/>
        <w:bidi w:val="0"/>
        <w:spacing w:lineRule="auto" w:line="259" w:before="120" w:after="120"/>
        <w:jc w:val="center"/>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FORM 10-K</w:t>
      </w:r>
    </w:p>
    <w:tbl>
      <w:tblPr>
        <w:tblW w:w="9827" w:type="dxa"/>
        <w:jc w:val="center"/>
        <w:tblInd w:w="0" w:type="dxa"/>
        <w:tblCellMar>
          <w:top w:w="0" w:type="dxa"/>
          <w:left w:w="0" w:type="dxa"/>
          <w:bottom w:w="0" w:type="dxa"/>
          <w:right w:w="0" w:type="dxa"/>
        </w:tblCellMar>
      </w:tblPr>
      <w:tblGrid>
        <w:gridCol w:w="241"/>
        <w:gridCol w:w="9586"/>
      </w:tblGrid>
      <w:tr>
        <w:trPr/>
        <w:tc>
          <w:tcPr>
            <w:tcW w:w="241" w:type="dxa"/>
            <w:tcBorders/>
            <w:shd w:fill="auto" w:val="clear"/>
            <w:vAlign w:val="center"/>
          </w:tcPr>
          <w:p>
            <w:pPr>
              <w:pStyle w:val="TableContents"/>
              <w:spacing w:before="0" w:after="283"/>
              <w:rPr>
                <w:sz w:val="4"/>
                <w:szCs w:val="4"/>
              </w:rPr>
            </w:pPr>
            <w:r>
              <w:rPr>
                <w:sz w:val="4"/>
                <w:szCs w:val="4"/>
              </w:rPr>
            </w:r>
          </w:p>
        </w:tc>
        <w:tc>
          <w:tcPr>
            <w:tcW w:w="9586" w:type="dxa"/>
            <w:tcBorders/>
            <w:shd w:fill="auto" w:val="clear"/>
            <w:vAlign w:val="center"/>
          </w:tcPr>
          <w:p>
            <w:pPr>
              <w:pStyle w:val="TableContents"/>
              <w:spacing w:before="0" w:after="283"/>
              <w:rPr>
                <w:sz w:val="4"/>
                <w:szCs w:val="4"/>
              </w:rPr>
            </w:pPr>
            <w:r>
              <w:rPr>
                <w:sz w:val="4"/>
                <w:szCs w:val="4"/>
              </w:rPr>
            </w:r>
          </w:p>
        </w:tc>
      </w:tr>
      <w:tr>
        <w:trPr/>
        <w:tc>
          <w:tcPr>
            <w:tcW w:w="241" w:type="dxa"/>
            <w:tcBorders/>
            <w:shd w:fill="auto" w:val="clear"/>
            <w:vAlign w:val="center"/>
          </w:tcPr>
          <w:p>
            <w:pPr>
              <w:pStyle w:val="TableContents"/>
              <w:bidi w:val="0"/>
              <w:spacing w:lineRule="auto" w:line="259" w:before="0" w:after="283"/>
              <w:rPr>
                <w:rFonts w:ascii="Wingdings" w:hAnsi="Wingdings"/>
                <w:b/>
                <w:i w:val="false"/>
                <w:caps w:val="false"/>
                <w:smallCaps w:val="false"/>
                <w:sz w:val="20"/>
              </w:rPr>
            </w:pPr>
            <w:r>
              <w:rPr>
                <w:rFonts w:ascii="Wingdings" w:hAnsi="Wingdings"/>
                <w:b/>
                <w:i w:val="false"/>
                <w:caps w:val="false"/>
                <w:smallCaps w:val="false"/>
                <w:sz w:val="20"/>
              </w:rPr>
              <w:t>x</w:t>
            </w:r>
          </w:p>
        </w:tc>
        <w:tc>
          <w:tcPr>
            <w:tcW w:w="9586" w:type="dxa"/>
            <w:tcBorders/>
            <w:shd w:fill="auto"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ANNUAL REPORT PURSUANT TO SECTION 13 OR 15(d) OF THE SECURITIES EXCHANGE ACT OF 1934</w:t>
            </w:r>
          </w:p>
        </w:tc>
      </w:tr>
    </w:tbl>
    <w:p>
      <w:pPr>
        <w:pStyle w:val="TextBody"/>
        <w:bidi w:val="0"/>
        <w:spacing w:lineRule="auto" w:line="259"/>
        <w:rPr>
          <w:rFonts w:ascii="Times New Roman;serif" w:hAnsi="Times New Roman;serif"/>
          <w:sz w:val="22"/>
        </w:rPr>
      </w:pPr>
      <w:r>
        <w:rPr>
          <w:rFonts w:ascii="Times New Roman;serif" w:hAnsi="Times New Roman;serif"/>
          <w:b/>
          <w:i w:val="false"/>
          <w:caps w:val="false"/>
          <w:smallCaps w:val="false"/>
          <w:sz w:val="22"/>
        </w:rPr>
        <w:t>For the Fiscal Year Ended January</w:t>
      </w:r>
      <w:r>
        <w:rPr>
          <w:rFonts w:ascii="Times New Roman;serif" w:hAnsi="Times New Roman;serif"/>
          <w:caps w:val="false"/>
          <w:smallCaps w:val="false"/>
          <w:color w:val="000000"/>
          <w:sz w:val="22"/>
        </w:rPr>
        <w:t xml:space="preserve"> </w:t>
      </w:r>
      <w:r>
        <w:rPr>
          <w:rFonts w:ascii="Times New Roman;serif" w:hAnsi="Times New Roman;serif"/>
          <w:b/>
          <w:i w:val="false"/>
          <w:caps w:val="false"/>
          <w:smallCaps w:val="false"/>
          <w:color w:val="000000"/>
          <w:sz w:val="22"/>
        </w:rPr>
        <w:t>31, 2021</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OR</w:t>
      </w:r>
    </w:p>
    <w:tbl>
      <w:tblPr>
        <w:tblW w:w="10205" w:type="dxa"/>
        <w:jc w:val="center"/>
        <w:tblInd w:w="0" w:type="dxa"/>
        <w:tblCellMar>
          <w:top w:w="0" w:type="dxa"/>
          <w:left w:w="0" w:type="dxa"/>
          <w:bottom w:w="0" w:type="dxa"/>
          <w:right w:w="0" w:type="dxa"/>
        </w:tblCellMar>
      </w:tblPr>
      <w:tblGrid>
        <w:gridCol w:w="301"/>
        <w:gridCol w:w="9904"/>
      </w:tblGrid>
      <w:tr>
        <w:trPr/>
        <w:tc>
          <w:tcPr>
            <w:tcW w:w="301" w:type="dxa"/>
            <w:tcBorders/>
            <w:shd w:fill="auto" w:val="clear"/>
            <w:vAlign w:val="center"/>
          </w:tcPr>
          <w:p>
            <w:pPr>
              <w:pStyle w:val="TableContents"/>
              <w:spacing w:before="0" w:after="283"/>
              <w:rPr>
                <w:sz w:val="4"/>
                <w:szCs w:val="4"/>
              </w:rPr>
            </w:pPr>
            <w:r>
              <w:rPr>
                <w:sz w:val="4"/>
                <w:szCs w:val="4"/>
              </w:rPr>
            </w:r>
          </w:p>
        </w:tc>
        <w:tc>
          <w:tcPr>
            <w:tcW w:w="9904" w:type="dxa"/>
            <w:tcBorders/>
            <w:shd w:fill="auto" w:val="clear"/>
            <w:vAlign w:val="center"/>
          </w:tcPr>
          <w:p>
            <w:pPr>
              <w:pStyle w:val="TableContents"/>
              <w:spacing w:before="0" w:after="283"/>
              <w:rPr>
                <w:sz w:val="4"/>
                <w:szCs w:val="4"/>
              </w:rPr>
            </w:pPr>
            <w:r>
              <w:rPr>
                <w:sz w:val="4"/>
                <w:szCs w:val="4"/>
              </w:rPr>
            </w:r>
          </w:p>
        </w:tc>
      </w:tr>
      <w:tr>
        <w:trPr/>
        <w:tc>
          <w:tcPr>
            <w:tcW w:w="301"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9904" w:type="dxa"/>
            <w:tcBorders/>
            <w:shd w:fill="auto"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TRANSITION REPORT PURSUANT TO SECTION 13 OR 15(d) OF THE SECURITIES EXCHANGE ACT OF 1934</w:t>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 the transition period from              to</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Commission file No. 001-37641</w:t>
      </w:r>
    </w:p>
    <w:p>
      <w:pPr>
        <w:pStyle w:val="TextBody"/>
        <w:bidi w:val="0"/>
        <w:spacing w:lineRule="auto" w:line="259"/>
        <w:rPr>
          <w:rFonts w:ascii="Times New Roman;serif" w:hAnsi="Times New Roman;serif"/>
          <w:b/>
          <w:i w:val="false"/>
          <w:caps w:val="false"/>
          <w:smallCaps w:val="false"/>
          <w:sz w:val="40"/>
        </w:rPr>
      </w:pPr>
      <w:r>
        <w:rPr>
          <w:rFonts w:ascii="Times New Roman;serif" w:hAnsi="Times New Roman;serif"/>
          <w:b/>
          <w:i w:val="false"/>
          <w:caps w:val="false"/>
          <w:smallCaps w:val="false"/>
          <w:sz w:val="40"/>
        </w:rPr>
        <w:t>DULUTH HOLDINGS INC.</w:t>
      </w:r>
    </w:p>
    <w:p>
      <w:pPr>
        <w:pStyle w:val="TextBody"/>
        <w:bidi w:val="0"/>
        <w:spacing w:lineRule="auto" w:line="259"/>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(Exact name of registrant as specified in its charter)</w:t>
      </w:r>
    </w:p>
    <w:tbl>
      <w:tblPr>
        <w:tblW w:w="5706" w:type="dxa"/>
        <w:jc w:val="center"/>
        <w:tblInd w:w="0" w:type="dxa"/>
        <w:tblCellMar>
          <w:top w:w="0" w:type="dxa"/>
          <w:left w:w="0" w:type="dxa"/>
          <w:bottom w:w="0" w:type="dxa"/>
          <w:right w:w="0" w:type="dxa"/>
        </w:tblCellMar>
      </w:tblPr>
      <w:tblGrid>
        <w:gridCol w:w="3781"/>
        <w:gridCol w:w="109"/>
        <w:gridCol w:w="1816"/>
      </w:tblGrid>
      <w:tr>
        <w:trPr/>
        <w:tc>
          <w:tcPr>
            <w:tcW w:w="37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6" w:type="dxa"/>
            <w:tcBorders/>
            <w:shd w:fill="auto" w:val="clear"/>
            <w:vAlign w:val="center"/>
          </w:tcPr>
          <w:p>
            <w:pPr>
              <w:pStyle w:val="TableContents"/>
              <w:spacing w:before="0" w:after="283"/>
              <w:rPr>
                <w:sz w:val="4"/>
                <w:szCs w:val="4"/>
              </w:rPr>
            </w:pPr>
            <w:r>
              <w:rPr>
                <w:sz w:val="4"/>
                <w:szCs w:val="4"/>
              </w:rPr>
            </w:r>
          </w:p>
        </w:tc>
      </w:tr>
      <w:tr>
        <w:trPr/>
        <w:tc>
          <w:tcPr>
            <w:tcW w:w="37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6" w:type="dxa"/>
            <w:tcBorders/>
            <w:shd w:fill="auto" w:val="clear"/>
            <w:vAlign w:val="center"/>
          </w:tcPr>
          <w:p>
            <w:pPr>
              <w:pStyle w:val="TableContents"/>
              <w:spacing w:before="0" w:after="283"/>
              <w:rPr>
                <w:sz w:val="4"/>
                <w:szCs w:val="4"/>
              </w:rPr>
            </w:pPr>
            <w:r>
              <w:rPr>
                <w:sz w:val="4"/>
                <w:szCs w:val="4"/>
              </w:rPr>
            </w:r>
          </w:p>
        </w:tc>
      </w:tr>
      <w:tr>
        <w:trPr/>
        <w:tc>
          <w:tcPr>
            <w:tcW w:w="3781" w:type="dxa"/>
            <w:tcBorders/>
            <w:shd w:fill="auto" w:val="clear"/>
            <w:vAlign w:val="center"/>
          </w:tcPr>
          <w:p>
            <w:pPr>
              <w:pStyle w:val="TableContents"/>
              <w:bidi w:val="0"/>
              <w:spacing w:lineRule="atLeast" w:line="180" w:before="0" w:after="20"/>
              <w:jc w:val="center"/>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Wisconsin</w:t>
            </w:r>
          </w:p>
        </w:tc>
        <w:tc>
          <w:tcPr>
            <w:tcW w:w="109" w:type="dxa"/>
            <w:tcBorders/>
            <w:shd w:fill="auto" w:val="clear"/>
            <w:vAlign w:val="center"/>
          </w:tcPr>
          <w:p>
            <w:pPr>
              <w:pStyle w:val="TableContents"/>
              <w:spacing w:before="0" w:after="283"/>
              <w:rPr>
                <w:sz w:val="4"/>
                <w:szCs w:val="4"/>
              </w:rPr>
            </w:pPr>
            <w:r>
              <w:rPr>
                <w:sz w:val="4"/>
                <w:szCs w:val="4"/>
              </w:rPr>
            </w:r>
          </w:p>
        </w:tc>
        <w:tc>
          <w:tcPr>
            <w:tcW w:w="1816" w:type="dxa"/>
            <w:tcBorders/>
            <w:shd w:fill="auto" w:val="clear"/>
            <w:vAlign w:val="center"/>
          </w:tcPr>
          <w:p>
            <w:pPr>
              <w:pStyle w:val="TableContents"/>
              <w:bidi w:val="0"/>
              <w:spacing w:lineRule="atLeast" w:line="180" w:before="0" w:after="20"/>
              <w:jc w:val="center"/>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39-1564801</w:t>
            </w:r>
          </w:p>
        </w:tc>
      </w:tr>
      <w:tr>
        <w:trPr/>
        <w:tc>
          <w:tcPr>
            <w:tcW w:w="3781" w:type="dxa"/>
            <w:tcBorders/>
            <w:shd w:fill="auto" w:val="clear"/>
            <w:vAlign w:val="center"/>
          </w:tcPr>
          <w:p>
            <w:pPr>
              <w:pStyle w:val="TableContents"/>
              <w:bidi w:val="0"/>
              <w:spacing w:lineRule="atLeast" w:line="180"/>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(State or other jurisdiction of</w:t>
            </w:r>
          </w:p>
          <w:p>
            <w:pPr>
              <w:pStyle w:val="TableContents"/>
              <w:bidi w:val="0"/>
              <w:spacing w:lineRule="atLeast" w:line="180" w:before="0" w:after="20"/>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incorporation or organization)</w:t>
            </w:r>
          </w:p>
        </w:tc>
        <w:tc>
          <w:tcPr>
            <w:tcW w:w="109" w:type="dxa"/>
            <w:tcBorders/>
            <w:shd w:fill="auto" w:val="clear"/>
            <w:vAlign w:val="center"/>
          </w:tcPr>
          <w:p>
            <w:pPr>
              <w:pStyle w:val="TableContents"/>
              <w:spacing w:before="0" w:after="283"/>
              <w:rPr>
                <w:sz w:val="4"/>
                <w:szCs w:val="4"/>
              </w:rPr>
            </w:pPr>
            <w:r>
              <w:rPr>
                <w:sz w:val="4"/>
                <w:szCs w:val="4"/>
              </w:rPr>
            </w:r>
          </w:p>
        </w:tc>
        <w:tc>
          <w:tcPr>
            <w:tcW w:w="1816" w:type="dxa"/>
            <w:tcBorders/>
            <w:shd w:fill="auto" w:val="clear"/>
            <w:vAlign w:val="center"/>
          </w:tcPr>
          <w:p>
            <w:pPr>
              <w:pStyle w:val="TableContents"/>
              <w:bidi w:val="0"/>
              <w:spacing w:lineRule="atLeast" w:line="180"/>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(I.R.S. Employer</w:t>
            </w:r>
          </w:p>
          <w:p>
            <w:pPr>
              <w:pStyle w:val="TableContents"/>
              <w:bidi w:val="0"/>
              <w:spacing w:lineRule="atLeast" w:line="180" w:before="0" w:after="20"/>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Identification Number)</w:t>
            </w:r>
          </w:p>
        </w:tc>
      </w:tr>
      <w:tr>
        <w:trPr/>
        <w:tc>
          <w:tcPr>
            <w:tcW w:w="3781" w:type="dxa"/>
            <w:tcBorders/>
            <w:shd w:fill="auto" w:val="clear"/>
            <w:vAlign w:val="center"/>
          </w:tcPr>
          <w:p>
            <w:pPr>
              <w:pStyle w:val="TableContents"/>
              <w:spacing w:before="0" w:after="283"/>
              <w:rPr>
                <w:sz w:val="4"/>
                <w:szCs w:val="4"/>
              </w:rPr>
            </w:pPr>
            <w:r>
              <w:rPr>
                <w:sz w:val="4"/>
                <w:szCs w:val="4"/>
              </w:rPr>
            </w:r>
          </w:p>
        </w:tc>
        <w:tc>
          <w:tcPr>
            <w:tcW w:w="1925" w:type="dxa"/>
            <w:gridSpan w:val="2"/>
            <w:tcBorders/>
            <w:shd w:fill="auto" w:val="clear"/>
            <w:vAlign w:val="center"/>
          </w:tcPr>
          <w:p>
            <w:pPr>
              <w:pStyle w:val="TableContents"/>
              <w:spacing w:before="0" w:after="283"/>
              <w:rPr>
                <w:sz w:val="4"/>
                <w:szCs w:val="4"/>
              </w:rPr>
            </w:pPr>
            <w:r>
              <w:rPr>
                <w:sz w:val="4"/>
                <w:szCs w:val="4"/>
              </w:rPr>
            </w:r>
          </w:p>
        </w:tc>
      </w:tr>
      <w:tr>
        <w:trPr/>
        <w:tc>
          <w:tcPr>
            <w:tcW w:w="3781" w:type="dxa"/>
            <w:tcBorders/>
            <w:shd w:fill="auto" w:val="clear"/>
            <w:vAlign w:val="center"/>
          </w:tcPr>
          <w:p>
            <w:pPr>
              <w:pStyle w:val="TableContents"/>
              <w:bidi w:val="0"/>
              <w:spacing w:lineRule="atLeast" w:line="180" w:before="0" w:after="20"/>
              <w:jc w:val="center"/>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201 East Front Street, Mount Horeb, Wisconsin</w:t>
            </w:r>
          </w:p>
        </w:tc>
        <w:tc>
          <w:tcPr>
            <w:tcW w:w="109" w:type="dxa"/>
            <w:tcBorders/>
            <w:shd w:fill="auto" w:val="clear"/>
            <w:vAlign w:val="center"/>
          </w:tcPr>
          <w:p>
            <w:pPr>
              <w:pStyle w:val="TableContents"/>
              <w:spacing w:before="0" w:after="283"/>
              <w:rPr>
                <w:sz w:val="4"/>
                <w:szCs w:val="4"/>
              </w:rPr>
            </w:pPr>
            <w:r>
              <w:rPr>
                <w:sz w:val="4"/>
                <w:szCs w:val="4"/>
              </w:rPr>
            </w:r>
          </w:p>
        </w:tc>
        <w:tc>
          <w:tcPr>
            <w:tcW w:w="1816" w:type="dxa"/>
            <w:tcBorders/>
            <w:shd w:fill="auto" w:val="clear"/>
            <w:vAlign w:val="center"/>
          </w:tcPr>
          <w:p>
            <w:pPr>
              <w:pStyle w:val="TableContents"/>
              <w:bidi w:val="0"/>
              <w:spacing w:lineRule="atLeast" w:line="180" w:before="0" w:after="20"/>
              <w:jc w:val="center"/>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53572</w:t>
            </w:r>
          </w:p>
        </w:tc>
      </w:tr>
      <w:tr>
        <w:trPr/>
        <w:tc>
          <w:tcPr>
            <w:tcW w:w="3781" w:type="dxa"/>
            <w:tcBorders/>
            <w:shd w:fill="auto" w:val="clear"/>
            <w:vAlign w:val="center"/>
          </w:tcPr>
          <w:p>
            <w:pPr>
              <w:pStyle w:val="TableContents"/>
              <w:bidi w:val="0"/>
              <w:spacing w:lineRule="atLeast" w:line="180" w:before="0" w:after="20"/>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(Address of principal executive offices)</w:t>
            </w:r>
          </w:p>
        </w:tc>
        <w:tc>
          <w:tcPr>
            <w:tcW w:w="109" w:type="dxa"/>
            <w:tcBorders/>
            <w:shd w:fill="auto" w:val="clear"/>
            <w:vAlign w:val="center"/>
          </w:tcPr>
          <w:p>
            <w:pPr>
              <w:pStyle w:val="TableContents"/>
              <w:spacing w:before="0" w:after="283"/>
              <w:rPr>
                <w:sz w:val="4"/>
                <w:szCs w:val="4"/>
              </w:rPr>
            </w:pPr>
            <w:r>
              <w:rPr>
                <w:sz w:val="4"/>
                <w:szCs w:val="4"/>
              </w:rPr>
            </w:r>
          </w:p>
        </w:tc>
        <w:tc>
          <w:tcPr>
            <w:tcW w:w="1816" w:type="dxa"/>
            <w:tcBorders/>
            <w:shd w:fill="auto" w:val="clear"/>
            <w:vAlign w:val="center"/>
          </w:tcPr>
          <w:p>
            <w:pPr>
              <w:pStyle w:val="TableContents"/>
              <w:bidi w:val="0"/>
              <w:spacing w:lineRule="atLeast" w:line="180" w:before="0" w:after="20"/>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(Zip Code)</w:t>
            </w:r>
          </w:p>
        </w:tc>
      </w:tr>
    </w:tbl>
    <w:p>
      <w:pPr>
        <w:pStyle w:val="TextBody"/>
        <w:bidi w:val="0"/>
        <w:spacing w:lineRule="auto" w:line="259"/>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Registrant’s telephone number, including area code: (608) 424-1544</w:t>
      </w:r>
    </w:p>
    <w:p>
      <w:pPr>
        <w:pStyle w:val="TextBody"/>
        <w:bidi w:val="0"/>
        <w:spacing w:lineRule="auto" w:line="259"/>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Securities registered pursuant to Section 12(b) of the Act:</w:t>
      </w:r>
    </w:p>
    <w:tbl>
      <w:tblPr>
        <w:tblW w:w="7488" w:type="dxa"/>
        <w:jc w:val="center"/>
        <w:tblInd w:w="0" w:type="dxa"/>
        <w:tblCellMar>
          <w:top w:w="0" w:type="dxa"/>
          <w:left w:w="0" w:type="dxa"/>
          <w:bottom w:w="0" w:type="dxa"/>
          <w:right w:w="0" w:type="dxa"/>
        </w:tblCellMar>
      </w:tblPr>
      <w:tblGrid>
        <w:gridCol w:w="2896"/>
        <w:gridCol w:w="1276"/>
        <w:gridCol w:w="3316"/>
      </w:tblGrid>
      <w:tr>
        <w:trPr/>
        <w:tc>
          <w:tcPr>
            <w:tcW w:w="2896"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c>
          <w:tcPr>
            <w:tcW w:w="3316" w:type="dxa"/>
            <w:tcBorders/>
            <w:shd w:fill="auto" w:val="clear"/>
            <w:vAlign w:val="center"/>
          </w:tcPr>
          <w:p>
            <w:pPr>
              <w:pStyle w:val="TableContents"/>
              <w:spacing w:before="0" w:after="283"/>
              <w:rPr>
                <w:sz w:val="4"/>
                <w:szCs w:val="4"/>
              </w:rPr>
            </w:pPr>
            <w:r>
              <w:rPr>
                <w:sz w:val="4"/>
                <w:szCs w:val="4"/>
              </w:rPr>
            </w:r>
          </w:p>
        </w:tc>
      </w:tr>
      <w:tr>
        <w:trPr/>
        <w:tc>
          <w:tcPr>
            <w:tcW w:w="2896" w:type="dxa"/>
            <w:tcBorders>
              <w:bottom w:val="single" w:sz="8" w:space="0" w:color="000000"/>
            </w:tcBorders>
            <w:shd w:fill="auto" w:val="clear"/>
            <w:tcMar>
              <w:bottom w:w="28" w:type="dxa"/>
            </w:tcMar>
            <w:vAlign w:val="center"/>
          </w:tcPr>
          <w:p>
            <w:pPr>
              <w:pStyle w:val="TableContents"/>
              <w:bidi w:val="0"/>
              <w:spacing w:lineRule="atLeast" w:line="180"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Title of each class</w:t>
            </w:r>
          </w:p>
        </w:tc>
        <w:tc>
          <w:tcPr>
            <w:tcW w:w="1276" w:type="dxa"/>
            <w:tcBorders>
              <w:bottom w:val="single" w:sz="8" w:space="0" w:color="000000"/>
            </w:tcBorders>
            <w:shd w:fill="auto" w:val="clear"/>
            <w:tcMar>
              <w:bottom w:w="28" w:type="dxa"/>
            </w:tcMar>
            <w:vAlign w:val="center"/>
          </w:tcPr>
          <w:p>
            <w:pPr>
              <w:pStyle w:val="TableContents"/>
              <w:bidi w:val="0"/>
              <w:spacing w:lineRule="atLeast" w:line="180" w:before="0" w:after="20"/>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Trading Symbol</w:t>
            </w:r>
          </w:p>
        </w:tc>
        <w:tc>
          <w:tcPr>
            <w:tcW w:w="3316" w:type="dxa"/>
            <w:tcBorders>
              <w:bottom w:val="single" w:sz="8" w:space="0" w:color="000000"/>
            </w:tcBorders>
            <w:shd w:fill="auto" w:val="clear"/>
            <w:tcMar>
              <w:bottom w:w="28" w:type="dxa"/>
            </w:tcMar>
            <w:vAlign w:val="center"/>
          </w:tcPr>
          <w:p>
            <w:pPr>
              <w:pStyle w:val="TableContents"/>
              <w:bidi w:val="0"/>
              <w:spacing w:lineRule="atLeast" w:line="180" w:before="0" w:after="20"/>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Name of each exchange on which registered</w:t>
            </w:r>
          </w:p>
        </w:tc>
      </w:tr>
      <w:tr>
        <w:trPr/>
        <w:tc>
          <w:tcPr>
            <w:tcW w:w="2896" w:type="dxa"/>
            <w:tcBorders/>
            <w:shd w:fill="auto" w:val="clear"/>
            <w:vAlign w:val="center"/>
          </w:tcPr>
          <w:p>
            <w:pPr>
              <w:pStyle w:val="TableContents"/>
              <w:bidi w:val="0"/>
              <w:spacing w:lineRule="atLeast" w:line="180" w:before="0" w:after="20"/>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Class B Common Stock, No Par Value</w:t>
            </w:r>
          </w:p>
        </w:tc>
        <w:tc>
          <w:tcPr>
            <w:tcW w:w="1276" w:type="dxa"/>
            <w:tcBorders>
              <w:top w:val="single" w:sz="8" w:space="0" w:color="000000"/>
            </w:tcBorders>
            <w:shd w:fill="auto" w:val="clear"/>
            <w:tcMar>
              <w:top w:w="28" w:type="dxa"/>
            </w:tcMar>
            <w:vAlign w:val="center"/>
          </w:tcPr>
          <w:p>
            <w:pPr>
              <w:pStyle w:val="TableContents"/>
              <w:bidi w:val="0"/>
              <w:spacing w:lineRule="atLeast" w:line="180" w:before="0" w:after="20"/>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DLTH</w:t>
            </w:r>
          </w:p>
        </w:tc>
        <w:tc>
          <w:tcPr>
            <w:tcW w:w="3316" w:type="dxa"/>
            <w:tcBorders/>
            <w:shd w:fill="auto" w:val="clear"/>
            <w:vAlign w:val="center"/>
          </w:tcPr>
          <w:p>
            <w:pPr>
              <w:pStyle w:val="TableContents"/>
              <w:bidi w:val="0"/>
              <w:spacing w:lineRule="atLeast" w:line="180" w:before="0" w:after="20"/>
              <w:jc w:val="center"/>
              <w:rPr>
                <w:rFonts w:ascii="Times New Roman;serif" w:hAnsi="Times New Roman;serif"/>
                <w:sz w:val="18"/>
              </w:rPr>
            </w:pPr>
            <w:r>
              <w:rPr>
                <w:rFonts w:ascii="Times New Roman;serif" w:hAnsi="Times New Roman;serif"/>
                <w:b w:val="false"/>
                <w:i w:val="false"/>
                <w:caps w:val="false"/>
                <w:smallCaps w:val="false"/>
                <w:sz w:val="18"/>
              </w:rPr>
              <w:t>NASDAQ</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Global Select Market</w:t>
            </w:r>
          </w:p>
        </w:tc>
      </w:tr>
    </w:tbl>
    <w:p>
      <w:pPr>
        <w:pStyle w:val="TextBody"/>
        <w:bidi w:val="0"/>
        <w:spacing w:lineRule="auto" w:line="259"/>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Securities registered pursuant to Section 12(g) of the Act:</w:t>
      </w:r>
    </w:p>
    <w:p>
      <w:pPr>
        <w:pStyle w:val="TextBody"/>
        <w:bidi w:val="0"/>
        <w:spacing w:lineRule="auto" w:line="259"/>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None</w:t>
      </w:r>
    </w:p>
    <w:p>
      <w:pPr>
        <w:pStyle w:val="TextBody"/>
        <w:bidi w:val="0"/>
        <w:spacing w:lineRule="auto" w:line="259"/>
        <w:rPr>
          <w:rFonts w:ascii="Times New Roman;serif" w:hAnsi="Times New Roman;serif"/>
          <w:sz w:val="18"/>
        </w:rPr>
      </w:pPr>
      <w:r>
        <w:rPr>
          <w:rFonts w:ascii="Times New Roman;serif" w:hAnsi="Times New Roman;serif"/>
          <w:b w:val="false"/>
          <w:i w:val="false"/>
          <w:caps w:val="false"/>
          <w:smallCaps w:val="false"/>
          <w:sz w:val="18"/>
        </w:rPr>
        <w:t>Indicate by check mark if the registrant is a well-known seasoned issuer, as defined in Rule 405 of the Securities Act.  Yes  </w:t>
      </w:r>
      <w:r>
        <w:rPr>
          <w:rFonts w:ascii="Times New Roman;serif" w:hAnsi="Times New Roman;serif"/>
          <w:caps w:val="false"/>
          <w:smallCaps w:val="false"/>
          <w:sz w:val="18"/>
        </w:rPr>
        <w:t>    </w:t>
      </w:r>
      <w:r>
        <w:rPr>
          <w:rFonts w:ascii="Times New Roman;serif" w:hAnsi="Times New Roman;serif"/>
          <w:b w:val="false"/>
          <w:i w:val="false"/>
          <w:caps w:val="false"/>
          <w:smallCaps w:val="false"/>
          <w:sz w:val="18"/>
        </w:rPr>
        <w:t>No</w:t>
      </w:r>
      <w:r>
        <w:rPr>
          <w:rFonts w:ascii="Times New Roman;serif" w:hAnsi="Times New Roman;serif"/>
          <w:caps w:val="false"/>
          <w:smallCaps w:val="false"/>
          <w:sz w:val="18"/>
        </w:rPr>
        <w:t>  </w:t>
      </w:r>
      <w:r>
        <w:rPr>
          <w:rFonts w:ascii="Wingdings" w:hAnsi="Wingdings"/>
          <w:b w:val="false"/>
          <w:i w:val="false"/>
          <w:caps w:val="false"/>
          <w:smallCaps w:val="false"/>
          <w:sz w:val="18"/>
        </w:rPr>
        <w:t>x</w:t>
      </w:r>
    </w:p>
    <w:p>
      <w:pPr>
        <w:pStyle w:val="TextBody"/>
        <w:bidi w:val="0"/>
        <w:spacing w:lineRule="auto" w:line="259"/>
        <w:rPr>
          <w:rFonts w:ascii="Times New Roman;serif" w:hAnsi="Times New Roman;serif"/>
          <w:sz w:val="18"/>
        </w:rPr>
      </w:pPr>
      <w:r>
        <w:rPr>
          <w:rFonts w:ascii="Times New Roman;serif" w:hAnsi="Times New Roman;serif"/>
          <w:b w:val="false"/>
          <w:i w:val="false"/>
          <w:caps w:val="false"/>
          <w:smallCaps w:val="false"/>
          <w:sz w:val="18"/>
        </w:rPr>
        <w:t>Indicate by check mark if the registrant is not required to file reports pursuant to Section 13 or Section 15(d) of the Act.   Yes  </w:t>
      </w:r>
      <w:r>
        <w:rPr>
          <w:rFonts w:ascii="Times New Roman;serif" w:hAnsi="Times New Roman;serif"/>
          <w:caps w:val="false"/>
          <w:smallCaps w:val="false"/>
          <w:sz w:val="18"/>
        </w:rPr>
        <w:t>    </w:t>
      </w:r>
      <w:r>
        <w:rPr>
          <w:rFonts w:ascii="Times New Roman;serif" w:hAnsi="Times New Roman;serif"/>
          <w:b w:val="false"/>
          <w:i w:val="false"/>
          <w:caps w:val="false"/>
          <w:smallCaps w:val="false"/>
          <w:sz w:val="18"/>
        </w:rPr>
        <w:t>No</w:t>
      </w:r>
      <w:r>
        <w:rPr>
          <w:rFonts w:ascii="Times New Roman;serif" w:hAnsi="Times New Roman;serif"/>
          <w:caps w:val="false"/>
          <w:smallCaps w:val="false"/>
          <w:sz w:val="18"/>
        </w:rPr>
        <w:t>  </w:t>
      </w:r>
      <w:r>
        <w:rPr>
          <w:rFonts w:ascii="Wingdings" w:hAnsi="Wingdings"/>
          <w:b w:val="false"/>
          <w:i w:val="false"/>
          <w:caps w:val="false"/>
          <w:smallCaps w:val="false"/>
          <w:sz w:val="18"/>
        </w:rPr>
        <w:t>x</w:t>
      </w:r>
    </w:p>
    <w:p>
      <w:pPr>
        <w:pStyle w:val="TextBody"/>
        <w:bidi w:val="0"/>
        <w:spacing w:lineRule="auto" w:line="259"/>
        <w:rPr>
          <w:rFonts w:ascii="Times New Roman;serif" w:hAnsi="Times New Roman;serif"/>
          <w:sz w:val="18"/>
        </w:rPr>
      </w:pPr>
      <w:r>
        <w:rPr>
          <w:rFonts w:ascii="Times New Roman;serif" w:hAnsi="Times New Roman;serif"/>
          <w:b w:val="false"/>
          <w:i w:val="false"/>
          <w:caps w:val="false"/>
          <w:smallCaps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serif" w:hAnsi="Times New Roman;serif"/>
          <w:caps w:val="false"/>
          <w:smallCaps w:val="false"/>
          <w:sz w:val="18"/>
        </w:rPr>
        <w:t>  </w:t>
      </w:r>
      <w:r>
        <w:rPr>
          <w:rFonts w:ascii="Wingdings" w:hAnsi="Wingdings"/>
          <w:b w:val="false"/>
          <w:i w:val="false"/>
          <w:caps w:val="false"/>
          <w:smallCaps w:val="false"/>
          <w:sz w:val="18"/>
        </w:rPr>
        <w:t>x</w:t>
      </w:r>
      <w:r>
        <w:rPr>
          <w:rFonts w:ascii="Times New Roman;serif" w:hAnsi="Times New Roman;serif"/>
          <w:caps w:val="false"/>
          <w:smallCaps w:val="false"/>
          <w:sz w:val="18"/>
        </w:rPr>
        <w:t>    </w:t>
      </w:r>
      <w:r>
        <w:rPr>
          <w:rFonts w:ascii="Times New Roman;serif" w:hAnsi="Times New Roman;serif"/>
          <w:b w:val="false"/>
          <w:i w:val="false"/>
          <w:caps w:val="false"/>
          <w:smallCaps w:val="false"/>
          <w:sz w:val="18"/>
        </w:rPr>
        <w:t>No  </w:t>
      </w:r>
      <w:r>
        <w:rPr>
          <w:rFonts w:ascii="Times New Roman;serif" w:hAnsi="Times New Roman;serif"/>
          <w:caps w:val="false"/>
          <w:smallCaps w:val="false"/>
          <w:sz w:val="18"/>
        </w:rPr>
        <w:t> </w:t>
      </w:r>
    </w:p>
    <w:p>
      <w:pPr>
        <w:pStyle w:val="TextBody"/>
        <w:bidi w:val="0"/>
        <w:spacing w:lineRule="auto" w:line="259"/>
        <w:rPr>
          <w:rFonts w:ascii="Times New Roman;serif" w:hAnsi="Times New Roman;serif"/>
          <w:sz w:val="18"/>
        </w:rPr>
      </w:pPr>
      <w:r>
        <w:rPr>
          <w:rFonts w:ascii="Times New Roman;serif" w:hAnsi="Times New Roman;serif"/>
          <w:b w:val="false"/>
          <w:i w:val="false"/>
          <w:caps w:val="false"/>
          <w:smallCaps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serif" w:hAnsi="Times New Roman;serif"/>
          <w:caps w:val="false"/>
          <w:smallCaps w:val="false"/>
          <w:sz w:val="18"/>
        </w:rPr>
        <w:t>  </w:t>
      </w:r>
      <w:r>
        <w:rPr>
          <w:rFonts w:ascii="Wingdings" w:hAnsi="Wingdings"/>
          <w:b w:val="false"/>
          <w:i w:val="false"/>
          <w:caps w:val="false"/>
          <w:smallCaps w:val="false"/>
          <w:sz w:val="18"/>
        </w:rPr>
        <w:t>x</w:t>
      </w:r>
      <w:r>
        <w:rPr>
          <w:rFonts w:ascii="Times New Roman;serif" w:hAnsi="Times New Roman;serif"/>
          <w:caps w:val="false"/>
          <w:smallCaps w:val="false"/>
          <w:sz w:val="18"/>
        </w:rPr>
        <w:t>    </w:t>
      </w:r>
      <w:r>
        <w:rPr>
          <w:rFonts w:ascii="Times New Roman;serif" w:hAnsi="Times New Roman;serif"/>
          <w:b w:val="false"/>
          <w:i w:val="false"/>
          <w:caps w:val="false"/>
          <w:smallCaps w:val="false"/>
          <w:sz w:val="18"/>
        </w:rPr>
        <w:t>No  </w:t>
      </w:r>
      <w:r>
        <w:rPr>
          <w:rFonts w:ascii="Times New Roman;serif" w:hAnsi="Times New Roman;serif"/>
          <w:caps w:val="false"/>
          <w:smallCaps w:val="false"/>
          <w:sz w:val="18"/>
        </w:rPr>
        <w:t>  </w:t>
      </w:r>
    </w:p>
    <w:p>
      <w:pPr>
        <w:pStyle w:val="TextBody"/>
        <w:bidi w:val="0"/>
        <w:spacing w:lineRule="auto" w:line="259"/>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82" w:type="dxa"/>
        <w:jc w:val="center"/>
        <w:tblInd w:w="0" w:type="dxa"/>
        <w:tblCellMar>
          <w:top w:w="0" w:type="dxa"/>
          <w:left w:w="0" w:type="dxa"/>
          <w:bottom w:w="0" w:type="dxa"/>
          <w:right w:w="0" w:type="dxa"/>
        </w:tblCellMar>
      </w:tblPr>
      <w:tblGrid>
        <w:gridCol w:w="2146"/>
        <w:gridCol w:w="146"/>
        <w:gridCol w:w="256"/>
        <w:gridCol w:w="206"/>
        <w:gridCol w:w="2026"/>
        <w:gridCol w:w="146"/>
        <w:gridCol w:w="256"/>
      </w:tblGrid>
      <w:tr>
        <w:trPr/>
        <w:tc>
          <w:tcPr>
            <w:tcW w:w="2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2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2146" w:type="dxa"/>
            <w:tcBorders/>
            <w:shd w:fill="auto" w:val="clear"/>
            <w:vAlign w:val="center"/>
          </w:tcPr>
          <w:p>
            <w:pPr>
              <w:pStyle w:val="TableContents"/>
              <w:bidi w:val="0"/>
              <w:spacing w:lineRule="atLeast" w:line="180" w:before="0" w:after="2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Large accelerated filer</w:t>
            </w:r>
          </w:p>
        </w:tc>
        <w:tc>
          <w:tcPr>
            <w:tcW w:w="146" w:type="dxa"/>
            <w:tcBorders/>
            <w:shd w:fill="auto" w:val="clear"/>
            <w:vAlign w:val="center"/>
          </w:tcPr>
          <w:p>
            <w:pPr>
              <w:pStyle w:val="TableContents"/>
              <w:bidi w:val="0"/>
              <w:spacing w:lineRule="atLeast" w:line="180" w:before="0" w:after="20"/>
              <w:jc w:val="left"/>
              <w:rPr>
                <w:caps w:val="false"/>
                <w:smallCaps w:val="false"/>
              </w:rPr>
            </w:pPr>
            <w:r>
              <w:rPr>
                <w:caps w:val="false"/>
                <w:smallCaps w:val="false"/>
              </w:rPr>
              <w:t> </w:t>
            </w:r>
          </w:p>
        </w:tc>
        <w:tc>
          <w:tcPr>
            <w:tcW w:w="256" w:type="dxa"/>
            <w:tcBorders/>
            <w:shd w:fill="auto" w:val="clear"/>
            <w:vAlign w:val="center"/>
          </w:tcPr>
          <w:p>
            <w:pPr>
              <w:pStyle w:val="TableContents"/>
              <w:bidi w:val="0"/>
              <w:spacing w:lineRule="atLeast" w:line="180" w:before="0" w:after="20"/>
              <w:jc w:val="left"/>
              <w:rPr>
                <w:rFonts w:ascii="Wingdings" w:hAnsi="Wingdings"/>
                <w:b w:val="false"/>
                <w:i w:val="false"/>
                <w:caps w:val="false"/>
                <w:smallCaps w:val="false"/>
                <w:sz w:val="18"/>
              </w:rPr>
            </w:pPr>
            <w:r>
              <w:rPr>
                <w:rFonts w:ascii="Wingdings" w:hAnsi="Wingdings"/>
                <w:b w:val="false"/>
                <w:i w:val="false"/>
                <w:caps w:val="false"/>
                <w:smallCaps w:val="false"/>
                <w:sz w:val="18"/>
              </w:rPr>
              <w:t>o</w:t>
            </w:r>
          </w:p>
        </w:tc>
        <w:tc>
          <w:tcPr>
            <w:tcW w:w="206" w:type="dxa"/>
            <w:tcBorders/>
            <w:shd w:fill="auto" w:val="clear"/>
            <w:vAlign w:val="center"/>
          </w:tcPr>
          <w:p>
            <w:pPr>
              <w:pStyle w:val="TableContents"/>
              <w:bidi w:val="0"/>
              <w:spacing w:lineRule="atLeast" w:line="180" w:before="0" w:after="20"/>
              <w:jc w:val="left"/>
              <w:rPr>
                <w:caps w:val="false"/>
                <w:smallCaps w:val="false"/>
              </w:rPr>
            </w:pPr>
            <w:r>
              <w:rPr>
                <w:caps w:val="false"/>
                <w:smallCaps w:val="false"/>
              </w:rPr>
              <w:t>  </w:t>
            </w:r>
          </w:p>
        </w:tc>
        <w:tc>
          <w:tcPr>
            <w:tcW w:w="2026" w:type="dxa"/>
            <w:tcBorders/>
            <w:shd w:fill="auto" w:val="clear"/>
            <w:vAlign w:val="center"/>
          </w:tcPr>
          <w:p>
            <w:pPr>
              <w:pStyle w:val="TableContents"/>
              <w:bidi w:val="0"/>
              <w:spacing w:lineRule="atLeast" w:line="180" w:before="0" w:after="2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Accelerated filer</w:t>
            </w:r>
          </w:p>
        </w:tc>
        <w:tc>
          <w:tcPr>
            <w:tcW w:w="146" w:type="dxa"/>
            <w:tcBorders/>
            <w:shd w:fill="auto" w:val="clear"/>
            <w:vAlign w:val="center"/>
          </w:tcPr>
          <w:p>
            <w:pPr>
              <w:pStyle w:val="TableContents"/>
              <w:bidi w:val="0"/>
              <w:spacing w:lineRule="atLeast" w:line="180" w:before="0" w:after="20"/>
              <w:jc w:val="left"/>
              <w:rPr>
                <w:caps w:val="false"/>
                <w:smallCaps w:val="false"/>
              </w:rPr>
            </w:pPr>
            <w:r>
              <w:rPr>
                <w:caps w:val="false"/>
                <w:smallCaps w:val="false"/>
              </w:rPr>
              <w:t> </w:t>
            </w:r>
          </w:p>
        </w:tc>
        <w:tc>
          <w:tcPr>
            <w:tcW w:w="256" w:type="dxa"/>
            <w:tcBorders/>
            <w:shd w:fill="auto" w:val="clear"/>
            <w:vAlign w:val="center"/>
          </w:tcPr>
          <w:p>
            <w:pPr>
              <w:pStyle w:val="TableContents"/>
              <w:bidi w:val="0"/>
              <w:spacing w:lineRule="atLeast" w:line="180" w:before="0" w:after="20"/>
              <w:jc w:val="left"/>
              <w:rPr>
                <w:rFonts w:ascii="Wingdings" w:hAnsi="Wingdings"/>
                <w:b w:val="false"/>
                <w:i w:val="false"/>
                <w:caps w:val="false"/>
                <w:smallCaps w:val="false"/>
                <w:sz w:val="18"/>
              </w:rPr>
            </w:pPr>
            <w:r>
              <w:rPr>
                <w:rFonts w:ascii="Wingdings" w:hAnsi="Wingdings"/>
                <w:b w:val="false"/>
                <w:i w:val="false"/>
                <w:caps w:val="false"/>
                <w:smallCaps w:val="false"/>
                <w:sz w:val="18"/>
              </w:rPr>
              <w:t>x</w:t>
            </w:r>
          </w:p>
        </w:tc>
      </w:tr>
      <w:tr>
        <w:trPr/>
        <w:tc>
          <w:tcPr>
            <w:tcW w:w="2146" w:type="dxa"/>
            <w:tcBorders/>
            <w:shd w:fill="auto" w:val="clear"/>
            <w:vAlign w:val="center"/>
          </w:tcPr>
          <w:p>
            <w:pPr>
              <w:pStyle w:val="TableContents"/>
              <w:spacing w:before="0" w:after="283"/>
              <w:rPr>
                <w:sz w:val="4"/>
                <w:szCs w:val="4"/>
              </w:rPr>
            </w:pPr>
            <w:r>
              <w:rPr>
                <w:sz w:val="4"/>
                <w:szCs w:val="4"/>
              </w:rPr>
            </w:r>
          </w:p>
        </w:tc>
        <w:tc>
          <w:tcPr>
            <w:tcW w:w="402" w:type="dxa"/>
            <w:gridSpan w:val="2"/>
            <w:tcBorders/>
            <w:shd w:fill="auto" w:val="clear"/>
            <w:vAlign w:val="center"/>
          </w:tcPr>
          <w:p>
            <w:pPr>
              <w:pStyle w:val="TableContents"/>
              <w:spacing w:before="0" w:after="283"/>
              <w:rPr>
                <w:sz w:val="4"/>
                <w:szCs w:val="4"/>
              </w:rPr>
            </w:pPr>
            <w:r>
              <w:rPr>
                <w:sz w:val="4"/>
                <w:szCs w:val="4"/>
              </w:rPr>
            </w:r>
          </w:p>
        </w:tc>
        <w:tc>
          <w:tcPr>
            <w:tcW w:w="2232" w:type="dxa"/>
            <w:gridSpan w:val="2"/>
            <w:tcBorders/>
            <w:shd w:fill="auto" w:val="clear"/>
            <w:vAlign w:val="center"/>
          </w:tcPr>
          <w:p>
            <w:pPr>
              <w:pStyle w:val="TableContents"/>
              <w:spacing w:before="0" w:after="283"/>
              <w:rPr>
                <w:sz w:val="4"/>
                <w:szCs w:val="4"/>
              </w:rPr>
            </w:pPr>
            <w:r>
              <w:rPr>
                <w:sz w:val="4"/>
                <w:szCs w:val="4"/>
              </w:rPr>
            </w:r>
          </w:p>
        </w:tc>
        <w:tc>
          <w:tcPr>
            <w:tcW w:w="402" w:type="dxa"/>
            <w:gridSpan w:val="2"/>
            <w:tcBorders/>
            <w:shd w:fill="auto" w:val="clear"/>
            <w:vAlign w:val="center"/>
          </w:tcPr>
          <w:p>
            <w:pPr>
              <w:pStyle w:val="TableContents"/>
              <w:spacing w:before="0" w:after="283"/>
              <w:rPr>
                <w:sz w:val="4"/>
                <w:szCs w:val="4"/>
              </w:rPr>
            </w:pPr>
            <w:r>
              <w:rPr>
                <w:sz w:val="4"/>
                <w:szCs w:val="4"/>
              </w:rPr>
            </w:r>
          </w:p>
        </w:tc>
      </w:tr>
      <w:tr>
        <w:trPr/>
        <w:tc>
          <w:tcPr>
            <w:tcW w:w="2146" w:type="dxa"/>
            <w:tcBorders/>
            <w:shd w:fill="auto" w:val="clear"/>
            <w:vAlign w:val="center"/>
          </w:tcPr>
          <w:p>
            <w:pPr>
              <w:pStyle w:val="TableContents"/>
              <w:bidi w:val="0"/>
              <w:spacing w:lineRule="atLeast" w:line="180" w:before="0" w:after="2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Non-accelerated filer</w:t>
            </w:r>
          </w:p>
        </w:tc>
        <w:tc>
          <w:tcPr>
            <w:tcW w:w="146" w:type="dxa"/>
            <w:tcBorders/>
            <w:shd w:fill="auto" w:val="clear"/>
            <w:vAlign w:val="center"/>
          </w:tcPr>
          <w:p>
            <w:pPr>
              <w:pStyle w:val="TableContents"/>
              <w:bidi w:val="0"/>
              <w:spacing w:lineRule="atLeast" w:line="180" w:before="0" w:after="20"/>
              <w:jc w:val="left"/>
              <w:rPr>
                <w:caps w:val="false"/>
                <w:smallCaps w:val="false"/>
              </w:rPr>
            </w:pPr>
            <w:r>
              <w:rPr>
                <w:caps w:val="false"/>
                <w:smallCaps w:val="false"/>
              </w:rPr>
              <w:t> </w:t>
            </w:r>
          </w:p>
        </w:tc>
        <w:tc>
          <w:tcPr>
            <w:tcW w:w="256" w:type="dxa"/>
            <w:tcBorders/>
            <w:shd w:fill="auto" w:val="clear"/>
            <w:vAlign w:val="center"/>
          </w:tcPr>
          <w:p>
            <w:pPr>
              <w:pStyle w:val="TableContents"/>
              <w:bidi w:val="0"/>
              <w:spacing w:lineRule="atLeast" w:line="180" w:before="0" w:after="20"/>
              <w:jc w:val="left"/>
              <w:rPr>
                <w:rFonts w:ascii="Times New Roman;serif" w:hAnsi="Times New Roman;serif"/>
                <w:sz w:val="18"/>
              </w:rPr>
            </w:pPr>
            <w:r>
              <w:rPr>
                <w:rFonts w:ascii="Wingdings" w:hAnsi="Wingdings"/>
                <w:b w:val="false"/>
                <w:i w:val="false"/>
                <w:caps w:val="false"/>
                <w:smallCaps w:val="false"/>
                <w:sz w:val="18"/>
              </w:rPr>
              <w:t>o</w:t>
            </w:r>
            <w:r>
              <w:rPr>
                <w:rFonts w:ascii="Times New Roman;serif" w:hAnsi="Times New Roman;serif"/>
                <w:caps w:val="false"/>
                <w:smallCaps w:val="false"/>
                <w:sz w:val="18"/>
              </w:rPr>
              <w:t> </w:t>
            </w:r>
          </w:p>
        </w:tc>
        <w:tc>
          <w:tcPr>
            <w:tcW w:w="206" w:type="dxa"/>
            <w:tcBorders/>
            <w:shd w:fill="auto" w:val="clear"/>
            <w:vAlign w:val="center"/>
          </w:tcPr>
          <w:p>
            <w:pPr>
              <w:pStyle w:val="TableContents"/>
              <w:bidi w:val="0"/>
              <w:spacing w:lineRule="atLeast" w:line="180" w:before="0" w:after="20"/>
              <w:jc w:val="left"/>
              <w:rPr>
                <w:caps w:val="false"/>
                <w:smallCaps w:val="false"/>
              </w:rPr>
            </w:pPr>
            <w:r>
              <w:rPr>
                <w:caps w:val="false"/>
                <w:smallCaps w:val="false"/>
              </w:rPr>
              <w:t>  </w:t>
            </w:r>
          </w:p>
        </w:tc>
        <w:tc>
          <w:tcPr>
            <w:tcW w:w="2026" w:type="dxa"/>
            <w:tcBorders/>
            <w:shd w:fill="auto" w:val="clear"/>
            <w:vAlign w:val="center"/>
          </w:tcPr>
          <w:p>
            <w:pPr>
              <w:pStyle w:val="TableContents"/>
              <w:bidi w:val="0"/>
              <w:spacing w:lineRule="atLeast" w:line="180" w:before="0" w:after="2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Smaller reporting company</w:t>
            </w:r>
          </w:p>
        </w:tc>
        <w:tc>
          <w:tcPr>
            <w:tcW w:w="146" w:type="dxa"/>
            <w:tcBorders/>
            <w:shd w:fill="auto" w:val="clear"/>
            <w:vAlign w:val="center"/>
          </w:tcPr>
          <w:p>
            <w:pPr>
              <w:pStyle w:val="TableContents"/>
              <w:bidi w:val="0"/>
              <w:spacing w:lineRule="atLeast" w:line="180" w:before="0" w:after="20"/>
              <w:jc w:val="left"/>
              <w:rPr>
                <w:caps w:val="false"/>
                <w:smallCaps w:val="false"/>
              </w:rPr>
            </w:pPr>
            <w:r>
              <w:rPr>
                <w:caps w:val="false"/>
                <w:smallCaps w:val="false"/>
              </w:rPr>
              <w:t> </w:t>
            </w:r>
          </w:p>
        </w:tc>
        <w:tc>
          <w:tcPr>
            <w:tcW w:w="256" w:type="dxa"/>
            <w:tcBorders/>
            <w:shd w:fill="auto" w:val="clear"/>
            <w:vAlign w:val="center"/>
          </w:tcPr>
          <w:p>
            <w:pPr>
              <w:pStyle w:val="TableContents"/>
              <w:bidi w:val="0"/>
              <w:spacing w:lineRule="atLeast" w:line="180" w:before="0" w:after="20"/>
              <w:jc w:val="left"/>
              <w:rPr>
                <w:rFonts w:ascii="Wingdings" w:hAnsi="Wingdings"/>
                <w:b w:val="false"/>
                <w:i w:val="false"/>
                <w:caps w:val="false"/>
                <w:smallCaps w:val="false"/>
                <w:sz w:val="18"/>
              </w:rPr>
            </w:pPr>
            <w:r>
              <w:rPr>
                <w:rFonts w:ascii="Wingdings" w:hAnsi="Wingdings"/>
                <w:b w:val="false"/>
                <w:i w:val="false"/>
                <w:caps w:val="false"/>
                <w:smallCaps w:val="false"/>
                <w:sz w:val="18"/>
              </w:rPr>
              <w:t>x</w:t>
            </w:r>
          </w:p>
        </w:tc>
      </w:tr>
      <w:tr>
        <w:trPr/>
        <w:tc>
          <w:tcPr>
            <w:tcW w:w="2146" w:type="dxa"/>
            <w:tcBorders/>
            <w:shd w:fill="auto" w:val="clear"/>
            <w:vAlign w:val="center"/>
          </w:tcPr>
          <w:p>
            <w:pPr>
              <w:pStyle w:val="TableContents"/>
              <w:bidi w:val="0"/>
              <w:spacing w:lineRule="atLeast" w:line="180" w:before="0" w:after="2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Emerging Growth Company</w:t>
            </w:r>
          </w:p>
        </w:tc>
        <w:tc>
          <w:tcPr>
            <w:tcW w:w="1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bidi w:val="0"/>
              <w:spacing w:lineRule="atLeast" w:line="180" w:before="0" w:after="20"/>
              <w:jc w:val="left"/>
              <w:rPr>
                <w:rFonts w:ascii="Wingdings" w:hAnsi="Wingdings"/>
                <w:b w:val="false"/>
                <w:i w:val="false"/>
                <w:caps w:val="false"/>
                <w:smallCaps w:val="false"/>
                <w:sz w:val="18"/>
              </w:rPr>
            </w:pPr>
            <w:r>
              <w:rPr>
                <w:rFonts w:ascii="Wingdings" w:hAnsi="Wingdings"/>
                <w:b w:val="false"/>
                <w:i w:val="false"/>
                <w:caps w:val="false"/>
                <w:smallCaps w:val="false"/>
                <w:sz w:val="18"/>
              </w:rPr>
              <w:t>o</w:t>
            </w:r>
          </w:p>
        </w:tc>
        <w:tc>
          <w:tcPr>
            <w:tcW w:w="206"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bl>
    <w:p>
      <w:pPr>
        <w:pStyle w:val="TextBody"/>
        <w:bidi w:val="0"/>
        <w:spacing w:lineRule="auto" w:line="259"/>
        <w:rPr>
          <w:rFonts w:ascii="Wingdings" w:hAnsi="Wingdings"/>
          <w:sz w:val="18"/>
        </w:rPr>
      </w:pPr>
      <w:r>
        <w:rPr>
          <w:rFonts w:ascii="Times New Roman;serif" w:hAnsi="Times New Roman;serif"/>
          <w:b w:val="false"/>
          <w:i w:val="false"/>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hAnsi="Wingdings"/>
          <w:caps w:val="false"/>
          <w:smallCaps w:val="false"/>
          <w:sz w:val="18"/>
        </w:rPr>
        <w:t></w:t>
      </w:r>
    </w:p>
    <w:p>
      <w:pPr>
        <w:pStyle w:val="TextBody"/>
        <w:bidi w:val="0"/>
        <w:spacing w:lineRule="auto" w:line="259"/>
        <w:rPr>
          <w:rFonts w:ascii="Times New Roman;serif" w:hAnsi="Times New Roman;serif"/>
          <w:sz w:val="18"/>
        </w:rPr>
      </w:pPr>
      <w:r>
        <w:rPr>
          <w:rFonts w:ascii="Times New Roman;serif" w:hAnsi="Times New Roman;serif"/>
          <w:b w:val="false"/>
          <w:i w:val="false"/>
          <w:caps w:val="false"/>
          <w:smallCaps w:val="false"/>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hAnsi="Wingdings"/>
          <w:b w:val="false"/>
          <w:i w:val="false"/>
          <w:caps w:val="false"/>
          <w:smallCaps w:val="false"/>
          <w:sz w:val="18"/>
        </w:rPr>
        <w:t>x</w:t>
      </w:r>
    </w:p>
    <w:p>
      <w:pPr>
        <w:pStyle w:val="TextBody"/>
        <w:bidi w:val="0"/>
        <w:spacing w:lineRule="auto" w:line="259"/>
        <w:rPr>
          <w:rFonts w:ascii="Times New Roman;serif" w:hAnsi="Times New Roman;serif"/>
          <w:sz w:val="18"/>
        </w:rPr>
      </w:pPr>
      <w:r>
        <w:rPr>
          <w:rFonts w:ascii="Times New Roman;serif" w:hAnsi="Times New Roman;serif"/>
          <w:b w:val="false"/>
          <w:i w:val="false"/>
          <w:caps w:val="false"/>
          <w:smallCaps w:val="false"/>
          <w:sz w:val="18"/>
        </w:rPr>
        <w:t>Indicate by check mark whether the registrant is a shell company (as defined in Rule 12b-2 of the Exchange Act).    Yes  </w:t>
      </w:r>
      <w:r>
        <w:rPr>
          <w:rFonts w:ascii="Times New Roman;serif" w:hAnsi="Times New Roman;serif"/>
          <w:caps w:val="false"/>
          <w:smallCaps w:val="false"/>
          <w:sz w:val="18"/>
        </w:rPr>
        <w:t>    </w:t>
      </w:r>
      <w:r>
        <w:rPr>
          <w:rFonts w:ascii="Times New Roman;serif" w:hAnsi="Times New Roman;serif"/>
          <w:b w:val="false"/>
          <w:i w:val="false"/>
          <w:caps w:val="false"/>
          <w:smallCaps w:val="false"/>
          <w:sz w:val="18"/>
        </w:rPr>
        <w:t>No</w:t>
      </w:r>
      <w:r>
        <w:rPr>
          <w:rFonts w:ascii="Times New Roman;serif" w:hAnsi="Times New Roman;serif"/>
          <w:caps w:val="false"/>
          <w:smallCaps w:val="false"/>
          <w:sz w:val="18"/>
        </w:rPr>
        <w:t>  </w:t>
      </w:r>
      <w:r>
        <w:rPr>
          <w:rFonts w:ascii="Wingdings" w:hAnsi="Wingdings"/>
          <w:b w:val="false"/>
          <w:i w:val="false"/>
          <w:caps w:val="false"/>
          <w:smallCaps w:val="false"/>
          <w:sz w:val="18"/>
        </w:rPr>
        <w:t>x</w:t>
      </w:r>
    </w:p>
    <w:p>
      <w:pPr>
        <w:pStyle w:val="TextBody"/>
        <w:bidi w:val="0"/>
        <w:spacing w:lineRule="auto" w:line="259"/>
        <w:rPr>
          <w:rFonts w:ascii="Times New Roman;serif" w:hAnsi="Times New Roman;serif"/>
          <w:sz w:val="18"/>
        </w:rPr>
      </w:pPr>
      <w:r>
        <w:rPr>
          <w:rFonts w:ascii="Times New Roman;serif" w:hAnsi="Times New Roman;serif"/>
          <w:b w:val="false"/>
          <w:i w:val="false"/>
          <w:caps w:val="false"/>
          <w:smallCaps w:val="false"/>
          <w:sz w:val="18"/>
        </w:rPr>
        <w:t>The aggregate market value of voting stock held by non-affiliates of the Registrant was approximately $84.3</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million based upon the closing price on the last business day of the registrant’s most recently completed second fiscal quarter (August 2, 2020).</w:t>
      </w:r>
    </w:p>
    <w:p>
      <w:pPr>
        <w:pStyle w:val="TextBody"/>
        <w:bidi w:val="0"/>
        <w:spacing w:lineRule="auto" w:line="259"/>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The number of shares outstanding of the Registrant’s Class A common stock, no par value, as of March 23, 2021, was 3,364,200. The number of shares outstanding of the Registrant’s Class B common stock, no par value, as of March 23, 2021 was 29,548,011. </w:t>
      </w:r>
    </w:p>
    <w:p>
      <w:pPr>
        <w:pStyle w:val="TextBody"/>
        <w:bidi w:val="0"/>
        <w:spacing w:lineRule="auto" w:line="259"/>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DOCUMENTS INCORPORATED BY REFERENCE</w:t>
      </w:r>
    </w:p>
    <w:p>
      <w:pPr>
        <w:pStyle w:val="TextBody"/>
        <w:bidi w:val="0"/>
        <w:spacing w:lineRule="auto" w:line="259"/>
        <w:rPr>
          <w:rFonts w:ascii="Times New Roman;serif" w:hAnsi="Times New Roman;serif"/>
          <w:sz w:val="18"/>
        </w:rPr>
      </w:pPr>
      <w:r>
        <w:rPr>
          <w:rFonts w:ascii="Times New Roman;serif" w:hAnsi="Times New Roman;serif"/>
          <w:b w:val="false"/>
          <w:i w:val="false"/>
          <w:caps w:val="false"/>
          <w:smallCaps w:val="false"/>
          <w:sz w:val="18"/>
        </w:rPr>
        <w:t>Portions of the registrant’s definitive proxy statement to be filed within 120 days of January 31</w:t>
      </w:r>
      <w:r>
        <w:rPr>
          <w:rFonts w:ascii="Times New Roman;serif" w:hAnsi="Times New Roman;serif"/>
          <w:b w:val="false"/>
          <w:i w:val="false"/>
          <w:caps w:val="false"/>
          <w:smallCaps w:val="false"/>
          <w:color w:val="000000"/>
          <w:sz w:val="18"/>
        </w:rPr>
        <w:t>, 2021</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are incorporated by reference in this Annual Report on Form 10-K in response to Part III, Items 10, 11, 12, 13 and 14.</w:t>
      </w:r>
    </w:p>
    <w:p>
      <w:pPr>
        <w:pStyle w:val="HorizontalLine"/>
        <w:rPr/>
      </w:pPr>
      <w:r>
        <w:rPr/>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color w:val="000000"/>
          <w:sz w:val="20"/>
        </w:rPr>
        <w:t>TABLE OF CON</w:t>
      </w:r>
      <w:bookmarkStart w:id="2" w:name="TOC"/>
      <w:bookmarkEnd w:id="2"/>
      <w:r>
        <w:rPr>
          <w:rFonts w:ascii="Times New Roman;serif" w:hAnsi="Times New Roman;serif"/>
          <w:b/>
          <w:i w:val="false"/>
          <w:caps w:val="false"/>
          <w:smallCaps w:val="false"/>
          <w:color w:val="000000"/>
          <w:sz w:val="20"/>
        </w:rPr>
        <w:t>TENTS</w:t>
      </w:r>
    </w:p>
    <w:tbl>
      <w:tblPr>
        <w:tblW w:w="10205" w:type="dxa"/>
        <w:jc w:val="left"/>
        <w:tblInd w:w="0" w:type="dxa"/>
        <w:tblCellMar>
          <w:top w:w="0" w:type="dxa"/>
          <w:left w:w="0" w:type="dxa"/>
          <w:bottom w:w="0" w:type="dxa"/>
          <w:right w:w="0" w:type="dxa"/>
        </w:tblCellMar>
      </w:tblPr>
      <w:tblGrid>
        <w:gridCol w:w="931"/>
        <w:gridCol w:w="1638"/>
        <w:gridCol w:w="7124"/>
        <w:gridCol w:w="512"/>
      </w:tblGrid>
      <w:tr>
        <w:trPr/>
        <w:tc>
          <w:tcPr>
            <w:tcW w:w="2569" w:type="dxa"/>
            <w:gridSpan w:val="2"/>
            <w:tcBorders/>
            <w:shd w:fill="auto" w:val="clear"/>
            <w:vAlign w:val="center"/>
          </w:tcPr>
          <w:p>
            <w:pPr>
              <w:pStyle w:val="TableContents"/>
              <w:spacing w:before="0" w:after="283"/>
              <w:rPr>
                <w:sz w:val="4"/>
                <w:szCs w:val="4"/>
              </w:rPr>
            </w:pPr>
            <w:r>
              <w:rPr>
                <w:sz w:val="4"/>
                <w:szCs w:val="4"/>
              </w:rPr>
            </w:r>
          </w:p>
        </w:tc>
        <w:tc>
          <w:tcPr>
            <w:tcW w:w="7124"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r>
      <w:tr>
        <w:trPr/>
        <w:tc>
          <w:tcPr>
            <w:tcW w:w="2569" w:type="dxa"/>
            <w:gridSpan w:val="2"/>
            <w:tcBorders/>
            <w:shd w:fill="auto" w:val="clear"/>
            <w:vAlign w:val="center"/>
          </w:tcPr>
          <w:p>
            <w:pPr>
              <w:pStyle w:val="TableContents"/>
              <w:spacing w:before="0" w:after="283"/>
              <w:rPr>
                <w:sz w:val="4"/>
                <w:szCs w:val="4"/>
              </w:rPr>
            </w:pPr>
            <w:r>
              <w:rPr>
                <w:sz w:val="4"/>
                <w:szCs w:val="4"/>
              </w:rPr>
            </w:r>
          </w:p>
        </w:tc>
        <w:tc>
          <w:tcPr>
            <w:tcW w:w="7124"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r>
      <w:tr>
        <w:trPr/>
        <w:tc>
          <w:tcPr>
            <w:tcW w:w="931" w:type="dxa"/>
            <w:tcBorders/>
            <w:shd w:fill="auto" w:val="clear"/>
            <w:vAlign w:val="center"/>
          </w:tcPr>
          <w:p>
            <w:pPr>
              <w:pStyle w:val="TableContents"/>
              <w:spacing w:before="0" w:after="283"/>
              <w:rPr>
                <w:sz w:val="4"/>
                <w:szCs w:val="4"/>
              </w:rPr>
            </w:pPr>
            <w:r>
              <w:rPr>
                <w:sz w:val="4"/>
                <w:szCs w:val="4"/>
              </w:rPr>
            </w:r>
          </w:p>
        </w:tc>
        <w:tc>
          <w:tcPr>
            <w:tcW w:w="8762" w:type="dxa"/>
            <w:gridSpan w:val="2"/>
            <w:tcBorders/>
            <w:shd w:fill="auto" w:val="clear"/>
            <w:vAlign w:val="center"/>
          </w:tcPr>
          <w:p>
            <w:pPr>
              <w:pStyle w:val="TableContents"/>
              <w:spacing w:before="0" w:after="283"/>
              <w:rPr>
                <w:sz w:val="4"/>
                <w:szCs w:val="4"/>
              </w:rPr>
            </w:pPr>
            <w:r>
              <w:rPr>
                <w:sz w:val="4"/>
                <w:szCs w:val="4"/>
              </w:rPr>
            </w:r>
          </w:p>
        </w:tc>
        <w:tc>
          <w:tcPr>
            <w:tcW w:w="512"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Page</w:t>
            </w:r>
          </w:p>
        </w:tc>
      </w:tr>
      <w:tr>
        <w:trPr/>
        <w:tc>
          <w:tcPr>
            <w:tcW w:w="10205" w:type="dxa"/>
            <w:gridSpan w:val="4"/>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I</w:t>
            </w:r>
          </w:p>
        </w:tc>
      </w:tr>
      <w:tr>
        <w:trPr/>
        <w:tc>
          <w:tcPr>
            <w:tcW w:w="931" w:type="dxa"/>
            <w:tcBorders/>
            <w:shd w:fill="FFFFFF" w:val="clear"/>
            <w:vAlign w:val="center"/>
          </w:tcPr>
          <w:p>
            <w:pPr>
              <w:pStyle w:val="TableContents"/>
              <w:bidi w:val="0"/>
              <w:spacing w:lineRule="auto" w:line="259" w:before="0" w:after="283"/>
              <w:rPr/>
            </w:pPr>
            <w:hyperlink w:anchor="Item1Business">
              <w:r>
                <w:rPr>
                  <w:rStyle w:val="InternetLink"/>
                  <w:rFonts w:ascii="Times New Roman;serif" w:hAnsi="Times New Roman;serif"/>
                  <w:b w:val="false"/>
                  <w:i w:val="false"/>
                  <w:caps w:val="false"/>
                  <w:smallCaps w:val="false"/>
                  <w:strike w:val="false"/>
                  <w:dstrike w:val="false"/>
                  <w:color w:val="0000FF"/>
                  <w:sz w:val="20"/>
                  <w:u w:val="single"/>
                  <w:effect w:val="none"/>
                </w:rPr>
                <w:t>ITEM 1.</w:t>
              </w:r>
            </w:hyperlink>
          </w:p>
        </w:tc>
        <w:tc>
          <w:tcPr>
            <w:tcW w:w="8762" w:type="dxa"/>
            <w:gridSpan w:val="2"/>
            <w:tcBorders/>
            <w:shd w:fill="FFFFFF" w:val="clear"/>
            <w:vAlign w:val="center"/>
          </w:tcPr>
          <w:p>
            <w:pPr>
              <w:pStyle w:val="TableContents"/>
              <w:bidi w:val="0"/>
              <w:spacing w:lineRule="auto" w:line="259"/>
              <w:rPr/>
            </w:pPr>
            <w:hyperlink w:anchor="Item1Business">
              <w:r>
                <w:rPr>
                  <w:rStyle w:val="InternetLink"/>
                  <w:rFonts w:ascii="Times New Roman;serif" w:hAnsi="Times New Roman;serif"/>
                  <w:b w:val="false"/>
                  <w:i w:val="false"/>
                  <w:caps w:val="false"/>
                  <w:smallCaps w:val="false"/>
                  <w:strike w:val="false"/>
                  <w:dstrike w:val="false"/>
                  <w:color w:val="0000FF"/>
                  <w:sz w:val="20"/>
                  <w:u w:val="single"/>
                  <w:effect w:val="none"/>
                </w:rPr>
                <w:t>BUSINESS</w:t>
              </w:r>
            </w:hyperlink>
          </w:p>
          <w:p>
            <w:pPr>
              <w:pStyle w:val="TableContents"/>
              <w:bidi w:val="0"/>
              <w:spacing w:lineRule="auto" w:line="259" w:before="0" w:after="283"/>
              <w:rPr>
                <w:caps w:val="false"/>
                <w:smallCaps w:val="false"/>
              </w:rPr>
            </w:pPr>
            <w:r>
              <w:rPr>
                <w:caps w:val="false"/>
                <w:smallCaps w:val="false"/>
              </w:rPr>
              <w:t> </w:t>
            </w:r>
          </w:p>
        </w:tc>
        <w:tc>
          <w:tcPr>
            <w:tcW w:w="512" w:type="dxa"/>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r>
      <w:tr>
        <w:trPr/>
        <w:tc>
          <w:tcPr>
            <w:tcW w:w="931" w:type="dxa"/>
            <w:tcBorders/>
            <w:shd w:fill="FFFFFF" w:val="clear"/>
            <w:vAlign w:val="center"/>
          </w:tcPr>
          <w:p>
            <w:pPr>
              <w:pStyle w:val="TableContents"/>
              <w:bidi w:val="0"/>
              <w:spacing w:lineRule="auto" w:line="259" w:before="0" w:after="283"/>
              <w:rPr/>
            </w:pPr>
            <w:hyperlink w:anchor="Item1ARiskFactors">
              <w:r>
                <w:rPr>
                  <w:rStyle w:val="InternetLink"/>
                  <w:rFonts w:ascii="Times New Roman;serif" w:hAnsi="Times New Roman;serif"/>
                  <w:b w:val="false"/>
                  <w:i w:val="false"/>
                  <w:caps w:val="false"/>
                  <w:smallCaps w:val="false"/>
                  <w:strike w:val="false"/>
                  <w:dstrike w:val="false"/>
                  <w:color w:val="0000FF"/>
                  <w:sz w:val="20"/>
                  <w:u w:val="single"/>
                  <w:effect w:val="none"/>
                </w:rPr>
                <w:t>ITEM 1A.</w:t>
              </w:r>
            </w:hyperlink>
          </w:p>
        </w:tc>
        <w:tc>
          <w:tcPr>
            <w:tcW w:w="8762" w:type="dxa"/>
            <w:gridSpan w:val="2"/>
            <w:tcBorders/>
            <w:shd w:fill="FFFFFF" w:val="clear"/>
            <w:vAlign w:val="center"/>
          </w:tcPr>
          <w:p>
            <w:pPr>
              <w:pStyle w:val="TableContents"/>
              <w:bidi w:val="0"/>
              <w:spacing w:lineRule="auto" w:line="259"/>
              <w:rPr/>
            </w:pPr>
            <w:hyperlink w:anchor="Item1ARiskFactors">
              <w:r>
                <w:rPr>
                  <w:rStyle w:val="InternetLink"/>
                  <w:rFonts w:ascii="Times New Roman;serif" w:hAnsi="Times New Roman;serif"/>
                  <w:b w:val="false"/>
                  <w:i w:val="false"/>
                  <w:caps w:val="false"/>
                  <w:smallCaps w:val="false"/>
                  <w:strike w:val="false"/>
                  <w:dstrike w:val="false"/>
                  <w:color w:val="0000FF"/>
                  <w:sz w:val="20"/>
                  <w:u w:val="single"/>
                  <w:effect w:val="none"/>
                </w:rPr>
                <w:t>RISK FACTORS</w:t>
              </w:r>
            </w:hyperlink>
          </w:p>
          <w:p>
            <w:pPr>
              <w:pStyle w:val="TableContents"/>
              <w:bidi w:val="0"/>
              <w:spacing w:lineRule="auto" w:line="259" w:before="0" w:after="283"/>
              <w:rPr>
                <w:caps w:val="false"/>
                <w:smallCaps w:val="false"/>
              </w:rPr>
            </w:pPr>
            <w:r>
              <w:rPr>
                <w:caps w:val="false"/>
                <w:smallCaps w:val="false"/>
              </w:rPr>
              <w:t> </w:t>
            </w:r>
          </w:p>
        </w:tc>
        <w:tc>
          <w:tcPr>
            <w:tcW w:w="512" w:type="dxa"/>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tc>
      </w:tr>
      <w:tr>
        <w:trPr/>
        <w:tc>
          <w:tcPr>
            <w:tcW w:w="931" w:type="dxa"/>
            <w:tcBorders/>
            <w:shd w:fill="FFFFFF" w:val="clear"/>
            <w:vAlign w:val="center"/>
          </w:tcPr>
          <w:p>
            <w:pPr>
              <w:pStyle w:val="TableContents"/>
              <w:bidi w:val="0"/>
              <w:spacing w:lineRule="auto" w:line="259" w:before="0" w:after="283"/>
              <w:rPr/>
            </w:pPr>
            <w:hyperlink w:anchor="Item1BUnresolvedStaffComments">
              <w:r>
                <w:rPr>
                  <w:rStyle w:val="InternetLink"/>
                  <w:rFonts w:ascii="Times New Roman;serif" w:hAnsi="Times New Roman;serif"/>
                  <w:b w:val="false"/>
                  <w:i w:val="false"/>
                  <w:caps w:val="false"/>
                  <w:smallCaps w:val="false"/>
                  <w:strike w:val="false"/>
                  <w:dstrike w:val="false"/>
                  <w:color w:val="0000FF"/>
                  <w:sz w:val="20"/>
                  <w:u w:val="single"/>
                  <w:effect w:val="none"/>
                </w:rPr>
                <w:t>ITEM 1B.</w:t>
              </w:r>
            </w:hyperlink>
          </w:p>
        </w:tc>
        <w:tc>
          <w:tcPr>
            <w:tcW w:w="8762" w:type="dxa"/>
            <w:gridSpan w:val="2"/>
            <w:tcBorders/>
            <w:shd w:fill="FFFFFF" w:val="clear"/>
            <w:vAlign w:val="center"/>
          </w:tcPr>
          <w:p>
            <w:pPr>
              <w:pStyle w:val="TableContents"/>
              <w:bidi w:val="0"/>
              <w:spacing w:lineRule="auto" w:line="259"/>
              <w:rPr/>
            </w:pPr>
            <w:hyperlink w:anchor="Item1BUnresolvedStaffComments">
              <w:r>
                <w:rPr>
                  <w:rStyle w:val="InternetLink"/>
                  <w:rFonts w:ascii="Times New Roman;serif" w:hAnsi="Times New Roman;serif"/>
                  <w:b w:val="false"/>
                  <w:i w:val="false"/>
                  <w:caps w:val="false"/>
                  <w:smallCaps w:val="false"/>
                  <w:strike w:val="false"/>
                  <w:dstrike w:val="false"/>
                  <w:color w:val="0000FF"/>
                  <w:sz w:val="20"/>
                  <w:u w:val="single"/>
                  <w:effect w:val="none"/>
                </w:rPr>
                <w:t>UNRESOLVED STAFF COMMENTS</w:t>
              </w:r>
            </w:hyperlink>
          </w:p>
          <w:p>
            <w:pPr>
              <w:pStyle w:val="TableContents"/>
              <w:bidi w:val="0"/>
              <w:spacing w:lineRule="auto" w:line="259" w:before="0" w:after="283"/>
              <w:rPr>
                <w:caps w:val="false"/>
                <w:smallCaps w:val="false"/>
              </w:rPr>
            </w:pPr>
            <w:r>
              <w:rPr>
                <w:caps w:val="false"/>
                <w:smallCaps w:val="false"/>
              </w:rPr>
              <w:t> </w:t>
            </w:r>
          </w:p>
        </w:tc>
        <w:tc>
          <w:tcPr>
            <w:tcW w:w="512" w:type="dxa"/>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w:t>
            </w:r>
          </w:p>
        </w:tc>
      </w:tr>
      <w:tr>
        <w:trPr/>
        <w:tc>
          <w:tcPr>
            <w:tcW w:w="931" w:type="dxa"/>
            <w:tcBorders/>
            <w:shd w:fill="FFFFFF" w:val="clear"/>
            <w:vAlign w:val="center"/>
          </w:tcPr>
          <w:p>
            <w:pPr>
              <w:pStyle w:val="TableContents"/>
              <w:bidi w:val="0"/>
              <w:spacing w:lineRule="auto" w:line="259" w:before="0" w:after="283"/>
              <w:rPr/>
            </w:pPr>
            <w:hyperlink w:anchor="Item2Properties">
              <w:r>
                <w:rPr>
                  <w:rStyle w:val="InternetLink"/>
                  <w:rFonts w:ascii="Times New Roman;serif" w:hAnsi="Times New Roman;serif"/>
                  <w:b w:val="false"/>
                  <w:i w:val="false"/>
                  <w:caps w:val="false"/>
                  <w:smallCaps w:val="false"/>
                  <w:strike w:val="false"/>
                  <w:dstrike w:val="false"/>
                  <w:color w:val="0000FF"/>
                  <w:sz w:val="20"/>
                  <w:u w:val="single"/>
                  <w:effect w:val="none"/>
                </w:rPr>
                <w:t>ITEM 2.</w:t>
              </w:r>
            </w:hyperlink>
          </w:p>
        </w:tc>
        <w:tc>
          <w:tcPr>
            <w:tcW w:w="8762" w:type="dxa"/>
            <w:gridSpan w:val="2"/>
            <w:tcBorders/>
            <w:shd w:fill="FFFFFF" w:val="clear"/>
            <w:vAlign w:val="center"/>
          </w:tcPr>
          <w:p>
            <w:pPr>
              <w:pStyle w:val="TableContents"/>
              <w:bidi w:val="0"/>
              <w:spacing w:lineRule="auto" w:line="259"/>
              <w:rPr/>
            </w:pPr>
            <w:hyperlink w:anchor="Item2Properties">
              <w:r>
                <w:rPr>
                  <w:rStyle w:val="InternetLink"/>
                  <w:rFonts w:ascii="Times New Roman;serif" w:hAnsi="Times New Roman;serif"/>
                  <w:b w:val="false"/>
                  <w:i w:val="false"/>
                  <w:caps w:val="false"/>
                  <w:smallCaps w:val="false"/>
                  <w:strike w:val="false"/>
                  <w:dstrike w:val="false"/>
                  <w:color w:val="0000FF"/>
                  <w:sz w:val="20"/>
                  <w:u w:val="single"/>
                  <w:effect w:val="none"/>
                </w:rPr>
                <w:t>PROPERTIES</w:t>
              </w:r>
            </w:hyperlink>
          </w:p>
          <w:p>
            <w:pPr>
              <w:pStyle w:val="TableContents"/>
              <w:bidi w:val="0"/>
              <w:spacing w:lineRule="auto" w:line="259" w:before="0" w:after="283"/>
              <w:rPr>
                <w:caps w:val="false"/>
                <w:smallCaps w:val="false"/>
              </w:rPr>
            </w:pPr>
            <w:r>
              <w:rPr>
                <w:caps w:val="false"/>
                <w:smallCaps w:val="false"/>
              </w:rPr>
              <w:t> </w:t>
            </w:r>
          </w:p>
        </w:tc>
        <w:tc>
          <w:tcPr>
            <w:tcW w:w="512" w:type="dxa"/>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w:t>
            </w:r>
          </w:p>
        </w:tc>
      </w:tr>
      <w:tr>
        <w:trPr/>
        <w:tc>
          <w:tcPr>
            <w:tcW w:w="931" w:type="dxa"/>
            <w:tcBorders/>
            <w:shd w:fill="FFFFFF" w:val="clear"/>
            <w:vAlign w:val="center"/>
          </w:tcPr>
          <w:p>
            <w:pPr>
              <w:pStyle w:val="TableContents"/>
              <w:bidi w:val="0"/>
              <w:spacing w:lineRule="auto" w:line="259" w:before="0" w:after="283"/>
              <w:rPr/>
            </w:pPr>
            <w:hyperlink w:anchor="Item3LegalProceedings">
              <w:r>
                <w:rPr>
                  <w:rStyle w:val="InternetLink"/>
                  <w:rFonts w:ascii="Times New Roman;serif" w:hAnsi="Times New Roman;serif"/>
                  <w:b w:val="false"/>
                  <w:i w:val="false"/>
                  <w:caps w:val="false"/>
                  <w:smallCaps w:val="false"/>
                  <w:strike w:val="false"/>
                  <w:dstrike w:val="false"/>
                  <w:color w:val="0000FF"/>
                  <w:sz w:val="20"/>
                  <w:u w:val="single"/>
                  <w:effect w:val="none"/>
                </w:rPr>
                <w:t>ITEM 3.</w:t>
              </w:r>
            </w:hyperlink>
          </w:p>
        </w:tc>
        <w:tc>
          <w:tcPr>
            <w:tcW w:w="8762" w:type="dxa"/>
            <w:gridSpan w:val="2"/>
            <w:tcBorders/>
            <w:shd w:fill="FFFFFF" w:val="clear"/>
            <w:vAlign w:val="center"/>
          </w:tcPr>
          <w:p>
            <w:pPr>
              <w:pStyle w:val="TableContents"/>
              <w:bidi w:val="0"/>
              <w:spacing w:lineRule="auto" w:line="259"/>
              <w:rPr/>
            </w:pPr>
            <w:hyperlink w:anchor="Item3LegalProceedings">
              <w:r>
                <w:rPr>
                  <w:rStyle w:val="InternetLink"/>
                  <w:rFonts w:ascii="Times New Roman;serif" w:hAnsi="Times New Roman;serif"/>
                  <w:b w:val="false"/>
                  <w:i w:val="false"/>
                  <w:caps w:val="false"/>
                  <w:smallCaps w:val="false"/>
                  <w:strike w:val="false"/>
                  <w:dstrike w:val="false"/>
                  <w:color w:val="0000FF"/>
                  <w:sz w:val="20"/>
                  <w:u w:val="single"/>
                  <w:effect w:val="none"/>
                </w:rPr>
                <w:t>LEGAL PROCEEDINGS</w:t>
              </w:r>
            </w:hyperlink>
          </w:p>
          <w:p>
            <w:pPr>
              <w:pStyle w:val="TableContents"/>
              <w:bidi w:val="0"/>
              <w:spacing w:lineRule="auto" w:line="259" w:before="0" w:after="283"/>
              <w:rPr>
                <w:caps w:val="false"/>
                <w:smallCaps w:val="false"/>
              </w:rPr>
            </w:pPr>
            <w:r>
              <w:rPr>
                <w:caps w:val="false"/>
                <w:smallCaps w:val="false"/>
              </w:rPr>
              <w:t> </w:t>
            </w:r>
          </w:p>
        </w:tc>
        <w:tc>
          <w:tcPr>
            <w:tcW w:w="512" w:type="dxa"/>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w:t>
            </w:r>
          </w:p>
        </w:tc>
      </w:tr>
      <w:tr>
        <w:trPr/>
        <w:tc>
          <w:tcPr>
            <w:tcW w:w="931" w:type="dxa"/>
            <w:tcBorders/>
            <w:shd w:fill="FFFFFF" w:val="clear"/>
            <w:vAlign w:val="center"/>
          </w:tcPr>
          <w:p>
            <w:pPr>
              <w:pStyle w:val="TableContents"/>
              <w:bidi w:val="0"/>
              <w:spacing w:lineRule="auto" w:line="259" w:before="0" w:after="283"/>
              <w:rPr/>
            </w:pPr>
            <w:hyperlink w:anchor="Item4MineSafetyDisclosures">
              <w:r>
                <w:rPr>
                  <w:rStyle w:val="InternetLink"/>
                  <w:rFonts w:ascii="Times New Roman;serif" w:hAnsi="Times New Roman;serif"/>
                  <w:b w:val="false"/>
                  <w:i w:val="false"/>
                  <w:caps w:val="false"/>
                  <w:smallCaps w:val="false"/>
                  <w:strike w:val="false"/>
                  <w:dstrike w:val="false"/>
                  <w:color w:val="0000FF"/>
                  <w:sz w:val="20"/>
                  <w:u w:val="single"/>
                  <w:effect w:val="none"/>
                </w:rPr>
                <w:t>ITEM 4.</w:t>
              </w:r>
            </w:hyperlink>
          </w:p>
        </w:tc>
        <w:tc>
          <w:tcPr>
            <w:tcW w:w="8762" w:type="dxa"/>
            <w:gridSpan w:val="2"/>
            <w:tcBorders/>
            <w:shd w:fill="FFFFFF" w:val="clear"/>
            <w:vAlign w:val="center"/>
          </w:tcPr>
          <w:p>
            <w:pPr>
              <w:pStyle w:val="TableContents"/>
              <w:bidi w:val="0"/>
              <w:spacing w:lineRule="auto" w:line="259" w:before="0" w:after="283"/>
              <w:rPr/>
            </w:pPr>
            <w:hyperlink w:anchor="Item4MineSafetyDisclosures">
              <w:r>
                <w:rPr>
                  <w:rStyle w:val="InternetLink"/>
                  <w:rFonts w:ascii="Times New Roman;serif" w:hAnsi="Times New Roman;serif"/>
                  <w:b w:val="false"/>
                  <w:i w:val="false"/>
                  <w:caps w:val="false"/>
                  <w:smallCaps w:val="false"/>
                  <w:strike w:val="false"/>
                  <w:dstrike w:val="false"/>
                  <w:color w:val="0000FF"/>
                  <w:sz w:val="20"/>
                  <w:u w:val="single"/>
                  <w:effect w:val="none"/>
                </w:rPr>
                <w:t>MINE SAFETY DISCLOSURES</w:t>
              </w:r>
            </w:hyperlink>
          </w:p>
        </w:tc>
        <w:tc>
          <w:tcPr>
            <w:tcW w:w="512" w:type="dxa"/>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w:t>
            </w:r>
          </w:p>
        </w:tc>
      </w:tr>
      <w:tr>
        <w:trPr/>
        <w:tc>
          <w:tcPr>
            <w:tcW w:w="10205" w:type="dxa"/>
            <w:gridSpan w:val="4"/>
            <w:tcBorders/>
            <w:shd w:fill="FFFFFF" w:val="clear"/>
            <w:vAlign w:val="center"/>
          </w:tcPr>
          <w:p>
            <w:pPr>
              <w:pStyle w:val="TableContents"/>
              <w:spacing w:before="0" w:after="283"/>
              <w:rPr>
                <w:sz w:val="4"/>
                <w:szCs w:val="4"/>
              </w:rPr>
            </w:pPr>
            <w:r>
              <w:rPr>
                <w:sz w:val="4"/>
                <w:szCs w:val="4"/>
              </w:rPr>
            </w:r>
          </w:p>
        </w:tc>
      </w:tr>
      <w:tr>
        <w:trPr/>
        <w:tc>
          <w:tcPr>
            <w:tcW w:w="931" w:type="dxa"/>
            <w:tcBorders/>
            <w:shd w:fill="FFFFFF" w:val="clear"/>
            <w:vAlign w:val="center"/>
          </w:tcPr>
          <w:p>
            <w:pPr>
              <w:pStyle w:val="TableContents"/>
              <w:spacing w:before="0" w:after="283"/>
              <w:rPr>
                <w:sz w:val="4"/>
                <w:szCs w:val="4"/>
              </w:rPr>
            </w:pPr>
            <w:r>
              <w:rPr>
                <w:sz w:val="4"/>
                <w:szCs w:val="4"/>
              </w:rPr>
            </w:r>
          </w:p>
        </w:tc>
        <w:tc>
          <w:tcPr>
            <w:tcW w:w="8762" w:type="dxa"/>
            <w:gridSpan w:val="2"/>
            <w:tcBorders/>
            <w:shd w:fill="FFFFFF" w:val="clear"/>
            <w:vAlign w:val="center"/>
          </w:tcPr>
          <w:p>
            <w:pPr>
              <w:pStyle w:val="TableContents"/>
              <w:bidi w:val="0"/>
              <w:spacing w:lineRule="auto" w:line="259" w:before="0" w:after="283"/>
              <w:rPr/>
            </w:pPr>
            <w:hyperlink w:anchor="ExecutiveOfficersofDuluthTrading">
              <w:r>
                <w:rPr>
                  <w:rStyle w:val="InternetLink"/>
                  <w:rFonts w:ascii="Times New Roman;serif" w:hAnsi="Times New Roman;serif"/>
                  <w:b w:val="false"/>
                  <w:i w:val="false"/>
                  <w:caps w:val="false"/>
                  <w:smallCaps w:val="false"/>
                  <w:strike w:val="false"/>
                  <w:dstrike w:val="false"/>
                  <w:color w:val="0000FF"/>
                  <w:sz w:val="20"/>
                  <w:u w:val="single"/>
                  <w:effect w:val="none"/>
                </w:rPr>
                <w:t>INFORMATION ABOUT OUR EXECUTIVE OFFICERS</w:t>
              </w:r>
            </w:hyperlink>
          </w:p>
        </w:tc>
        <w:tc>
          <w:tcPr>
            <w:tcW w:w="512" w:type="dxa"/>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w:t>
            </w:r>
          </w:p>
        </w:tc>
      </w:tr>
      <w:tr>
        <w:trPr/>
        <w:tc>
          <w:tcPr>
            <w:tcW w:w="10205" w:type="dxa"/>
            <w:gridSpan w:val="4"/>
            <w:tcBorders/>
            <w:shd w:fill="FFFFFF" w:val="clear"/>
            <w:vAlign w:val="center"/>
          </w:tcPr>
          <w:p>
            <w:pPr>
              <w:pStyle w:val="TableContents"/>
              <w:spacing w:before="0" w:after="283"/>
              <w:rPr>
                <w:sz w:val="4"/>
                <w:szCs w:val="4"/>
              </w:rPr>
            </w:pPr>
            <w:r>
              <w:rPr>
                <w:sz w:val="4"/>
                <w:szCs w:val="4"/>
              </w:rPr>
            </w:r>
          </w:p>
        </w:tc>
      </w:tr>
      <w:tr>
        <w:trPr/>
        <w:tc>
          <w:tcPr>
            <w:tcW w:w="10205" w:type="dxa"/>
            <w:gridSpan w:val="4"/>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II</w:t>
            </w:r>
          </w:p>
        </w:tc>
      </w:tr>
      <w:tr>
        <w:trPr/>
        <w:tc>
          <w:tcPr>
            <w:tcW w:w="931" w:type="dxa"/>
            <w:tcBorders/>
            <w:shd w:fill="FFFFFF" w:val="clear"/>
            <w:vAlign w:val="center"/>
          </w:tcPr>
          <w:p>
            <w:pPr>
              <w:pStyle w:val="TableContents"/>
              <w:bidi w:val="0"/>
              <w:spacing w:lineRule="auto" w:line="259" w:before="0" w:after="283"/>
              <w:rPr/>
            </w:pPr>
            <w:hyperlink w:anchor="Item5MarketfortheRegistrantsCommonEquity">
              <w:r>
                <w:rPr>
                  <w:rStyle w:val="InternetLink"/>
                  <w:rFonts w:ascii="Times New Roman;serif" w:hAnsi="Times New Roman;serif"/>
                  <w:b w:val="false"/>
                  <w:i w:val="false"/>
                  <w:caps w:val="false"/>
                  <w:smallCaps w:val="false"/>
                  <w:strike w:val="false"/>
                  <w:dstrike w:val="false"/>
                  <w:color w:val="0000FF"/>
                  <w:sz w:val="20"/>
                  <w:u w:val="single"/>
                  <w:effect w:val="none"/>
                </w:rPr>
                <w:t>ITEM 5.</w:t>
              </w:r>
            </w:hyperlink>
          </w:p>
        </w:tc>
        <w:tc>
          <w:tcPr>
            <w:tcW w:w="8762" w:type="dxa"/>
            <w:gridSpan w:val="2"/>
            <w:tcBorders/>
            <w:shd w:fill="FFFFFF" w:val="clear"/>
            <w:vAlign w:val="center"/>
          </w:tcPr>
          <w:p>
            <w:pPr>
              <w:pStyle w:val="TableContents"/>
              <w:bidi w:val="0"/>
              <w:spacing w:lineRule="auto" w:line="259"/>
              <w:rPr/>
            </w:pPr>
            <w:hyperlink w:anchor="Item5MarketfortheRegistrantsCommonEquity">
              <w:r>
                <w:rPr>
                  <w:rStyle w:val="InternetLink"/>
                  <w:rFonts w:ascii="Times New Roman;serif" w:hAnsi="Times New Roman;serif"/>
                  <w:b w:val="false"/>
                  <w:i w:val="false"/>
                  <w:caps w:val="false"/>
                  <w:smallCaps w:val="false"/>
                  <w:strike w:val="false"/>
                  <w:dstrike w:val="false"/>
                  <w:color w:val="0000FF"/>
                  <w:sz w:val="20"/>
                  <w:u w:val="single"/>
                  <w:effect w:val="none"/>
                </w:rPr>
                <w:t>MARKET FOR THE REGISTRANT’S COMMON EQUITY, RELATED SHAREHOLDER MATTERS AND ISSUER PURCHASES OF EQUITY SECURITIES</w:t>
              </w:r>
            </w:hyperlink>
          </w:p>
          <w:p>
            <w:pPr>
              <w:pStyle w:val="TableContents"/>
              <w:bidi w:val="0"/>
              <w:spacing w:lineRule="auto" w:line="259" w:before="0" w:after="283"/>
              <w:rPr>
                <w:caps w:val="false"/>
                <w:smallCaps w:val="false"/>
              </w:rPr>
            </w:pPr>
            <w:r>
              <w:rPr>
                <w:caps w:val="false"/>
                <w:smallCaps w:val="false"/>
              </w:rPr>
              <w:t> </w:t>
            </w:r>
          </w:p>
        </w:tc>
        <w:tc>
          <w:tcPr>
            <w:tcW w:w="512" w:type="dxa"/>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w:t>
            </w:r>
          </w:p>
        </w:tc>
      </w:tr>
      <w:tr>
        <w:trPr/>
        <w:tc>
          <w:tcPr>
            <w:tcW w:w="931" w:type="dxa"/>
            <w:tcBorders/>
            <w:shd w:fill="FFFFFF" w:val="clear"/>
            <w:vAlign w:val="center"/>
          </w:tcPr>
          <w:p>
            <w:pPr>
              <w:pStyle w:val="TableContents"/>
              <w:bidi w:val="0"/>
              <w:spacing w:lineRule="auto" w:line="259" w:before="0" w:after="283"/>
              <w:rPr/>
            </w:pPr>
            <w:hyperlink w:anchor="Item7MDA">
              <w:r>
                <w:rPr>
                  <w:rStyle w:val="InternetLink"/>
                  <w:rFonts w:ascii="Times New Roman;serif" w:hAnsi="Times New Roman;serif"/>
                  <w:b w:val="false"/>
                  <w:i w:val="false"/>
                  <w:caps w:val="false"/>
                  <w:smallCaps w:val="false"/>
                  <w:strike w:val="false"/>
                  <w:dstrike w:val="false"/>
                  <w:color w:val="0000FF"/>
                  <w:sz w:val="20"/>
                  <w:u w:val="single"/>
                  <w:effect w:val="none"/>
                </w:rPr>
                <w:t>ITEM 7.</w:t>
              </w:r>
            </w:hyperlink>
          </w:p>
        </w:tc>
        <w:tc>
          <w:tcPr>
            <w:tcW w:w="8762" w:type="dxa"/>
            <w:gridSpan w:val="2"/>
            <w:tcBorders/>
            <w:shd w:fill="FFFFFF" w:val="clear"/>
            <w:vAlign w:val="center"/>
          </w:tcPr>
          <w:p>
            <w:pPr>
              <w:pStyle w:val="TableContents"/>
              <w:bidi w:val="0"/>
              <w:spacing w:lineRule="auto" w:line="259"/>
              <w:rPr/>
            </w:pPr>
            <w:hyperlink w:anchor="Item7MDA">
              <w:r>
                <w:rPr>
                  <w:rStyle w:val="InternetLink"/>
                  <w:rFonts w:ascii="Times New Roman;serif" w:hAnsi="Times New Roman;serif"/>
                  <w:b w:val="false"/>
                  <w:i w:val="false"/>
                  <w:caps w:val="false"/>
                  <w:smallCaps w:val="false"/>
                  <w:strike w:val="false"/>
                  <w:dstrike w:val="false"/>
                  <w:color w:val="0000FF"/>
                  <w:sz w:val="20"/>
                  <w:u w:val="single"/>
                  <w:effect w:val="none"/>
                </w:rPr>
                <w:t>MANAGEMENT’S DISCUSSION AND ANALYSIS OF FINANCIAL CONDITION AND RESULTS OF OPERATIONS</w:t>
              </w:r>
            </w:hyperlink>
          </w:p>
          <w:p>
            <w:pPr>
              <w:pStyle w:val="TableContents"/>
              <w:bidi w:val="0"/>
              <w:spacing w:lineRule="auto" w:line="259" w:before="0" w:after="283"/>
              <w:rPr>
                <w:caps w:val="false"/>
                <w:smallCaps w:val="false"/>
              </w:rPr>
            </w:pPr>
            <w:r>
              <w:rPr>
                <w:caps w:val="false"/>
                <w:smallCaps w:val="false"/>
              </w:rPr>
              <w:t> </w:t>
            </w:r>
          </w:p>
        </w:tc>
        <w:tc>
          <w:tcPr>
            <w:tcW w:w="512" w:type="dxa"/>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w:t>
            </w:r>
          </w:p>
        </w:tc>
      </w:tr>
      <w:tr>
        <w:trPr/>
        <w:tc>
          <w:tcPr>
            <w:tcW w:w="931" w:type="dxa"/>
            <w:tcBorders/>
            <w:shd w:fill="FFFFFF" w:val="clear"/>
            <w:vAlign w:val="center"/>
          </w:tcPr>
          <w:p>
            <w:pPr>
              <w:pStyle w:val="TableContents"/>
              <w:bidi w:val="0"/>
              <w:spacing w:lineRule="auto" w:line="259" w:before="0" w:after="283"/>
              <w:rPr/>
            </w:pPr>
            <w:hyperlink w:anchor="Item8FinancialStatementsandSupplementary">
              <w:r>
                <w:rPr>
                  <w:rStyle w:val="InternetLink"/>
                  <w:rFonts w:ascii="Times New Roman;serif" w:hAnsi="Times New Roman;serif"/>
                  <w:b w:val="false"/>
                  <w:i w:val="false"/>
                  <w:caps w:val="false"/>
                  <w:smallCaps w:val="false"/>
                  <w:strike w:val="false"/>
                  <w:dstrike w:val="false"/>
                  <w:color w:val="0000FF"/>
                  <w:sz w:val="20"/>
                  <w:u w:val="single"/>
                  <w:effect w:val="none"/>
                </w:rPr>
                <w:t>ITEM 8.</w:t>
              </w:r>
            </w:hyperlink>
          </w:p>
        </w:tc>
        <w:tc>
          <w:tcPr>
            <w:tcW w:w="8762" w:type="dxa"/>
            <w:gridSpan w:val="2"/>
            <w:tcBorders/>
            <w:shd w:fill="FFFFFF" w:val="clear"/>
            <w:vAlign w:val="center"/>
          </w:tcPr>
          <w:p>
            <w:pPr>
              <w:pStyle w:val="TableContents"/>
              <w:bidi w:val="0"/>
              <w:spacing w:lineRule="auto" w:line="259"/>
              <w:rPr/>
            </w:pPr>
            <w:hyperlink w:anchor="Item8FinancialStatementsandSupplementary">
              <w:r>
                <w:rPr>
                  <w:rStyle w:val="InternetLink"/>
                  <w:rFonts w:ascii="Times New Roman;serif" w:hAnsi="Times New Roman;serif"/>
                  <w:b w:val="false"/>
                  <w:i w:val="false"/>
                  <w:caps w:val="false"/>
                  <w:smallCaps w:val="false"/>
                  <w:strike w:val="false"/>
                  <w:dstrike w:val="false"/>
                  <w:color w:val="0000FF"/>
                  <w:sz w:val="20"/>
                  <w:u w:val="single"/>
                  <w:effect w:val="none"/>
                </w:rPr>
                <w:t>FINANCIAL STATEMENTS AND SUPPLEMENTARY DATA</w:t>
              </w:r>
            </w:hyperlink>
          </w:p>
          <w:p>
            <w:pPr>
              <w:pStyle w:val="TableContents"/>
              <w:bidi w:val="0"/>
              <w:spacing w:lineRule="auto" w:line="259" w:before="0" w:after="283"/>
              <w:rPr>
                <w:caps w:val="false"/>
                <w:smallCaps w:val="false"/>
              </w:rPr>
            </w:pPr>
            <w:r>
              <w:rPr>
                <w:caps w:val="false"/>
                <w:smallCaps w:val="false"/>
              </w:rPr>
              <w:t> </w:t>
            </w:r>
          </w:p>
        </w:tc>
        <w:tc>
          <w:tcPr>
            <w:tcW w:w="512" w:type="dxa"/>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w:t>
            </w:r>
          </w:p>
        </w:tc>
      </w:tr>
      <w:tr>
        <w:trPr/>
        <w:tc>
          <w:tcPr>
            <w:tcW w:w="931" w:type="dxa"/>
            <w:tcBorders/>
            <w:shd w:fill="FFFFFF" w:val="clear"/>
            <w:vAlign w:val="center"/>
          </w:tcPr>
          <w:p>
            <w:pPr>
              <w:pStyle w:val="TableContents"/>
              <w:bidi w:val="0"/>
              <w:spacing w:lineRule="auto" w:line="259" w:before="0" w:after="283"/>
              <w:rPr/>
            </w:pPr>
            <w:hyperlink w:anchor="Item9ChangesInAndDisagreementswithAccoun">
              <w:r>
                <w:rPr>
                  <w:rStyle w:val="InternetLink"/>
                  <w:rFonts w:ascii="Times New Roman;serif" w:hAnsi="Times New Roman;serif"/>
                  <w:b w:val="false"/>
                  <w:i w:val="false"/>
                  <w:caps w:val="false"/>
                  <w:smallCaps w:val="false"/>
                  <w:strike w:val="false"/>
                  <w:dstrike w:val="false"/>
                  <w:color w:val="0000FF"/>
                  <w:sz w:val="20"/>
                  <w:u w:val="single"/>
                  <w:effect w:val="none"/>
                </w:rPr>
                <w:t>ITEM 9.</w:t>
              </w:r>
            </w:hyperlink>
          </w:p>
        </w:tc>
        <w:tc>
          <w:tcPr>
            <w:tcW w:w="8762" w:type="dxa"/>
            <w:gridSpan w:val="2"/>
            <w:tcBorders/>
            <w:shd w:fill="FFFFFF" w:val="clear"/>
            <w:vAlign w:val="center"/>
          </w:tcPr>
          <w:p>
            <w:pPr>
              <w:pStyle w:val="TableContents"/>
              <w:bidi w:val="0"/>
              <w:spacing w:lineRule="auto" w:line="259"/>
              <w:rPr/>
            </w:pPr>
            <w:hyperlink w:anchor="Item9ChangesInAndDisagreementswithAccoun">
              <w:r>
                <w:rPr>
                  <w:rStyle w:val="InternetLink"/>
                  <w:rFonts w:ascii="Times New Roman;serif" w:hAnsi="Times New Roman;serif"/>
                  <w:b w:val="false"/>
                  <w:i w:val="false"/>
                  <w:caps w:val="false"/>
                  <w:smallCaps w:val="false"/>
                  <w:strike w:val="false"/>
                  <w:dstrike w:val="false"/>
                  <w:color w:val="0000FF"/>
                  <w:sz w:val="20"/>
                  <w:u w:val="single"/>
                  <w:effect w:val="none"/>
                </w:rPr>
                <w:t>CHANGES IN AND DISAGREEMENTS WITH ACCOUNTANTS ON ACCOUNTING AND FINANCIAL DISCLOSURE</w:t>
              </w:r>
            </w:hyperlink>
          </w:p>
          <w:p>
            <w:pPr>
              <w:pStyle w:val="TableContents"/>
              <w:bidi w:val="0"/>
              <w:spacing w:lineRule="auto" w:line="259" w:before="0" w:after="283"/>
              <w:rPr>
                <w:caps w:val="false"/>
                <w:smallCaps w:val="false"/>
              </w:rPr>
            </w:pPr>
            <w:r>
              <w:rPr>
                <w:caps w:val="false"/>
                <w:smallCaps w:val="false"/>
              </w:rPr>
              <w:t> </w:t>
            </w:r>
          </w:p>
        </w:tc>
        <w:tc>
          <w:tcPr>
            <w:tcW w:w="512" w:type="dxa"/>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w:t>
            </w:r>
          </w:p>
        </w:tc>
      </w:tr>
      <w:tr>
        <w:trPr/>
        <w:tc>
          <w:tcPr>
            <w:tcW w:w="931" w:type="dxa"/>
            <w:tcBorders/>
            <w:shd w:fill="FFFFFF" w:val="clear"/>
            <w:vAlign w:val="center"/>
          </w:tcPr>
          <w:p>
            <w:pPr>
              <w:pStyle w:val="TableContents"/>
              <w:bidi w:val="0"/>
              <w:spacing w:lineRule="auto" w:line="259" w:before="0" w:after="283"/>
              <w:rPr/>
            </w:pPr>
            <w:hyperlink w:anchor="Item9AControlsandProcedures">
              <w:r>
                <w:rPr>
                  <w:rStyle w:val="InternetLink"/>
                  <w:rFonts w:ascii="Times New Roman;serif" w:hAnsi="Times New Roman;serif"/>
                  <w:b w:val="false"/>
                  <w:i w:val="false"/>
                  <w:caps w:val="false"/>
                  <w:smallCaps w:val="false"/>
                  <w:strike w:val="false"/>
                  <w:dstrike w:val="false"/>
                  <w:color w:val="0000FF"/>
                  <w:sz w:val="20"/>
                  <w:u w:val="single"/>
                  <w:effect w:val="none"/>
                </w:rPr>
                <w:t>ITEM 9A.</w:t>
              </w:r>
            </w:hyperlink>
          </w:p>
        </w:tc>
        <w:tc>
          <w:tcPr>
            <w:tcW w:w="8762" w:type="dxa"/>
            <w:gridSpan w:val="2"/>
            <w:tcBorders/>
            <w:shd w:fill="FFFFFF" w:val="clear"/>
            <w:vAlign w:val="center"/>
          </w:tcPr>
          <w:p>
            <w:pPr>
              <w:pStyle w:val="TableContents"/>
              <w:bidi w:val="0"/>
              <w:spacing w:lineRule="auto" w:line="259"/>
              <w:rPr/>
            </w:pPr>
            <w:hyperlink w:anchor="Item9AControlsandProcedures">
              <w:r>
                <w:rPr>
                  <w:rStyle w:val="InternetLink"/>
                  <w:rFonts w:ascii="Times New Roman;serif" w:hAnsi="Times New Roman;serif"/>
                  <w:b w:val="false"/>
                  <w:i w:val="false"/>
                  <w:caps w:val="false"/>
                  <w:smallCaps w:val="false"/>
                  <w:strike w:val="false"/>
                  <w:dstrike w:val="false"/>
                  <w:color w:val="0000FF"/>
                  <w:sz w:val="20"/>
                  <w:u w:val="single"/>
                  <w:effect w:val="none"/>
                </w:rPr>
                <w:t>CONTROLS AND PROCEDURES</w:t>
              </w:r>
            </w:hyperlink>
          </w:p>
          <w:p>
            <w:pPr>
              <w:pStyle w:val="TableContents"/>
              <w:bidi w:val="0"/>
              <w:spacing w:lineRule="auto" w:line="259" w:before="0" w:after="283"/>
              <w:rPr>
                <w:caps w:val="false"/>
                <w:smallCaps w:val="false"/>
              </w:rPr>
            </w:pPr>
            <w:r>
              <w:rPr>
                <w:caps w:val="false"/>
                <w:smallCaps w:val="false"/>
              </w:rPr>
              <w:t> </w:t>
            </w:r>
          </w:p>
        </w:tc>
        <w:tc>
          <w:tcPr>
            <w:tcW w:w="512" w:type="dxa"/>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w:t>
            </w:r>
          </w:p>
        </w:tc>
      </w:tr>
      <w:tr>
        <w:trPr/>
        <w:tc>
          <w:tcPr>
            <w:tcW w:w="931" w:type="dxa"/>
            <w:tcBorders/>
            <w:shd w:fill="FFFFFF" w:val="clear"/>
            <w:vAlign w:val="center"/>
          </w:tcPr>
          <w:p>
            <w:pPr>
              <w:pStyle w:val="TableContents"/>
              <w:bidi w:val="0"/>
              <w:spacing w:lineRule="auto" w:line="259" w:before="0" w:after="283"/>
              <w:rPr/>
            </w:pPr>
            <w:hyperlink w:anchor="Item9BOtherInfo">
              <w:r>
                <w:rPr>
                  <w:rStyle w:val="InternetLink"/>
                  <w:rFonts w:ascii="Times New Roman;serif" w:hAnsi="Times New Roman;serif"/>
                  <w:b w:val="false"/>
                  <w:i w:val="false"/>
                  <w:caps w:val="false"/>
                  <w:smallCaps w:val="false"/>
                  <w:strike w:val="false"/>
                  <w:dstrike w:val="false"/>
                  <w:color w:val="0000FF"/>
                  <w:sz w:val="20"/>
                  <w:u w:val="single"/>
                  <w:effect w:val="none"/>
                </w:rPr>
                <w:t>ITEM 9B.</w:t>
              </w:r>
            </w:hyperlink>
          </w:p>
        </w:tc>
        <w:tc>
          <w:tcPr>
            <w:tcW w:w="8762" w:type="dxa"/>
            <w:gridSpan w:val="2"/>
            <w:tcBorders/>
            <w:shd w:fill="FFFFFF" w:val="clear"/>
            <w:vAlign w:val="center"/>
          </w:tcPr>
          <w:p>
            <w:pPr>
              <w:pStyle w:val="TableContents"/>
              <w:bidi w:val="0"/>
              <w:spacing w:lineRule="auto" w:line="259" w:before="0" w:after="283"/>
              <w:rPr/>
            </w:pPr>
            <w:hyperlink w:anchor="Item9BOtherInfo">
              <w:r>
                <w:rPr>
                  <w:rStyle w:val="InternetLink"/>
                  <w:rFonts w:ascii="Times New Roman;serif" w:hAnsi="Times New Roman;serif"/>
                  <w:b w:val="false"/>
                  <w:i w:val="false"/>
                  <w:caps w:val="false"/>
                  <w:smallCaps w:val="false"/>
                  <w:strike w:val="false"/>
                  <w:dstrike w:val="false"/>
                  <w:color w:val="0000FF"/>
                  <w:sz w:val="20"/>
                  <w:u w:val="single"/>
                  <w:effect w:val="none"/>
                </w:rPr>
                <w:t>OTHER INFORMATION</w:t>
              </w:r>
            </w:hyperlink>
          </w:p>
        </w:tc>
        <w:tc>
          <w:tcPr>
            <w:tcW w:w="512" w:type="dxa"/>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w:t>
            </w:r>
          </w:p>
        </w:tc>
      </w:tr>
      <w:tr>
        <w:trPr/>
        <w:tc>
          <w:tcPr>
            <w:tcW w:w="10205" w:type="dxa"/>
            <w:gridSpan w:val="4"/>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III</w:t>
            </w:r>
          </w:p>
        </w:tc>
      </w:tr>
      <w:tr>
        <w:trPr/>
        <w:tc>
          <w:tcPr>
            <w:tcW w:w="931" w:type="dxa"/>
            <w:tcBorders/>
            <w:shd w:fill="FFFFFF" w:val="clear"/>
            <w:vAlign w:val="center"/>
          </w:tcPr>
          <w:p>
            <w:pPr>
              <w:pStyle w:val="TableContents"/>
              <w:bidi w:val="0"/>
              <w:spacing w:lineRule="auto" w:line="259" w:before="0" w:after="283"/>
              <w:rPr/>
            </w:pPr>
            <w:hyperlink w:anchor="Item10DirectorsExecutiveOfficersandCorpG">
              <w:r>
                <w:rPr>
                  <w:rStyle w:val="InternetLink"/>
                  <w:rFonts w:ascii="Times New Roman;serif" w:hAnsi="Times New Roman;serif"/>
                  <w:b w:val="false"/>
                  <w:i w:val="false"/>
                  <w:caps w:val="false"/>
                  <w:smallCaps w:val="false"/>
                  <w:strike w:val="false"/>
                  <w:dstrike w:val="false"/>
                  <w:color w:val="0000FF"/>
                  <w:sz w:val="20"/>
                  <w:u w:val="single"/>
                  <w:effect w:val="none"/>
                </w:rPr>
                <w:t>ITEM 10.</w:t>
              </w:r>
            </w:hyperlink>
          </w:p>
        </w:tc>
        <w:tc>
          <w:tcPr>
            <w:tcW w:w="8762" w:type="dxa"/>
            <w:gridSpan w:val="2"/>
            <w:tcBorders/>
            <w:shd w:fill="FFFFFF" w:val="clear"/>
            <w:vAlign w:val="center"/>
          </w:tcPr>
          <w:p>
            <w:pPr>
              <w:pStyle w:val="TableContents"/>
              <w:bidi w:val="0"/>
              <w:spacing w:lineRule="auto" w:line="259"/>
              <w:rPr/>
            </w:pPr>
            <w:hyperlink w:anchor="Item10DirectorsExecutiveOfficersandCorpG">
              <w:r>
                <w:rPr>
                  <w:rStyle w:val="InternetLink"/>
                  <w:rFonts w:ascii="Times New Roman;serif" w:hAnsi="Times New Roman;serif"/>
                  <w:b w:val="false"/>
                  <w:i w:val="false"/>
                  <w:caps w:val="false"/>
                  <w:smallCaps w:val="false"/>
                  <w:strike w:val="false"/>
                  <w:dstrike w:val="false"/>
                  <w:color w:val="0000FF"/>
                  <w:sz w:val="20"/>
                  <w:u w:val="single"/>
                  <w:effect w:val="none"/>
                </w:rPr>
                <w:t>DIRECTORS, EXECUTIVE OFFICERS AND CORPORATE GOVERNANCE</w:t>
              </w:r>
            </w:hyperlink>
          </w:p>
          <w:p>
            <w:pPr>
              <w:pStyle w:val="TableContents"/>
              <w:bidi w:val="0"/>
              <w:spacing w:lineRule="auto" w:line="259" w:before="0" w:after="283"/>
              <w:rPr>
                <w:caps w:val="false"/>
                <w:smallCaps w:val="false"/>
              </w:rPr>
            </w:pPr>
            <w:r>
              <w:rPr>
                <w:caps w:val="false"/>
                <w:smallCaps w:val="false"/>
              </w:rPr>
              <w:t> </w:t>
            </w:r>
          </w:p>
        </w:tc>
        <w:tc>
          <w:tcPr>
            <w:tcW w:w="512" w:type="dxa"/>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w:t>
            </w:r>
          </w:p>
        </w:tc>
      </w:tr>
      <w:tr>
        <w:trPr/>
        <w:tc>
          <w:tcPr>
            <w:tcW w:w="931" w:type="dxa"/>
            <w:tcBorders/>
            <w:shd w:fill="FFFFFF" w:val="clear"/>
            <w:vAlign w:val="center"/>
          </w:tcPr>
          <w:p>
            <w:pPr>
              <w:pStyle w:val="TableContents"/>
              <w:bidi w:val="0"/>
              <w:spacing w:lineRule="auto" w:line="259" w:before="0" w:after="283"/>
              <w:rPr/>
            </w:pPr>
            <w:hyperlink w:anchor="Item11ExecutiveComp">
              <w:r>
                <w:rPr>
                  <w:rStyle w:val="InternetLink"/>
                  <w:rFonts w:ascii="Times New Roman;serif" w:hAnsi="Times New Roman;serif"/>
                  <w:b w:val="false"/>
                  <w:i w:val="false"/>
                  <w:caps w:val="false"/>
                  <w:smallCaps w:val="false"/>
                  <w:strike w:val="false"/>
                  <w:dstrike w:val="false"/>
                  <w:color w:val="0000FF"/>
                  <w:sz w:val="20"/>
                  <w:u w:val="single"/>
                  <w:effect w:val="none"/>
                </w:rPr>
                <w:t>ITEM 11.</w:t>
              </w:r>
            </w:hyperlink>
          </w:p>
        </w:tc>
        <w:tc>
          <w:tcPr>
            <w:tcW w:w="8762" w:type="dxa"/>
            <w:gridSpan w:val="2"/>
            <w:tcBorders/>
            <w:shd w:fill="FFFFFF" w:val="clear"/>
            <w:vAlign w:val="center"/>
          </w:tcPr>
          <w:p>
            <w:pPr>
              <w:pStyle w:val="TableContents"/>
              <w:bidi w:val="0"/>
              <w:spacing w:lineRule="auto" w:line="259"/>
              <w:rPr/>
            </w:pPr>
            <w:hyperlink w:anchor="Item11ExecutiveComp">
              <w:r>
                <w:rPr>
                  <w:rStyle w:val="InternetLink"/>
                  <w:rFonts w:ascii="Times New Roman;serif" w:hAnsi="Times New Roman;serif"/>
                  <w:b w:val="false"/>
                  <w:i w:val="false"/>
                  <w:caps w:val="false"/>
                  <w:smallCaps w:val="false"/>
                  <w:strike w:val="false"/>
                  <w:dstrike w:val="false"/>
                  <w:color w:val="0000FF"/>
                  <w:sz w:val="20"/>
                  <w:u w:val="single"/>
                  <w:effect w:val="none"/>
                </w:rPr>
                <w:t>EXECUTIVE COMPENSATION</w:t>
              </w:r>
            </w:hyperlink>
          </w:p>
          <w:p>
            <w:pPr>
              <w:pStyle w:val="TableContents"/>
              <w:bidi w:val="0"/>
              <w:spacing w:lineRule="auto" w:line="259" w:before="0" w:after="283"/>
              <w:rPr>
                <w:caps w:val="false"/>
                <w:smallCaps w:val="false"/>
              </w:rPr>
            </w:pPr>
            <w:r>
              <w:rPr>
                <w:caps w:val="false"/>
                <w:smallCaps w:val="false"/>
              </w:rPr>
              <w:t> </w:t>
            </w:r>
          </w:p>
        </w:tc>
        <w:tc>
          <w:tcPr>
            <w:tcW w:w="512" w:type="dxa"/>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68</w:t>
            </w:r>
          </w:p>
        </w:tc>
      </w:tr>
      <w:tr>
        <w:trPr/>
        <w:tc>
          <w:tcPr>
            <w:tcW w:w="931" w:type="dxa"/>
            <w:tcBorders/>
            <w:shd w:fill="FFFFFF" w:val="clear"/>
            <w:vAlign w:val="center"/>
          </w:tcPr>
          <w:p>
            <w:pPr>
              <w:pStyle w:val="TableContents"/>
              <w:bidi w:val="0"/>
              <w:spacing w:lineRule="auto" w:line="259" w:before="0" w:after="283"/>
              <w:rPr/>
            </w:pPr>
            <w:hyperlink w:anchor="Item12SecurityOwnership">
              <w:r>
                <w:rPr>
                  <w:rStyle w:val="InternetLink"/>
                  <w:rFonts w:ascii="Times New Roman;serif" w:hAnsi="Times New Roman;serif"/>
                  <w:b w:val="false"/>
                  <w:i w:val="false"/>
                  <w:caps w:val="false"/>
                  <w:smallCaps w:val="false"/>
                  <w:strike w:val="false"/>
                  <w:dstrike w:val="false"/>
                  <w:color w:val="0000FF"/>
                  <w:sz w:val="20"/>
                  <w:u w:val="single"/>
                  <w:effect w:val="none"/>
                </w:rPr>
                <w:t>ITEM 12.</w:t>
              </w:r>
            </w:hyperlink>
          </w:p>
        </w:tc>
        <w:tc>
          <w:tcPr>
            <w:tcW w:w="8762" w:type="dxa"/>
            <w:gridSpan w:val="2"/>
            <w:tcBorders/>
            <w:shd w:fill="FFFFFF" w:val="clear"/>
            <w:vAlign w:val="center"/>
          </w:tcPr>
          <w:p>
            <w:pPr>
              <w:pStyle w:val="TableContents"/>
              <w:bidi w:val="0"/>
              <w:spacing w:lineRule="auto" w:line="259"/>
              <w:rPr/>
            </w:pPr>
            <w:hyperlink w:anchor="Item12SecurityOwnership">
              <w:r>
                <w:rPr>
                  <w:rStyle w:val="InternetLink"/>
                  <w:rFonts w:ascii="Times New Roman;serif" w:hAnsi="Times New Roman;serif"/>
                  <w:b w:val="false"/>
                  <w:i w:val="false"/>
                  <w:caps w:val="false"/>
                  <w:smallCaps w:val="false"/>
                  <w:strike w:val="false"/>
                  <w:dstrike w:val="false"/>
                  <w:color w:val="0000FF"/>
                  <w:sz w:val="20"/>
                  <w:u w:val="single"/>
                  <w:effect w:val="none"/>
                </w:rPr>
                <w:t>SECURITY OWNERSHIP OF CERTAIN BENEFICIAL OWNERS AND MANAGEMENT AND RELATED SHAREHOLDER MATTERS</w:t>
              </w:r>
            </w:hyperlink>
          </w:p>
          <w:p>
            <w:pPr>
              <w:pStyle w:val="TableContents"/>
              <w:bidi w:val="0"/>
              <w:spacing w:lineRule="auto" w:line="259" w:before="0" w:after="283"/>
              <w:rPr>
                <w:caps w:val="false"/>
                <w:smallCaps w:val="false"/>
              </w:rPr>
            </w:pPr>
            <w:r>
              <w:rPr>
                <w:caps w:val="false"/>
                <w:smallCaps w:val="false"/>
              </w:rPr>
              <w:t> </w:t>
            </w:r>
          </w:p>
        </w:tc>
        <w:tc>
          <w:tcPr>
            <w:tcW w:w="512" w:type="dxa"/>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68</w:t>
            </w:r>
          </w:p>
        </w:tc>
      </w:tr>
      <w:tr>
        <w:trPr/>
        <w:tc>
          <w:tcPr>
            <w:tcW w:w="931" w:type="dxa"/>
            <w:tcBorders/>
            <w:shd w:fill="FFFFFF" w:val="clear"/>
            <w:vAlign w:val="center"/>
          </w:tcPr>
          <w:p>
            <w:pPr>
              <w:pStyle w:val="TableContents"/>
              <w:bidi w:val="0"/>
              <w:spacing w:lineRule="auto" w:line="259" w:before="0" w:after="283"/>
              <w:rPr/>
            </w:pPr>
            <w:hyperlink w:anchor="Item13CertainRelationships">
              <w:r>
                <w:rPr>
                  <w:rStyle w:val="InternetLink"/>
                  <w:rFonts w:ascii="Times New Roman;serif" w:hAnsi="Times New Roman;serif"/>
                  <w:b w:val="false"/>
                  <w:i w:val="false"/>
                  <w:caps w:val="false"/>
                  <w:smallCaps w:val="false"/>
                  <w:strike w:val="false"/>
                  <w:dstrike w:val="false"/>
                  <w:color w:val="0000FF"/>
                  <w:sz w:val="20"/>
                  <w:u w:val="single"/>
                  <w:effect w:val="none"/>
                </w:rPr>
                <w:t>ITEM 13.</w:t>
              </w:r>
            </w:hyperlink>
          </w:p>
        </w:tc>
        <w:tc>
          <w:tcPr>
            <w:tcW w:w="8762" w:type="dxa"/>
            <w:gridSpan w:val="2"/>
            <w:tcBorders/>
            <w:shd w:fill="FFFFFF" w:val="clear"/>
            <w:vAlign w:val="center"/>
          </w:tcPr>
          <w:p>
            <w:pPr>
              <w:pStyle w:val="TableContents"/>
              <w:bidi w:val="0"/>
              <w:spacing w:lineRule="auto" w:line="259"/>
              <w:rPr/>
            </w:pPr>
            <w:hyperlink w:anchor="Item13CertainRelationships">
              <w:r>
                <w:rPr>
                  <w:rStyle w:val="InternetLink"/>
                  <w:rFonts w:ascii="Times New Roman;serif" w:hAnsi="Times New Roman;serif"/>
                  <w:b w:val="false"/>
                  <w:i w:val="false"/>
                  <w:caps w:val="false"/>
                  <w:smallCaps w:val="false"/>
                  <w:strike w:val="false"/>
                  <w:dstrike w:val="false"/>
                  <w:color w:val="0000FF"/>
                  <w:sz w:val="20"/>
                  <w:u w:val="single"/>
                  <w:effect w:val="none"/>
                </w:rPr>
                <w:t>CERTAIN RELATIONSHIPS AND RELATED TRANSACTIONS AND DIRECTOR INDEPENDENCE</w:t>
              </w:r>
            </w:hyperlink>
          </w:p>
          <w:p>
            <w:pPr>
              <w:pStyle w:val="TableContents"/>
              <w:bidi w:val="0"/>
              <w:spacing w:lineRule="auto" w:line="259" w:before="0" w:after="283"/>
              <w:rPr>
                <w:caps w:val="false"/>
                <w:smallCaps w:val="false"/>
              </w:rPr>
            </w:pPr>
            <w:r>
              <w:rPr>
                <w:caps w:val="false"/>
                <w:smallCaps w:val="false"/>
              </w:rPr>
              <w:t> </w:t>
            </w:r>
          </w:p>
        </w:tc>
        <w:tc>
          <w:tcPr>
            <w:tcW w:w="512" w:type="dxa"/>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68</w:t>
            </w:r>
          </w:p>
        </w:tc>
      </w:tr>
      <w:tr>
        <w:trPr/>
        <w:tc>
          <w:tcPr>
            <w:tcW w:w="931" w:type="dxa"/>
            <w:tcBorders/>
            <w:shd w:fill="FFFFFF" w:val="clear"/>
            <w:vAlign w:val="center"/>
          </w:tcPr>
          <w:p>
            <w:pPr>
              <w:pStyle w:val="TableContents"/>
              <w:bidi w:val="0"/>
              <w:spacing w:lineRule="auto" w:line="259" w:before="0" w:after="283"/>
              <w:rPr/>
            </w:pPr>
            <w:hyperlink w:anchor="Item14PrincipalAccountingFees">
              <w:r>
                <w:rPr>
                  <w:rStyle w:val="InternetLink"/>
                  <w:rFonts w:ascii="Times New Roman;serif" w:hAnsi="Times New Roman;serif"/>
                  <w:b w:val="false"/>
                  <w:i w:val="false"/>
                  <w:caps w:val="false"/>
                  <w:smallCaps w:val="false"/>
                  <w:strike w:val="false"/>
                  <w:dstrike w:val="false"/>
                  <w:color w:val="0000FF"/>
                  <w:sz w:val="20"/>
                  <w:u w:val="single"/>
                  <w:effect w:val="none"/>
                </w:rPr>
                <w:t>ITEM 14.</w:t>
              </w:r>
            </w:hyperlink>
          </w:p>
        </w:tc>
        <w:tc>
          <w:tcPr>
            <w:tcW w:w="8762" w:type="dxa"/>
            <w:gridSpan w:val="2"/>
            <w:tcBorders/>
            <w:shd w:fill="FFFFFF" w:val="clear"/>
            <w:vAlign w:val="center"/>
          </w:tcPr>
          <w:p>
            <w:pPr>
              <w:pStyle w:val="TableContents"/>
              <w:bidi w:val="0"/>
              <w:spacing w:lineRule="auto" w:line="259" w:before="0" w:after="283"/>
              <w:rPr/>
            </w:pPr>
            <w:hyperlink w:anchor="Item14PrincipalAccountingFees">
              <w:r>
                <w:rPr>
                  <w:rStyle w:val="InternetLink"/>
                  <w:rFonts w:ascii="Times New Roman;serif" w:hAnsi="Times New Roman;serif"/>
                  <w:b w:val="false"/>
                  <w:i w:val="false"/>
                  <w:caps w:val="false"/>
                  <w:smallCaps w:val="false"/>
                  <w:strike w:val="false"/>
                  <w:dstrike w:val="false"/>
                  <w:color w:val="0000FF"/>
                  <w:sz w:val="20"/>
                  <w:u w:val="single"/>
                  <w:effect w:val="none"/>
                </w:rPr>
                <w:t>PRINCIPAL ACCOUNTANT FEES AND SERVICES</w:t>
              </w:r>
            </w:hyperlink>
          </w:p>
        </w:tc>
        <w:tc>
          <w:tcPr>
            <w:tcW w:w="512" w:type="dxa"/>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68</w:t>
            </w:r>
          </w:p>
        </w:tc>
      </w:tr>
      <w:tr>
        <w:trPr/>
        <w:tc>
          <w:tcPr>
            <w:tcW w:w="10205" w:type="dxa"/>
            <w:gridSpan w:val="4"/>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IV</w:t>
            </w:r>
          </w:p>
        </w:tc>
      </w:tr>
      <w:tr>
        <w:trPr/>
        <w:tc>
          <w:tcPr>
            <w:tcW w:w="931" w:type="dxa"/>
            <w:tcBorders/>
            <w:shd w:fill="FFFFFF" w:val="clear"/>
            <w:vAlign w:val="center"/>
          </w:tcPr>
          <w:p>
            <w:pPr>
              <w:pStyle w:val="TableContents"/>
              <w:bidi w:val="0"/>
              <w:spacing w:lineRule="auto" w:line="259" w:before="0" w:after="283"/>
              <w:rPr/>
            </w:pPr>
            <w:hyperlink w:anchor="Item15ExhibitsFinStatementsSchedules">
              <w:r>
                <w:rPr>
                  <w:rStyle w:val="InternetLink"/>
                  <w:rFonts w:ascii="Times New Roman;serif" w:hAnsi="Times New Roman;serif"/>
                  <w:b w:val="false"/>
                  <w:i w:val="false"/>
                  <w:caps w:val="false"/>
                  <w:smallCaps w:val="false"/>
                  <w:strike w:val="false"/>
                  <w:dstrike w:val="false"/>
                  <w:color w:val="0000FF"/>
                  <w:sz w:val="20"/>
                  <w:u w:val="single"/>
                  <w:effect w:val="none"/>
                </w:rPr>
                <w:t>ITEM 15.</w:t>
              </w:r>
            </w:hyperlink>
          </w:p>
        </w:tc>
        <w:tc>
          <w:tcPr>
            <w:tcW w:w="8762" w:type="dxa"/>
            <w:gridSpan w:val="2"/>
            <w:tcBorders/>
            <w:shd w:fill="FFFFFF" w:val="clear"/>
            <w:vAlign w:val="center"/>
          </w:tcPr>
          <w:p>
            <w:pPr>
              <w:pStyle w:val="TableContents"/>
              <w:bidi w:val="0"/>
              <w:spacing w:lineRule="auto" w:line="259"/>
              <w:rPr/>
            </w:pPr>
            <w:hyperlink w:anchor="Item15ExhibitsFinStatementsSchedules">
              <w:r>
                <w:rPr>
                  <w:rStyle w:val="InternetLink"/>
                  <w:rFonts w:ascii="Times New Roman;serif" w:hAnsi="Times New Roman;serif"/>
                  <w:b w:val="false"/>
                  <w:i w:val="false"/>
                  <w:caps w:val="false"/>
                  <w:smallCaps w:val="false"/>
                  <w:strike w:val="false"/>
                  <w:dstrike w:val="false"/>
                  <w:color w:val="0000FF"/>
                  <w:sz w:val="20"/>
                  <w:u w:val="single"/>
                  <w:effect w:val="none"/>
                </w:rPr>
                <w:t>EXHIBITS, FINANCIAL STATEMENTS AND SCHEDULE</w:t>
              </w:r>
            </w:hyperlink>
          </w:p>
          <w:p>
            <w:pPr>
              <w:pStyle w:val="TableContents"/>
              <w:bidi w:val="0"/>
              <w:spacing w:lineRule="auto" w:line="259" w:before="0" w:after="283"/>
              <w:rPr>
                <w:caps w:val="false"/>
                <w:smallCaps w:val="false"/>
              </w:rPr>
            </w:pPr>
            <w:r>
              <w:rPr>
                <w:caps w:val="false"/>
                <w:smallCaps w:val="false"/>
              </w:rPr>
              <w:t> </w:t>
            </w:r>
          </w:p>
        </w:tc>
        <w:tc>
          <w:tcPr>
            <w:tcW w:w="512" w:type="dxa"/>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w:t>
            </w:r>
          </w:p>
        </w:tc>
      </w:tr>
      <w:tr>
        <w:trPr/>
        <w:tc>
          <w:tcPr>
            <w:tcW w:w="931" w:type="dxa"/>
            <w:tcBorders/>
            <w:shd w:fill="FFFFFF" w:val="clear"/>
            <w:vAlign w:val="center"/>
          </w:tcPr>
          <w:p>
            <w:pPr>
              <w:pStyle w:val="TableContents"/>
              <w:bidi w:val="0"/>
              <w:spacing w:lineRule="auto" w:line="259" w:before="0" w:after="283"/>
              <w:rPr/>
            </w:pPr>
            <w:hyperlink w:anchor="Item16Form10KSummary">
              <w:r>
                <w:rPr>
                  <w:rStyle w:val="InternetLink"/>
                  <w:rFonts w:ascii="Times New Roman;serif" w:hAnsi="Times New Roman;serif"/>
                  <w:b w:val="false"/>
                  <w:i w:val="false"/>
                  <w:caps w:val="false"/>
                  <w:smallCaps w:val="false"/>
                  <w:strike w:val="false"/>
                  <w:dstrike w:val="false"/>
                  <w:color w:val="0000FF"/>
                  <w:sz w:val="20"/>
                  <w:u w:val="single"/>
                  <w:effect w:val="none"/>
                </w:rPr>
                <w:t>ITEM 16.</w:t>
              </w:r>
            </w:hyperlink>
          </w:p>
        </w:tc>
        <w:tc>
          <w:tcPr>
            <w:tcW w:w="8762" w:type="dxa"/>
            <w:gridSpan w:val="2"/>
            <w:tcBorders/>
            <w:shd w:fill="FFFFFF" w:val="clear"/>
            <w:vAlign w:val="center"/>
          </w:tcPr>
          <w:p>
            <w:pPr>
              <w:pStyle w:val="TableContents"/>
              <w:bidi w:val="0"/>
              <w:spacing w:lineRule="auto" w:line="259" w:before="0" w:after="283"/>
              <w:rPr/>
            </w:pPr>
            <w:hyperlink w:anchor="Item16Form10KSummary">
              <w:r>
                <w:rPr>
                  <w:rStyle w:val="InternetLink"/>
                  <w:rFonts w:ascii="Times New Roman;serif" w:hAnsi="Times New Roman;serif"/>
                  <w:b w:val="false"/>
                  <w:i w:val="false"/>
                  <w:caps w:val="false"/>
                  <w:smallCaps w:val="false"/>
                  <w:strike w:val="false"/>
                  <w:dstrike w:val="false"/>
                  <w:color w:val="0000FF"/>
                  <w:sz w:val="20"/>
                  <w:u w:val="single"/>
                  <w:effect w:val="none"/>
                </w:rPr>
                <w:t>FORM 10-K SUMMARY</w:t>
              </w:r>
            </w:hyperlink>
          </w:p>
        </w:tc>
        <w:tc>
          <w:tcPr>
            <w:tcW w:w="512" w:type="dxa"/>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w:t>
            </w:r>
          </w:p>
        </w:tc>
      </w:tr>
      <w:tr>
        <w:trPr/>
        <w:tc>
          <w:tcPr>
            <w:tcW w:w="931" w:type="dxa"/>
            <w:tcBorders/>
            <w:shd w:fill="FFFFFF" w:val="clear"/>
            <w:vAlign w:val="center"/>
          </w:tcPr>
          <w:p>
            <w:pPr>
              <w:pStyle w:val="TableContents"/>
              <w:spacing w:before="0" w:after="283"/>
              <w:rPr>
                <w:sz w:val="4"/>
                <w:szCs w:val="4"/>
              </w:rPr>
            </w:pPr>
            <w:r>
              <w:rPr>
                <w:sz w:val="4"/>
                <w:szCs w:val="4"/>
              </w:rPr>
            </w:r>
          </w:p>
        </w:tc>
        <w:tc>
          <w:tcPr>
            <w:tcW w:w="8762" w:type="dxa"/>
            <w:gridSpan w:val="2"/>
            <w:tcBorders/>
            <w:shd w:fill="FFFFFF" w:val="clear"/>
            <w:vAlign w:val="center"/>
          </w:tcPr>
          <w:p>
            <w:pPr>
              <w:pStyle w:val="TableContents"/>
              <w:spacing w:before="0" w:after="283"/>
              <w:rPr>
                <w:sz w:val="4"/>
                <w:szCs w:val="4"/>
              </w:rPr>
            </w:pPr>
            <w:r>
              <w:rPr>
                <w:sz w:val="4"/>
                <w:szCs w:val="4"/>
              </w:rPr>
            </w:r>
          </w:p>
        </w:tc>
        <w:tc>
          <w:tcPr>
            <w:tcW w:w="512" w:type="dxa"/>
            <w:tcBorders/>
            <w:shd w:fill="FFFFFF" w:val="clear"/>
            <w:vAlign w:val="center"/>
          </w:tcPr>
          <w:p>
            <w:pPr>
              <w:pStyle w:val="TableContents"/>
              <w:spacing w:before="0" w:after="283"/>
              <w:rPr>
                <w:sz w:val="4"/>
                <w:szCs w:val="4"/>
              </w:rPr>
            </w:pPr>
            <w:r>
              <w:rPr>
                <w:sz w:val="4"/>
                <w:szCs w:val="4"/>
              </w:rPr>
            </w:r>
          </w:p>
        </w:tc>
      </w:tr>
      <w:tr>
        <w:trPr/>
        <w:tc>
          <w:tcPr>
            <w:tcW w:w="931" w:type="dxa"/>
            <w:tcBorders/>
            <w:shd w:fill="FFFFFF" w:val="clear"/>
            <w:vAlign w:val="center"/>
          </w:tcPr>
          <w:p>
            <w:pPr>
              <w:pStyle w:val="TableContents"/>
              <w:spacing w:before="0" w:after="283"/>
              <w:rPr>
                <w:sz w:val="4"/>
                <w:szCs w:val="4"/>
              </w:rPr>
            </w:pPr>
            <w:r>
              <w:rPr>
                <w:sz w:val="4"/>
                <w:szCs w:val="4"/>
              </w:rPr>
            </w:r>
          </w:p>
        </w:tc>
        <w:tc>
          <w:tcPr>
            <w:tcW w:w="8762" w:type="dxa"/>
            <w:gridSpan w:val="2"/>
            <w:tcBorders/>
            <w:shd w:fill="FFFFFF" w:val="clear"/>
            <w:vAlign w:val="center"/>
          </w:tcPr>
          <w:p>
            <w:pPr>
              <w:pStyle w:val="TableContents"/>
              <w:bidi w:val="0"/>
              <w:spacing w:lineRule="auto" w:line="259"/>
              <w:rPr/>
            </w:pPr>
            <w:hyperlink w:anchor="Signatures">
              <w:r>
                <w:rPr>
                  <w:rStyle w:val="InternetLink"/>
                  <w:rFonts w:ascii="Times New Roman;serif" w:hAnsi="Times New Roman;serif"/>
                  <w:b w:val="false"/>
                  <w:i w:val="false"/>
                  <w:caps w:val="false"/>
                  <w:smallCaps w:val="false"/>
                  <w:strike w:val="false"/>
                  <w:dstrike w:val="false"/>
                  <w:color w:val="0000FF"/>
                  <w:sz w:val="20"/>
                  <w:u w:val="single"/>
                  <w:effect w:val="none"/>
                </w:rPr>
                <w:t>SIGNATURES</w:t>
              </w:r>
            </w:hyperlink>
          </w:p>
          <w:p>
            <w:pPr>
              <w:pStyle w:val="TableContents"/>
              <w:bidi w:val="0"/>
              <w:spacing w:lineRule="auto" w:line="259" w:before="0" w:after="283"/>
              <w:rPr>
                <w:caps w:val="false"/>
                <w:smallCaps w:val="false"/>
              </w:rPr>
            </w:pPr>
            <w:r>
              <w:rPr>
                <w:caps w:val="false"/>
                <w:smallCaps w:val="false"/>
              </w:rPr>
              <w:t> </w:t>
            </w:r>
          </w:p>
        </w:tc>
        <w:tc>
          <w:tcPr>
            <w:tcW w:w="512" w:type="dxa"/>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71</w:t>
            </w:r>
          </w:p>
        </w:tc>
      </w:tr>
    </w:tbl>
    <w:p>
      <w:pPr>
        <w:pStyle w:val="TextBody"/>
        <w:bidi w:val="0"/>
        <w:spacing w:lineRule="auto" w:line="259"/>
        <w:rPr/>
      </w:pPr>
      <w:r>
        <w:rPr>
          <w:caps w:val="false"/>
          <w:smallCaps w:val="false"/>
          <w:color w:val="000000"/>
        </w:rPr>
        <w:t> </w:t>
      </w:r>
      <w:r>
        <w:rPr>
          <w:rFonts w:ascii="Times New Roman;serif" w:hAnsi="Times New Roman;serif"/>
          <w:b w:val="false"/>
          <w:i w:val="false"/>
          <w:caps w:val="false"/>
          <w:smallCaps w:val="false"/>
          <w:color w:val="000000"/>
          <w:sz w:val="18"/>
        </w:rPr>
        <w:br/>
        <w:t>‎</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val="false"/>
          <w:caps/>
          <w:sz w:val="20"/>
        </w:rPr>
      </w:pPr>
      <w:r>
        <w:rPr>
          <w:rFonts w:ascii="Times New Roman;serif" w:hAnsi="Times New Roman;serif"/>
          <w:b/>
          <w:i w:val="false"/>
          <w:caps/>
          <w:sz w:val="20"/>
        </w:rPr>
        <w:t>FORWARD-LOOKING STATEMENTS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This Annual Report on Form 10-K contains “forward-looking statements” within the meaning of the Private Securities Litigation Reform Act of 1995 that are subject to risks and uncertainties. All statements other than statements of historical or current fact included in this Annual Report on Form 10-K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“design,”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or initiatives,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color w:val="000000"/>
          <w:sz w:val="20"/>
          <w:highlight w:val="white"/>
        </w:rPr>
        <w:t>prolonged effects of the COVID-19 on store traffic and disruptions to our distribution network, supply chains and operations;</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our ability to maintain and enhance a strong brand and sub-brand image;</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our ability to successfully open new stores;</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effectively adapting to new challenges associated with our expansion into new geographic markets;</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our ability to meet customer delivery time expectations;</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natural disasters, unusually adverse weather conditions, boycotts, prolonged public health crises, epidemics or pandemics and unanticipated events;</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generating adequate cash from our existing stores to support our growth;</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the impact of changes in corporate tax regulations and sales tax;</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identifying and responding to new and changing customer preferences;</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the success of the locations in which our stores are located;</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adapting to declines in consumer confidence and decreases in consumer spending;</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competing effectively in an environment of intense competition;</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our ability to adapt to significant changes in sales due to the seasonality of our business;</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price reductions or inventory shortages resulting from failure to purchase the appropriate amount of inventory in advance of the season in which it will be sold in global market constraints;</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the potential increase in price and availability of raw materials;</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our dependence on third-party vendors to provide us with sufficient quantities of merchandise at acceptable prices;</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increases in costs of fuel or other energy, transportation or utility costs and in the costs of labor and employment;</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the susceptibility of the price and availability of our merchandise to international trade conditions;</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failure of our vendors and their manufacturing sources to use acceptable labor or other practices;</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our dependence upon key executive management or our inability to hire or retain the talent required for our business;</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failure of our information technology systems to support our current and growing business, before and after our planned upgrades;</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disruptions in our supply chain and distribution centers;</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our inability to protect our trademarks or other intellectual property rights;</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infringement on the intellectual property of third parties;</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acts of war, terrorism or civil unrest;</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governmental laws and regulations and the outcomes of legal proceedings;</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changes in U.S. and non-U.S. laws affecting the importation and taxation of goods, including imposition of unilateral tariffs on imported goods;</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our ability to secure the personal and/or financial information of our customers and comply with the security standards for the credit card industry;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failure to maintain adequate internal controls over our financial and management systems.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make many of our forward-looking statements based on our operating budgets and forecasts, which are based upon detailed assumptions. While we believe that our assumptions are reasonable, we caution that it is very difficult to predict the impact of known factors, and it is impossible for us to anticipate all factors that could affect our actual results.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See the “Risk Factors” section of this Annual Report on Form 10-K for a more complete discussion of the risks and uncertainties mentioned above and for discussion of other risks and uncertainties. All forward-looking statements attributable to us are expressly qualified in their entirety by these cautionary statements as well as others made in this annual report and hereafter in our other SEC filings and public communications. You should evaluate all forward-looking statements made by us in the context of these risks and uncertainties.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caution you that the risks and uncertainties identified by us may not be all of the factors that are important to you. Furthermore, the forward-looking statements included in this Annual Report on Form 10-K are made only as of the date hereof. We undertake no obligation to publicly update or revise any forward-looking statement as a result of new information, future events or otherwise, except as otherwise required by law.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PART I</w:t>
      </w:r>
    </w:p>
    <w:tbl>
      <w:tblPr>
        <w:tblW w:w="1847" w:type="dxa"/>
        <w:jc w:val="left"/>
        <w:tblInd w:w="0" w:type="dxa"/>
        <w:tblCellMar>
          <w:top w:w="0" w:type="dxa"/>
          <w:left w:w="0" w:type="dxa"/>
          <w:bottom w:w="0" w:type="dxa"/>
          <w:right w:w="0" w:type="dxa"/>
        </w:tblCellMar>
      </w:tblPr>
      <w:tblGrid>
        <w:gridCol w:w="796"/>
        <w:gridCol w:w="1051"/>
      </w:tblGrid>
      <w:tr>
        <w:trPr/>
        <w:tc>
          <w:tcPr>
            <w:tcW w:w="796"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r>
      <w:tr>
        <w:trPr/>
        <w:tc>
          <w:tcPr>
            <w:tcW w:w="796" w:type="dxa"/>
            <w:tcBorders/>
            <w:shd w:fill="auto" w:val="clear"/>
            <w:vAlign w:val="center"/>
          </w:tcPr>
          <w:p>
            <w:pPr>
              <w:pStyle w:val="TableContents"/>
              <w:bidi w:val="0"/>
              <w:spacing w:lineRule="auto" w:line="259" w:before="0" w:after="20"/>
              <w:jc w:val="left"/>
              <w:rPr>
                <w:rFonts w:ascii="Times New Roman;serif" w:hAnsi="Times New Roman;serif"/>
                <w:b w:val="false"/>
                <w:i w:val="false"/>
                <w:caps w:val="false"/>
                <w:smallCaps w:val="false"/>
                <w:sz w:val="20"/>
              </w:rPr>
            </w:pPr>
            <w:bookmarkStart w:id="3" w:name="Item1Business"/>
            <w:bookmarkEnd w:id="3"/>
            <w:r>
              <w:rPr>
                <w:rFonts w:ascii="Times New Roman;serif" w:hAnsi="Times New Roman;serif"/>
                <w:b w:val="false"/>
                <w:i w:val="false"/>
                <w:caps w:val="false"/>
                <w:smallCaps w:val="false"/>
                <w:sz w:val="20"/>
              </w:rPr>
              <w:t>ITEM 1.</w:t>
            </w:r>
          </w:p>
        </w:tc>
        <w:tc>
          <w:tcPr>
            <w:tcW w:w="1051" w:type="dxa"/>
            <w:tcBorders/>
            <w:shd w:fill="auto" w:val="clear"/>
            <w:vAlign w:val="center"/>
          </w:tcPr>
          <w:p>
            <w:pPr>
              <w:pStyle w:val="TableContents"/>
              <w:bidi w:val="0"/>
              <w:spacing w:lineRule="auto" w:line="259" w:before="0" w:after="20"/>
              <w:ind w:left="0" w:right="0" w:hanging="14"/>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BUSINESS</w:t>
            </w:r>
          </w:p>
        </w:tc>
      </w:tr>
    </w:tbl>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Unless the context indicates otherwise, the terms the “Company,” “Duluth,” “Duluth Trading,” “Duluth Holdings,” “Duluth Trading Co.,” “we,” “our” or “us” are used to refer to Duluth Holdings Inc.</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The following discussion contains references to fiscal years 2020 and 2019, which refer to our fiscal years ended January 31, 2021 and February 2, 2020, respectively. Fiscal years 2020 and 2019 were 52-week periods.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Duluth Trading is a lifestyle brand of men’s and women’s casual wear, workwear and accessories primarily sold through our own omnichannel platform. We offer products nationwide through our website and catalog. In 2010, we initiated our omnichannel platform with the opening of our first store. Since then, we have expanded our retail presence, and as of January 31, 2021, we operated 62 retail stores and three outlet stores. In fiscal 2020, we opened a total of 4 retail stores adding approximately 60,000 gross square feet to our stores.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Duluth Trading was founded in 1989 when two brothers in the home construction industry were tired of dragging tools from job to job using discarded five-gallon drywall compound buckets. The two brothers were never satisfied with the status quo and believed “there’s gotta be a better way.” So, they invented the Bucket Boss® - a ruggedly durable canvas tool organizer that fits around a drywall bucket and transformed the way construction workers organized their tools. Capitalizing on their initial success, these brothers launched a catalog that later became known as Duluth Trading Company. Under the initial philosophy of “Job Tough, Job Smart,” this catalog was dedicated to improving and expanding on existing methods of tool storage, organization and transport. In December 2000, GEMPLER’S Inc., a Wisconsin corporation and an agricultural and horticultural supply catalog business founded and owned by Stephen L. Schlecht, acquired Duluth Trading and brought the two mail order companies together. Both catalogs had customers who worked outside and embraced the spirit of hands-on, self-reliant Americans. In February 2003, the GEMPLER’s catalog business was sold to W.W. Grainger (NYSE:GWW) and proceeds from that sale were used to fund the growth of Duluth Trading. With that transaction, GEMPLER’S changed its corporate name to Duluth Holdings Inc.</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From what began as an idea aimed at those working in the building trades, Duluth Trading has become a widely recognized brand and proprietary line of innovative and functional apparel and gear. We have created strong brand awareness, built a loyal customer base and generated robust sales momentum. We believe the foundation of our success is our culture of “poking average in the eye” </w:t>
      </w:r>
      <w:r>
        <w:rPr>
          <w:rFonts w:ascii="Times New Roman;serif" w:hAnsi="Times New Roman;serif"/>
          <w:b w:val="false"/>
          <w:i/>
          <w:sz w:val="20"/>
        </w:rPr>
        <w:t>by seeing things for what they could be and should be and finding a way to make them exactly that, and we like to do it all with a big, toothy grin.</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Our Growth Strategies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goal is to expand the reach of the Duluth Trading brand, using strategies that will further drive growth and profitability:</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i/>
          <w:sz w:val="20"/>
        </w:rPr>
        <w:t>Evolving into a Portfolio of Distinct Brands within the Duluth Trading Co. Ecosystem</w:t>
      </w:r>
      <w:r>
        <w:rPr>
          <w:rFonts w:ascii="Times New Roman;serif" w:hAnsi="Times New Roman;serif"/>
          <w:b w:val="false"/>
          <w:i w:val="false"/>
          <w:caps w:val="false"/>
          <w:smallCaps w:val="false"/>
          <w:sz w:val="20"/>
        </w:rPr>
        <w:t>. At the center of Duluth Trading Co’s success has been the consistent ability to develop and grow our brands and sub-brands. We’ve used our unique combination of forward-thinking product development, memorable storytelling and direct relationship with the customer to evolve and grow the Duluth Trading Men’s sub-brand. We used the same formula on the Duluth Trading Women’s sub-brand and, more recently, the Alaskan Hardgear sub-brand. This continued success gives us the confidence to enter the next phase of our evolution: Duluth Trading Co. as a direct to consumer brand platform. We plan to leverage our infrastructure investments and direct marketing expertise to launch and grow closely guarded digitally native brands that cater to an ever-growing definition of a “can-do” customer. Men and Women across all walks of life can rely on Duluth Trading Co. portfolio of brands for quality, innovative products to support hands-on work, active hobbies and modern, self-reliant lifestyle. 40Grit and Best Made are our latest platform sub-brands. 40Grit is a workwear basics line tailored to our younger, more budget conscious consumer. Best Made is a premium offering with design-focused hardgoods and apparel. Over time, we will plan to add more sub-brands as we see whitespace or as acquisition opportunities emerge.</w:t>
      </w:r>
    </w:p>
    <w:p>
      <w:pPr>
        <w:pStyle w:val="TextBody"/>
        <w:bidi w:val="0"/>
        <w:spacing w:lineRule="auto" w:line="259"/>
        <w:rPr/>
      </w:pPr>
      <w:r>
        <w:rPr>
          <w:caps w:val="false"/>
          <w:smallCaps w:val="false"/>
        </w:rPr>
        <w:t></w:t>
      </w:r>
      <w:r>
        <w:rPr>
          <w:rFonts w:ascii="Times New Roman;serif" w:hAnsi="Times New Roman;serif"/>
          <w:b/>
          <w:i/>
          <w:sz w:val="20"/>
        </w:rPr>
        <w:t>Growing Sales in Existing Store and Non-Store Markets.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Based on our experience to date, we believe the combination of our high brand awareness and agile digital advertising tools allow us to grow our business in both store markets and non-store markets, while also navigating through the unprecedented disruptions to store traffic that the COVID-19 pandemic brought on. Our significant shift between physical and digital channel sales in 2020, yet realizing growth in sales overall for the year, highlight the flexibility and resiliency of our direct order fulfillment model. Once we begin to return to normal retail operations, one of our top priorities will be to drive awareness of and traffic to our stores with total market growth being our primary goal. </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believe our retail stores provide ancillary marketing benefits by complementing our digital presence to enable brand discovery, experience and superior service. We believe that our customers’ desire to shop in stores, combined with the compelling unit economics of our existing retail stores, provide us with the opportunity to continue to grow our store market sales, but to be selective on new store formats and locations based on changing shopping behavior. We plan to scale our distribution model to meet customer’s expectations across brands in a cost-effective manner. We will also plan to develop strategic partnerships to extend the reach of our brands into new channels or to provide unique product offerings.</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i/>
          <w:sz w:val="20"/>
        </w:rPr>
        <w:t>Strengthening the Core Men’s Duluth Brand</w:t>
      </w:r>
      <w:r>
        <w:rPr>
          <w:rFonts w:ascii="Times New Roman;serif" w:hAnsi="Times New Roman;serif"/>
          <w:b w:val="false"/>
          <w:i w:val="false"/>
          <w:caps w:val="false"/>
          <w:smallCaps w:val="false"/>
          <w:sz w:val="20"/>
        </w:rPr>
        <w:t>. We believe there is opportunity to fortify and grow our men’s business by selectively broadening our assortment in certain product categories that cement Duluth as the most innovative workwear destination. Our Duluth Trading Men’s sub-brand will remain focused on our long-standing key to success by introducing products that solve a problem and serve a purpose. Our Duluth Trading Men’s collection of workwear apparel and accessories includes our most well-known base layer and underwear category, where we will continue to develop innovative products in our Center for Underwear Advancement initiative.</w:t>
      </w:r>
    </w:p>
    <w:p>
      <w:pPr>
        <w:pStyle w:val="TextBody"/>
        <w:bidi w:val="0"/>
        <w:spacing w:lineRule="auto" w:line="259"/>
        <w:rPr/>
      </w:pPr>
      <w:r>
        <w:rPr>
          <w:caps w:val="false"/>
          <w:smallCaps w:val="false"/>
        </w:rPr>
        <w:t></w:t>
      </w:r>
      <w:r>
        <w:rPr>
          <w:rFonts w:ascii="Times New Roman;serif" w:hAnsi="Times New Roman;serif"/>
          <w:b/>
          <w:i/>
          <w:sz w:val="20"/>
        </w:rPr>
        <w:t>Growing Our Women’s Duluth Brand</w:t>
      </w:r>
      <w:r>
        <w:rPr>
          <w:rFonts w:ascii="Times New Roman;serif" w:hAnsi="Times New Roman;serif"/>
          <w:b w:val="false"/>
          <w:i w:val="false"/>
          <w:caps w:val="false"/>
          <w:smallCaps w:val="false"/>
          <w:sz w:val="20"/>
        </w:rPr>
        <w:t>. We believe that we have a significant opportunity to continue to grow our Duluth Trading Women’s sub-brand through customer acquisition, and we plan to leverage all of our marketing tools to do so. We expect that our Duluth Trading Women’s sub-brand will continue to represent an increasing portion of our net sales, and accordingly, we are allocating a higher percentage of our total advertising budget to the women’s sub-brand. With our Duluth Women’s Brand relaunch in 2020, our focus shifted to hands-on capable women through our WAYFORGER™ customer features and Maker’s Collection of workwear. Also, our expansion of base layer basics featuring a broadened assortment of sizes and unique fabrications establish Duluth as the Destination for Comfort. We believe that as we continue to capture share in an increasingly fragmented women’s apparel market, our business will continue to grow and be driven by solution-based products that fits the Modern, Self-Reliant American Lifestyle and will appeal to a wider range of female customers.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Omnichannel</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omnichannel business strategy allows our sales channels to work in synergy to seamlessly deliver a consistent brand experience to the customer, including consistent marketing, pricing and product presentation. All sales channels are fully integrated, including stores, website, catalogs and customer contact centers. Our omnichannel services include order-in-store, buy-online-pickup-in-store, and ship-from-store as well as retail store and mobile shopping experiences.</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Retail Store Environment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retail stores are designed to bring our brand to life by creating a unique and entertaining experience, including engaging sales associates, a compelling and complete product assortment, custom made fixtures to fit our brand, free wireless Internet and complimentary coffee and water. We also showcase unique attractions at each retail store that celebrate the heritage of the local area, such as the tool museum in our Mt. Horeb, Wisconsin store and the “Exploded Tractor” exhibit in our Ankeny, Iowa store. We believe these local community elements help promote customer loyalty and drive repeat purchases.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Our Products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 offer a comprehensive line of innovative, durable and functional casual wear, workwear and accessories for both men and women. Our product assortment includes shirts, pants, underwear, outerwear, footwear, accessories and hard goods. Our products feature proprietary designs and distinct names, such as our Longtail T® shirts, Buck Naked</w:t>
      </w:r>
      <w:r>
        <w:rPr>
          <w:rFonts w:ascii="Times New Roman;serif" w:hAnsi="Times New Roman;serif"/>
          <w:b w:val="false"/>
          <w:i w:val="false"/>
          <w:caps w:val="false"/>
          <w:smallCaps w:val="false"/>
          <w:position w:val="7"/>
          <w:sz w:val="16"/>
          <w:sz w:val="20"/>
        </w:rPr>
        <w:t>TM</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underwear, Fire Hose® work pants and No-Yank</w:t>
      </w:r>
      <w:r>
        <w:rPr>
          <w:rFonts w:ascii="Times New Roman;serif" w:hAnsi="Times New Roman;serif"/>
          <w:b w:val="false"/>
          <w:i w:val="false"/>
          <w:caps w:val="false"/>
          <w:smallCaps w:val="false"/>
          <w:position w:val="7"/>
          <w:sz w:val="16"/>
          <w:sz w:val="20"/>
        </w:rPr>
        <w:t>TM</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Tank.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stable product assortment appeals to our customers for their everyday and on-the-job use. The majority of our products represent enduring styles that go beyond short-lived fashion trends. We believe many of our customers’ purchases are driven by our thoughtful design and high quality craftsmanship, and our best-selling styles tend to be items that carry over year to year with only minor updates.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 believe the authenticity of our products is driven by a number of factors, including our solution-based design process, use of technical materials, sophisticated manufacturing methods and innovative product features. Our products are sold at competitive prices and are designed to offer superior performance with added features such as underarm panels for more freedom of movement, triple-stitched seams for durability and mid-leg utility pockets for functionality. We also collaborate with our suppliers to develop advanced fabrics that we sell under our trademarks. For example, we incorporate our Duluthflex</w:t>
      </w:r>
      <w:r>
        <w:rPr>
          <w:rFonts w:ascii="Times New Roman;serif" w:hAnsi="Times New Roman;serif"/>
          <w:b w:val="false"/>
          <w:i w:val="false"/>
          <w:caps w:val="false"/>
          <w:smallCaps w:val="false"/>
          <w:position w:val="6"/>
          <w:sz w:val="14"/>
          <w:sz w:val="17"/>
        </w:rPr>
        <w: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Fire Hose</w:t>
      </w:r>
      <w:r>
        <w:rPr>
          <w:rFonts w:ascii="Times New Roman;serif" w:hAnsi="Times New Roman;serif"/>
          <w:b w:val="false"/>
          <w:i w:val="false"/>
          <w:caps w:val="false"/>
          <w:smallCaps w:val="false"/>
          <w:position w:val="6"/>
          <w:sz w:val="14"/>
          <w:sz w:val="17"/>
        </w:rPr>
        <w: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cotton canvas into products to provide strength and abrasion resistance with stretch for freedom of movement.</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Product Development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are focused on developing apparel and gear that builds upon the Duluth Trading brand’s product heritage of “there’s gotta be a better way,” resulting in distinctive products with enhanced features. We primarily use an innovative feedback-based design process through which we actively seek the input of our customers, including a group of more than 100 products testers with expertise in the trades industry. These trades panel members have become an integral part of our product development process, as they test and evaluate select products in intense conditions, providing real-time feedback on performance and functionality. Members of our product development team also regularly read online customer product reviews, attend tradeshows and collaborate with our vendors, which facilitates new product innovation. Our product development team incorporates all of this input to develop new product solutions and features, ensure consistent fit, style and color and design functional and durable fabrics.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Marketing</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marketing strategy is designed to build brand awareness, acquire new customers, enhance customer loyalty and drive sales transactions. We are nationally known for our creative, irreverent and quirky advertising that features our Giant Angry Beaver, Buck Naked Guy and Grab-Happy Grizzly characters to showcase our brand philosophy, humor and innovation. We also feature testimonials in our marketing campaigns, which put our products in context, tying them to the individuals who represent our core customer, who leads a hands-on lifestyle, values a job well-done and is often outdoors for work and hobbies. We believe our customers identify with the inspiring stories of real men and women, recognize our products’ versatility and appreciate the extreme and demanding conditions our products can withstand.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pursue our marketing strategy through multiple forms of media, which gives our products an identity and enhances our brand:</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sz w:val="20"/>
        </w:rPr>
        <w:t>Digital and Email Marketing</w:t>
      </w:r>
      <w:r>
        <w:rPr>
          <w:rFonts w:ascii="Times New Roman;serif" w:hAnsi="Times New Roman;serif"/>
          <w:b w:val="false"/>
          <w:i w:val="false"/>
          <w:caps w:val="false"/>
          <w:smallCaps w:val="false"/>
          <w:sz w:val="20"/>
        </w:rPr>
        <w:t>. We employ a variety of digital and online advertising strategies. These efforts include display advertising, digital video advertising, search engine marketing and optimization and targeted email, which we send to customers to introduce new products and offer promotions on select merchandise.</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sz w:val="20"/>
        </w:rPr>
        <w:t>Television</w:t>
      </w:r>
      <w:r>
        <w:rPr>
          <w:rFonts w:ascii="Times New Roman;serif" w:hAnsi="Times New Roman;serif"/>
          <w:b w:val="false"/>
          <w:i w:val="false"/>
          <w:caps w:val="false"/>
          <w:smallCaps w:val="false"/>
          <w:sz w:val="20"/>
        </w:rPr>
        <w:t>. We advertise on cable and broadcast television networks to build brand awareness for both men’s and women’s products and to reach a large, national audience. These advertisements feature both our animated characters and female models, and are intended to be humorous, irreverent and quirky in order to grab the viewer’s attention, while highlighting the particularly innovative, solution-based features of our core products and the Duluth Trading name.</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sz w:val="20"/>
        </w:rPr>
        <w:t>Social Media</w:t>
      </w:r>
      <w:r>
        <w:rPr>
          <w:rFonts w:ascii="Times New Roman;serif" w:hAnsi="Times New Roman;serif"/>
          <w:b w:val="false"/>
          <w:i w:val="false"/>
          <w:caps w:val="false"/>
          <w:smallCaps w:val="false"/>
          <w:sz w:val="20"/>
        </w:rPr>
        <w:t>. We have an engaged social media community, which allows us to personally connect with our customers online, and we believe further raises brand awareness. We maintain a social media presence on Facebook, Instagram, Pinterest, YouTube and Twitter.</w:t>
      </w:r>
    </w:p>
    <w:p>
      <w:pPr>
        <w:pStyle w:val="TextBody"/>
        <w:bidi w:val="0"/>
        <w:spacing w:lineRule="auto" w:line="259"/>
        <w:rPr/>
      </w:pPr>
      <w:r>
        <w:rPr>
          <w:caps w:val="false"/>
          <w:smallCaps w:val="false"/>
        </w:rPr>
        <w:t></w:t>
      </w:r>
      <w:r>
        <w:rPr>
          <w:rFonts w:ascii="Times New Roman;serif" w:hAnsi="Times New Roman;serif"/>
          <w:b w:val="false"/>
          <w:i/>
          <w:sz w:val="20"/>
        </w:rPr>
        <w:t>Catalogs</w:t>
      </w:r>
      <w:r>
        <w:rPr>
          <w:rFonts w:ascii="Times New Roman;serif" w:hAnsi="Times New Roman;serif"/>
          <w:b w:val="false"/>
          <w:i w:val="false"/>
          <w:caps w:val="false"/>
          <w:smallCaps w:val="false"/>
          <w:sz w:val="20"/>
        </w:rPr>
        <w:t>. Our catalogs are an important part of our heritage and represent a tangible vehicle for our authentic and humorous storytelling. Our catalogs serve as an important customer acquisition tool by driving visits to our website and retail stores.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Customer Service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are committed to providing outstanding customer service and believe in treating our customers like next-door neighbors. Our retail stores are stocked with a comprehensive assortment of our products and staffed with knowledgeable and well trained sales associates. We stand behind all purchases with our “No Bull Guarantee.” Our call center is open for calls from 5 A.M. to 1 A.M. Central Time, seven days a week and is staffed with friendly, knowledgeable representatives dedicated to making every customer experience positive. As a convenience to our customers, we offer live chat through our website, which is available from 7 A.M. to 8 P.M. Central Time on weekdays and 8 A.M. to 5 P.M. Central Time on weekends.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Manufacturing</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do not own or operate any manufacturing facilities. Instead, we arrange with third-party vendors for the manufacturing of our merchandise. We have built strong, long-term relationships with our vendors. In fiscal 2020, 60% of our purchases came from our largest supplier, an agent partner in Hong Kong who manages multiple factories across Asia, including Cambodia, China, Indonesia and Vietnam. Approximately 10% of our purchases in fiscal 2020 came from our second largest supplier, which is based in Thailand. We believe sourcing inventory through these agents allows us to leverage the agents’ purchasing power with multiple factories, as well as transportation and logistics capabilities, allowing our internal team to focus on our core competencies of product development, storytelling and serving customers, rather than factory and mill management or logistics.</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sourcing strategy focuses on identifying and employing vendors that provide quality materials and fine craftsmanship that our customers expect of our brand. To ensure that our high standards of quality and timely delivery of merchandise are met, we work closely with our third-party agent partners. All of our products are produced according to our specifications, and we require all of our manufacturers to adhere to strict regulatory compliance and standards of conduct. We seek to ensure the consistent quality by employing Duluth Trading-certified factory auditors to selectively examine pre-production samples, conduct periodic site visits to certain of our vendors’ production facilities and inspect inbound shipments at our distribution centers.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Distribution Centers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operate distribution centers located in Belleville, Wisconsin and Dubuque, Iowa. We plan to open a new distribution center before the peak holiday shopping season in Salt Lake City, Utah to further expand our shipping capacity and store replenishment capabilities. The approximate square footage of each facility is included in Item 2 of Part I of this report. We also contracted with two third-party logistics (“3PLs”) centers in Sparks, Nevada and Carlisle, Pennsylvania. Our contracts with the 3PLs ended in the second quarter of fiscal 2020. Orders are generally assigned to the distribution center closest to the customer’s ship-to location.</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Returns Center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currently lease a warehouse space located in Verona, Wisconsin. The approximate square footage is included in Item 2 of Part I of this report. Our returns center handles the majority of direct-to-consumer sales returns.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Information Technology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use technology to provide customer service, business process support and business intelligence across our sales channels. We continually aim to have more efficient supply chain and distribution systems operations. Our distributed order management systems provide us with omnichannel capabilities that have a global view of available-to-promise inventory management.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Competition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operate primarily in the apparel, footwear and accessories industry, which is highly competitive. We compete with a diverse group of direct-to-consumer companies and retailers, including men’s and women’s specialty apparel chains, department stores, outdoor specialty stores, apparel catalog businesses and online apparel businesses. We compete principally on the basis of brand recognition, innovation, product quality, customer service and price. To stay ahead of our competition, we continue to develop innovative solution-based products for which we create unique selling propositions that incorporate humor and storytelling.</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Intellectual Property</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Our trademarks are important to our marketing efforts. We own or have the rights to use certain trademarks, service marks and trade names that are registered with the U.S. Patent and Trademark Office, trademark offices in other jurisdictions, or exist under common law in the United States and other jurisdictions. The “Duluth Trading Co” trade name and trademark is used both in the United States and internationally and is material to our business. Trademarks that are important in identifying and distinguishing our products and services are Alaskan Hardgear</w:t>
      </w:r>
      <w:r>
        <w:rPr>
          <w:rFonts w:ascii="Times New Roman;serif" w:hAnsi="Times New Roman;serif"/>
          <w:b w:val="false"/>
          <w:i w:val="false"/>
          <w:caps w:val="false"/>
          <w:smallCaps w:val="false"/>
          <w:position w:val="6"/>
          <w:sz w:val="14"/>
          <w:sz w:val="17"/>
        </w:rPr>
        <w:t>®</w:t>
      </w:r>
      <w:r>
        <w:rPr>
          <w:rFonts w:ascii="Times New Roman;serif" w:hAnsi="Times New Roman;serif"/>
          <w:b w:val="false"/>
          <w:i w:val="false"/>
          <w:caps w:val="false"/>
          <w:smallCaps w:val="false"/>
          <w:sz w:val="20"/>
        </w:rPr>
        <w:t>, Armachillo</w:t>
      </w:r>
      <w:r>
        <w:rPr>
          <w:rFonts w:ascii="Times New Roman;serif" w:hAnsi="Times New Roman;serif"/>
          <w:b w:val="false"/>
          <w:i w:val="false"/>
          <w:caps w:val="false"/>
          <w:smallCaps w:val="false"/>
          <w:position w:val="6"/>
          <w:sz w:val="14"/>
          <w:sz w:val="17"/>
        </w:rPr>
        <w:t>®</w:t>
      </w:r>
      <w:r>
        <w:rPr>
          <w:rFonts w:ascii="Times New Roman;serif" w:hAnsi="Times New Roman;serif"/>
          <w:b w:val="false"/>
          <w:i w:val="false"/>
          <w:caps w:val="false"/>
          <w:smallCaps w:val="false"/>
          <w:sz w:val="20"/>
        </w:rPr>
        <w:t>, Ballroom</w:t>
      </w:r>
      <w:r>
        <w:rPr>
          <w:rFonts w:ascii="Times New Roman;serif" w:hAnsi="Times New Roman;serif"/>
          <w:b w:val="false"/>
          <w:i w:val="false"/>
          <w:caps w:val="false"/>
          <w:smallCaps w:val="false"/>
          <w:position w:val="6"/>
          <w:sz w:val="14"/>
          <w:sz w:val="17"/>
        </w:rPr>
        <w:t>®</w:t>
      </w:r>
      <w:r>
        <w:rPr>
          <w:rFonts w:ascii="Times New Roman;serif" w:hAnsi="Times New Roman;serif"/>
          <w:b w:val="false"/>
          <w:i w:val="false"/>
          <w:caps w:val="false"/>
          <w:smallCaps w:val="false"/>
          <w:sz w:val="20"/>
        </w:rPr>
        <w:t>, Cab Commander</w:t>
      </w:r>
      <w:r>
        <w:rPr>
          <w:rFonts w:ascii="Times New Roman;serif" w:hAnsi="Times New Roman;serif"/>
          <w:b w:val="false"/>
          <w:i w:val="false"/>
          <w:caps w:val="false"/>
          <w:smallCaps w:val="false"/>
          <w:position w:val="6"/>
          <w:sz w:val="14"/>
          <w:sz w:val="17"/>
        </w:rPr>
        <w:t>®</w:t>
      </w:r>
      <w:r>
        <w:rPr>
          <w:rFonts w:ascii="Times New Roman;serif" w:hAnsi="Times New Roman;serif"/>
          <w:b w:val="false"/>
          <w:i w:val="false"/>
          <w:caps w:val="false"/>
          <w:smallCaps w:val="false"/>
          <w:sz w:val="20"/>
        </w:rPr>
        <w:t>, Crouch Gusset</w:t>
      </w:r>
      <w:r>
        <w:rPr>
          <w:rFonts w:ascii="Times New Roman;serif" w:hAnsi="Times New Roman;serif"/>
          <w:b w:val="false"/>
          <w:i w:val="false"/>
          <w:caps w:val="false"/>
          <w:smallCaps w:val="false"/>
          <w:position w:val="6"/>
          <w:sz w:val="14"/>
          <w:sz w:val="17"/>
        </w:rPr>
        <w:t>®</w:t>
      </w:r>
      <w:r>
        <w:rPr>
          <w:rFonts w:ascii="Times New Roman;serif" w:hAnsi="Times New Roman;serif"/>
          <w:b w:val="false"/>
          <w:i w:val="false"/>
          <w:caps w:val="false"/>
          <w:smallCaps w:val="false"/>
          <w:sz w:val="20"/>
        </w:rPr>
        <w:t>, Dry on the Fly</w:t>
      </w:r>
      <w:r>
        <w:rPr>
          <w:rFonts w:ascii="Times New Roman;serif" w:hAnsi="Times New Roman;serif"/>
          <w:b w:val="false"/>
          <w:i w:val="false"/>
          <w:caps w:val="false"/>
          <w:smallCaps w:val="false"/>
          <w:position w:val="6"/>
          <w:sz w:val="14"/>
          <w:sz w:val="17"/>
        </w:rPr>
        <w:t>®</w:t>
      </w:r>
      <w:r>
        <w:rPr>
          <w:rFonts w:ascii="Times New Roman;serif" w:hAnsi="Times New Roman;serif"/>
          <w:b w:val="false"/>
          <w:i w:val="false"/>
          <w:caps w:val="false"/>
          <w:smallCaps w:val="false"/>
          <w:sz w:val="20"/>
        </w:rPr>
        <w:t>, Duluth Trading Co</w:t>
      </w:r>
      <w:r>
        <w:rPr>
          <w:rFonts w:ascii="Times New Roman;serif" w:hAnsi="Times New Roman;serif"/>
          <w:b w:val="false"/>
          <w:i w:val="false"/>
          <w:caps w:val="false"/>
          <w:smallCaps w:val="false"/>
          <w:position w:val="6"/>
          <w:sz w:val="14"/>
          <w:sz w:val="17"/>
        </w:rPr>
        <w:t>®</w:t>
      </w:r>
      <w:r>
        <w:rPr>
          <w:rFonts w:ascii="Times New Roman;serif" w:hAnsi="Times New Roman;serif"/>
          <w:b w:val="false"/>
          <w:i w:val="false"/>
          <w:caps w:val="false"/>
          <w:smallCaps w:val="false"/>
          <w:sz w:val="20"/>
        </w:rPr>
        <w:t>, Duluthflex</w:t>
      </w:r>
      <w:r>
        <w:rPr>
          <w:rFonts w:ascii="Times New Roman;serif" w:hAnsi="Times New Roman;serif"/>
          <w:b w:val="false"/>
          <w:i w:val="false"/>
          <w:caps w:val="false"/>
          <w:smallCaps w:val="false"/>
          <w:position w:val="6"/>
          <w:sz w:val="14"/>
          <w:sz w:val="17"/>
        </w:rPr>
        <w:t>®</w:t>
      </w:r>
      <w:r>
        <w:rPr>
          <w:rFonts w:ascii="Times New Roman;serif" w:hAnsi="Times New Roman;serif"/>
          <w:b w:val="false"/>
          <w:i w:val="false"/>
          <w:caps w:val="false"/>
          <w:smallCaps w:val="false"/>
          <w:sz w:val="20"/>
        </w:rPr>
        <w:t>, Fire Hose</w:t>
      </w:r>
      <w:r>
        <w:rPr>
          <w:rFonts w:ascii="Times New Roman;serif" w:hAnsi="Times New Roman;serif"/>
          <w:b w:val="false"/>
          <w:i w:val="false"/>
          <w:caps w:val="false"/>
          <w:smallCaps w:val="false"/>
          <w:position w:val="6"/>
          <w:sz w:val="14"/>
          <w:sz w:val="17"/>
        </w:rPr>
        <w:t>®</w:t>
      </w:r>
      <w:r>
        <w:rPr>
          <w:rFonts w:ascii="Times New Roman;serif" w:hAnsi="Times New Roman;serif"/>
          <w:b w:val="false"/>
          <w:i w:val="false"/>
          <w:caps w:val="false"/>
          <w:smallCaps w:val="false"/>
          <w:sz w:val="20"/>
        </w:rPr>
        <w:t>, Longtail T</w:t>
      </w:r>
      <w:r>
        <w:rPr>
          <w:rFonts w:ascii="Times New Roman;serif" w:hAnsi="Times New Roman;serif"/>
          <w:b w:val="false"/>
          <w:i w:val="false"/>
          <w:caps w:val="false"/>
          <w:smallCaps w:val="false"/>
          <w:position w:val="6"/>
          <w:sz w:val="14"/>
          <w:sz w:val="17"/>
        </w:rPr>
        <w:t>®</w:t>
      </w:r>
      <w:r>
        <w:rPr>
          <w:rFonts w:ascii="Times New Roman;serif" w:hAnsi="Times New Roman;serif"/>
          <w:b w:val="false"/>
          <w:i w:val="false"/>
          <w:caps w:val="false"/>
          <w:smallCaps w:val="false"/>
          <w:sz w:val="20"/>
        </w:rPr>
        <w:t>, No Polo Shirt</w:t>
      </w:r>
      <w:r>
        <w:rPr>
          <w:rFonts w:ascii="Times New Roman;serif" w:hAnsi="Times New Roman;serif"/>
          <w:b w:val="false"/>
          <w:i w:val="false"/>
          <w:caps w:val="false"/>
          <w:smallCaps w:val="false"/>
          <w:position w:val="6"/>
          <w:sz w:val="14"/>
          <w:sz w:val="17"/>
        </w:rPr>
        <w:t>®</w:t>
      </w:r>
      <w:r>
        <w:rPr>
          <w:rFonts w:ascii="Times New Roman;serif" w:hAnsi="Times New Roman;serif"/>
          <w:b w:val="false"/>
          <w:i w:val="false"/>
          <w:caps w:val="false"/>
          <w:smallCaps w:val="false"/>
          <w:sz w:val="20"/>
        </w:rPr>
        <w:t>, No Yank</w:t>
      </w:r>
      <w:r>
        <w:rPr>
          <w:rFonts w:ascii="Times New Roman;serif" w:hAnsi="Times New Roman;serif"/>
          <w:b w:val="false"/>
          <w:i w:val="false"/>
          <w:caps w:val="false"/>
          <w:smallCaps w:val="false"/>
          <w:position w:val="6"/>
          <w:sz w:val="14"/>
          <w:sz w:val="17"/>
        </w:rPr>
        <w: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Wild Boar Mocs</w:t>
      </w:r>
      <w:r>
        <w:rPr>
          <w:rFonts w:ascii="Times New Roman;serif" w:hAnsi="Times New Roman;serif"/>
          <w:b w:val="false"/>
          <w:i w:val="false"/>
          <w:caps w:val="false"/>
          <w:smallCaps w:val="false"/>
          <w:position w:val="6"/>
          <w:sz w:val="14"/>
          <w:sz w:val="17"/>
        </w:rPr>
        <w:t>®</w:t>
      </w:r>
      <w:r>
        <w:rPr>
          <w:rFonts w:ascii="Times New Roman;serif" w:hAnsi="Times New Roman;serif"/>
          <w:b w:val="false"/>
          <w:i w:val="false"/>
          <w:caps w:val="false"/>
          <w:smallCaps w:val="false"/>
          <w:sz w:val="20"/>
        </w:rPr>
        <w:t>. Our rights to some of these trademarks may be limited to select markets. We also own domain names, including “duluthtrading.com.”</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Employees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January 31, 2021, we employed 1,030 full-time and 1,947 part-time and flexible part-time employees, 1,630 of which were employed at our retail stores. The number of employees, particularly part-time employees, fluctuates depending upon seasonal needs. Our employees are not represented by a labor union and are not party to a collective bargaining agreement. We consider our relations with our employees to be good.</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Seasonality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business experiences seasonal fluctuations. Our net sales and net income are generally highest in the fourth fiscal quarter, which includes the holiday sales period. The following table presents net sales and net income for the fourth quarter as a percentage of the fiscal year.</w:t>
      </w:r>
    </w:p>
    <w:tbl>
      <w:tblPr>
        <w:tblW w:w="6169" w:type="dxa"/>
        <w:jc w:val="left"/>
        <w:tblInd w:w="0" w:type="dxa"/>
        <w:tblCellMar>
          <w:top w:w="0" w:type="dxa"/>
          <w:left w:w="0" w:type="dxa"/>
          <w:bottom w:w="0" w:type="dxa"/>
          <w:right w:w="0" w:type="dxa"/>
        </w:tblCellMar>
      </w:tblPr>
      <w:tblGrid>
        <w:gridCol w:w="1126"/>
        <w:gridCol w:w="109"/>
        <w:gridCol w:w="211"/>
        <w:gridCol w:w="781"/>
        <w:gridCol w:w="109"/>
        <w:gridCol w:w="826"/>
        <w:gridCol w:w="479"/>
        <w:gridCol w:w="109"/>
        <w:gridCol w:w="221"/>
        <w:gridCol w:w="709"/>
        <w:gridCol w:w="109"/>
        <w:gridCol w:w="889"/>
        <w:gridCol w:w="491"/>
      </w:tblGrid>
      <w:tr>
        <w:trPr/>
        <w:tc>
          <w:tcPr>
            <w:tcW w:w="11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826" w:type="dxa"/>
            <w:tcBorders/>
            <w:shd w:fill="FFFFFF" w:val="clear"/>
            <w:vAlign w:val="center"/>
          </w:tcPr>
          <w:p>
            <w:pPr>
              <w:pStyle w:val="TableContents"/>
              <w:spacing w:before="0" w:after="283"/>
              <w:rPr>
                <w:sz w:val="4"/>
                <w:szCs w:val="4"/>
              </w:rPr>
            </w:pPr>
            <w:r>
              <w:rPr>
                <w:sz w:val="4"/>
                <w:szCs w:val="4"/>
              </w:rPr>
            </w:r>
          </w:p>
        </w:tc>
        <w:tc>
          <w:tcPr>
            <w:tcW w:w="47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1" w:type="dxa"/>
            <w:tcBorders/>
            <w:shd w:fill="FFFFFF" w:val="clear"/>
            <w:vAlign w:val="center"/>
          </w:tcPr>
          <w:p>
            <w:pPr>
              <w:pStyle w:val="TableContents"/>
              <w:spacing w:before="0" w:after="283"/>
              <w:rPr>
                <w:sz w:val="4"/>
                <w:szCs w:val="4"/>
              </w:rPr>
            </w:pPr>
            <w:r>
              <w:rPr>
                <w:sz w:val="4"/>
                <w:szCs w:val="4"/>
              </w:rPr>
            </w:r>
          </w:p>
        </w:tc>
        <w:tc>
          <w:tcPr>
            <w:tcW w:w="70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889" w:type="dxa"/>
            <w:tcBorders/>
            <w:shd w:fill="FFFFFF" w:val="clear"/>
            <w:vAlign w:val="center"/>
          </w:tcPr>
          <w:p>
            <w:pPr>
              <w:pStyle w:val="TableContents"/>
              <w:spacing w:before="0" w:after="283"/>
              <w:rPr>
                <w:sz w:val="4"/>
                <w:szCs w:val="4"/>
              </w:rPr>
            </w:pPr>
            <w:r>
              <w:rPr>
                <w:sz w:val="4"/>
                <w:szCs w:val="4"/>
              </w:rPr>
            </w:r>
          </w:p>
        </w:tc>
        <w:tc>
          <w:tcPr>
            <w:tcW w:w="491" w:type="dxa"/>
            <w:tcBorders/>
            <w:shd w:fill="FFFFFF" w:val="clear"/>
            <w:vAlign w:val="center"/>
          </w:tcPr>
          <w:p>
            <w:pPr>
              <w:pStyle w:val="TableContents"/>
              <w:spacing w:before="0" w:after="283"/>
              <w:rPr>
                <w:sz w:val="4"/>
                <w:szCs w:val="4"/>
              </w:rPr>
            </w:pPr>
            <w:r>
              <w:rPr>
                <w:sz w:val="4"/>
                <w:szCs w:val="4"/>
              </w:rPr>
            </w:r>
          </w:p>
        </w:tc>
      </w:tr>
      <w:tr>
        <w:trPr/>
        <w:tc>
          <w:tcPr>
            <w:tcW w:w="11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992"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4Q </w:t>
            </w:r>
          </w:p>
        </w:tc>
        <w:tc>
          <w:tcPr>
            <w:tcW w:w="109" w:type="dxa"/>
            <w:tcBorders/>
            <w:shd w:fill="FFFFFF" w:val="clear"/>
            <w:vAlign w:val="center"/>
          </w:tcPr>
          <w:p>
            <w:pPr>
              <w:pStyle w:val="TableContents"/>
              <w:spacing w:before="0" w:after="283"/>
              <w:rPr>
                <w:sz w:val="4"/>
                <w:szCs w:val="4"/>
              </w:rPr>
            </w:pPr>
            <w:r>
              <w:rPr>
                <w:sz w:val="4"/>
                <w:szCs w:val="4"/>
              </w:rPr>
            </w:r>
          </w:p>
        </w:tc>
        <w:tc>
          <w:tcPr>
            <w:tcW w:w="1305"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4Q Net Sales</w:t>
            </w:r>
          </w:p>
        </w:tc>
        <w:tc>
          <w:tcPr>
            <w:tcW w:w="109" w:type="dxa"/>
            <w:tcBorders/>
            <w:shd w:fill="FFFFFF" w:val="clear"/>
            <w:vAlign w:val="center"/>
          </w:tcPr>
          <w:p>
            <w:pPr>
              <w:pStyle w:val="TableContents"/>
              <w:spacing w:before="0" w:after="283"/>
              <w:rPr>
                <w:sz w:val="4"/>
                <w:szCs w:val="4"/>
              </w:rPr>
            </w:pPr>
            <w:r>
              <w:rPr>
                <w:sz w:val="4"/>
                <w:szCs w:val="4"/>
              </w:rPr>
            </w:r>
          </w:p>
        </w:tc>
        <w:tc>
          <w:tcPr>
            <w:tcW w:w="93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4Q </w:t>
            </w:r>
          </w:p>
        </w:tc>
        <w:tc>
          <w:tcPr>
            <w:tcW w:w="109" w:type="dxa"/>
            <w:tcBorders/>
            <w:shd w:fill="FFFFFF" w:val="clear"/>
            <w:vAlign w:val="center"/>
          </w:tcPr>
          <w:p>
            <w:pPr>
              <w:pStyle w:val="TableContents"/>
              <w:spacing w:before="0" w:after="283"/>
              <w:rPr>
                <w:sz w:val="4"/>
                <w:szCs w:val="4"/>
              </w:rPr>
            </w:pPr>
            <w:r>
              <w:rPr>
                <w:sz w:val="4"/>
                <w:szCs w:val="4"/>
              </w:rPr>
            </w:r>
          </w:p>
        </w:tc>
        <w:tc>
          <w:tcPr>
            <w:tcW w:w="138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4Q Net Income</w:t>
            </w:r>
          </w:p>
        </w:tc>
      </w:tr>
      <w:tr>
        <w:trPr/>
        <w:tc>
          <w:tcPr>
            <w:tcW w:w="112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Fiscal Year</w:t>
            </w:r>
          </w:p>
        </w:tc>
        <w:tc>
          <w:tcPr>
            <w:tcW w:w="109" w:type="dxa"/>
            <w:tcBorders/>
            <w:shd w:fill="FFFFFF" w:val="clear"/>
            <w:vAlign w:val="center"/>
          </w:tcPr>
          <w:p>
            <w:pPr>
              <w:pStyle w:val="TableContents"/>
              <w:spacing w:before="0" w:after="283"/>
              <w:rPr>
                <w:sz w:val="4"/>
                <w:szCs w:val="4"/>
              </w:rPr>
            </w:pPr>
            <w:r>
              <w:rPr>
                <w:sz w:val="4"/>
                <w:szCs w:val="4"/>
              </w:rPr>
            </w:r>
          </w:p>
        </w:tc>
        <w:tc>
          <w:tcPr>
            <w:tcW w:w="99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Net Sales</w:t>
            </w:r>
          </w:p>
        </w:tc>
        <w:tc>
          <w:tcPr>
            <w:tcW w:w="109" w:type="dxa"/>
            <w:tcBorders/>
            <w:shd w:fill="FFFFFF" w:val="clear"/>
            <w:vAlign w:val="center"/>
          </w:tcPr>
          <w:p>
            <w:pPr>
              <w:pStyle w:val="TableContents"/>
              <w:spacing w:before="0" w:after="283"/>
              <w:rPr>
                <w:sz w:val="4"/>
                <w:szCs w:val="4"/>
              </w:rPr>
            </w:pPr>
            <w:r>
              <w:rPr>
                <w:sz w:val="4"/>
                <w:szCs w:val="4"/>
              </w:rPr>
            </w:r>
          </w:p>
        </w:tc>
        <w:tc>
          <w:tcPr>
            <w:tcW w:w="130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of Fiscal year</w:t>
            </w:r>
          </w:p>
        </w:tc>
        <w:tc>
          <w:tcPr>
            <w:tcW w:w="109" w:type="dxa"/>
            <w:tcBorders/>
            <w:shd w:fill="FFFFFF" w:val="clear"/>
            <w:vAlign w:val="center"/>
          </w:tcPr>
          <w:p>
            <w:pPr>
              <w:pStyle w:val="TableContents"/>
              <w:spacing w:before="0" w:after="283"/>
              <w:rPr>
                <w:sz w:val="4"/>
                <w:szCs w:val="4"/>
              </w:rPr>
            </w:pPr>
            <w:r>
              <w:rPr>
                <w:sz w:val="4"/>
                <w:szCs w:val="4"/>
              </w:rPr>
            </w:r>
          </w:p>
        </w:tc>
        <w:tc>
          <w:tcPr>
            <w:tcW w:w="93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Net Income</w:t>
            </w:r>
          </w:p>
        </w:tc>
        <w:tc>
          <w:tcPr>
            <w:tcW w:w="109" w:type="dxa"/>
            <w:tcBorders/>
            <w:shd w:fill="FFFFFF" w:val="clear"/>
            <w:vAlign w:val="center"/>
          </w:tcPr>
          <w:p>
            <w:pPr>
              <w:pStyle w:val="TableContents"/>
              <w:spacing w:before="0" w:after="283"/>
              <w:rPr>
                <w:sz w:val="4"/>
                <w:szCs w:val="4"/>
              </w:rPr>
            </w:pPr>
            <w:r>
              <w:rPr>
                <w:sz w:val="4"/>
                <w:szCs w:val="4"/>
              </w:rPr>
            </w:r>
          </w:p>
        </w:tc>
        <w:tc>
          <w:tcPr>
            <w:tcW w:w="138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of Fiscal Year</w:t>
            </w:r>
          </w:p>
        </w:tc>
      </w:tr>
      <w:tr>
        <w:trPr/>
        <w:tc>
          <w:tcPr>
            <w:tcW w:w="1126" w:type="dxa"/>
            <w:tcBorders>
              <w:top w:val="single" w:sz="8" w:space="0" w:color="000000"/>
            </w:tcBorders>
            <w:shd w:fill="FFFFFF" w:val="clear"/>
            <w:tcMar>
              <w:top w:w="28" w:type="dxa"/>
            </w:tcMar>
            <w:vAlign w:val="center"/>
          </w:tcPr>
          <w:p>
            <w:pPr>
              <w:pStyle w:val="TableContents"/>
              <w:bidi w:val="0"/>
              <w:spacing w:lineRule="auto" w:line="259" w:before="0" w:after="283"/>
              <w:rPr>
                <w:rFonts w:ascii="Times New Roman;serif" w:hAnsi="Times New Roman;serif"/>
                <w:b w:val="false"/>
                <w:i/>
                <w:sz w:val="16"/>
              </w:rPr>
            </w:pPr>
            <w:r>
              <w:rPr>
                <w:rFonts w:ascii="Times New Roman;serif" w:hAnsi="Times New Roman;serif"/>
                <w:b w:val="false"/>
                <w:i/>
                <w:sz w:val="16"/>
              </w:rPr>
              <w:t>(in thousands)</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8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82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47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88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49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11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2020</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255,960</w:t>
            </w:r>
          </w:p>
        </w:tc>
        <w:tc>
          <w:tcPr>
            <w:tcW w:w="109" w:type="dxa"/>
            <w:tcBorders/>
            <w:shd w:fill="CCEEFF" w:val="clear"/>
            <w:vAlign w:val="center"/>
          </w:tcPr>
          <w:p>
            <w:pPr>
              <w:pStyle w:val="TableContents"/>
              <w:spacing w:before="0" w:after="283"/>
              <w:rPr>
                <w:sz w:val="4"/>
                <w:szCs w:val="4"/>
              </w:rPr>
            </w:pPr>
            <w:r>
              <w:rPr>
                <w:sz w:val="4"/>
                <w:szCs w:val="4"/>
              </w:rPr>
            </w:r>
          </w:p>
        </w:tc>
        <w:tc>
          <w:tcPr>
            <w:tcW w:w="8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40.1</w:t>
            </w:r>
          </w:p>
        </w:tc>
        <w:tc>
          <w:tcPr>
            <w:tcW w:w="47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spacing w:before="0" w:after="283"/>
              <w:rPr>
                <w:sz w:val="4"/>
                <w:szCs w:val="4"/>
              </w:rPr>
            </w:pPr>
            <w:r>
              <w:rPr>
                <w:sz w:val="4"/>
                <w:szCs w:val="4"/>
              </w:rPr>
            </w:r>
          </w:p>
        </w:tc>
        <w:tc>
          <w:tcPr>
            <w:tcW w:w="2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0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21,831</w:t>
            </w:r>
          </w:p>
        </w:tc>
        <w:tc>
          <w:tcPr>
            <w:tcW w:w="109" w:type="dxa"/>
            <w:tcBorders/>
            <w:shd w:fill="CCEEFF" w:val="clear"/>
            <w:vAlign w:val="center"/>
          </w:tcPr>
          <w:p>
            <w:pPr>
              <w:pStyle w:val="TableContents"/>
              <w:spacing w:before="0" w:after="283"/>
              <w:rPr>
                <w:sz w:val="4"/>
                <w:szCs w:val="4"/>
              </w:rPr>
            </w:pPr>
            <w:r>
              <w:rPr>
                <w:sz w:val="4"/>
                <w:szCs w:val="4"/>
              </w:rPr>
            </w:r>
          </w:p>
        </w:tc>
        <w:tc>
          <w:tcPr>
            <w:tcW w:w="88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160.8</w:t>
            </w:r>
          </w:p>
        </w:tc>
        <w:tc>
          <w:tcPr>
            <w:tcW w:w="4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12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2019</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8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259,649</w:t>
            </w:r>
          </w:p>
        </w:tc>
        <w:tc>
          <w:tcPr>
            <w:tcW w:w="109"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42.2</w:t>
            </w:r>
          </w:p>
        </w:tc>
        <w:tc>
          <w:tcPr>
            <w:tcW w:w="479"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09"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24,375</w:t>
            </w:r>
          </w:p>
        </w:tc>
        <w:tc>
          <w:tcPr>
            <w:tcW w:w="109"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128.8</w:t>
            </w:r>
          </w:p>
        </w:tc>
        <w:tc>
          <w:tcPr>
            <w:tcW w:w="49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bl>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Regulation and Legislation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are subject to labor and employment laws, truth-in-advertising laws, privacy laws, safety regulations, consumer protection regulations and other laws that regulate retailers and govern the promotion and sale of merchandise and the operation of stores and warehouse facilities. We monitor changes in these laws and believe that we are in material compliance with applicable laws.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Available Information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Our Annual Reports on Form 10-K, Quarterly Reports on Form 10-Q, Current Reports on Form 8-K and amendments to reports filed pursuant to Sections 13(a) and 15(d) of the Securities Exchange Act of 1934, as amended (the “Exchange Act”), are made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available free of charge on or through our website at www.duluthtrading.com under the “Investors” tab as soon as reasonably practicable after such reports are filed with, or furnished to the SEC. </w:t>
      </w:r>
      <w:bookmarkStart w:id="4" w:name="_Hlk35516661"/>
      <w:bookmarkEnd w:id="4"/>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Additional Information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March 2020, a novel strain of coronavirus (“COVID-19”) was declared a global pandemic by the World Health Organization. This pandemic has negatively affected the U.S. and global economies, disrupted global supply chains and financial markets, led to significant travel and transportation restrictions, including mandatory business closures and orders to shelter in place. The Company has focused on protecting the health and safety of our employees, customers and suppliers, working with our customers, landlords, suppliers and vendors to minimize potential disruptions and supporting our community, while managing our business in these unprecedented times. All retail stores were temporarily closed beginning March 20, 2020 and began re-opening the first week of May through the third week of June. All of our retail stores are open, but prolonged COVID-19 safety concerns have kept store traffic at subdued levels.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ultimate impact of COVID-19 on our operational and financial performance still depends on future developments outside of our control, including the duration and spread of the pandemic and related actions taken by federal, state and local government officials, international governments to prevent disease spread, and the availability, safety and efficiency of a vaccine. We continue to actively evaluate all federal, state and local regulations to ensure compliance with store operations.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tbl>
      <w:tblPr>
        <w:tblW w:w="2490" w:type="dxa"/>
        <w:jc w:val="left"/>
        <w:tblInd w:w="0" w:type="dxa"/>
        <w:tblCellMar>
          <w:top w:w="0" w:type="dxa"/>
          <w:left w:w="0" w:type="dxa"/>
          <w:bottom w:w="0" w:type="dxa"/>
          <w:right w:w="0" w:type="dxa"/>
        </w:tblCellMar>
      </w:tblPr>
      <w:tblGrid>
        <w:gridCol w:w="960"/>
        <w:gridCol w:w="1530"/>
      </w:tblGrid>
      <w:tr>
        <w:trPr/>
        <w:tc>
          <w:tcPr>
            <w:tcW w:w="960" w:type="dxa"/>
            <w:tcBorders/>
            <w:shd w:fill="auto" w:val="clear"/>
            <w:vAlign w:val="center"/>
          </w:tcPr>
          <w:p>
            <w:pPr>
              <w:pStyle w:val="TableContents"/>
              <w:spacing w:before="0" w:after="283"/>
              <w:rPr>
                <w:sz w:val="4"/>
                <w:szCs w:val="4"/>
              </w:rPr>
            </w:pPr>
            <w:r>
              <w:rPr>
                <w:sz w:val="4"/>
                <w:szCs w:val="4"/>
              </w:rPr>
            </w:r>
          </w:p>
        </w:tc>
        <w:tc>
          <w:tcPr>
            <w:tcW w:w="1530" w:type="dxa"/>
            <w:tcBorders/>
            <w:shd w:fill="auto" w:val="clear"/>
            <w:vAlign w:val="center"/>
          </w:tcPr>
          <w:p>
            <w:pPr>
              <w:pStyle w:val="TableContents"/>
              <w:spacing w:before="0" w:after="283"/>
              <w:rPr>
                <w:sz w:val="4"/>
                <w:szCs w:val="4"/>
              </w:rPr>
            </w:pPr>
            <w:r>
              <w:rPr>
                <w:sz w:val="4"/>
                <w:szCs w:val="4"/>
              </w:rPr>
            </w:r>
          </w:p>
        </w:tc>
      </w:tr>
      <w:tr>
        <w:trPr/>
        <w:tc>
          <w:tcPr>
            <w:tcW w:w="960" w:type="dxa"/>
            <w:tcBorders/>
            <w:shd w:fill="auto" w:val="clear"/>
            <w:vAlign w:val="center"/>
          </w:tcPr>
          <w:p>
            <w:pPr>
              <w:pStyle w:val="TableContents"/>
              <w:bidi w:val="0"/>
              <w:spacing w:lineRule="auto" w:line="259" w:before="0" w:after="22"/>
              <w:ind w:left="0" w:right="29" w:hanging="0"/>
              <w:jc w:val="left"/>
              <w:rPr>
                <w:rFonts w:ascii="Times New Roman;serif" w:hAnsi="Times New Roman;serif"/>
                <w:sz w:val="20"/>
              </w:rPr>
            </w:pPr>
            <w:r>
              <w:rPr>
                <w:rFonts w:ascii="Times New Roman;serif" w:hAnsi="Times New Roman;serif"/>
                <w:b w:val="false"/>
                <w:i w:val="false"/>
                <w:caps w:val="false"/>
                <w:smallCaps w:val="false"/>
                <w:color w:val="000000"/>
                <w:sz w:val="20"/>
              </w:rPr>
              <w:t>ITE</w:t>
            </w:r>
            <w:bookmarkStart w:id="5" w:name="Item1ARiskFactors"/>
            <w:bookmarkEnd w:id="5"/>
            <w:r>
              <w:rPr>
                <w:rFonts w:ascii="Times New Roman;serif" w:hAnsi="Times New Roman;serif"/>
                <w:b w:val="false"/>
                <w:i w:val="false"/>
                <w:caps w:val="false"/>
                <w:smallCaps w:val="false"/>
                <w:color w:val="000000"/>
                <w:sz w:val="20"/>
              </w:rPr>
              <w:t>M 1A.</w:t>
            </w:r>
          </w:p>
        </w:tc>
        <w:tc>
          <w:tcPr>
            <w:tcW w:w="1530" w:type="dxa"/>
            <w:tcBorders/>
            <w:shd w:fill="auto" w:val="clear"/>
            <w:vAlign w:val="center"/>
          </w:tcPr>
          <w:p>
            <w:pPr>
              <w:pStyle w:val="TableContents"/>
              <w:bidi w:val="0"/>
              <w:spacing w:lineRule="auto" w:line="259" w:before="0" w:after="22"/>
              <w:ind w:left="0" w:right="29"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RISK FACTORS</w:t>
            </w:r>
          </w:p>
        </w:tc>
      </w:tr>
    </w:tbl>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Certain factors may have a material adverse effect on our business, financial condition and results of operations. You should consider carefully the risks and uncertainties described below, in addition to other information contained in this Annual Report on Form 10-K, including our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Class B common stock could decline, and you could lose part or all of your investment.</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Risks Related to the COVID-19 Global Pandemic</w:t>
      </w:r>
    </w:p>
    <w:p>
      <w:pPr>
        <w:pStyle w:val="TextBody"/>
        <w:shd w:fill="FFFFFF" w:val="clear"/>
        <w:bidi w:val="0"/>
        <w:spacing w:lineRule="auto" w:line="259"/>
        <w:ind w:left="0" w:right="0" w:firstLine="288"/>
        <w:jc w:val="both"/>
        <w:rPr>
          <w:rFonts w:ascii="Times New Roman;serif" w:hAnsi="Times New Roman;serif"/>
          <w:b/>
          <w:i/>
          <w:color w:val="000000"/>
          <w:sz w:val="20"/>
        </w:rPr>
      </w:pPr>
      <w:r>
        <w:rPr>
          <w:rFonts w:ascii="Times New Roman;serif" w:hAnsi="Times New Roman;serif"/>
          <w:b/>
          <w:i/>
          <w:color w:val="000000"/>
          <w:sz w:val="20"/>
        </w:rPr>
        <w:t>The Coronavirus pandemic may continue to adversely affect our business operations, store traffic, employee availability, financial condition, liquidity, and cash flow for an extended period of time.</w:t>
      </w:r>
    </w:p>
    <w:p>
      <w:pPr>
        <w:pStyle w:val="TextBody"/>
        <w:shd w:fill="FFFFFF" w:val="clear"/>
        <w:bidi w:val="0"/>
        <w:spacing w:lineRule="auto" w:line="259"/>
        <w:ind w:left="0" w:right="0" w:firstLine="49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outbreak of the Coronavirus (“COVID-19”) continues to affect our business operations and it is impossible to predict the effect and ultimate impact of the COVID-19 pandemic as the situation is rapidly evolving. </w:t>
      </w:r>
    </w:p>
    <w:p>
      <w:pPr>
        <w:pStyle w:val="TextBody"/>
        <w:shd w:fill="FFFFFF" w:val="clear"/>
        <w:bidi w:val="0"/>
        <w:spacing w:lineRule="auto" w:line="259"/>
        <w:ind w:left="0" w:right="0" w:firstLine="49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As the pandemic continues, consumer fear about becoming ill with the virus and recommendations and/or mandates from federal, state and local authorities to avoid large gatherings of people or self-quarantine may continue to increase, which may continue to adversely affect traffic to our stores, result in further reduced store hours or result in store closures. Ongoing significant reductions in customer visits to, and spending at, our stores caused by COVID-19 would result in further loss of retail store sales and profits and other material adverse effects. The extent of the impact of COVID-19 on our business, financial results, liquidity and cash flows will depend largely on future developments, including the effectiveness and rollout timing of the vaccine, new information that may emerge concerning the severity and action taken to contain or prevent further spread within the U.S. and the related impact on consumer confidence and spending, all of which are highly uncertain and cannot be predicted.</w:t>
      </w:r>
    </w:p>
    <w:p>
      <w:pPr>
        <w:pStyle w:val="TextBody"/>
        <w:shd w:fill="FFFFFF" w:val="clear"/>
        <w:bidi w:val="0"/>
        <w:spacing w:lineRule="auto" w:line="259"/>
        <w:ind w:left="0" w:right="0" w:firstLine="49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These and other potential impacts of COVID-19, could therefore materially and adversely affect our business, financial condition and results of operations.</w:t>
      </w:r>
    </w:p>
    <w:p>
      <w:pPr>
        <w:pStyle w:val="TextBody"/>
        <w:shd w:fill="FFFFFF" w:val="clear"/>
        <w:bidi w:val="0"/>
        <w:spacing w:lineRule="auto" w:line="259"/>
        <w:ind w:left="0" w:right="0" w:firstLine="49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Strategic Risks</w:t>
      </w:r>
    </w:p>
    <w:p>
      <w:pPr>
        <w:pStyle w:val="TextBody"/>
        <w:bidi w:val="0"/>
        <w:spacing w:lineRule="auto" w:line="259"/>
        <w:rPr>
          <w:rFonts w:ascii="Times New Roman;serif" w:hAnsi="Times New Roman;serif"/>
          <w:b/>
          <w:i/>
          <w:sz w:val="20"/>
        </w:rPr>
      </w:pPr>
      <w:r>
        <w:rPr>
          <w:rFonts w:ascii="Times New Roman;serif" w:hAnsi="Times New Roman;serif"/>
          <w:b/>
          <w:i/>
          <w:sz w:val="20"/>
        </w:rPr>
        <w:t xml:space="preserve">If we fail to offer products that customers want to purchase, our business and results of operations could be adversely affected.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products must satisfy the desires of customers, whose preferences change over time. In order to be successful, we must design, obtain and offer to customers innovative and high-quality products on a continuous and timely basis. Failure to effectively respond to customer needs and preferences, or convey a compelling brand image or price-to-value equation to customers may result in lower net sales and gross profit margins.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success depends in part on management’s ability to effectively anticipate or identify customer needs and preferences and respond quickly with marketable product offerings in advance of the actual time of sale to the customer. Even if we are successful in anticipating or identifying our customers’ needs and preferences, we must continue to develop and introduce innovative, high-quality products and product features in response to changing consumer demand.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Factors that could affect our ability to accurately forecast consumer demand for our products include:</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 xml:space="preserve">a failure in our solution-based design process to accurately identify the problems our customers are experiencing with commonly available apparel and gear or a lack of customer acceptance of new products or product features we design; </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customer unwillingness to attribute premium value to our new products or product features we design relative to the commonly available apparel and gear they were intended to replace;</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new, well-received product introductions by competitors;</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weak economic conditions or consumer confidence, which reduce demand for our products;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terrorism, civil unrest or acts of war, or the threat thereof, which adversely affect consumer confidence and spending and/or interrupt production and distribution of products and raw materials.</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 can be no assurance that we will be able to successfully anticipate or identify our customers’ needs and preferences and design products and product features in response. These risks could have a material adverse effect on our brand as well as our results of operations and financial condition.</w:t>
      </w:r>
    </w:p>
    <w:p>
      <w:pPr>
        <w:pStyle w:val="TextBody"/>
        <w:bidi w:val="0"/>
        <w:spacing w:lineRule="auto" w:line="259"/>
        <w:rPr>
          <w:rFonts w:ascii="Times New Roman;serif" w:hAnsi="Times New Roman;serif"/>
          <w:b/>
          <w:i/>
          <w:sz w:val="20"/>
        </w:rPr>
      </w:pPr>
      <w:r>
        <w:rPr>
          <w:rFonts w:ascii="Times New Roman;serif" w:hAnsi="Times New Roman;serif"/>
          <w:b/>
          <w:i/>
          <w:sz w:val="20"/>
        </w:rPr>
        <w:t>Our business depends on our ability to maintain strong brands and sub-brands. We may not be able to maintain and enhance the Duluth Trading brands if we receive unfavorable complaints, negative publicity or otherwise fail to live up to consumers’ expectations, which could materially adversely affect our business, results of operations and growth prospects.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currently offer a differentiated brand to our customers defined by solution-based products manufactured with high quality craftsmanship, humorous and distinctive marketing, and an outstanding customer experience. Maintaining and enhancing the Duluth Trading brand is critical to expanding our base of customers. If we fail to maintain our brand, or if we incur excessive expenses in this effort, our business, operating results and financial condition may be materially adversely affected. We anticipate that, as we raise our profile nationally and attract an increasing amount of competition, maintaining and enhancing our brand may become increasingly difficult and expensive and may require us to make substantial additional investments in areas such as marketing, store operations, merchandising, technology and personnel.</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Customer complaints or negative reactions to, or unfavorable publicity about, our product quality or product features, our storytelling or irreverent advertising, the shopping experience on our website or in our retail stores, product delivery times, customer data privacy and security practices or customer support, especially on blogs, social media, other third-party websites and our website, could rapidly and severely diminish consumer use of our website and catalogs, visits to our retail stores and consumer confidence in us and result in harm to our brand. Furthermore, these factors could cause our customers to no longer feel a personal connection with the Duluth Trading brand, which could result in the loss of customers and materially adversely affect our business, results of operations and growth prospects.</w:t>
      </w:r>
    </w:p>
    <w:p>
      <w:pPr>
        <w:pStyle w:val="TextBody"/>
        <w:bidi w:val="0"/>
        <w:spacing w:lineRule="auto" w:line="259"/>
        <w:rPr>
          <w:rFonts w:ascii="Times New Roman;serif" w:hAnsi="Times New Roman;serif"/>
          <w:b/>
          <w:i/>
          <w:sz w:val="20"/>
        </w:rPr>
      </w:pPr>
      <w:r>
        <w:rPr>
          <w:rFonts w:ascii="Times New Roman;serif" w:hAnsi="Times New Roman;serif"/>
          <w:b/>
          <w:i/>
          <w:sz w:val="20"/>
        </w:rPr>
        <w:t>We may face risks and new challenges associated with our geographic expansion.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expansion into new geographic markets could result in increased competitive, merchandising, distribution and other challenges. We may encounter difficulties in attracting customers in our new retail store locations due to a lack of customer familiarity with our brand, our lack of familiarity with local customer preferences, competition with new competitors or with existing competitors with a large, established market presence and seasonal differences in the market. Our ability to expand successfully into other geographic markets will depend on acceptance of our retail store experience by customers in those markets, including our ability to design our stores in a manner that resonates locally and to offer the correct product assortment to appeal to consumers in such markets. There can be no assurance that any newly opened stores will be received as well as, or achieve net sales or profitability levels consistent with, our projected targets or be comparable to those of our existing stores in the time periods estimated by us, or at all. If our stores fail to achieve, or are unable to sustain, acceptable net sales and profitability levels, our business, results of operations and growth prospects may be materially adversely affected.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Furthermore, our retail stores may be located in regions that will be far from our Mount Horeb, Wisconsin headquarters and will require additional management time and attention. Failure to properly supervise the operation and maintain the consistency of the customer experience in those retail stores could result in loss of customers and potentially harm future net sales prospects.</w:t>
      </w:r>
    </w:p>
    <w:p>
      <w:pPr>
        <w:pStyle w:val="TextBody"/>
        <w:bidi w:val="0"/>
        <w:spacing w:lineRule="auto" w:line="259"/>
        <w:rPr>
          <w:rFonts w:ascii="Times New Roman;serif" w:hAnsi="Times New Roman;serif"/>
          <w:b/>
          <w:i/>
          <w:sz w:val="20"/>
        </w:rPr>
      </w:pPr>
      <w:r>
        <w:rPr>
          <w:rFonts w:ascii="Times New Roman;serif" w:hAnsi="Times New Roman;serif"/>
          <w:b/>
          <w:i/>
          <w:sz w:val="20"/>
        </w:rPr>
        <w:t>The success of our direct-to-consumer channel depends on customers’ use of our digital platform, including our website, and response to catalogs and digital marketing; if our overall marketing strategies are not successful, including our maintenance of a robust customer list and ability to effectively customize our marketing efforts based on understanding customers preferences, our business and results of operations could be materially adversely affected.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level of customer traffic and volume of customer purchases through our direct-to-consumer channel is substantially dependent on our ability to provide a content-rich and user-friendly website, widely distributed and informative catalogs, a fun, easy and hassle-free customer experience and reliable delivery of our products. If we are unable to maintain and increase customers’ use of our e-commerce platform, including our website, and the volume of purchases decline, our business and results of operations could be adversely affected.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Customer response to our digital marketing and catalogs is substantially dependent on merchandise assortment, merchandise availability and creative presentation, as well as the selection of customers to whom our digital marketing is directed and our catalogs are sent. Our maintenance of a robust customer list, which we believe includes desirable demographic characteristics for the products we offer, has also been a key component of our overall strategy. If the performance of our website, catalogs and email declines, or if our overall marketing strategy is not successful, our business, results of operations and stock price could be adversely affected.</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sz w:val="20"/>
        </w:rPr>
      </w:pPr>
      <w:r>
        <w:rPr>
          <w:rFonts w:ascii="Times New Roman;serif" w:hAnsi="Times New Roman;serif"/>
          <w:b/>
          <w:i/>
          <w:sz w:val="20"/>
        </w:rPr>
        <w:t>If we fail to acquire new customers, or fail to do so in a cost-effective manner, we may not be able to increase net revenue or profit per active customer.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success depends on our ability to acquire customers in a cost-effective manner. In order to expand our customer base, we must appeal to and acquire customers who identify with the Duluth Trading brand. We have made significant investments related to customer acquisition and expect to continue to spend significant amounts to acquire additional customers. For example, our national television advertising campaigns are expensive and may not result in the cost-effective acquisition of customers. Furthermore, as our brand becomes more widely known in the market, future marketing campaigns may not result in the acquisition of new customers at the same rate as past campaigns.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also use other paid and non-paid advertising. Our paid advertising includes search engine marketing, display advertising and paid social media. Our non-paid advertising efforts include search engine optimization, non-paid social media and email. We obtain a significant amount of traffic via search engines and, therefore, rely on search engines such as Google, Yahoo! and Bing. Search engines frequently update and change the logic that determines the placement and display of results of a user’s search, such that the purchased or algorithmic placement of links to our sites can be negatively affected. Moreover, a search engine could, for competitive or other purposes, alter its search algorithms or results, causing our sites to place lower in search query results. A major search engine could change its algorithms in a manner that negatively affects our paid or non-paid search ranking, and competitive dynamics could impact the effectiveness of search engine marketing or search engine optimization. We also obtain a significant amount of traffic via social networking websites or other channels used by our current and prospective customers. As e-commerce and social networking continue to rapidly evolve, we must continue to establish relationships with these channels and may be unable to develop or maintain these relationships on acceptable terms. Additionally, digital advertising costs may continue to rise and as our usage of these channels expands, such costs may impact our ability to acquire new customers in a cost-effective manner. If the level of usage of these channels by our customer base does not grow as expected, we may suffer a decline in customer growth or net sales. A significant decrease in the level of usage or customer growth would have a material adverse effect on our business, financial condition and operating results.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cannot assure you that the net profit from new customers we acquire will ultimately exceed the cost of acquiring those customers. If we fail to deliver an outstanding customer experience, or if consumers do not perceive the products we offer to be manufactured with high quality craftsmanship, we may not be able to acquire new customers. If we are unable to acquire new customers, our growth prospects may be materially adversely affected.</w:t>
      </w:r>
    </w:p>
    <w:p>
      <w:pPr>
        <w:pStyle w:val="TextBody"/>
        <w:bidi w:val="0"/>
        <w:spacing w:lineRule="auto" w:line="259"/>
        <w:rPr>
          <w:rFonts w:ascii="Times New Roman;serif" w:hAnsi="Times New Roman;serif"/>
          <w:b/>
          <w:i/>
          <w:sz w:val="20"/>
        </w:rPr>
      </w:pPr>
      <w:r>
        <w:rPr>
          <w:rFonts w:ascii="Times New Roman;serif" w:hAnsi="Times New Roman;serif"/>
          <w:b/>
          <w:i/>
          <w:sz w:val="20"/>
        </w:rPr>
        <w:t>If we cannot compete effectively in the apparel, footwear and accessories industry, our business and results of operations may be adversely affected.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apparel, footwear and accessories industry is highly competitive. We compete with a diverse group of direct-to-consumer companies and retailers, including men’s and women’s specialty apparel chains, outdoor specialty stores, apparel catalog businesses and online apparel businesses that sell competing lines of merchandise. Our competitors may be able to adopt more aggressive pricing policies, adapt to changes in customers’ needs and preferences more quickly, devote greater resources to the design, sourcing, distribution, marketing and sale of their products or generate greater national brand recognition than us. In addition, as our business continues to expand, our competitors may seek to increase efforts to imitate our product designs, which could adversely affect our business and results of operations. An inability to overcome these potential competitive disadvantages or effectively market our products relative to our competitors could have an adverse effect on our business and results of operations.</w:t>
      </w:r>
    </w:p>
    <w:p>
      <w:pPr>
        <w:pStyle w:val="TextBody"/>
        <w:bidi w:val="0"/>
        <w:spacing w:lineRule="auto" w:line="259"/>
        <w:rPr>
          <w:rFonts w:ascii="Times New Roman;serif" w:hAnsi="Times New Roman;serif"/>
          <w:b/>
          <w:i/>
          <w:sz w:val="20"/>
        </w:rPr>
      </w:pPr>
      <w:r>
        <w:rPr>
          <w:rFonts w:ascii="Times New Roman;serif" w:hAnsi="Times New Roman;serif"/>
          <w:b/>
          <w:i/>
          <w:sz w:val="20"/>
        </w:rPr>
        <w:t>We may engage in strategic transactions that could negatively impact our liquidity, increase our expenses and present significant distractions to management.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may consider strategic transactions and business arrangements, including, but not limited to, acquisitions, asset purchases, partnerships, joint ventures, restructurings and investments. Any such transaction may require us to incur non-recurring or other charges, may increase our near and long-term expenditures and may pose significant integration challenges or disrupt our management or business, which could harm our operations and financial results.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Operational Risks</w:t>
      </w:r>
    </w:p>
    <w:p>
      <w:pPr>
        <w:pStyle w:val="TextBody"/>
        <w:bidi w:val="0"/>
        <w:spacing w:lineRule="auto" w:line="259"/>
        <w:rPr>
          <w:rFonts w:ascii="Times New Roman;serif" w:hAnsi="Times New Roman;serif"/>
          <w:b/>
          <w:i/>
          <w:sz w:val="20"/>
        </w:rPr>
      </w:pPr>
      <w:r>
        <w:rPr>
          <w:rFonts w:ascii="Times New Roman;serif" w:hAnsi="Times New Roman;serif"/>
          <w:b/>
          <w:i/>
          <w:sz w:val="20"/>
        </w:rPr>
        <w:t>We rely on sources for merchandise located in foreign markets, and our business may therefore be adversely affected by legal, regulatory, economic and political risks associated with international trade and those markets.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reliance on suppliers in foreign markets creates risks inherent in doing business in foreign jurisdictions, including:</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transportation delays and interruptions, including due to port congestion and the failure of suppliers or distributors to comply with import regulations;</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before="100" w:after="283"/>
        <w:ind w:left="979" w:right="0" w:hanging="490"/>
        <w:jc w:val="left"/>
        <w:rPr/>
      </w:pPr>
      <w:r>
        <w:rPr>
          <w:caps w:val="false"/>
          <w:smallCaps w:val="false"/>
        </w:rPr>
        <w:t></w:t>
      </w:r>
      <w:r>
        <w:rPr>
          <w:rFonts w:ascii="Times New Roman;serif" w:hAnsi="Times New Roman;serif"/>
          <w:b w:val="false"/>
          <w:i w:val="false"/>
          <w:caps w:val="false"/>
          <w:smallCaps w:val="false"/>
          <w:sz w:val="20"/>
        </w:rPr>
        <w:t>the burdens of complying with a variety of foreign laws and regulations, including trade and labor restrictions, import/export laws and regulations, and local intellectual property laws and rights owned by third parties;</w:t>
      </w:r>
    </w:p>
    <w:p>
      <w:pPr>
        <w:pStyle w:val="TextBody"/>
        <w:bidi w:val="0"/>
        <w:spacing w:lineRule="auto" w:line="259" w:before="100" w:after="283"/>
        <w:ind w:left="979" w:right="0" w:hanging="490"/>
        <w:jc w:val="left"/>
        <w:rPr/>
      </w:pPr>
      <w:r>
        <w:rPr>
          <w:caps w:val="false"/>
          <w:smallCaps w:val="false"/>
        </w:rPr>
        <w:t></w:t>
      </w:r>
      <w:r>
        <w:rPr>
          <w:rFonts w:ascii="Times New Roman;serif" w:hAnsi="Times New Roman;serif"/>
          <w:b w:val="false"/>
          <w:i w:val="false"/>
          <w:caps w:val="false"/>
          <w:smallCaps w:val="false"/>
          <w:sz w:val="20"/>
        </w:rPr>
        <w:t>changes in U.S. and non-U.S. laws (or changes in the enforcement of those laws) affecting the importation and taxation of goods, including disallowance of tax deductions for imported merchandise, imposition of unilateral tariffs on imported goods, duties, quotas, enhanced security measures at U.S. ports or imposition of new legislation relating to import quotas;</w:t>
      </w:r>
    </w:p>
    <w:p>
      <w:pPr>
        <w:pStyle w:val="TextBody"/>
        <w:bidi w:val="0"/>
        <w:spacing w:lineRule="auto" w:line="259" w:before="100" w:after="283"/>
        <w:ind w:left="979" w:right="0" w:hanging="490"/>
        <w:jc w:val="left"/>
        <w:rPr/>
      </w:pPr>
      <w:r>
        <w:rPr>
          <w:caps w:val="false"/>
          <w:smallCaps w:val="false"/>
        </w:rPr>
        <w:t></w:t>
      </w:r>
      <w:r>
        <w:rPr>
          <w:rFonts w:ascii="Times New Roman;serif" w:hAnsi="Times New Roman;serif"/>
          <w:b w:val="false"/>
          <w:i w:val="false"/>
          <w:caps w:val="false"/>
          <w:smallCaps w:val="false"/>
          <w:sz w:val="20"/>
        </w:rPr>
        <w:t>economic and political instability in the countries and regions where our suppliers are located;</w:t>
      </w:r>
    </w:p>
    <w:p>
      <w:pPr>
        <w:pStyle w:val="TextBody"/>
        <w:bidi w:val="0"/>
        <w:spacing w:lineRule="auto" w:line="259" w:before="100" w:after="283"/>
        <w:ind w:left="979" w:right="0" w:hanging="490"/>
        <w:jc w:val="left"/>
        <w:rPr/>
      </w:pPr>
      <w:r>
        <w:rPr>
          <w:caps w:val="false"/>
          <w:smallCaps w:val="false"/>
        </w:rPr>
        <w:t></w:t>
      </w:r>
      <w:r>
        <w:rPr>
          <w:rFonts w:ascii="Times New Roman;serif" w:hAnsi="Times New Roman;serif"/>
          <w:b w:val="false"/>
          <w:i w:val="false"/>
          <w:caps w:val="false"/>
          <w:smallCaps w:val="false"/>
          <w:sz w:val="20"/>
        </w:rPr>
        <w:t>compliance with U.S. and other country laws relating to foreign operations, including the Foreign Corrupt Practices Act, which prohibits U.S. companies from making improper payments to foreign officials for the purpose of obtaining or retaining business;</w:t>
      </w:r>
    </w:p>
    <w:p>
      <w:pPr>
        <w:pStyle w:val="TextBody"/>
        <w:bidi w:val="0"/>
        <w:spacing w:lineRule="auto" w:line="259" w:before="100" w:after="283"/>
        <w:ind w:left="979" w:right="0" w:hanging="490"/>
        <w:jc w:val="left"/>
        <w:rPr/>
      </w:pPr>
      <w:r>
        <w:rPr>
          <w:caps w:val="false"/>
          <w:smallCaps w:val="false"/>
        </w:rPr>
        <w:t></w:t>
      </w:r>
      <w:r>
        <w:rPr>
          <w:rFonts w:ascii="Times New Roman;serif" w:hAnsi="Times New Roman;serif"/>
          <w:b w:val="false"/>
          <w:i w:val="false"/>
          <w:caps w:val="false"/>
          <w:smallCaps w:val="false"/>
          <w:sz w:val="20"/>
        </w:rPr>
        <w:t>increases in shipping, labor, fuel, travel and other transportation costs;</w:t>
      </w:r>
    </w:p>
    <w:p>
      <w:pPr>
        <w:pStyle w:val="TextBody"/>
        <w:bidi w:val="0"/>
        <w:spacing w:lineRule="auto" w:line="259" w:before="100" w:after="283"/>
        <w:ind w:left="979" w:right="0" w:hanging="490"/>
        <w:jc w:val="left"/>
        <w:rPr/>
      </w:pPr>
      <w:r>
        <w:rPr>
          <w:caps w:val="false"/>
          <w:smallCaps w:val="false"/>
        </w:rPr>
        <w:t></w:t>
      </w:r>
      <w:r>
        <w:rPr>
          <w:rFonts w:ascii="Times New Roman;serif" w:hAnsi="Times New Roman;serif"/>
          <w:b w:val="false"/>
          <w:i w:val="false"/>
          <w:caps w:val="false"/>
          <w:smallCaps w:val="false"/>
          <w:sz w:val="20"/>
        </w:rPr>
        <w:t>the imposition of anti-dumping or countervailing duty proceedings resulting in the potential assessment of special anti-dumping or countervailing duties;</w:t>
      </w:r>
    </w:p>
    <w:p>
      <w:pPr>
        <w:pStyle w:val="TextBody"/>
        <w:bidi w:val="0"/>
        <w:spacing w:lineRule="auto" w:line="259" w:before="100" w:after="283"/>
        <w:ind w:left="979" w:right="0" w:hanging="490"/>
        <w:jc w:val="left"/>
        <w:rPr/>
      </w:pPr>
      <w:r>
        <w:rPr>
          <w:caps w:val="false"/>
          <w:smallCaps w:val="false"/>
        </w:rPr>
        <w:t></w:t>
      </w:r>
      <w:r>
        <w:rPr>
          <w:rFonts w:ascii="Times New Roman;serif" w:hAnsi="Times New Roman;serif"/>
          <w:b w:val="false"/>
          <w:i w:val="false"/>
          <w:caps w:val="false"/>
          <w:smallCaps w:val="false"/>
          <w:sz w:val="20"/>
        </w:rPr>
        <w:t>political instability and acts of terrorism;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occurrence of a natural disaster, unusual weather conditions, or prolonged public health crises, epidemics or pandemics in foreign countries from which we source our products.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occurrence of one or more of these events could result in disruptions to our operations, which in turn could increase our cost of goods sold, decrease our gross profit, or impact our ability to deliver to our customers. For example, the recent outbreak of COVID-19 has led to work and travel restrictions as well as temporary closure of production and logistics constraints due to workforce availability. If the COVID-19 outbreak continues and persists for an extended period of time, there may be significant and material disruptions to our supply chain and operations, and delays in the manufacture and shipment of our products, which may then have a material adverse effect on our business and results of operations.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initiatives may be proposed in the United States that may have an impact on the trading status of certain countries and may include retaliatory duties or other trade sanctions that, if enacted, would increase the cost of products purchased from suppliers in such countries with which we do business. Any inability on our part to rely on our foreign sources of production due to any of the factors listed above could have an adverse effect on our business, results of operations and financial condition.</w:t>
      </w:r>
    </w:p>
    <w:p>
      <w:pPr>
        <w:pStyle w:val="TextBody"/>
        <w:bidi w:val="0"/>
        <w:spacing w:lineRule="auto" w:line="259"/>
        <w:rPr>
          <w:rFonts w:ascii="Times New Roman;serif" w:hAnsi="Times New Roman;serif"/>
          <w:b/>
          <w:i/>
          <w:sz w:val="20"/>
        </w:rPr>
      </w:pPr>
      <w:r>
        <w:rPr>
          <w:rFonts w:ascii="Times New Roman;serif" w:hAnsi="Times New Roman;serif"/>
          <w:b/>
          <w:i/>
          <w:sz w:val="20"/>
        </w:rPr>
        <w:t>If we fail to timely and effectively obtain shipments of products from our suppliers and deliver merchandise to our customers, our business and operating results could be adversely affected.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do not own or operate any manufacturing facilities and therefore depend upon independent third-party suppliers for the manufacture of our merchandise. We cannot control all of the various factors that might affect timely and effective procurement of supplies of product from our third-party suppliers and delivery of merchandise to our customers. A majority of the products that we purchase must be shipped to our distribution centers in Wisconsin and Iowa. While our reliance on a limited number of distribution centers provides certain efficiencies, it also makes us more vulnerable to natural disasters, weather-related disruptions, accidents, system failures, public health pandemics, such as the ongoing COVID-19 outbreak or other unforeseen causes that could delay or impair our ability to fulfill customer orders and/or ship merchandise to our stores, which could adversely affect sales. Our ability to mitigate the adverse impacts of these events depends in part upon the effectiveness of our disaster preparedness and response planning, as well as our business continuity planning. Our use of imports also makes us vulnerable to risks associated with products manufactured abroad, including, among other things, risks of damage, destruction or confiscation of products while in transit to a distribution center or at points of export or import, organized labor strikes and work stoppages, transportation and other delays in shipments, including as a result of heightened security screening and inspection processes or other port-of-entry limitations or restrictions in the United States, unexpected or significant port congestion, lack of freight availability and freight cost increases. In addition, if we experience a shortage of a popular item, we may be required to arrange for additional quantities of the item, if available, to be delivered through airfreight, which is significantly more expensive than standard shipping by sea. We may not be able to obtain sufficient freight capacity on a timely basis or at favorable shipping rates and, therefore, may not be able to receive merchandise from suppliers or deliver products to customers in a timely and cost-effective manner.</w:t>
      </w:r>
    </w:p>
    <w:p>
      <w:pPr>
        <w:pStyle w:val="TextBody"/>
        <w:bidi w:val="0"/>
        <w:spacing w:lineRule="auto" w:line="259"/>
        <w:rPr>
          <w:rFonts w:ascii="Times New Roman;serif" w:hAnsi="Times New Roman;serif"/>
          <w:b/>
          <w:i/>
          <w:sz w:val="20"/>
        </w:rPr>
      </w:pPr>
      <w:r>
        <w:rPr>
          <w:rFonts w:ascii="Times New Roman;serif" w:hAnsi="Times New Roman;serif"/>
          <w:b/>
          <w:i/>
          <w:sz w:val="20"/>
        </w:rPr>
        <w:t>Competitive pricing pressures with respect to shipping our products to our customers may harm our business and results of operations.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Given the size of our direct-to-consumer net sales relative to our total net sales, shipping and handling revenue has had a significant impact on our gross profit and gross profit margin. Historically, this revenue has partially offset our shipping and </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handling expense included in selling, general and administrative expenses. Online and omnichannel retailers are increasing their focus on delivery services, with customers increasingly seeking faster, guaranteed delivery times and low-price or free shipping. Higher direct-to-consumer net sales has and may continue to also result in additional peak surcharges assessed by our delivery partners. To remain competitive, we have been required to offer discounted, free or other more competitive shipping options to our customers, which has resulted in declines in our shipping and handling revenue and increased shipping and handling expense. We expect further declines in shipping and handling revenues as compared to prior years. Further declines in shipping and handling revenues may have a material adverse effect on our gross profit and gross profit margin, as well as our Adjusted EBITDA to the extent there are not commensurate declines, or if there are increases, in our shipping and handling expense.</w:t>
      </w:r>
    </w:p>
    <w:p>
      <w:pPr>
        <w:pStyle w:val="TextBody"/>
        <w:bidi w:val="0"/>
        <w:spacing w:lineRule="auto" w:line="259"/>
        <w:rPr>
          <w:rFonts w:ascii="Times New Roman;serif" w:hAnsi="Times New Roman;serif"/>
          <w:b/>
          <w:i/>
          <w:sz w:val="20"/>
        </w:rPr>
      </w:pPr>
      <w:r>
        <w:rPr>
          <w:rFonts w:ascii="Times New Roman;serif" w:hAnsi="Times New Roman;serif"/>
          <w:b/>
          <w:i/>
          <w:sz w:val="20"/>
        </w:rPr>
        <w:t>We rely on third-party service providers, such as UPS and the United States Postal Service (“USPS”), to deliver products purchased through our direct-to-consumer channel to our customers and our business could be negatively impacted by disruptions in the operations of these third-party service providers.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Relying on third-party service providers puts us at risk from disruptions in their operations, such as employee strikes, inclement weather and their inability to meet our shipping demands. For example, due to COVID-19, during the fourth quarter UPS increased surcharges and provided shipping thresholds, which were mitigated by engaging additional shipping partners during our peak selling season. Our efforts to mitigate the impact of future thresholds may not be successful or may result in similar surcharges. Moreover, we may be unable to obtain terms as favorable as those received from the transportation providers we currently use, which would further increase our costs. In addition, if our products are not delivered to our customers on time, our customers may cancel their orders or we may lose business from these customers in the future. We may be subject to shipping surcharges and thresholds during the peak holiday shopping season, which may have a negative impact on our earnings. These factors may negatively impact our financial condition and results of operations.</w:t>
      </w:r>
    </w:p>
    <w:p>
      <w:pPr>
        <w:pStyle w:val="TextBody"/>
        <w:bidi w:val="0"/>
        <w:spacing w:lineRule="auto" w:line="259"/>
        <w:rPr>
          <w:rFonts w:ascii="Times New Roman;serif" w:hAnsi="Times New Roman;serif"/>
          <w:b/>
          <w:i/>
          <w:sz w:val="20"/>
        </w:rPr>
      </w:pPr>
      <w:r>
        <w:rPr>
          <w:rFonts w:ascii="Times New Roman;serif" w:hAnsi="Times New Roman;serif"/>
          <w:b/>
          <w:i/>
          <w:sz w:val="20"/>
        </w:rPr>
        <w:t>Dependence on our e-commerce sales channel subjects us to numerous risks that could have a material adverse effect on our business, financial condition and results of operations.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results of operations and financial condition are dependent on maintaining our e-commerce business and expanding our e-commerce business is an important part of our growth strategy. Dependence on our e-commerce business and its continued growth subjects us to certain risks, including:</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diversion of traffic from our stores;</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liability for online content;</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the need to keep pace with rapid technological change;</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government regulation of the Internet, including taxation;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threats to the computer systems that operate our website and related support systems, including viruses, malware and other malicious code, misconfiguration, systems failure or inadequacy, compromise or unauthorized access and similar disruptions.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failure to successfully respond to these risks and uncertainties could reduce our e-commerce sales, increase our costs, diminish our growth prospects, and damage our brand, which could negatively impact our business, financial condition and results of operations.</w:t>
      </w:r>
    </w:p>
    <w:p>
      <w:pPr>
        <w:pStyle w:val="TextBody"/>
        <w:bidi w:val="0"/>
        <w:spacing w:lineRule="auto" w:line="259"/>
        <w:rPr>
          <w:rFonts w:ascii="Times New Roman;serif" w:hAnsi="Times New Roman;serif"/>
          <w:b/>
          <w:i/>
          <w:sz w:val="20"/>
        </w:rPr>
      </w:pPr>
      <w:r>
        <w:rPr>
          <w:rFonts w:ascii="Times New Roman;serif" w:hAnsi="Times New Roman;serif"/>
          <w:b/>
          <w:i/>
          <w:sz w:val="20"/>
        </w:rPr>
        <w:t>Increases in the price of raw materials, fuel and labor, or their reduced availability, could increase our cost of goods and cause delays.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price and availability of raw materials may fluctuate substantially, depending on a variety of factors, including demand, acreage devoted to cotton crops and crop yields, weather patterns, supply conditions, transportation costs, energy prices, work stoppages, government regulation and government policy, economic climates, market speculation and other unpredictable factors. Fluctuations in the price and availability of fuel, labor and raw materials, such as cotton, could affect our cost of goods and an inability to mitigate these cost increases, unless sufficiently offset with our pricing actions, might cause a decrease in our profitability, while any related pricing actions might cause a decline in our sales volume. Additionally, any decrease in the availability of raw materials could impair our ability to meet our production or purchasing requirements in a timely manner. Both the increased cost and lower availability of merchandise, raw materials, fuel and labor may have an adverse impact on our cash flow and working capital needs as well as those of our suppliers.</w:t>
      </w:r>
    </w:p>
    <w:p>
      <w:pPr>
        <w:pStyle w:val="TextBody"/>
        <w:bidi w:val="0"/>
        <w:spacing w:lineRule="auto" w:line="259"/>
        <w:rPr>
          <w:rFonts w:ascii="Times New Roman;serif" w:hAnsi="Times New Roman;serif"/>
          <w:b w:val="false"/>
          <w:i w:val="false"/>
          <w:caps w:val="false"/>
          <w:smallCaps w:val="false"/>
          <w:sz w:val="20"/>
        </w:rPr>
      </w:pPr>
      <w:bookmarkStart w:id="6" w:name="_Hlk66430808"/>
      <w:bookmarkEnd w:id="6"/>
      <w:r>
        <w:rPr>
          <w:rFonts w:ascii="Times New Roman;serif" w:hAnsi="Times New Roman;serif"/>
          <w:b w:val="false"/>
          <w:i w:val="false"/>
          <w:caps w:val="false"/>
          <w:smallCaps w:val="false"/>
          <w:sz w:val="20"/>
        </w:rPr>
        <w:t xml:space="preserve">We rely upon third-party land-based and air freight carriers for merchandise shipments from our distribution centers to customers and our retail stores. Accordingly, we are subject to the risks, including labor disputes, union organizing activity, inclement weather and increased transportation costs, associated with such carriers’ ability to provide delivery services to meet </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outbound shipping needs. In addition, if the cost of fuel rises, the cost to deliver merchandise from distribution centers to customers and our retail stores may rise and, although some of these costs are paid by our customers, such costs could have an adverse impact on our profitability. Failure to procure suppliers of products from our third-party suppliers and deliver merchandise to customers and our retail stores in a timely, effective and economically viable manner could damage our reputation and adversely affect our business. In addition, any increase in distribution costs and expenses could adversely affect our future financial performance.</w:t>
      </w:r>
    </w:p>
    <w:p>
      <w:pPr>
        <w:pStyle w:val="TextBody"/>
        <w:bidi w:val="0"/>
        <w:spacing w:lineRule="auto" w:line="259"/>
        <w:rPr>
          <w:rFonts w:ascii="Times New Roman;serif" w:hAnsi="Times New Roman;serif"/>
          <w:b/>
          <w:i/>
          <w:sz w:val="20"/>
        </w:rPr>
      </w:pPr>
      <w:r>
        <w:rPr>
          <w:rFonts w:ascii="Times New Roman;serif" w:hAnsi="Times New Roman;serif"/>
          <w:b/>
          <w:i/>
          <w:sz w:val="20"/>
        </w:rPr>
        <w:t>If our key suppliers or service providers were unable or unwilling to provide the products and services we require, our business could be adversely affected.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products are sourced through third-party purchasing agents and a variety of domestic and international suppliers. If these suppliers are unable or unwilling to provide the products or services that we require or materially increase their costs, our ability to offer and deliver our products on a timely and profitable basis could be impaired, which could have a material adverse effect on our business, financial condition and results of operations. We do not have written agreements with our top suppliers, and we cannot assure that any or all of our relationships will not be terminated or that such relationships will continue as presently in effect. Furthermore, if any of our significant suppliers were to become subject to bankruptcy, receivership or similar proceedings, customs actions, or other legal actions, we may be unable to arrange for alternate or replacement relationships on terms as favorable as our current terms, which could adversely affect our sales and operating results.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growth strategy is influenced by the willingness and ability of our suppliers to efficiently manufacture our products in a manner that is consistent with our standards for quality and value. If we cannot obtain a sufficient amount and variety of quality products at acceptable prices, it could have a negative impact on our competitive position. This could result in lower revenue and decreased customer interest in our product offerings, which, in turn, could adversely affect our business and results of operations. Our arrangements with our suppliers are generally not exclusive. As a result, our suppliers might be able to sell similar or identical products to certain of our competitors, some of which purchase products in significantly greater volume. Our competitors may enter into arrangements with suppliers that could impair our ability to obtain our products from those suppliers, including by requiring suppliers to enter into exclusive arrangements, which could limit our access to such arrangements or products.</w:t>
      </w:r>
    </w:p>
    <w:p>
      <w:pPr>
        <w:pStyle w:val="TextBody"/>
        <w:bidi w:val="0"/>
        <w:spacing w:lineRule="auto" w:line="259"/>
        <w:rPr>
          <w:rFonts w:ascii="Times New Roman;serif" w:hAnsi="Times New Roman;serif"/>
          <w:b/>
          <w:i/>
          <w:sz w:val="20"/>
        </w:rPr>
      </w:pPr>
      <w:r>
        <w:rPr>
          <w:rFonts w:ascii="Times New Roman;serif" w:hAnsi="Times New Roman;serif"/>
          <w:b/>
          <w:i/>
          <w:sz w:val="20"/>
        </w:rPr>
        <w:t>If we cannot successfully implement future retail store expansion, our growth and profitability could be adversely impacted.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ability to open new retail stores in a timely manner and operate them profitably depends on a number of factors, many of which are beyond our control, including:</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our ability to manage the financial and operational aspects of our retail store growth strategy, including making appropriate investments in our software systems, information technology and operational infrastructure;</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our ability to identify suitable locations, including our ability to gather and assess demographic and marketing data to accurately determine consumer demand for our products in the locations we select;</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our ability to negotiate favorable lease agreements;</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our ability to properly assess the profitability and payback period of potential new retail store locations;</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the availability of financing on favorable terms;</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our ability to secure required governmental permits and approvals;</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our ability to abide by environmental standards;</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our ability to hire and train skilled store operating personnel, especially management personnel;</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the availability of construction materials and labor and the absence of significant construction delays or cost overruns;</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our ability to provide a satisfactory mix of merchandise that is responsive to the needs of our customers living in the areas where new retail stores are built;</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our ability to establish a supplier and distribution network able to supply new retail stores with inventory in a timely manner;</w:t>
      </w:r>
    </w:p>
    <w:p>
      <w:pPr>
        <w:pStyle w:val="TextBody"/>
        <w:bidi w:val="0"/>
        <w:spacing w:lineRule="auto" w:line="259" w:before="120" w:after="283"/>
        <w:ind w:left="979" w:right="0" w:hanging="490"/>
        <w:jc w:val="left"/>
        <w:rPr/>
      </w:pPr>
      <w:r>
        <w:rPr>
          <w:caps w:val="false"/>
          <w:smallCaps w:val="false"/>
        </w:rPr>
        <w:t></w:t>
      </w:r>
      <w:r>
        <w:rPr>
          <w:rFonts w:ascii="Times New Roman;serif" w:hAnsi="Times New Roman;serif"/>
          <w:b w:val="false"/>
          <w:i w:val="false"/>
          <w:caps w:val="false"/>
          <w:smallCaps w:val="false"/>
          <w:sz w:val="20"/>
        </w:rPr>
        <w:t>our competitors building or leasing stores near our retail stores or in locations we have identified as targets for a new retail store;</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consumer demand for our products, which drives traffic to our retail stores; and</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general economic and business conditions affecting consumer confidence and spending and the overall strength of our business.</w:t>
      </w:r>
    </w:p>
    <w:p>
      <w:pPr>
        <w:pStyle w:val="TextBody"/>
        <w:bidi w:val="0"/>
        <w:spacing w:lineRule="auto" w:line="259"/>
        <w:rPr>
          <w:rFonts w:ascii="Times New Roman;serif" w:hAnsi="Times New Roman;serif"/>
          <w:b/>
          <w:i/>
          <w:sz w:val="20"/>
        </w:rPr>
      </w:pPr>
      <w:r>
        <w:rPr>
          <w:rFonts w:ascii="Times New Roman;serif" w:hAnsi="Times New Roman;serif"/>
          <w:b/>
          <w:i/>
          <w:sz w:val="20"/>
        </w:rPr>
        <w:t>We rely on third parties to provide us with services in connection with certain aspects of our business, and any failure by these third parties to perform their obligations could have an adverse effect on our business and results of operations.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entered into agreements with third parties for logistics services, information technology systems (including hosting our website), operating our call center during certain hours, software development and support, catalog production, select marketing services, processing gift card activity, distribution and packaging and employee benefits. Services provided by any of our third-party suppliers could be interrupted as a result of many factors, such as acts of nature or contract disputes. Any failure by a third party to provide us with services for which we have contracted on a timely basis or within service level expectations and performance standards could result in a disruption of our business and have an adverse effect on our business and results of operations.</w:t>
      </w:r>
    </w:p>
    <w:p>
      <w:pPr>
        <w:pStyle w:val="TextBody"/>
        <w:bidi w:val="0"/>
        <w:spacing w:lineRule="auto" w:line="259"/>
        <w:rPr>
          <w:rFonts w:ascii="Times New Roman;serif" w:hAnsi="Times New Roman;serif"/>
          <w:b/>
          <w:i/>
          <w:sz w:val="20"/>
        </w:rPr>
      </w:pPr>
      <w:r>
        <w:rPr>
          <w:rFonts w:ascii="Times New Roman;serif" w:hAnsi="Times New Roman;serif"/>
          <w:b/>
          <w:i/>
          <w:sz w:val="20"/>
        </w:rPr>
        <w:t>Inventory shrinkage could have a material adverse effect on our business, financial condition and results of operations.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are subject to the risk of inventory loss and theft. Although our inventory shrinkage rates have not been material, or fluctuated significantly in recent years, we cannot assure you that actual rates of inventory loss and theft in the future will be within our estimates or that the measures we are taking will effectively reduce the problem of inventory shrinkage. Although some level of inventory shrinkage is an unavoidable cost of doing business, if we were to experience higher rates of inventory shrinkage or incur increased security costs to combat inventory theft, it could have a material adverse effect on our business, financial condition and results of operations.</w:t>
      </w:r>
    </w:p>
    <w:p>
      <w:pPr>
        <w:pStyle w:val="TextBody"/>
        <w:bidi w:val="0"/>
        <w:spacing w:lineRule="auto" w:line="259"/>
        <w:rPr>
          <w:rFonts w:ascii="Times New Roman;serif" w:hAnsi="Times New Roman;serif"/>
          <w:b/>
          <w:i/>
          <w:sz w:val="20"/>
        </w:rPr>
      </w:pPr>
      <w:r>
        <w:rPr>
          <w:rFonts w:ascii="Times New Roman;serif" w:hAnsi="Times New Roman;serif"/>
          <w:b/>
          <w:i/>
          <w:sz w:val="20"/>
        </w:rPr>
        <w:t>We are subject to data security and privacy risks that could negatively affect our results, operations or reputation.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the normal course of business we often collect, retain and transmit customer personal and credit card information, employee personal information, and other sensitive and confidential information. The protection of customer and employee information, and the Company’s intellectual property, from potential threats is vitally important to the Company. Consumers and employees continue to have significant concerns about the security of personal information, especially when transmitted over the Internet, and the use, retention, disclosure, and privacy of such information. We continually evaluate and upgrade our information systems, security measures, and practices to combat the ever-evolving cyber risks and to comply with our legal and regulatory obligations, and we provide cybersecurity awareness training around phishing, social engineering, and other cyber risks to our employees, in an effort to elevate our cybersecurity posture and give our workforce the skills to both avoid and report cyber threats. Despite our risk management efforts, vendor due diligence, and security measures, our facilities and systems and those of our third-party service providers, are subject to increasingly complex cyber risks, including cyber extortion, data breaches, unauthorized access, denial of service, vendor or employee misconduct, ransomware and other malicious software, and data exfiltration. We and our employees and customers could suffer significant harm if any personal, financial, or credit card information was accessed or disclosed by an unauthorized third party, or our information technology systems or those of our third party providers were compromised or subject to data loss, exfiltration, corruption, or disruption. Any security incident or data breach could severely damage our reputation and our relationships with customers, business partners and employees, cause us to incur significant costs and expenses to investigate, remediate and notify affected individuals, and expose us to an increased risk of litigation, regulatory enforcement, fines and penalties, and other losses and liabilities. In addition, the media and public scrutiny of information security and privacy has become more intense and the regulatory environment has become more complex and uncertain due to recent high-profile privacy and security incidents and legislative efforts across the globe. As a result, we may incur significant costs to comply with laws regarding the use, retention, disclosure, security, and privacy of personal information. </w:t>
      </w:r>
    </w:p>
    <w:p>
      <w:pPr>
        <w:pStyle w:val="TextBody"/>
        <w:bidi w:val="0"/>
        <w:spacing w:lineRule="auto" w:line="259"/>
        <w:rPr>
          <w:rFonts w:ascii="Times New Roman;serif" w:hAnsi="Times New Roman;serif"/>
          <w:b/>
          <w:i/>
          <w:sz w:val="20"/>
        </w:rPr>
      </w:pPr>
      <w:r>
        <w:rPr>
          <w:rFonts w:ascii="Times New Roman;serif" w:hAnsi="Times New Roman;serif"/>
          <w:b/>
          <w:i/>
          <w:sz w:val="20"/>
        </w:rPr>
        <w:t>We rely significantly on information technology, and any inadequacy, interruption, integration failure or security failure of this technology could harm our ability to effectively operate our business.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ability to effectively manage and operate our business depends significantly on information technology systems. We rely heavily on information technology to track sales and inventory and manage our supply chain. We are also dependent on information technology, including the Internet, for our direct-to-consumer sales, including our e-commerce and catalog operations and retail business credit card transaction authorization. Despite our preventative efforts, our systems and those of our third-party service providers may be vulnerable to damage or interruption. The failure of these systems to operate effectively, problems with transitioning to upgraded or replacement systems, difficulty in integrating new systems or systems of acquired businesses or a breach of security of these systems could adversely impact the operations of our business, including disruption of our ability to accept and fulfill customer orders, effective management of inventory, inefficient ordering and replenishment of products, e-commerce operations, retail business credit card transaction authorization and processing, corporate email communications and our interaction with the public on social media.</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sz w:val="20"/>
        </w:rPr>
      </w:pPr>
      <w:r>
        <w:rPr>
          <w:rFonts w:ascii="Times New Roman;serif" w:hAnsi="Times New Roman;serif"/>
          <w:b/>
          <w:i/>
          <w:sz w:val="20"/>
        </w:rPr>
        <w:t>Our failure to retain our executive management team and to attract qualified new personnel could adversely affect our business and results of operations.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depend on the talents and continued efforts of our executive management team. The loss of members of our executive management may disrupt our business and adversely affect our results of operations. Furthermore, our ability to manage further expansion will require us to continue to attract, motivate and retain additional qualified personnel. We believe that having an executive management team with qualified personnel who are passionate about our brand, have extensive industry experience and have a strong customer service ethic has been an important factor in our historical success, and we believe that it will continue to be important to growing our business. Competition for these types of personnel is intense, and we may not be successful in attracting, integrating and retaining the personnel required to grow and operate our business profitably.</w:t>
      </w:r>
    </w:p>
    <w:p>
      <w:pPr>
        <w:pStyle w:val="TextBody"/>
        <w:bidi w:val="0"/>
        <w:spacing w:lineRule="auto" w:line="259"/>
        <w:rPr>
          <w:rFonts w:ascii="Times New Roman;serif" w:hAnsi="Times New Roman;serif"/>
          <w:b/>
          <w:i/>
          <w:sz w:val="20"/>
        </w:rPr>
      </w:pPr>
      <w:r>
        <w:rPr>
          <w:rFonts w:ascii="Times New Roman;serif" w:hAnsi="Times New Roman;serif"/>
          <w:b/>
          <w:i/>
          <w:sz w:val="20"/>
        </w:rPr>
        <w:t>An inability to attract and retain qualified employees to meet our staffing needs in our corporate office, stores, distribution center or call center could result in higher payroll costs and adversely affect our operating results.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performance is dependent on attracting and retaining a large number of qualified employees. Many of our strategic initiatives require that we hire and/or develop associates with appropriate experience. Attracting and retaining a sufficient number of qualified employees to meet our staffing needs may be difficult, since the competition for these types of personnel is intense. Many of our staffing needs in our stores, fulfillment centers and call center are entry-level or part-time positions with historically high rates of turnover. If we cannot attract and retain employees with the qualifications we deem necessary to meet our staffing needs in our corporate office, stores, fulfillment centers and call center, our ability to effectively operate may be adversely affected. In addition, our staffing needs are especially high during the peak holiday season. We cannot be sure that we will be able to attract and retain a sufficient number of qualified personnel in future periods.</w:t>
      </w:r>
    </w:p>
    <w:p>
      <w:pPr>
        <w:pStyle w:val="TextBody"/>
        <w:bidi w:val="0"/>
        <w:spacing w:lineRule="auto" w:line="259"/>
        <w:rPr>
          <w:rFonts w:ascii="Times New Roman;serif" w:hAnsi="Times New Roman;serif"/>
          <w:b/>
          <w:i/>
          <w:sz w:val="20"/>
        </w:rPr>
      </w:pPr>
      <w:r>
        <w:rPr>
          <w:rFonts w:ascii="Times New Roman;serif" w:hAnsi="Times New Roman;serif"/>
          <w:b/>
          <w:i/>
          <w:sz w:val="20"/>
        </w:rPr>
        <w:t>Our business is seasonal, and if we do not efficiently manage inventory levels, our results of operations could be adversely affected.</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Our business is subject to seasonal influences, with increased net sales and net income realized during the fourth quarter of our fiscal year, which includes the holiday season. See Part I, Item 1 Business, under the heading “</w:t>
      </w:r>
      <w:r>
        <w:rPr>
          <w:rFonts w:ascii="Times New Roman;serif" w:hAnsi="Times New Roman;serif"/>
          <w:b w:val="false"/>
          <w:i/>
          <w:sz w:val="20"/>
        </w:rPr>
        <w:t>Seasonality</w:t>
      </w:r>
      <w:r>
        <w:rPr>
          <w:rFonts w:ascii="Times New Roman;serif" w:hAnsi="Times New Roman;serif"/>
          <w:b w:val="false"/>
          <w:i w:val="false"/>
          <w:caps w:val="false"/>
          <w:smallCaps w:val="false"/>
          <w:sz w:val="20"/>
        </w:rPr>
        <w:t>,” for our net sales and net income realized during the fourth quarter of our fiscal year for each of the past three fiscal years.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must maintain sufficient inventory levels to operate our business successfully, but we must also avoid accumulating excess inventory, which increases working capital needs and potentially lowers gross margins. We obtain substantially all of our inventory from suppliers located outside the United States. Some of these suppliers often require lengthy advance notice of order requirements in order to be able to manufacture and supply products in the quantities requested. This usually requires us to order our products, and enter into commitments for the purchase of our products, well in advance of the time these products will be offered for sale. As a result, it may be difficult to respond to changes in customer demand. If we do not accurately anticipate the future demand for a particular product or the time it will take to obtain new inventory, inventory levels will not be appropriate and our results of operations could be adversely affected.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expect a disproportionate amount of our net sales to occur during our fourth quarter. If we do not stock or restock popular products in amounts sufficient to meet customer demand, it could significantly affect our revenue and our future growth. If we overstock products, we may be required to take significant inventory markdowns or write-offs and incur commitment costs, which could reduce profitability. We may experience an increase in our net shipping cost due to complimentary upgrades, split-shipments and additional long-zone shipments necessary to ensure timely delivery for the holiday season. Furthermore, if too many customers access our website within a short period of time due to increased holiday demand, we may experience system interruptions that could make our website unavailable or prevent us from efficiently fulfilling orders, which may reduce the volume of products we sell as well as the attractiveness of our product offerings. In addition, we or our third-party service providers may be unable to adequately staff our fulfillment and customer service centers during these peak periods, and our delivery service providers and other fulfillment companies may be unable to meet the peak seasonal demand.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a result of holiday sales, inventories, accounts payable and borrowings under our revolving line of credit typically reach their highest levels in October or November of each year (other than as a result of cash flow provided by or used in investing and financing activities). Inventories, accounts payable and borrowings under our revolving line of credit then typically decline steadily during the holiday season, resulting in our cash typically reaching its highest level, and borrowings under our revolving line of credit reaching their lowest level, typically near December 31 of each year.</w:t>
      </w:r>
    </w:p>
    <w:p>
      <w:pPr>
        <w:pStyle w:val="TextBody"/>
        <w:bidi w:val="0"/>
        <w:spacing w:lineRule="auto" w:line="259"/>
        <w:rPr>
          <w:rFonts w:ascii="Times New Roman;serif" w:hAnsi="Times New Roman;serif"/>
          <w:b/>
          <w:i/>
          <w:sz w:val="20"/>
        </w:rPr>
      </w:pPr>
      <w:r>
        <w:rPr>
          <w:rFonts w:ascii="Times New Roman;serif" w:hAnsi="Times New Roman;serif"/>
          <w:b/>
          <w:i/>
          <w:sz w:val="20"/>
        </w:rPr>
        <w:t>If we fail to manage our growth effectively, our business, financial condition and operating results could be harmed.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manage our growth effectively, we must continue to implement our operational plans and strategies, improve and expand our infrastructure of people, information systems and facilities and expand, train and manage our employee base. To </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support continued growth, we must effectively integrate, develop and motivate a large number of employees. Failure to improve and expand our infrastructure of employees may have a material adverse effect on our business, financial condition and operating results.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Additionally, the growth of our business places significant demands on our management and other employees. The growth of our business may require significant additional resources to meet these daily demands, which may not scale in a cost-effective manner or may negatively affect the quality of our website, retail stores, call center and other aspects of the customer experience. We are also required to manage relationships with a growing number of suppliers, customers and other third parties. Our information technology systems and our internal controls and procedures may not be adequate to support future growth of these relationships. If we are unable to manage the growth of our organization effectively, our business, financial condition and operating results may be materially adversely affected.</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Financial Risks</w:t>
      </w:r>
    </w:p>
    <w:p>
      <w:pPr>
        <w:pStyle w:val="TextBody"/>
        <w:bidi w:val="0"/>
        <w:spacing w:lineRule="auto" w:line="259"/>
        <w:rPr>
          <w:rFonts w:ascii="Times New Roman;serif" w:hAnsi="Times New Roman;serif"/>
          <w:b/>
          <w:i/>
          <w:sz w:val="20"/>
        </w:rPr>
      </w:pPr>
      <w:r>
        <w:rPr>
          <w:rFonts w:ascii="Times New Roman;serif" w:hAnsi="Times New Roman;serif"/>
          <w:b/>
          <w:i/>
          <w:sz w:val="20"/>
        </w:rPr>
        <w:t>Our net sales and profits depend on the level of consumer spending for apparel, footwear and accessories, which is sensitive to general economic conditions and other factors. An economic recession or a decline in consumer spending could have a material adverse effect on our business and results of operations.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apparel, footwear and accessories industry has historically been subject to cyclical variations and is particularly affected by adverse trends in the general economy. The success of our business depends on consumer spending. There are a number of factors that influence consumer spending, including actual and perceived economic conditions, disposable consumer income, interest rates, consumer credit availability, unemployment, stock market performance, extreme weather conditions, energy prices and tax rates in the national, regional and local markets where we sell our products. A decline in actual or perceived economic conditions or other factors could negatively impact the level of consumer spending and have a material adverse impact on our business and results of operations.</w:t>
      </w:r>
    </w:p>
    <w:p>
      <w:pPr>
        <w:pStyle w:val="TextBody"/>
        <w:bidi w:val="0"/>
        <w:spacing w:lineRule="auto" w:line="259"/>
        <w:rPr>
          <w:rFonts w:ascii="Times New Roman;serif" w:hAnsi="Times New Roman;serif"/>
          <w:b/>
          <w:i/>
          <w:sz w:val="20"/>
        </w:rPr>
      </w:pPr>
      <w:r>
        <w:rPr>
          <w:rFonts w:ascii="Times New Roman;serif" w:hAnsi="Times New Roman;serif"/>
          <w:b/>
          <w:i/>
          <w:sz w:val="20"/>
        </w:rPr>
        <w:t>We are subject to payment-related risks.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accept payments using a variety of methods, including credit cards, debit cards, Paypal, gift cards and physical bank checks. For existing and future payment methods we offer to our customers, we may become subject to additional regulations and compliance requirements (including obligations to implement enhanced authentication processes that could result in increased costs and reduce the ease of use of certain payment methods), as well as fraud. For certain payment methods, including credit and debit cards, we pay interchange and other fees, which may increase over time, raising our operating costs and lowering profitability. We rely on third-party service providers for payment processing services, including the processing of credit and debit cards. In each case, it could disrupt our business if these third-party service providers suffer a data breach, or become unwilling or unable to provide these services to us. We are also subject to payment card association operating rules, including data security rules, certification requirements and rules governing electronic funds transfers, which could change or be reinterpreted to make it difficult or impossible for us to comply. If we fail to comply with these rules or requirements, or if our systems containing payment information are breached or compromised, we may be liable for card issuing banks’ costs, subject to fines and higher transaction fees and/or lose our ability to accept credit and debit card payments from our customers and process electronic funds transfers or facilitate other types of payments, and our business and operating results could be adversely affected.</w:t>
      </w:r>
    </w:p>
    <w:p>
      <w:pPr>
        <w:pStyle w:val="TextBody"/>
        <w:bidi w:val="0"/>
        <w:spacing w:lineRule="auto" w:line="259"/>
        <w:rPr>
          <w:rFonts w:ascii="Times New Roman;serif" w:hAnsi="Times New Roman;serif"/>
          <w:b/>
          <w:i/>
          <w:sz w:val="20"/>
        </w:rPr>
      </w:pPr>
      <w:r>
        <w:rPr>
          <w:rFonts w:ascii="Times New Roman;serif" w:hAnsi="Times New Roman;serif"/>
          <w:b/>
          <w:i/>
          <w:sz w:val="20"/>
        </w:rPr>
        <w:t>We depend on cash generated from our operations to support our growth, which could strain our growth.</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primarily rely on cash flow generated from our direct-to-consumer and retail store sales and borrowings under our credit facility to fund our current operations and our growth initiatives. As we expand our business, we will need significant amounts of cash to pay our existing and future lease obligations, purchase inventory, pay personnel and invest in our infrastructure and facilities. If our business does not generate sufficient cash flow from operations to fund these activities and sufficient funds are not otherwise available from our existing revolving credit facility or future credit facilities, we may need additional equity or debt financing. If such financing is not available to us on satisfactory terms, our ability to operate and expand our business or to respond to competitive pressures would be limited and we could be required to delay, curtail or eliminate planned store openings. Moreover, if we raise additional capital by issuing equity securities or securities convertible into equity securities, your ownership may be diluted. Any debt financing we may incur may impose on us covenants that restrict our operations and will require interest payments that would create additional cash demands and financial risk for us.</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sz w:val="20"/>
        </w:rPr>
      </w:pPr>
      <w:r>
        <w:rPr>
          <w:rFonts w:ascii="Times New Roman;serif" w:hAnsi="Times New Roman;serif"/>
          <w:b/>
          <w:i/>
          <w:sz w:val="20"/>
        </w:rPr>
        <w:t>We maintain debt that could adversely affect our operating flexibility and put us at a competitive disadvantage.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borrowings under our revolving credit facility typically peak during our third or fourth fiscal quarter.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level of debt and the limitations imposed on us by our credit agreement could have important consequences for investors, including the following:</w:t>
      </w:r>
    </w:p>
    <w:p>
      <w:pPr>
        <w:pStyle w:val="TextBody"/>
        <w:bidi w:val="0"/>
        <w:spacing w:lineRule="auto" w:line="259" w:before="100" w:after="283"/>
        <w:ind w:left="979" w:right="0" w:hanging="490"/>
        <w:jc w:val="left"/>
        <w:rPr/>
      </w:pPr>
      <w:r>
        <w:rPr>
          <w:caps w:val="false"/>
          <w:smallCaps w:val="false"/>
        </w:rPr>
        <w:t></w:t>
      </w:r>
      <w:r>
        <w:rPr>
          <w:rFonts w:ascii="Times New Roman;serif" w:hAnsi="Times New Roman;serif"/>
          <w:b w:val="false"/>
          <w:i w:val="false"/>
          <w:caps w:val="false"/>
          <w:smallCaps w:val="false"/>
          <w:sz w:val="20"/>
        </w:rPr>
        <w:t>we may not be able to obtain additional debt financing for future working capital, capital expenditures, to support our growth plans, or other corporate purposes or may have to pay more for such financing;</w:t>
      </w:r>
    </w:p>
    <w:p>
      <w:pPr>
        <w:pStyle w:val="TextBody"/>
        <w:bidi w:val="0"/>
        <w:spacing w:lineRule="auto" w:line="259" w:before="100" w:after="283"/>
        <w:ind w:left="979" w:right="0" w:hanging="490"/>
        <w:jc w:val="left"/>
        <w:rPr/>
      </w:pPr>
      <w:r>
        <w:rPr>
          <w:caps w:val="false"/>
          <w:smallCaps w:val="false"/>
        </w:rPr>
        <w:t></w:t>
      </w:r>
      <w:r>
        <w:rPr>
          <w:rFonts w:ascii="Times New Roman;serif" w:hAnsi="Times New Roman;serif"/>
          <w:b w:val="false"/>
          <w:i w:val="false"/>
          <w:caps w:val="false"/>
          <w:smallCaps w:val="false"/>
          <w:sz w:val="20"/>
        </w:rPr>
        <w:t>borrowings under our revolving credit facility are at a variable interest rate, making us more vulnerable to increases in interest rates;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we could be less able to take advantage of significant business opportunities and to react to changes in market or industry conditions.</w:t>
      </w:r>
    </w:p>
    <w:p>
      <w:pPr>
        <w:pStyle w:val="TextBody"/>
        <w:bidi w:val="0"/>
        <w:spacing w:lineRule="auto" w:line="259"/>
        <w:rPr>
          <w:rFonts w:ascii="Times New Roman;serif" w:hAnsi="Times New Roman;serif"/>
          <w:b/>
          <w:i/>
          <w:sz w:val="20"/>
        </w:rPr>
      </w:pPr>
      <w:r>
        <w:rPr>
          <w:rFonts w:ascii="Times New Roman;serif" w:hAnsi="Times New Roman;serif"/>
          <w:b/>
          <w:i/>
          <w:sz w:val="20"/>
        </w:rPr>
        <w:t>We may be unable to accurately forecast our operating results and growth rate, and our growth rate may decline over time.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may not be able to accurately forecast our operating results and growth rate. We use a variety of factors in our forecasting and planning processes, including historical results, recent history and assessments of economic and market conditions, among other things. The growth rates in net sales and profitability that we have experienced historically may not be sustainable as our customer base expands and we achieve higher market penetration rates, and our percentage growth rates may decrease. The growth of our sales and profitability depends on the continued growth of demand for the products we offer, and our business is affected by general economic and business conditions. A softening of demand, whether caused by changes in customer preferences or a weakening of the economy or other factors, may result in decreased net sales or growth. In addition, we experience seasonal trends in our business, and this variability may make it difficult to predict net sales and could result in significant fluctuations in our operating results from period to period. Furthermore, most of our expenses and investments are fixed, and we may not be able to adjust our spending in a timely manner to compensate for any unexpected shortfall in our net sales results. Failure to accurately forecast our operating results and growth rate could cause our actual results to be materially lower than anticipated, and if our growth rates decline as a result, investors’ perceptions of our business may be adversely affected, and the market price of our Class B common stock could decline.</w:t>
      </w:r>
    </w:p>
    <w:p>
      <w:pPr>
        <w:pStyle w:val="TextBody"/>
        <w:bidi w:val="0"/>
        <w:spacing w:lineRule="auto" w:line="259"/>
        <w:rPr>
          <w:rFonts w:ascii="Times New Roman;serif" w:hAnsi="Times New Roman;serif"/>
          <w:b/>
          <w:i/>
          <w:sz w:val="20"/>
        </w:rPr>
      </w:pPr>
      <w:r>
        <w:rPr>
          <w:rFonts w:ascii="Times New Roman;serif" w:hAnsi="Times New Roman;serif"/>
          <w:b/>
          <w:i/>
          <w:sz w:val="20"/>
        </w:rPr>
        <w:t>Our failure to comply with restrictive covenants under our revolving credit facility and other debt instruments could trigger prepayment obligations.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failure to comply with the restrictive covenants under our revolving credit facility and other debt instruments could result in an event of default, which, if not cured or waived, could result in us being required to repay these borrowings before their due date. If we are forced to refinance these borrowings on less favorable terms, our results of operations and financial condition could be adversely affected by increased costs and rates.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Legal, Tax, Compliance, Reputable and Other Risks</w:t>
      </w:r>
    </w:p>
    <w:p>
      <w:pPr>
        <w:pStyle w:val="TextBody"/>
        <w:bidi w:val="0"/>
        <w:spacing w:lineRule="auto" w:line="259"/>
        <w:rPr>
          <w:rFonts w:ascii="Times New Roman;serif" w:hAnsi="Times New Roman;serif"/>
          <w:b/>
          <w:i/>
          <w:sz w:val="20"/>
        </w:rPr>
      </w:pPr>
      <w:r>
        <w:rPr>
          <w:rFonts w:ascii="Times New Roman;serif" w:hAnsi="Times New Roman;serif"/>
          <w:b/>
          <w:i/>
          <w:sz w:val="20"/>
        </w:rPr>
        <w:t>We may be subject to increased labor costs due to external factors, including changes in laws and regulations, and we may be subject to unionization, work stoppages or slowdowns.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ability to meet our labor needs while controlling costs is subject to external factors such as unemployment levels, prevailing wage rates, minimum wage legislation, actions by our competitors with respect to compensation levels and changing demographics. Currently none of our employees are represented by a union, but our employees have the right to under the National Labor Relations Act. Changes that adversely impact our ability to meet our labor needs in a cost-effective manner could adversely affect our operating results. In addition, the employer mandate provisions of the Patient Protection and Affordable Health Care Act (the “PPACA”), changes in regulations under the PPACA, changes in federal and state minimum wage laws and other laws and regulations relating to employee benefits could cause us to incur additional wage and benefit costs, which could negatively impact our business, financial condition and results of operations.</w:t>
      </w:r>
    </w:p>
    <w:p>
      <w:pPr>
        <w:pStyle w:val="TextBody"/>
        <w:bidi w:val="0"/>
        <w:spacing w:lineRule="auto" w:line="259"/>
        <w:rPr>
          <w:rFonts w:ascii="Times New Roman;serif" w:hAnsi="Times New Roman;serif"/>
          <w:b/>
          <w:i/>
          <w:sz w:val="20"/>
        </w:rPr>
      </w:pPr>
      <w:r>
        <w:rPr>
          <w:rFonts w:ascii="Times New Roman;serif" w:hAnsi="Times New Roman;serif"/>
          <w:b/>
          <w:i/>
          <w:sz w:val="20"/>
        </w:rPr>
        <w:t>Unseasonal or severe weather conditions may adversely affect our merchandise sales.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business is adversely affected by unseasonal weather conditions. Sales of certain seasonal apparel items, especially outerwear, are dependent in part on the weather and may decline in years in which weather conditions do not favor the use of these products. Sales of our spring and summer products, which traditionally consist of lighter weight clothing, are adversely affected by cool or wet weather. Similarly, sales of our fall and winter products, which are traditionally weighted toward outerwear, are adversely affected by mild, dry or warm weather. Severe weather events may impact our ability to supply our </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retail stores, deliver orders to customers on schedule and staff our retail stores, fulfillment centers and call center, which could have an adverse effect on our business and results of operations.</w:t>
      </w:r>
    </w:p>
    <w:p>
      <w:pPr>
        <w:pStyle w:val="TextBody"/>
        <w:bidi w:val="0"/>
        <w:spacing w:lineRule="auto" w:line="259"/>
        <w:rPr>
          <w:rFonts w:ascii="Times New Roman;serif" w:hAnsi="Times New Roman;serif"/>
          <w:b/>
          <w:i/>
          <w:sz w:val="20"/>
        </w:rPr>
      </w:pPr>
      <w:r>
        <w:rPr>
          <w:rFonts w:ascii="Times New Roman;serif" w:hAnsi="Times New Roman;serif"/>
          <w:b/>
          <w:i/>
          <w:sz w:val="20"/>
        </w:rPr>
        <w:t>Our product designs are not protected by substantial intellectual property rights.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Due to the rapid pace of change in the apparel, footwear and accessories industry, the length of time it takes to obtain patents and the expense and uncertainty of obtaining patent protection, we have not taken steps to obtain patent protection for our innovative product designs. Competitors have attempted to copy our product designs in the past, and we expect that if we are able to raise our national profile, our products may be subject to greater imitation by existing and new competitors. If we are not able to continue rapid innovation of new products and product features, our brand may be harmed and our results of operations may be materially adversely affected.</w:t>
      </w:r>
    </w:p>
    <w:p>
      <w:pPr>
        <w:pStyle w:val="TextBody"/>
        <w:bidi w:val="0"/>
        <w:spacing w:lineRule="auto" w:line="259"/>
        <w:rPr>
          <w:rFonts w:ascii="Times New Roman;serif" w:hAnsi="Times New Roman;serif"/>
          <w:b/>
          <w:i/>
          <w:sz w:val="20"/>
        </w:rPr>
      </w:pPr>
      <w:r>
        <w:rPr>
          <w:rFonts w:ascii="Times New Roman;serif" w:hAnsi="Times New Roman;serif"/>
          <w:b/>
          <w:i/>
          <w:sz w:val="20"/>
        </w:rPr>
        <w:t>If we are unable to protect or preserve our brand image and our proprietary rights, our business may be adversely affected.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regard our trademarks, copyrights, trade secrets and similar proprietary rights as critical to our success. As such, we rely on trademark and copyright law, trade secret protection and confidentiality agreements with our associates, consultants, suppliers and others to protect our proprietary rights. Nevertheless, the steps we take to protect our proprietary rights may be inadequate and we may experience difficulty in effectively limiting the unauthorized use of our trademarks and other intellectual property worldwide. Unauthorized use of our trademarks, copyrights, trade secrets or other intellectual property rights may cause significant damage to our brand and our ability to effectively represent ourselves to agents, suppliers, vendors, licensees and/or customers. While we intend to enforce our intellectual property rights, there can be no assurance that we are adequately protected in all countries or that we will prevail when defending our trademark and proprietary rights. If we are unable to protect or preserve the value of our trademarks, copyrights or other intellectual property rights for any reason, or if we fail to maintain our brand image due to merchandise and service quality issues, actual or perceived, adverse publicity, governmental investigations or litigation or other reasons, our brand and reputation could be damaged and our business may be adversely affected.</w:t>
      </w:r>
    </w:p>
    <w:p>
      <w:pPr>
        <w:pStyle w:val="TextBody"/>
        <w:bidi w:val="0"/>
        <w:spacing w:lineRule="auto" w:line="259"/>
        <w:rPr>
          <w:rFonts w:ascii="Times New Roman;serif" w:hAnsi="Times New Roman;serif"/>
          <w:b/>
          <w:i/>
          <w:sz w:val="20"/>
        </w:rPr>
      </w:pPr>
      <w:r>
        <w:rPr>
          <w:rFonts w:ascii="Times New Roman;serif" w:hAnsi="Times New Roman;serif"/>
          <w:b/>
          <w:i/>
          <w:sz w:val="20"/>
        </w:rPr>
        <w:t>We may be subject to liability if we infringe upon the intellectual property rights of third parties.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Third parties may sue us for alleged infringement of their proprietary rights or use intellectual property rights to interfere with or attempt to interfere with the manufacture of products for us or the supply of products to us. The party claiming infringement might have greater resources than we do to pursue its claims, and we could be forced to incur substantial costs and devote significant management resources to defend against such litigation. If the party claiming infringement were to prevail, we could be forced to discontinue the use of the related trademark or design and/or pay significant damages or enter into expensive royalty or licensing arrangements with the prevailing party, assuming these royalty or licensing arrangements are available at all on an economically feasible basis, which they may not be. We could also be required to pay substantial damages. Such infringement claims could harm the Duluth Trading brand. In addition, any payments we are required to make and any injunction we are required to comply with as a result of such infringement could adversely affect our financial results.</w:t>
      </w:r>
    </w:p>
    <w:p>
      <w:pPr>
        <w:pStyle w:val="TextBody"/>
        <w:bidi w:val="0"/>
        <w:spacing w:lineRule="auto" w:line="259"/>
        <w:rPr>
          <w:rFonts w:ascii="Times New Roman;serif" w:hAnsi="Times New Roman;serif"/>
          <w:b/>
          <w:i/>
          <w:sz w:val="20"/>
        </w:rPr>
      </w:pPr>
      <w:r>
        <w:rPr>
          <w:rFonts w:ascii="Times New Roman;serif" w:hAnsi="Times New Roman;serif"/>
          <w:b/>
          <w:i/>
          <w:sz w:val="20"/>
        </w:rPr>
        <w:t>If our independent suppliers do not use ethical business practices or comply with applicable regulations and laws, our reputation could be materially harmed and our business and results of operations may be adversely affected.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reputation and customers’ willingness to purchase our products depend in part on our suppliers’ compliance with ethical employment practices, such as with respect to child labor, wages and benefits, forced labor, discrimination, freedom of association, unlawful inducements, safe and healthy working conditions and with all legal and regulatory requirements relating to the conduct of their business. While we operate compliance and monitoring programs to promote ethical and lawful business practices, we do not exercise ultimate control over our independent suppliers or their business practices and cannot guarantee their compliance with ethical and lawful business practices. Violation of labor or other laws by our suppliers, or the divergence of a supplier’s labor practices from those generally accepted as ethical in the United States, could materially hurt our reputation, which could have an adverse effect on our business and results of operations.</w:t>
      </w:r>
    </w:p>
    <w:p>
      <w:pPr>
        <w:pStyle w:val="TextBody"/>
        <w:bidi w:val="0"/>
        <w:spacing w:lineRule="auto" w:line="259"/>
        <w:rPr>
          <w:rFonts w:ascii="Times New Roman;serif" w:hAnsi="Times New Roman;serif"/>
          <w:b/>
          <w:i/>
          <w:sz w:val="20"/>
        </w:rPr>
      </w:pPr>
      <w:r>
        <w:rPr>
          <w:rFonts w:ascii="Times New Roman;serif" w:hAnsi="Times New Roman;serif"/>
          <w:b/>
          <w:i/>
          <w:sz w:val="20"/>
        </w:rPr>
        <w:t>We may be subject to assessments for additional taxes, including sales taxes, which could adversely affect our business.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accordance with current law, we pay, collect and/or remit taxes in those states where we or our subsidiary, as applicable, maintain a physical presence. While we believe that we have appropriately remitted all taxes based on our interpretation of applicable law, tax laws are complex and their application differs from state to state. It is possible that some taxing jurisdictions may attempt to assess additional taxes and penalties on us or assert either an error in our calculation, a change in the application of law or an interpretation of the law that differs from our own, which may, if successful, adversely affect our business and results of operations.</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19</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An increasing number of states have considered or adopted laws that attempt to impose tax collection obligations on out-of-state companies. Additionally, the Supreme Court of the United States ruled in </w:t>
      </w:r>
      <w:r>
        <w:rPr>
          <w:rFonts w:ascii="Times New Roman;serif" w:hAnsi="Times New Roman;serif"/>
          <w:b w:val="false"/>
          <w:i/>
          <w:sz w:val="20"/>
        </w:rPr>
        <w:t>South Dakota v. Wayfair, Inc. et al</w:t>
      </w:r>
      <w:r>
        <w:rPr>
          <w:rFonts w:ascii="Times New Roman;serif" w:hAnsi="Times New Roman;serif"/>
          <w:b w:val="false"/>
          <w:i w:val="false"/>
          <w:caps w:val="false"/>
          <w:smallCaps w:val="false"/>
          <w:sz w:val="20"/>
        </w:rPr>
        <w:t>, or Wayfair, that online sellers can be required to collect sales and use tax despite not having a physical presence in the buyer’s state. In response to Wayfair, or otherwise, states or local governments have adopted, or begun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and decrease our future sales, which could have an impact on our business, financial condition and results of operations.</w:t>
      </w:r>
    </w:p>
    <w:p>
      <w:pPr>
        <w:pStyle w:val="TextBody"/>
        <w:bidi w:val="0"/>
        <w:spacing w:lineRule="auto" w:line="259"/>
        <w:rPr>
          <w:rFonts w:ascii="Times New Roman;serif" w:hAnsi="Times New Roman;serif"/>
          <w:b/>
          <w:i/>
          <w:sz w:val="20"/>
        </w:rPr>
      </w:pPr>
      <w:r>
        <w:rPr>
          <w:rFonts w:ascii="Times New Roman;serif" w:hAnsi="Times New Roman;serif"/>
          <w:b/>
          <w:i/>
          <w:sz w:val="20"/>
        </w:rPr>
        <w:t>We may become involved in a number of legal proceedings and audits, and outcomes of such legal proceedings and audits could adversely affect our business, financial condition and results of operations.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business requires compliance with many laws and regulations, including labor and employment, customs, truth-in-advertising, consumer protection and zoning and occupancy laws and ordinances that regulate retailers generally and/or govern the importation, promotion and sale of merchandise and the operation of stores and warehouse facilities. Failure to achieve compliance could subject us to lawsuits and other proceedings, and could also lead to damage awards, fines and penalties. We may become involved in a number of legal proceedings and audits including government and agency investigations, and consumer, employment, tort and other litigation. We cannot predict with certainty the outcomes of these legal proceedings and other contingencies. The outcome of some of these legal proceedings, audits and other contingencies could require us to take, or refrain from taking, actions which could negatively affect our operations or require us to pay substantial amounts of money adversely affecting our financial condition and results of operations. Additionally, defending against these lawsuits and proceedings may be necessary, which could result in substantial costs and diversion of management’s attention and resources, causing a material adverse effect on our business, financial condition and results of operations. There can be no assurance that any pending or future legal proceedings and audits will not have a material adverse effect on our business, financial condition and results of operations.</w:t>
      </w:r>
    </w:p>
    <w:p>
      <w:pPr>
        <w:pStyle w:val="TextBody"/>
        <w:bidi w:val="0"/>
        <w:spacing w:lineRule="auto" w:line="259"/>
        <w:rPr>
          <w:rFonts w:ascii="Times New Roman;serif" w:hAnsi="Times New Roman;serif"/>
          <w:b/>
          <w:i/>
          <w:sz w:val="20"/>
        </w:rPr>
      </w:pPr>
      <w:r>
        <w:rPr>
          <w:rFonts w:ascii="Times New Roman;serif" w:hAnsi="Times New Roman;serif"/>
          <w:b/>
          <w:i/>
          <w:sz w:val="20"/>
        </w:rPr>
        <w:t>Changes to accounting rules or regulations could significantly affect our financial results.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consolidated financial statements are prepared in accordance with U.S. GAAP. New accounting rules or regulations and changes to existing accounting rules or regulations have occurred and may occur in the future. Future changes to accounting rules or regulations could negatively affect our results of operations and financial condition through increased compliance costs.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Risks Related to Ownership of our Class B Common Stock</w:t>
      </w:r>
    </w:p>
    <w:p>
      <w:pPr>
        <w:pStyle w:val="TextBody"/>
        <w:bidi w:val="0"/>
        <w:spacing w:lineRule="auto" w:line="259"/>
        <w:rPr>
          <w:rFonts w:ascii="Times New Roman;serif" w:hAnsi="Times New Roman;serif"/>
          <w:b/>
          <w:i/>
          <w:sz w:val="20"/>
        </w:rPr>
      </w:pPr>
      <w:r>
        <w:rPr>
          <w:rFonts w:ascii="Times New Roman;serif" w:hAnsi="Times New Roman;serif"/>
          <w:b/>
          <w:i/>
          <w:sz w:val="20"/>
        </w:rPr>
        <w:t>The dual class structure of our common stock and the existing ownership of common stock by our executive officers, directors and their affiliates have the effect of concentrating voting control with our executive officers, directors and their affiliates for the foreseeable future, which will limit your ability to influence corporate matters.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Class A common stock has ten votes per share, and our Class B common stock has one vote per share. Given the greater number of votes per share attributed to our Class A common stock, our Executive Chairman and Chief Executive Officer, Stephen L. Schlecht, who is our only Class A shareholder, beneficially owns shares representing more than 50% of the voting power of our outstanding capital stock. As a result of our dual class ownership structure, Mr. Schlecht will be able to exert a significant degree of influence or actual control over our management and affairs and over matters requiring shareholder approval, including the election of directors, a merger, consolidation or sale of all or substantially all of our assets and any other significant transaction. Mr. Schlecht together with our other executive officers, directors and their affiliates, owns shares representing the majority of the voting power of our outstanding capital stock. This concentrated control will limit your ability to influence corporate matters for the foreseeable future. For example, these shareholders will be able to control elections of directors, amendments of our articles of incorporation or bylaws, increases to the number of shares available for issuance under our equity incentive plans or adoption of new equity incentive plans and approval of any merger or sale of assets for the foreseeable future. This control may materially adversely affect the market price of our Class B common stock.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Additionally, the holder of our Class A common stock may cause us to make strategic decisions or pursue acquisitions that could involve risks to you or may not be aligned with your interests. The holder of our Class A common stock will also be entitled to a separate vote in the event we seek to amend our articles of incorporation in a manner that alters or changes the powers, preferences or special rights of the Class A common stock in a manner that affects its holder adversely.</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sz w:val="20"/>
        </w:rPr>
      </w:pPr>
      <w:r>
        <w:rPr>
          <w:rFonts w:ascii="Times New Roman;serif" w:hAnsi="Times New Roman;serif"/>
          <w:b/>
          <w:i/>
          <w:sz w:val="20"/>
        </w:rPr>
        <w:t>We are a controlled company within the meaning of the NASDAQ rules, and as a result, we rely on exemptions from certain corporate governance requirements that provide protection to shareholders of other companies.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Mr. Schlecht controls more than 50% of the total voting power of our common stock, and we are considered a controlled company under the NASDAQ corporate governance listing standards. As a controlled company, certain exemptions under the NASDAQ listing standards exempt us from the obligation to comply with certain NASDAQ corporate governance requirements, including the requirements:</w:t>
      </w:r>
    </w:p>
    <w:p>
      <w:pPr>
        <w:pStyle w:val="TextBody"/>
        <w:bidi w:val="0"/>
        <w:spacing w:lineRule="auto" w:line="259" w:before="100" w:after="283"/>
        <w:ind w:left="979" w:right="0" w:hanging="490"/>
        <w:jc w:val="left"/>
        <w:rPr/>
      </w:pPr>
      <w:r>
        <w:rPr>
          <w:caps w:val="false"/>
          <w:smallCaps w:val="false"/>
        </w:rPr>
        <w:t></w:t>
      </w:r>
      <w:r>
        <w:rPr>
          <w:rFonts w:ascii="Times New Roman;serif" w:hAnsi="Times New Roman;serif"/>
          <w:b w:val="false"/>
          <w:i w:val="false"/>
          <w:caps w:val="false"/>
          <w:smallCaps w:val="false"/>
          <w:sz w:val="20"/>
        </w:rPr>
        <w:t>that a majority of our board of directors consist of independent directors, as defined under the rules of NASDAQ;</w:t>
      </w:r>
    </w:p>
    <w:p>
      <w:pPr>
        <w:pStyle w:val="TextBody"/>
        <w:bidi w:val="0"/>
        <w:spacing w:lineRule="auto" w:line="259" w:before="100" w:after="283"/>
        <w:ind w:left="979" w:right="0" w:hanging="490"/>
        <w:jc w:val="left"/>
        <w:rPr/>
      </w:pPr>
      <w:r>
        <w:rPr>
          <w:caps w:val="false"/>
          <w:smallCaps w:val="false"/>
        </w:rPr>
        <w:t></w:t>
      </w:r>
      <w:r>
        <w:rPr>
          <w:rFonts w:ascii="Times New Roman;serif" w:hAnsi="Times New Roman;serif"/>
          <w:b w:val="false"/>
          <w:i w:val="false"/>
          <w:caps w:val="false"/>
          <w:smallCaps w:val="false"/>
          <w:sz w:val="20"/>
        </w:rPr>
        <w:t>that we have a nominating committee that is composed entirely of independent directors with a written charter addressing the committee’s purpose and responsibilities;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that we have a compensation committee that is composed entirely of independent directors with a written charter addressing the committee’s purpose and responsibilities.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Although we have a majority of independent directors on our board even though we will are a controlled company, there is no guarantee that we will not take advantage of this exemption in the future. Accordingly, as long as we are a controlled company, holders of our Class B common stock may not have the same protections afforded to shareholders of companies that are subject to all of the NASDAQ corporate governance requirements.</w:t>
      </w:r>
    </w:p>
    <w:p>
      <w:pPr>
        <w:pStyle w:val="TextBody"/>
        <w:bidi w:val="0"/>
        <w:spacing w:lineRule="auto" w:line="259"/>
        <w:rPr>
          <w:rFonts w:ascii="Times New Roman;serif" w:hAnsi="Times New Roman;serif"/>
          <w:b/>
          <w:i/>
          <w:sz w:val="20"/>
        </w:rPr>
      </w:pPr>
      <w:r>
        <w:rPr>
          <w:rFonts w:ascii="Times New Roman;serif" w:hAnsi="Times New Roman;serif"/>
          <w:b/>
          <w:i/>
          <w:sz w:val="20"/>
        </w:rPr>
        <w:t>Our stock price may be volatile or may decline regardless of our operating performance, resulting in substantial losses for investors.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market price of our Class B common stock may fluctuate significantly in response to numerous factors, many of which are beyond our control, including:</w:t>
      </w:r>
    </w:p>
    <w:p>
      <w:pPr>
        <w:pStyle w:val="TextBody"/>
        <w:bidi w:val="0"/>
        <w:spacing w:lineRule="auto" w:line="259" w:before="100" w:after="283"/>
        <w:ind w:left="979" w:right="0" w:hanging="490"/>
        <w:jc w:val="left"/>
        <w:rPr/>
      </w:pPr>
      <w:r>
        <w:rPr>
          <w:caps w:val="false"/>
          <w:smallCaps w:val="false"/>
        </w:rPr>
        <w:t></w:t>
      </w:r>
      <w:r>
        <w:rPr>
          <w:rFonts w:ascii="Times New Roman;serif" w:hAnsi="Times New Roman;serif"/>
          <w:b w:val="false"/>
          <w:i w:val="false"/>
          <w:caps w:val="false"/>
          <w:smallCaps w:val="false"/>
          <w:sz w:val="20"/>
        </w:rPr>
        <w:t>actual or anticipated fluctuations in our results of operations, particularly in our segment growth rates and margins;</w:t>
      </w:r>
    </w:p>
    <w:p>
      <w:pPr>
        <w:pStyle w:val="TextBody"/>
        <w:bidi w:val="0"/>
        <w:spacing w:lineRule="auto" w:line="259" w:before="100" w:after="283"/>
        <w:ind w:left="979" w:right="0" w:hanging="490"/>
        <w:jc w:val="left"/>
        <w:rPr/>
      </w:pPr>
      <w:r>
        <w:rPr>
          <w:caps w:val="false"/>
          <w:smallCaps w:val="false"/>
        </w:rPr>
        <w:t></w:t>
      </w:r>
      <w:r>
        <w:rPr>
          <w:rFonts w:ascii="Times New Roman;serif" w:hAnsi="Times New Roman;serif"/>
          <w:b w:val="false"/>
          <w:i w:val="false"/>
          <w:caps w:val="false"/>
          <w:smallCaps w:val="false"/>
          <w:sz w:val="20"/>
        </w:rPr>
        <w:t>the financial projections we may provide to the public, any changes in these projections or our failure to meet these projections;</w:t>
      </w:r>
    </w:p>
    <w:p>
      <w:pPr>
        <w:pStyle w:val="TextBody"/>
        <w:bidi w:val="0"/>
        <w:spacing w:lineRule="auto" w:line="259" w:before="100" w:after="283"/>
        <w:ind w:left="979" w:right="0" w:hanging="490"/>
        <w:jc w:val="left"/>
        <w:rPr/>
      </w:pPr>
      <w:r>
        <w:rPr>
          <w:caps w:val="false"/>
          <w:smallCaps w:val="false"/>
        </w:rPr>
        <w:t></w:t>
      </w:r>
      <w:r>
        <w:rPr>
          <w:rFonts w:ascii="Times New Roman;serif" w:hAnsi="Times New Roman;serif"/>
          <w:b w:val="false"/>
          <w:i w:val="false"/>
          <w:caps w:val="false"/>
          <w:smallCaps w:val="false"/>
          <w:sz w:val="20"/>
        </w:rPr>
        <w:t>failure of securities analysts to initiate or maintain coverage of our company, changes in financial estimates or ratings by any securities analysts who follow our company or our failure to meet these estimates or the expectations of investors;</w:t>
      </w:r>
    </w:p>
    <w:p>
      <w:pPr>
        <w:pStyle w:val="TextBody"/>
        <w:bidi w:val="0"/>
        <w:spacing w:lineRule="auto" w:line="259" w:before="100" w:after="283"/>
        <w:ind w:left="979" w:right="0" w:hanging="490"/>
        <w:jc w:val="left"/>
        <w:rPr/>
      </w:pPr>
      <w:r>
        <w:rPr>
          <w:caps w:val="false"/>
          <w:smallCaps w:val="false"/>
        </w:rPr>
        <w:t></w:t>
      </w:r>
      <w:r>
        <w:rPr>
          <w:rFonts w:ascii="Times New Roman;serif" w:hAnsi="Times New Roman;serif"/>
          <w:b w:val="false"/>
          <w:i w:val="false"/>
          <w:caps w:val="false"/>
          <w:smallCaps w:val="false"/>
          <w:sz w:val="20"/>
        </w:rPr>
        <w:t>announcements by us or our competitors of significant technical innovations, acquisitions, strategic partnerships, joint ventures, operating results or capital commitments;</w:t>
      </w:r>
    </w:p>
    <w:p>
      <w:pPr>
        <w:pStyle w:val="TextBody"/>
        <w:bidi w:val="0"/>
        <w:spacing w:lineRule="auto" w:line="259" w:before="100" w:after="283"/>
        <w:ind w:left="979" w:right="0" w:hanging="490"/>
        <w:jc w:val="left"/>
        <w:rPr/>
      </w:pPr>
      <w:r>
        <w:rPr>
          <w:caps w:val="false"/>
          <w:smallCaps w:val="false"/>
        </w:rPr>
        <w:t></w:t>
      </w:r>
      <w:r>
        <w:rPr>
          <w:rFonts w:ascii="Times New Roman;serif" w:hAnsi="Times New Roman;serif"/>
          <w:b w:val="false"/>
          <w:i w:val="false"/>
          <w:caps w:val="false"/>
          <w:smallCaps w:val="false"/>
          <w:sz w:val="20"/>
        </w:rPr>
        <w:t>changes in operating performance and stock market valuations of other technology or retail companies generally, or those in our industry in particular;</w:t>
      </w:r>
    </w:p>
    <w:p>
      <w:pPr>
        <w:pStyle w:val="TextBody"/>
        <w:bidi w:val="0"/>
        <w:spacing w:lineRule="auto" w:line="259" w:before="100" w:after="283"/>
        <w:ind w:left="979" w:right="0" w:hanging="490"/>
        <w:jc w:val="left"/>
        <w:rPr/>
      </w:pPr>
      <w:r>
        <w:rPr>
          <w:caps w:val="false"/>
          <w:smallCaps w:val="false"/>
        </w:rPr>
        <w:t></w:t>
      </w:r>
      <w:r>
        <w:rPr>
          <w:rFonts w:ascii="Times New Roman;serif" w:hAnsi="Times New Roman;serif"/>
          <w:b w:val="false"/>
          <w:i w:val="false"/>
          <w:caps w:val="false"/>
          <w:smallCaps w:val="false"/>
          <w:sz w:val="20"/>
        </w:rPr>
        <w:t>price and volume fluctuations in the overall stock market, including as a result of trends in the economy as a whole;</w:t>
      </w:r>
    </w:p>
    <w:p>
      <w:pPr>
        <w:pStyle w:val="TextBody"/>
        <w:bidi w:val="0"/>
        <w:spacing w:lineRule="auto" w:line="259" w:before="100" w:after="283"/>
        <w:ind w:left="979" w:right="0" w:hanging="490"/>
        <w:jc w:val="left"/>
        <w:rPr/>
      </w:pPr>
      <w:r>
        <w:rPr>
          <w:caps w:val="false"/>
          <w:smallCaps w:val="false"/>
        </w:rPr>
        <w:t></w:t>
      </w:r>
      <w:r>
        <w:rPr>
          <w:rFonts w:ascii="Times New Roman;serif" w:hAnsi="Times New Roman;serif"/>
          <w:b w:val="false"/>
          <w:i w:val="false"/>
          <w:caps w:val="false"/>
          <w:smallCaps w:val="false"/>
          <w:sz w:val="20"/>
        </w:rPr>
        <w:t>changes in our board of directors or management;</w:t>
      </w:r>
    </w:p>
    <w:p>
      <w:pPr>
        <w:pStyle w:val="TextBody"/>
        <w:bidi w:val="0"/>
        <w:spacing w:lineRule="auto" w:line="259" w:before="100" w:after="283"/>
        <w:ind w:left="979" w:right="0" w:hanging="490"/>
        <w:jc w:val="left"/>
        <w:rPr/>
      </w:pPr>
      <w:r>
        <w:rPr>
          <w:caps w:val="false"/>
          <w:smallCaps w:val="false"/>
        </w:rPr>
        <w:t></w:t>
      </w:r>
      <w:r>
        <w:rPr>
          <w:rFonts w:ascii="Times New Roman;serif" w:hAnsi="Times New Roman;serif"/>
          <w:b w:val="false"/>
          <w:i w:val="false"/>
          <w:caps w:val="false"/>
          <w:smallCaps w:val="false"/>
          <w:sz w:val="20"/>
        </w:rPr>
        <w:t>sales of large blocks of our Class B common stock, including sales by our executive officers, directors and significant shareholders;</w:t>
      </w:r>
    </w:p>
    <w:p>
      <w:pPr>
        <w:pStyle w:val="TextBody"/>
        <w:bidi w:val="0"/>
        <w:spacing w:lineRule="auto" w:line="259" w:before="100" w:after="283"/>
        <w:ind w:left="979" w:right="0" w:hanging="490"/>
        <w:jc w:val="left"/>
        <w:rPr/>
      </w:pPr>
      <w:r>
        <w:rPr>
          <w:caps w:val="false"/>
          <w:smallCaps w:val="false"/>
        </w:rPr>
        <w:t></w:t>
      </w:r>
      <w:r>
        <w:rPr>
          <w:rFonts w:ascii="Times New Roman;serif" w:hAnsi="Times New Roman;serif"/>
          <w:b w:val="false"/>
          <w:i w:val="false"/>
          <w:caps w:val="false"/>
          <w:smallCaps w:val="false"/>
          <w:sz w:val="20"/>
        </w:rPr>
        <w:t>lawsuits threatened or filed against us;</w:t>
      </w:r>
    </w:p>
    <w:p>
      <w:pPr>
        <w:pStyle w:val="TextBody"/>
        <w:bidi w:val="0"/>
        <w:spacing w:lineRule="auto" w:line="259" w:before="100" w:after="283"/>
        <w:ind w:left="979" w:right="0" w:hanging="490"/>
        <w:jc w:val="left"/>
        <w:rPr/>
      </w:pPr>
      <w:r>
        <w:rPr>
          <w:caps w:val="false"/>
          <w:smallCaps w:val="false"/>
        </w:rPr>
        <w:t></w:t>
      </w:r>
      <w:r>
        <w:rPr>
          <w:rFonts w:ascii="Times New Roman;serif" w:hAnsi="Times New Roman;serif"/>
          <w:b w:val="false"/>
          <w:i w:val="false"/>
          <w:caps w:val="false"/>
          <w:smallCaps w:val="false"/>
          <w:sz w:val="20"/>
        </w:rPr>
        <w:t>changes in laws or regulations applicable to our business;</w:t>
      </w:r>
    </w:p>
    <w:p>
      <w:pPr>
        <w:pStyle w:val="TextBody"/>
        <w:bidi w:val="0"/>
        <w:spacing w:lineRule="auto" w:line="259" w:before="100" w:after="283"/>
        <w:ind w:left="979" w:right="0" w:hanging="490"/>
        <w:jc w:val="left"/>
        <w:rPr/>
      </w:pPr>
      <w:r>
        <w:rPr>
          <w:caps w:val="false"/>
          <w:smallCaps w:val="false"/>
        </w:rPr>
        <w:t></w:t>
      </w:r>
      <w:r>
        <w:rPr>
          <w:rFonts w:ascii="Times New Roman;serif" w:hAnsi="Times New Roman;serif"/>
          <w:b w:val="false"/>
          <w:i w:val="false"/>
          <w:caps w:val="false"/>
          <w:smallCaps w:val="false"/>
          <w:sz w:val="20"/>
        </w:rPr>
        <w:t>changes in our capital structure, such as future issuances of debt or equity securities;</w:t>
      </w:r>
    </w:p>
    <w:p>
      <w:pPr>
        <w:pStyle w:val="TextBody"/>
        <w:bidi w:val="0"/>
        <w:spacing w:lineRule="auto" w:line="259" w:before="100" w:after="283"/>
        <w:ind w:left="979" w:right="0" w:hanging="490"/>
        <w:jc w:val="left"/>
        <w:rPr/>
      </w:pPr>
      <w:r>
        <w:rPr>
          <w:caps w:val="false"/>
          <w:smallCaps w:val="false"/>
        </w:rPr>
        <w:t></w:t>
      </w:r>
      <w:r>
        <w:rPr>
          <w:rFonts w:ascii="Times New Roman;serif" w:hAnsi="Times New Roman;serif"/>
          <w:b w:val="false"/>
          <w:i w:val="false"/>
          <w:caps w:val="false"/>
          <w:smallCaps w:val="false"/>
          <w:sz w:val="20"/>
        </w:rPr>
        <w:t>short sales, hedging and other derivative transactions involving our capital stock;</w:t>
      </w:r>
    </w:p>
    <w:p>
      <w:pPr>
        <w:pStyle w:val="TextBody"/>
        <w:bidi w:val="0"/>
        <w:spacing w:lineRule="auto" w:line="259" w:before="100" w:after="283"/>
        <w:ind w:left="979" w:right="0" w:hanging="490"/>
        <w:jc w:val="left"/>
        <w:rPr/>
      </w:pPr>
      <w:r>
        <w:rPr>
          <w:caps w:val="false"/>
          <w:smallCaps w:val="false"/>
        </w:rPr>
        <w:t></w:t>
      </w:r>
      <w:r>
        <w:rPr>
          <w:rFonts w:ascii="Times New Roman;serif" w:hAnsi="Times New Roman;serif"/>
          <w:b w:val="false"/>
          <w:i w:val="false"/>
          <w:caps w:val="false"/>
          <w:smallCaps w:val="false"/>
          <w:sz w:val="20"/>
        </w:rPr>
        <w:t>general economic conditions in the United States and abroad;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other events or factors, including those resulting from pandemics, war, incidents of terrorism or responses to these events.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addition, stock markets have experienced extreme price and volume fluctuations that have affected and continue to affect the market prices of equity securities of many retail and e-commerce companies. Stock prices of many retail companies and e-commerce companies have fluctuated in a manner unrelated or disproportionate to the operating performance of those companies. In the past, shareholders have instituted securities class action litigation following periods of market volatility. If we were to become involved in securities litigation, it could subject us to substantial costs, divert resources and the attention of management from our business and materially adversely affect our business, financial condition and operating results.</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sz w:val="20"/>
        </w:rPr>
      </w:pPr>
      <w:r>
        <w:rPr>
          <w:rFonts w:ascii="Times New Roman;serif" w:hAnsi="Times New Roman;serif"/>
          <w:b/>
          <w:i/>
          <w:sz w:val="20"/>
        </w:rPr>
        <w:t>If securities or industry analysts do not publish research or reports about our business, or publish negative reports about our business, our share price and trading volume could decline.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trading market for our Class B common stock will depend in part on the research and reports that securities or industry analysts publish about us or our business, our market and our competitors. We do not have any control over these analysts. If one or more of the analysts who cover us downgrade our shares or change their opinion of our shares, our share price would likely decline. If one or more of these analysts cease coverage of our company or fail to regularly publish reports on us, we could lose visibility in the financial markets, which could cause our share price or trading volume to decline.</w:t>
      </w:r>
    </w:p>
    <w:p>
      <w:pPr>
        <w:pStyle w:val="TextBody"/>
        <w:bidi w:val="0"/>
        <w:spacing w:lineRule="auto" w:line="259"/>
        <w:rPr>
          <w:rFonts w:ascii="Times New Roman;serif" w:hAnsi="Times New Roman;serif"/>
          <w:b/>
          <w:i/>
          <w:sz w:val="20"/>
        </w:rPr>
      </w:pPr>
      <w:r>
        <w:rPr>
          <w:rFonts w:ascii="Times New Roman;serif" w:hAnsi="Times New Roman;serif"/>
          <w:b/>
          <w:i/>
          <w:sz w:val="20"/>
        </w:rPr>
        <w:t>The requirements of being a public company may strain our resources, divert management’s attention and affect our ability to attract and retain additional executive management and qualified board members.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a public company, we are subject to the reporting requirements of the Exchange Act, the Sarbanes-Oxley Act, the Dodd-Frank Wall Street Reform and Consumer Protection Act, the listing requirements of the NASDAQ Global Select Market and other applicable securities rules and regulations. Compliance with these rules and regulations will increase our legal and financial compliance costs, make some activities more difficult, time-consuming or costly and increase demand on our systems and resources. The Exchange Act requires, among other things, that we file annual, quarterly and current reports with respect to our business and results of operations.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significant resources and management oversight may be required. As a result, management’s attention may be diverted from other business concerns, which could materially adversely affect our business and results of operations. We will need to hire additional employees or engage outside consultants to comply with these requirements, which will increase our costs and expenses.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materially adversely affected.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a result of disclosure of information in this annual report and in filings required of a public company, our business and financial condition will become more visible, which we believe may result in threatened or actual litigation, including by competitors and other third parties. If such claims are successful, our business and results of operations could be materially adversely affected, and even if the claims do not result in litigation or are resolved in our favor, these claims, and the time and resources necessary to resolve them, could divert the resources of our management and materially adversely affect our business, financial condition and operating results.</w:t>
      </w:r>
    </w:p>
    <w:p>
      <w:pPr>
        <w:pStyle w:val="TextBody"/>
        <w:bidi w:val="0"/>
        <w:spacing w:lineRule="auto" w:line="259"/>
        <w:rPr>
          <w:rFonts w:ascii="Times New Roman;serif" w:hAnsi="Times New Roman;serif"/>
          <w:b/>
          <w:i/>
          <w:sz w:val="20"/>
        </w:rPr>
      </w:pPr>
      <w:r>
        <w:rPr>
          <w:rFonts w:ascii="Times New Roman;serif" w:hAnsi="Times New Roman;serif"/>
          <w:b/>
          <w:i/>
          <w:sz w:val="20"/>
        </w:rPr>
        <w:t>Anti-takeover provisions in our charter documents and under Wisconsin law could make an acquisition of our company more difficult, limit attempts by our shareholders to replace or remove our current management and limit the market price of our Class B common stock.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Provisions in our amended and restated articles of incorporation and amended and restated bylaws may have the effect of delaying or preventing a change of control or changes in our management. In addition to the dual class structure of our common stock, our amended and restated articles of incorporation and amended and restated bylaws include provisions that:</w:t>
      </w:r>
    </w:p>
    <w:p>
      <w:pPr>
        <w:pStyle w:val="TextBody"/>
        <w:bidi w:val="0"/>
        <w:spacing w:lineRule="auto" w:line="259" w:before="100" w:after="283"/>
        <w:ind w:left="979" w:right="0" w:hanging="490"/>
        <w:jc w:val="left"/>
        <w:rPr/>
      </w:pPr>
      <w:r>
        <w:rPr>
          <w:caps w:val="false"/>
          <w:smallCaps w:val="false"/>
        </w:rPr>
        <w:t></w:t>
      </w:r>
      <w:r>
        <w:rPr>
          <w:rFonts w:ascii="Times New Roman;serif" w:hAnsi="Times New Roman;serif"/>
          <w:b w:val="false"/>
          <w:i w:val="false"/>
          <w:caps w:val="false"/>
          <w:smallCaps w:val="false"/>
          <w:sz w:val="20"/>
        </w:rPr>
        <w:t>permit the board of directors to establish the number of directors and fill any vacancies and newly created directorships;</w:t>
      </w:r>
    </w:p>
    <w:p>
      <w:pPr>
        <w:pStyle w:val="TextBody"/>
        <w:bidi w:val="0"/>
        <w:spacing w:lineRule="auto" w:line="259" w:before="100" w:after="283"/>
        <w:ind w:left="979" w:right="0" w:hanging="490"/>
        <w:jc w:val="left"/>
        <w:rPr/>
      </w:pPr>
      <w:r>
        <w:rPr>
          <w:caps w:val="false"/>
          <w:smallCaps w:val="false"/>
        </w:rPr>
        <w:t></w:t>
      </w:r>
      <w:r>
        <w:rPr>
          <w:rFonts w:ascii="Times New Roman;serif" w:hAnsi="Times New Roman;serif"/>
          <w:b w:val="false"/>
          <w:i w:val="false"/>
          <w:caps w:val="false"/>
          <w:smallCaps w:val="false"/>
          <w:sz w:val="20"/>
        </w:rPr>
        <w:t>authorize the issuance of “blank check” preferred stock that our board of directors could use to implement a shareholder rights plan;</w:t>
      </w:r>
    </w:p>
    <w:p>
      <w:pPr>
        <w:pStyle w:val="TextBody"/>
        <w:bidi w:val="0"/>
        <w:spacing w:lineRule="auto" w:line="259" w:before="100" w:after="283"/>
        <w:ind w:left="979" w:right="0" w:hanging="490"/>
        <w:jc w:val="left"/>
        <w:rPr/>
      </w:pPr>
      <w:r>
        <w:rPr>
          <w:caps w:val="false"/>
          <w:smallCaps w:val="false"/>
        </w:rPr>
        <w:t></w:t>
      </w:r>
      <w:r>
        <w:rPr>
          <w:rFonts w:ascii="Times New Roman;serif" w:hAnsi="Times New Roman;serif"/>
          <w:b w:val="false"/>
          <w:i w:val="false"/>
          <w:caps w:val="false"/>
          <w:smallCaps w:val="false"/>
          <w:sz w:val="20"/>
        </w:rPr>
        <w:t>provide that the board of directors is expressly authorized to make, alter or repeal our bylaws;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establish advance notice requirements for nominations for election to our board of directors or for proposing matters that can be acted upon by shareholders at annual or special shareholder meetings.</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These provisions may frustrate or prevent any attempts by our shareholders to replace or remove our current management by making it more difficult for shareholders to replace members of our board of directors, which is responsible for appointing the members of our management. In addition, because we are incorporated in Wisconsin, the Wisconsin control share acquisition statute and Wisconsin’s “business combination” provisions would apply and limit the ability of an acquiring person to engage in certain transactions or to exercise full voting power of acquired shares under certain circumstances. As a result, offers to acquire us, which may represent a premium over the available market price of our Class B common stock, may be withdrawn or otherwise fail to be realized.</w:t>
      </w:r>
    </w:p>
    <w:tbl>
      <w:tblPr>
        <w:tblW w:w="4185" w:type="dxa"/>
        <w:jc w:val="left"/>
        <w:tblInd w:w="0" w:type="dxa"/>
        <w:tblCellMar>
          <w:top w:w="0" w:type="dxa"/>
          <w:left w:w="0" w:type="dxa"/>
          <w:bottom w:w="0" w:type="dxa"/>
          <w:right w:w="0" w:type="dxa"/>
        </w:tblCellMar>
      </w:tblPr>
      <w:tblGrid>
        <w:gridCol w:w="960"/>
        <w:gridCol w:w="3225"/>
      </w:tblGrid>
      <w:tr>
        <w:trPr/>
        <w:tc>
          <w:tcPr>
            <w:tcW w:w="960" w:type="dxa"/>
            <w:tcBorders/>
            <w:shd w:fill="auto" w:val="clear"/>
            <w:vAlign w:val="center"/>
          </w:tcPr>
          <w:p>
            <w:pPr>
              <w:pStyle w:val="TableContents"/>
              <w:spacing w:before="0" w:after="283"/>
              <w:rPr>
                <w:sz w:val="4"/>
                <w:szCs w:val="4"/>
              </w:rPr>
            </w:pPr>
            <w:r>
              <w:rPr>
                <w:sz w:val="4"/>
                <w:szCs w:val="4"/>
              </w:rPr>
            </w:r>
          </w:p>
        </w:tc>
        <w:tc>
          <w:tcPr>
            <w:tcW w:w="3225" w:type="dxa"/>
            <w:tcBorders/>
            <w:shd w:fill="auto" w:val="clear"/>
            <w:vAlign w:val="center"/>
          </w:tcPr>
          <w:p>
            <w:pPr>
              <w:pStyle w:val="TableContents"/>
              <w:spacing w:before="0" w:after="283"/>
              <w:rPr>
                <w:sz w:val="4"/>
                <w:szCs w:val="4"/>
              </w:rPr>
            </w:pPr>
            <w:r>
              <w:rPr>
                <w:sz w:val="4"/>
                <w:szCs w:val="4"/>
              </w:rPr>
            </w:r>
          </w:p>
        </w:tc>
      </w:tr>
      <w:tr>
        <w:trPr/>
        <w:tc>
          <w:tcPr>
            <w:tcW w:w="960" w:type="dxa"/>
            <w:tcBorders/>
            <w:shd w:fill="auto" w:val="clear"/>
            <w:vAlign w:val="center"/>
          </w:tcPr>
          <w:p>
            <w:pPr>
              <w:pStyle w:val="TableContents"/>
              <w:bidi w:val="0"/>
              <w:spacing w:lineRule="auto" w:line="259" w:before="0" w:after="22"/>
              <w:ind w:left="0" w:right="29" w:hanging="0"/>
              <w:jc w:val="left"/>
              <w:rPr>
                <w:rFonts w:ascii="Times New Roman;serif" w:hAnsi="Times New Roman;serif"/>
                <w:b w:val="false"/>
                <w:i w:val="false"/>
                <w:caps w:val="false"/>
                <w:smallCaps w:val="false"/>
                <w:color w:val="000000"/>
                <w:sz w:val="20"/>
              </w:rPr>
            </w:pPr>
            <w:bookmarkStart w:id="7" w:name="Item1BUnresolvedStaffComments"/>
            <w:bookmarkEnd w:id="7"/>
            <w:r>
              <w:rPr>
                <w:rFonts w:ascii="Times New Roman;serif" w:hAnsi="Times New Roman;serif"/>
                <w:b w:val="false"/>
                <w:i w:val="false"/>
                <w:caps w:val="false"/>
                <w:smallCaps w:val="false"/>
                <w:color w:val="000000"/>
                <w:sz w:val="20"/>
              </w:rPr>
              <w:t>ITEM 1B.</w:t>
            </w:r>
          </w:p>
        </w:tc>
        <w:tc>
          <w:tcPr>
            <w:tcW w:w="3225" w:type="dxa"/>
            <w:tcBorders/>
            <w:shd w:fill="auto" w:val="clear"/>
            <w:vAlign w:val="center"/>
          </w:tcPr>
          <w:p>
            <w:pPr>
              <w:pStyle w:val="TableContents"/>
              <w:bidi w:val="0"/>
              <w:spacing w:lineRule="auto" w:line="259" w:before="0" w:after="22"/>
              <w:ind w:left="0" w:right="29"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UNRESOLVED STAFF COMMENTS</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None.</w:t>
      </w:r>
    </w:p>
    <w:tbl>
      <w:tblPr>
        <w:tblW w:w="278" w:type="dxa"/>
        <w:jc w:val="left"/>
        <w:tblInd w:w="0" w:type="dxa"/>
        <w:tblCellMar>
          <w:top w:w="0" w:type="dxa"/>
          <w:left w:w="0" w:type="dxa"/>
          <w:bottom w:w="0" w:type="dxa"/>
          <w:right w:w="0" w:type="dxa"/>
        </w:tblCellMar>
      </w:tblPr>
      <w:tblGrid>
        <w:gridCol w:w="124"/>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tbl>
      <w:tblPr>
        <w:tblW w:w="2145" w:type="dxa"/>
        <w:jc w:val="left"/>
        <w:tblInd w:w="0" w:type="dxa"/>
        <w:tblCellMar>
          <w:top w:w="0" w:type="dxa"/>
          <w:left w:w="0" w:type="dxa"/>
          <w:bottom w:w="0" w:type="dxa"/>
          <w:right w:w="0" w:type="dxa"/>
        </w:tblCellMar>
      </w:tblPr>
      <w:tblGrid>
        <w:gridCol w:w="825"/>
        <w:gridCol w:w="1320"/>
      </w:tblGrid>
      <w:tr>
        <w:trPr/>
        <w:tc>
          <w:tcPr>
            <w:tcW w:w="825" w:type="dxa"/>
            <w:tcBorders/>
            <w:shd w:fill="auto" w:val="clear"/>
            <w:vAlign w:val="center"/>
          </w:tcPr>
          <w:p>
            <w:pPr>
              <w:pStyle w:val="TableContents"/>
              <w:bidi w:val="0"/>
              <w:spacing w:lineRule="auto" w:line="259" w:before="0" w:after="22"/>
              <w:ind w:left="0" w:right="29" w:hanging="0"/>
              <w:jc w:val="left"/>
              <w:rPr>
                <w:rFonts w:ascii="Times New Roman;serif" w:hAnsi="Times New Roman;serif"/>
                <w:b w:val="false"/>
                <w:i w:val="false"/>
                <w:caps w:val="false"/>
                <w:smallCaps w:val="false"/>
                <w:color w:val="000000"/>
                <w:sz w:val="20"/>
              </w:rPr>
            </w:pPr>
            <w:bookmarkStart w:id="8" w:name="Item2Properties"/>
            <w:bookmarkEnd w:id="8"/>
            <w:r>
              <w:rPr>
                <w:rFonts w:ascii="Times New Roman;serif" w:hAnsi="Times New Roman;serif"/>
                <w:b w:val="false"/>
                <w:i w:val="false"/>
                <w:caps w:val="false"/>
                <w:smallCaps w:val="false"/>
                <w:color w:val="000000"/>
                <w:sz w:val="20"/>
              </w:rPr>
              <w:t>ITEM 2.</w:t>
            </w:r>
          </w:p>
        </w:tc>
        <w:tc>
          <w:tcPr>
            <w:tcW w:w="1320" w:type="dxa"/>
            <w:tcBorders/>
            <w:shd w:fill="auto" w:val="clear"/>
            <w:vAlign w:val="center"/>
          </w:tcPr>
          <w:p>
            <w:pPr>
              <w:pStyle w:val="TableContents"/>
              <w:bidi w:val="0"/>
              <w:spacing w:lineRule="auto" w:line="259" w:before="0" w:after="22"/>
              <w:ind w:left="0" w:right="29"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PROPERTIES</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following</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table sets forth the location, primary use and size of our leased and owned facilities as of January 31, 2021.</w:t>
      </w:r>
    </w:p>
    <w:tbl>
      <w:tblPr>
        <w:tblW w:w="8001" w:type="dxa"/>
        <w:jc w:val="left"/>
        <w:tblInd w:w="0" w:type="dxa"/>
        <w:tblCellMar>
          <w:top w:w="0" w:type="dxa"/>
          <w:left w:w="0" w:type="dxa"/>
          <w:bottom w:w="0" w:type="dxa"/>
          <w:right w:w="0" w:type="dxa"/>
        </w:tblCellMar>
      </w:tblPr>
      <w:tblGrid>
        <w:gridCol w:w="2026"/>
        <w:gridCol w:w="109"/>
        <w:gridCol w:w="1471"/>
        <w:gridCol w:w="109"/>
        <w:gridCol w:w="1756"/>
        <w:gridCol w:w="109"/>
        <w:gridCol w:w="1021"/>
        <w:gridCol w:w="109"/>
        <w:gridCol w:w="1291"/>
      </w:tblGrid>
      <w:tr>
        <w:trPr/>
        <w:tc>
          <w:tcPr>
            <w:tcW w:w="20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47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75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2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291" w:type="dxa"/>
            <w:tcBorders/>
            <w:shd w:fill="FFFFFF" w:val="clear"/>
            <w:vAlign w:val="center"/>
          </w:tcPr>
          <w:p>
            <w:pPr>
              <w:pStyle w:val="TableContents"/>
              <w:spacing w:before="0" w:after="283"/>
              <w:rPr>
                <w:sz w:val="4"/>
                <w:szCs w:val="4"/>
              </w:rPr>
            </w:pPr>
            <w:r>
              <w:rPr>
                <w:sz w:val="4"/>
                <w:szCs w:val="4"/>
              </w:rPr>
            </w:r>
          </w:p>
        </w:tc>
      </w:tr>
      <w:tr>
        <w:trPr/>
        <w:tc>
          <w:tcPr>
            <w:tcW w:w="202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Location</w:t>
            </w:r>
          </w:p>
        </w:tc>
        <w:tc>
          <w:tcPr>
            <w:tcW w:w="109" w:type="dxa"/>
            <w:tcBorders/>
            <w:shd w:fill="FFFFFF" w:val="clear"/>
            <w:vAlign w:val="center"/>
          </w:tcPr>
          <w:p>
            <w:pPr>
              <w:pStyle w:val="TableContents"/>
              <w:spacing w:before="0" w:after="283"/>
              <w:rPr>
                <w:sz w:val="4"/>
                <w:szCs w:val="4"/>
              </w:rPr>
            </w:pPr>
            <w:r>
              <w:rPr>
                <w:sz w:val="4"/>
                <w:szCs w:val="4"/>
              </w:rPr>
            </w:r>
          </w:p>
        </w:tc>
        <w:tc>
          <w:tcPr>
            <w:tcW w:w="1471"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Number of Stores</w:t>
            </w:r>
          </w:p>
        </w:tc>
        <w:tc>
          <w:tcPr>
            <w:tcW w:w="109" w:type="dxa"/>
            <w:tcBorders/>
            <w:shd w:fill="FFFFFF" w:val="clear"/>
            <w:vAlign w:val="center"/>
          </w:tcPr>
          <w:p>
            <w:pPr>
              <w:pStyle w:val="TableContents"/>
              <w:spacing w:before="0" w:after="283"/>
              <w:rPr>
                <w:sz w:val="4"/>
                <w:szCs w:val="4"/>
              </w:rPr>
            </w:pPr>
            <w:r>
              <w:rPr>
                <w:sz w:val="4"/>
                <w:szCs w:val="4"/>
              </w:rPr>
            </w:r>
          </w:p>
        </w:tc>
        <w:tc>
          <w:tcPr>
            <w:tcW w:w="175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Primary Use</w:t>
            </w:r>
          </w:p>
        </w:tc>
        <w:tc>
          <w:tcPr>
            <w:tcW w:w="109" w:type="dxa"/>
            <w:tcBorders/>
            <w:shd w:fill="FFFFFF" w:val="clear"/>
            <w:vAlign w:val="center"/>
          </w:tcPr>
          <w:p>
            <w:pPr>
              <w:pStyle w:val="TableContents"/>
              <w:spacing w:before="0" w:after="283"/>
              <w:rPr>
                <w:sz w:val="4"/>
                <w:szCs w:val="4"/>
              </w:rPr>
            </w:pPr>
            <w:r>
              <w:rPr>
                <w:sz w:val="4"/>
                <w:szCs w:val="4"/>
              </w:rPr>
            </w:r>
          </w:p>
        </w:tc>
        <w:tc>
          <w:tcPr>
            <w:tcW w:w="1021"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Gross Sq Ft</w:t>
            </w:r>
          </w:p>
        </w:tc>
        <w:tc>
          <w:tcPr>
            <w:tcW w:w="109" w:type="dxa"/>
            <w:tcBorders/>
            <w:shd w:fill="FFFFFF" w:val="clear"/>
            <w:vAlign w:val="center"/>
          </w:tcPr>
          <w:p>
            <w:pPr>
              <w:pStyle w:val="TableContents"/>
              <w:spacing w:before="0" w:after="283"/>
              <w:rPr>
                <w:sz w:val="4"/>
                <w:szCs w:val="4"/>
              </w:rPr>
            </w:pPr>
            <w:r>
              <w:rPr>
                <w:sz w:val="4"/>
                <w:szCs w:val="4"/>
              </w:rPr>
            </w:r>
          </w:p>
        </w:tc>
        <w:tc>
          <w:tcPr>
            <w:tcW w:w="1291"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Leased/Owned</w:t>
            </w:r>
          </w:p>
        </w:tc>
      </w:tr>
      <w:tr>
        <w:trPr/>
        <w:tc>
          <w:tcPr>
            <w:tcW w:w="8001" w:type="dxa"/>
            <w:gridSpan w:val="9"/>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Retail Stores</w:t>
            </w:r>
          </w:p>
        </w:tc>
      </w:tr>
      <w:tr>
        <w:trPr/>
        <w:tc>
          <w:tcPr>
            <w:tcW w:w="20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North East</w:t>
            </w:r>
          </w:p>
        </w:tc>
        <w:tc>
          <w:tcPr>
            <w:tcW w:w="109"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47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75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2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29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r>
      <w:tr>
        <w:trPr/>
        <w:tc>
          <w:tcPr>
            <w:tcW w:w="202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Connecticut</w:t>
            </w:r>
          </w:p>
        </w:tc>
        <w:tc>
          <w:tcPr>
            <w:tcW w:w="109"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w:t>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Store</w:t>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9,792 </w:t>
            </w:r>
          </w:p>
        </w:tc>
        <w:tc>
          <w:tcPr>
            <w:tcW w:w="109"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20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Maine</w:t>
            </w:r>
          </w:p>
        </w:tc>
        <w:tc>
          <w:tcPr>
            <w:tcW w:w="109" w:type="dxa"/>
            <w:tcBorders/>
            <w:shd w:fill="CCEEFF" w:val="clear"/>
            <w:vAlign w:val="center"/>
          </w:tcPr>
          <w:p>
            <w:pPr>
              <w:pStyle w:val="TableContents"/>
              <w:spacing w:before="0" w:after="283"/>
              <w:rPr>
                <w:sz w:val="4"/>
                <w:szCs w:val="4"/>
              </w:rPr>
            </w:pPr>
            <w:r>
              <w:rPr>
                <w:sz w:val="4"/>
                <w:szCs w:val="4"/>
              </w:rPr>
            </w:r>
          </w:p>
        </w:tc>
        <w:tc>
          <w:tcPr>
            <w:tcW w:w="14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w:t>
            </w:r>
          </w:p>
        </w:tc>
        <w:tc>
          <w:tcPr>
            <w:tcW w:w="109" w:type="dxa"/>
            <w:tcBorders/>
            <w:shd w:fill="CCEEFF" w:val="clear"/>
            <w:vAlign w:val="center"/>
          </w:tcPr>
          <w:p>
            <w:pPr>
              <w:pStyle w:val="TableContents"/>
              <w:spacing w:before="0" w:after="283"/>
              <w:rPr>
                <w:sz w:val="4"/>
                <w:szCs w:val="4"/>
              </w:rPr>
            </w:pPr>
            <w:r>
              <w:rPr>
                <w:sz w:val="4"/>
                <w:szCs w:val="4"/>
              </w:rPr>
            </w:r>
          </w:p>
        </w:tc>
        <w:tc>
          <w:tcPr>
            <w:tcW w:w="17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Store</w:t>
            </w:r>
          </w:p>
        </w:tc>
        <w:tc>
          <w:tcPr>
            <w:tcW w:w="109" w:type="dxa"/>
            <w:tcBorders/>
            <w:shd w:fill="CCEEFF" w:val="clear"/>
            <w:vAlign w:val="center"/>
          </w:tcPr>
          <w:p>
            <w:pPr>
              <w:pStyle w:val="TableContents"/>
              <w:spacing w:before="0" w:after="283"/>
              <w:rPr>
                <w:sz w:val="4"/>
                <w:szCs w:val="4"/>
              </w:rPr>
            </w:pPr>
            <w:r>
              <w:rPr>
                <w:sz w:val="4"/>
                <w:szCs w:val="4"/>
              </w:rPr>
            </w:r>
          </w:p>
        </w:tc>
        <w:tc>
          <w:tcPr>
            <w:tcW w:w="10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12,951 </w:t>
            </w:r>
          </w:p>
        </w:tc>
        <w:tc>
          <w:tcPr>
            <w:tcW w:w="109" w:type="dxa"/>
            <w:tcBorders/>
            <w:shd w:fill="CCEEFF" w:val="clear"/>
            <w:vAlign w:val="center"/>
          </w:tcPr>
          <w:p>
            <w:pPr>
              <w:pStyle w:val="TableContents"/>
              <w:spacing w:before="0" w:after="283"/>
              <w:rPr>
                <w:sz w:val="4"/>
                <w:szCs w:val="4"/>
              </w:rPr>
            </w:pPr>
            <w:r>
              <w:rPr>
                <w:sz w:val="4"/>
                <w:szCs w:val="4"/>
              </w:rPr>
            </w:r>
          </w:p>
        </w:tc>
        <w:tc>
          <w:tcPr>
            <w:tcW w:w="12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202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Massachusetts</w:t>
            </w:r>
          </w:p>
        </w:tc>
        <w:tc>
          <w:tcPr>
            <w:tcW w:w="109"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w:t>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Store</w:t>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16,360 </w:t>
            </w:r>
          </w:p>
        </w:tc>
        <w:tc>
          <w:tcPr>
            <w:tcW w:w="109"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20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New Jersey</w:t>
            </w:r>
          </w:p>
        </w:tc>
        <w:tc>
          <w:tcPr>
            <w:tcW w:w="109" w:type="dxa"/>
            <w:tcBorders/>
            <w:shd w:fill="CCEEFF" w:val="clear"/>
            <w:vAlign w:val="center"/>
          </w:tcPr>
          <w:p>
            <w:pPr>
              <w:pStyle w:val="TableContents"/>
              <w:spacing w:before="0" w:after="283"/>
              <w:rPr>
                <w:sz w:val="4"/>
                <w:szCs w:val="4"/>
              </w:rPr>
            </w:pPr>
            <w:r>
              <w:rPr>
                <w:sz w:val="4"/>
                <w:szCs w:val="4"/>
              </w:rPr>
            </w:r>
          </w:p>
        </w:tc>
        <w:tc>
          <w:tcPr>
            <w:tcW w:w="14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w:t>
            </w:r>
          </w:p>
        </w:tc>
        <w:tc>
          <w:tcPr>
            <w:tcW w:w="109" w:type="dxa"/>
            <w:tcBorders/>
            <w:shd w:fill="CCEEFF" w:val="clear"/>
            <w:vAlign w:val="center"/>
          </w:tcPr>
          <w:p>
            <w:pPr>
              <w:pStyle w:val="TableContents"/>
              <w:spacing w:before="0" w:after="283"/>
              <w:rPr>
                <w:sz w:val="4"/>
                <w:szCs w:val="4"/>
              </w:rPr>
            </w:pPr>
            <w:r>
              <w:rPr>
                <w:sz w:val="4"/>
                <w:szCs w:val="4"/>
              </w:rPr>
            </w:r>
          </w:p>
        </w:tc>
        <w:tc>
          <w:tcPr>
            <w:tcW w:w="17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Store</w:t>
            </w:r>
          </w:p>
        </w:tc>
        <w:tc>
          <w:tcPr>
            <w:tcW w:w="109" w:type="dxa"/>
            <w:tcBorders/>
            <w:shd w:fill="CCEEFF" w:val="clear"/>
            <w:vAlign w:val="center"/>
          </w:tcPr>
          <w:p>
            <w:pPr>
              <w:pStyle w:val="TableContents"/>
              <w:spacing w:before="0" w:after="283"/>
              <w:rPr>
                <w:sz w:val="4"/>
                <w:szCs w:val="4"/>
              </w:rPr>
            </w:pPr>
            <w:r>
              <w:rPr>
                <w:sz w:val="4"/>
                <w:szCs w:val="4"/>
              </w:rPr>
            </w:r>
          </w:p>
        </w:tc>
        <w:tc>
          <w:tcPr>
            <w:tcW w:w="10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13,300 </w:t>
            </w:r>
          </w:p>
        </w:tc>
        <w:tc>
          <w:tcPr>
            <w:tcW w:w="109" w:type="dxa"/>
            <w:tcBorders/>
            <w:shd w:fill="CCEEFF" w:val="clear"/>
            <w:vAlign w:val="center"/>
          </w:tcPr>
          <w:p>
            <w:pPr>
              <w:pStyle w:val="TableContents"/>
              <w:spacing w:before="0" w:after="283"/>
              <w:rPr>
                <w:sz w:val="4"/>
                <w:szCs w:val="4"/>
              </w:rPr>
            </w:pPr>
            <w:r>
              <w:rPr>
                <w:sz w:val="4"/>
                <w:szCs w:val="4"/>
              </w:rPr>
            </w:r>
          </w:p>
        </w:tc>
        <w:tc>
          <w:tcPr>
            <w:tcW w:w="12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202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Pennsylvania</w:t>
            </w:r>
          </w:p>
        </w:tc>
        <w:tc>
          <w:tcPr>
            <w:tcW w:w="109"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w:t>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Store</w:t>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34,945 </w:t>
            </w:r>
          </w:p>
        </w:tc>
        <w:tc>
          <w:tcPr>
            <w:tcW w:w="109"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20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Rhode Island</w:t>
            </w:r>
          </w:p>
        </w:tc>
        <w:tc>
          <w:tcPr>
            <w:tcW w:w="109" w:type="dxa"/>
            <w:tcBorders/>
            <w:shd w:fill="CCEEFF" w:val="clear"/>
            <w:vAlign w:val="center"/>
          </w:tcPr>
          <w:p>
            <w:pPr>
              <w:pStyle w:val="TableContents"/>
              <w:spacing w:before="0" w:after="283"/>
              <w:rPr>
                <w:sz w:val="4"/>
                <w:szCs w:val="4"/>
              </w:rPr>
            </w:pPr>
            <w:r>
              <w:rPr>
                <w:sz w:val="4"/>
                <w:szCs w:val="4"/>
              </w:rPr>
            </w:r>
          </w:p>
        </w:tc>
        <w:tc>
          <w:tcPr>
            <w:tcW w:w="14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w:t>
            </w:r>
          </w:p>
        </w:tc>
        <w:tc>
          <w:tcPr>
            <w:tcW w:w="109" w:type="dxa"/>
            <w:tcBorders/>
            <w:shd w:fill="CCEEFF" w:val="clear"/>
            <w:vAlign w:val="center"/>
          </w:tcPr>
          <w:p>
            <w:pPr>
              <w:pStyle w:val="TableContents"/>
              <w:spacing w:before="0" w:after="283"/>
              <w:rPr>
                <w:sz w:val="4"/>
                <w:szCs w:val="4"/>
              </w:rPr>
            </w:pPr>
            <w:r>
              <w:rPr>
                <w:sz w:val="4"/>
                <w:szCs w:val="4"/>
              </w:rPr>
            </w:r>
          </w:p>
        </w:tc>
        <w:tc>
          <w:tcPr>
            <w:tcW w:w="17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Store</w:t>
            </w:r>
          </w:p>
        </w:tc>
        <w:tc>
          <w:tcPr>
            <w:tcW w:w="109" w:type="dxa"/>
            <w:tcBorders/>
            <w:shd w:fill="CCEEFF" w:val="clear"/>
            <w:vAlign w:val="center"/>
          </w:tcPr>
          <w:p>
            <w:pPr>
              <w:pStyle w:val="TableContents"/>
              <w:spacing w:before="0" w:after="283"/>
              <w:rPr>
                <w:sz w:val="4"/>
                <w:szCs w:val="4"/>
              </w:rPr>
            </w:pPr>
            <w:r>
              <w:rPr>
                <w:sz w:val="4"/>
                <w:szCs w:val="4"/>
              </w:rPr>
            </w:r>
          </w:p>
        </w:tc>
        <w:tc>
          <w:tcPr>
            <w:tcW w:w="10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14,528 </w:t>
            </w:r>
          </w:p>
        </w:tc>
        <w:tc>
          <w:tcPr>
            <w:tcW w:w="109" w:type="dxa"/>
            <w:tcBorders/>
            <w:shd w:fill="CCEEFF" w:val="clear"/>
            <w:vAlign w:val="center"/>
          </w:tcPr>
          <w:p>
            <w:pPr>
              <w:pStyle w:val="TableContents"/>
              <w:spacing w:before="0" w:after="283"/>
              <w:rPr>
                <w:sz w:val="4"/>
                <w:szCs w:val="4"/>
              </w:rPr>
            </w:pPr>
            <w:r>
              <w:rPr>
                <w:sz w:val="4"/>
                <w:szCs w:val="4"/>
              </w:rPr>
            </w:r>
          </w:p>
        </w:tc>
        <w:tc>
          <w:tcPr>
            <w:tcW w:w="12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2026" w:type="dxa"/>
            <w:tcBorders/>
            <w:shd w:fill="auto" w:val="cle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Midwest</w:t>
            </w:r>
          </w:p>
        </w:tc>
        <w:tc>
          <w:tcPr>
            <w:tcW w:w="109"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r>
      <w:tr>
        <w:trPr/>
        <w:tc>
          <w:tcPr>
            <w:tcW w:w="20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Illinois</w:t>
            </w:r>
          </w:p>
        </w:tc>
        <w:tc>
          <w:tcPr>
            <w:tcW w:w="109" w:type="dxa"/>
            <w:tcBorders/>
            <w:shd w:fill="CCEEFF" w:val="clear"/>
            <w:vAlign w:val="center"/>
          </w:tcPr>
          <w:p>
            <w:pPr>
              <w:pStyle w:val="TableContents"/>
              <w:spacing w:before="0" w:after="283"/>
              <w:rPr>
                <w:sz w:val="4"/>
                <w:szCs w:val="4"/>
              </w:rPr>
            </w:pPr>
            <w:r>
              <w:rPr>
                <w:sz w:val="4"/>
                <w:szCs w:val="4"/>
              </w:rPr>
            </w:r>
          </w:p>
        </w:tc>
        <w:tc>
          <w:tcPr>
            <w:tcW w:w="14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w:t>
            </w:r>
          </w:p>
        </w:tc>
        <w:tc>
          <w:tcPr>
            <w:tcW w:w="109" w:type="dxa"/>
            <w:tcBorders/>
            <w:shd w:fill="CCEEFF" w:val="clear"/>
            <w:vAlign w:val="center"/>
          </w:tcPr>
          <w:p>
            <w:pPr>
              <w:pStyle w:val="TableContents"/>
              <w:spacing w:before="0" w:after="283"/>
              <w:rPr>
                <w:sz w:val="4"/>
                <w:szCs w:val="4"/>
              </w:rPr>
            </w:pPr>
            <w:r>
              <w:rPr>
                <w:sz w:val="4"/>
                <w:szCs w:val="4"/>
              </w:rPr>
            </w:r>
          </w:p>
        </w:tc>
        <w:tc>
          <w:tcPr>
            <w:tcW w:w="17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Store</w:t>
            </w:r>
          </w:p>
        </w:tc>
        <w:tc>
          <w:tcPr>
            <w:tcW w:w="109" w:type="dxa"/>
            <w:tcBorders/>
            <w:shd w:fill="CCEEFF" w:val="clear"/>
            <w:vAlign w:val="center"/>
          </w:tcPr>
          <w:p>
            <w:pPr>
              <w:pStyle w:val="TableContents"/>
              <w:spacing w:before="0" w:after="283"/>
              <w:rPr>
                <w:sz w:val="4"/>
                <w:szCs w:val="4"/>
              </w:rPr>
            </w:pPr>
            <w:r>
              <w:rPr>
                <w:sz w:val="4"/>
                <w:szCs w:val="4"/>
              </w:rPr>
            </w:r>
          </w:p>
        </w:tc>
        <w:tc>
          <w:tcPr>
            <w:tcW w:w="10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38,410 </w:t>
            </w:r>
          </w:p>
        </w:tc>
        <w:tc>
          <w:tcPr>
            <w:tcW w:w="109" w:type="dxa"/>
            <w:tcBorders/>
            <w:shd w:fill="CCEEFF" w:val="clear"/>
            <w:vAlign w:val="center"/>
          </w:tcPr>
          <w:p>
            <w:pPr>
              <w:pStyle w:val="TableContents"/>
              <w:spacing w:before="0" w:after="283"/>
              <w:rPr>
                <w:sz w:val="4"/>
                <w:szCs w:val="4"/>
              </w:rPr>
            </w:pPr>
            <w:r>
              <w:rPr>
                <w:sz w:val="4"/>
                <w:szCs w:val="4"/>
              </w:rPr>
            </w:r>
          </w:p>
        </w:tc>
        <w:tc>
          <w:tcPr>
            <w:tcW w:w="12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202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Indiana</w:t>
            </w:r>
          </w:p>
        </w:tc>
        <w:tc>
          <w:tcPr>
            <w:tcW w:w="109"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w:t>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Store</w:t>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14,557 </w:t>
            </w:r>
          </w:p>
        </w:tc>
        <w:tc>
          <w:tcPr>
            <w:tcW w:w="109"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20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Iowa</w:t>
            </w:r>
          </w:p>
        </w:tc>
        <w:tc>
          <w:tcPr>
            <w:tcW w:w="109" w:type="dxa"/>
            <w:tcBorders/>
            <w:shd w:fill="CCEEFF" w:val="clear"/>
            <w:vAlign w:val="center"/>
          </w:tcPr>
          <w:p>
            <w:pPr>
              <w:pStyle w:val="TableContents"/>
              <w:spacing w:before="0" w:after="283"/>
              <w:rPr>
                <w:sz w:val="4"/>
                <w:szCs w:val="4"/>
              </w:rPr>
            </w:pPr>
            <w:r>
              <w:rPr>
                <w:sz w:val="4"/>
                <w:szCs w:val="4"/>
              </w:rPr>
            </w:r>
          </w:p>
        </w:tc>
        <w:tc>
          <w:tcPr>
            <w:tcW w:w="14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w:t>
            </w:r>
          </w:p>
        </w:tc>
        <w:tc>
          <w:tcPr>
            <w:tcW w:w="109" w:type="dxa"/>
            <w:tcBorders/>
            <w:shd w:fill="CCEEFF" w:val="clear"/>
            <w:vAlign w:val="center"/>
          </w:tcPr>
          <w:p>
            <w:pPr>
              <w:pStyle w:val="TableContents"/>
              <w:spacing w:before="0" w:after="283"/>
              <w:rPr>
                <w:sz w:val="4"/>
                <w:szCs w:val="4"/>
              </w:rPr>
            </w:pPr>
            <w:r>
              <w:rPr>
                <w:sz w:val="4"/>
                <w:szCs w:val="4"/>
              </w:rPr>
            </w:r>
          </w:p>
        </w:tc>
        <w:tc>
          <w:tcPr>
            <w:tcW w:w="17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Store</w:t>
            </w:r>
          </w:p>
        </w:tc>
        <w:tc>
          <w:tcPr>
            <w:tcW w:w="109" w:type="dxa"/>
            <w:tcBorders/>
            <w:shd w:fill="CCEEFF" w:val="clear"/>
            <w:vAlign w:val="center"/>
          </w:tcPr>
          <w:p>
            <w:pPr>
              <w:pStyle w:val="TableContents"/>
              <w:spacing w:before="0" w:after="283"/>
              <w:rPr>
                <w:sz w:val="4"/>
                <w:szCs w:val="4"/>
              </w:rPr>
            </w:pPr>
            <w:r>
              <w:rPr>
                <w:sz w:val="4"/>
                <w:szCs w:val="4"/>
              </w:rPr>
            </w:r>
          </w:p>
        </w:tc>
        <w:tc>
          <w:tcPr>
            <w:tcW w:w="10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12,249 </w:t>
            </w:r>
          </w:p>
        </w:tc>
        <w:tc>
          <w:tcPr>
            <w:tcW w:w="109" w:type="dxa"/>
            <w:tcBorders/>
            <w:shd w:fill="CCEEFF" w:val="clear"/>
            <w:vAlign w:val="center"/>
          </w:tcPr>
          <w:p>
            <w:pPr>
              <w:pStyle w:val="TableContents"/>
              <w:spacing w:before="0" w:after="283"/>
              <w:rPr>
                <w:sz w:val="4"/>
                <w:szCs w:val="4"/>
              </w:rPr>
            </w:pPr>
            <w:r>
              <w:rPr>
                <w:sz w:val="4"/>
                <w:szCs w:val="4"/>
              </w:rPr>
            </w:r>
          </w:p>
        </w:tc>
        <w:tc>
          <w:tcPr>
            <w:tcW w:w="12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202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Kansas</w:t>
            </w:r>
          </w:p>
        </w:tc>
        <w:tc>
          <w:tcPr>
            <w:tcW w:w="109"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w:t>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Store</w:t>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15,385 </w:t>
            </w:r>
          </w:p>
        </w:tc>
        <w:tc>
          <w:tcPr>
            <w:tcW w:w="109"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20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Michigan</w:t>
            </w:r>
          </w:p>
        </w:tc>
        <w:tc>
          <w:tcPr>
            <w:tcW w:w="109" w:type="dxa"/>
            <w:tcBorders/>
            <w:shd w:fill="CCEEFF" w:val="clear"/>
            <w:vAlign w:val="center"/>
          </w:tcPr>
          <w:p>
            <w:pPr>
              <w:pStyle w:val="TableContents"/>
              <w:spacing w:before="0" w:after="283"/>
              <w:rPr>
                <w:sz w:val="4"/>
                <w:szCs w:val="4"/>
              </w:rPr>
            </w:pPr>
            <w:r>
              <w:rPr>
                <w:sz w:val="4"/>
                <w:szCs w:val="4"/>
              </w:rPr>
            </w:r>
          </w:p>
        </w:tc>
        <w:tc>
          <w:tcPr>
            <w:tcW w:w="14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w:t>
            </w:r>
          </w:p>
        </w:tc>
        <w:tc>
          <w:tcPr>
            <w:tcW w:w="109" w:type="dxa"/>
            <w:tcBorders/>
            <w:shd w:fill="CCEEFF" w:val="clear"/>
            <w:vAlign w:val="center"/>
          </w:tcPr>
          <w:p>
            <w:pPr>
              <w:pStyle w:val="TableContents"/>
              <w:spacing w:before="0" w:after="283"/>
              <w:rPr>
                <w:sz w:val="4"/>
                <w:szCs w:val="4"/>
              </w:rPr>
            </w:pPr>
            <w:r>
              <w:rPr>
                <w:sz w:val="4"/>
                <w:szCs w:val="4"/>
              </w:rPr>
            </w:r>
          </w:p>
        </w:tc>
        <w:tc>
          <w:tcPr>
            <w:tcW w:w="17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Store</w:t>
            </w:r>
          </w:p>
        </w:tc>
        <w:tc>
          <w:tcPr>
            <w:tcW w:w="109" w:type="dxa"/>
            <w:tcBorders/>
            <w:shd w:fill="CCEEFF" w:val="clear"/>
            <w:vAlign w:val="center"/>
          </w:tcPr>
          <w:p>
            <w:pPr>
              <w:pStyle w:val="TableContents"/>
              <w:spacing w:before="0" w:after="283"/>
              <w:rPr>
                <w:sz w:val="4"/>
                <w:szCs w:val="4"/>
              </w:rPr>
            </w:pPr>
            <w:r>
              <w:rPr>
                <w:sz w:val="4"/>
                <w:szCs w:val="4"/>
              </w:rPr>
            </w:r>
          </w:p>
        </w:tc>
        <w:tc>
          <w:tcPr>
            <w:tcW w:w="10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45,588 </w:t>
            </w:r>
          </w:p>
        </w:tc>
        <w:tc>
          <w:tcPr>
            <w:tcW w:w="109" w:type="dxa"/>
            <w:tcBorders/>
            <w:shd w:fill="CCEEFF" w:val="clear"/>
            <w:vAlign w:val="center"/>
          </w:tcPr>
          <w:p>
            <w:pPr>
              <w:pStyle w:val="TableContents"/>
              <w:spacing w:before="0" w:after="283"/>
              <w:rPr>
                <w:sz w:val="4"/>
                <w:szCs w:val="4"/>
              </w:rPr>
            </w:pPr>
            <w:r>
              <w:rPr>
                <w:sz w:val="4"/>
                <w:szCs w:val="4"/>
              </w:rPr>
            </w:r>
          </w:p>
        </w:tc>
        <w:tc>
          <w:tcPr>
            <w:tcW w:w="12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202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Minnesota</w:t>
            </w:r>
          </w:p>
        </w:tc>
        <w:tc>
          <w:tcPr>
            <w:tcW w:w="109"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5</w:t>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Store</w:t>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63,563 </w:t>
            </w:r>
          </w:p>
        </w:tc>
        <w:tc>
          <w:tcPr>
            <w:tcW w:w="109"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20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Missouri</w:t>
            </w:r>
          </w:p>
        </w:tc>
        <w:tc>
          <w:tcPr>
            <w:tcW w:w="109" w:type="dxa"/>
            <w:tcBorders/>
            <w:shd w:fill="CCEEFF" w:val="clear"/>
            <w:vAlign w:val="center"/>
          </w:tcPr>
          <w:p>
            <w:pPr>
              <w:pStyle w:val="TableContents"/>
              <w:spacing w:before="0" w:after="283"/>
              <w:rPr>
                <w:sz w:val="4"/>
                <w:szCs w:val="4"/>
              </w:rPr>
            </w:pPr>
            <w:r>
              <w:rPr>
                <w:sz w:val="4"/>
                <w:szCs w:val="4"/>
              </w:rPr>
            </w:r>
          </w:p>
        </w:tc>
        <w:tc>
          <w:tcPr>
            <w:tcW w:w="14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w:t>
            </w:r>
          </w:p>
        </w:tc>
        <w:tc>
          <w:tcPr>
            <w:tcW w:w="109" w:type="dxa"/>
            <w:tcBorders/>
            <w:shd w:fill="CCEEFF" w:val="clear"/>
            <w:vAlign w:val="center"/>
          </w:tcPr>
          <w:p>
            <w:pPr>
              <w:pStyle w:val="TableContents"/>
              <w:spacing w:before="0" w:after="283"/>
              <w:rPr>
                <w:sz w:val="4"/>
                <w:szCs w:val="4"/>
              </w:rPr>
            </w:pPr>
            <w:r>
              <w:rPr>
                <w:sz w:val="4"/>
                <w:szCs w:val="4"/>
              </w:rPr>
            </w:r>
          </w:p>
        </w:tc>
        <w:tc>
          <w:tcPr>
            <w:tcW w:w="17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Store</w:t>
            </w:r>
          </w:p>
        </w:tc>
        <w:tc>
          <w:tcPr>
            <w:tcW w:w="109" w:type="dxa"/>
            <w:tcBorders/>
            <w:shd w:fill="CCEEFF" w:val="clear"/>
            <w:vAlign w:val="center"/>
          </w:tcPr>
          <w:p>
            <w:pPr>
              <w:pStyle w:val="TableContents"/>
              <w:spacing w:before="0" w:after="283"/>
              <w:rPr>
                <w:sz w:val="4"/>
                <w:szCs w:val="4"/>
              </w:rPr>
            </w:pPr>
            <w:r>
              <w:rPr>
                <w:sz w:val="4"/>
                <w:szCs w:val="4"/>
              </w:rPr>
            </w:r>
          </w:p>
        </w:tc>
        <w:tc>
          <w:tcPr>
            <w:tcW w:w="10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27,692 </w:t>
            </w:r>
          </w:p>
        </w:tc>
        <w:tc>
          <w:tcPr>
            <w:tcW w:w="109" w:type="dxa"/>
            <w:tcBorders/>
            <w:shd w:fill="CCEEFF" w:val="clear"/>
            <w:vAlign w:val="center"/>
          </w:tcPr>
          <w:p>
            <w:pPr>
              <w:pStyle w:val="TableContents"/>
              <w:spacing w:before="0" w:after="283"/>
              <w:rPr>
                <w:sz w:val="4"/>
                <w:szCs w:val="4"/>
              </w:rPr>
            </w:pPr>
            <w:r>
              <w:rPr>
                <w:sz w:val="4"/>
                <w:szCs w:val="4"/>
              </w:rPr>
            </w:r>
          </w:p>
        </w:tc>
        <w:tc>
          <w:tcPr>
            <w:tcW w:w="12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202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Nebraska</w:t>
            </w:r>
          </w:p>
        </w:tc>
        <w:tc>
          <w:tcPr>
            <w:tcW w:w="109"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w:t>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Store</w:t>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20,801 </w:t>
            </w:r>
          </w:p>
        </w:tc>
        <w:tc>
          <w:tcPr>
            <w:tcW w:w="109"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20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North Dakota</w:t>
            </w:r>
          </w:p>
        </w:tc>
        <w:tc>
          <w:tcPr>
            <w:tcW w:w="109" w:type="dxa"/>
            <w:tcBorders/>
            <w:shd w:fill="CCEEFF" w:val="clear"/>
            <w:vAlign w:val="center"/>
          </w:tcPr>
          <w:p>
            <w:pPr>
              <w:pStyle w:val="TableContents"/>
              <w:spacing w:before="0" w:after="283"/>
              <w:rPr>
                <w:sz w:val="4"/>
                <w:szCs w:val="4"/>
              </w:rPr>
            </w:pPr>
            <w:r>
              <w:rPr>
                <w:sz w:val="4"/>
                <w:szCs w:val="4"/>
              </w:rPr>
            </w:r>
          </w:p>
        </w:tc>
        <w:tc>
          <w:tcPr>
            <w:tcW w:w="14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w:t>
            </w:r>
          </w:p>
        </w:tc>
        <w:tc>
          <w:tcPr>
            <w:tcW w:w="109" w:type="dxa"/>
            <w:tcBorders/>
            <w:shd w:fill="CCEEFF" w:val="clear"/>
            <w:vAlign w:val="center"/>
          </w:tcPr>
          <w:p>
            <w:pPr>
              <w:pStyle w:val="TableContents"/>
              <w:spacing w:before="0" w:after="283"/>
              <w:rPr>
                <w:sz w:val="4"/>
                <w:szCs w:val="4"/>
              </w:rPr>
            </w:pPr>
            <w:r>
              <w:rPr>
                <w:sz w:val="4"/>
                <w:szCs w:val="4"/>
              </w:rPr>
            </w:r>
          </w:p>
        </w:tc>
        <w:tc>
          <w:tcPr>
            <w:tcW w:w="17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Store</w:t>
            </w:r>
          </w:p>
        </w:tc>
        <w:tc>
          <w:tcPr>
            <w:tcW w:w="109" w:type="dxa"/>
            <w:tcBorders/>
            <w:shd w:fill="CCEEFF" w:val="clear"/>
            <w:vAlign w:val="center"/>
          </w:tcPr>
          <w:p>
            <w:pPr>
              <w:pStyle w:val="TableContents"/>
              <w:spacing w:before="0" w:after="283"/>
              <w:rPr>
                <w:sz w:val="4"/>
                <w:szCs w:val="4"/>
              </w:rPr>
            </w:pPr>
            <w:r>
              <w:rPr>
                <w:sz w:val="4"/>
                <w:szCs w:val="4"/>
              </w:rPr>
            </w:r>
          </w:p>
        </w:tc>
        <w:tc>
          <w:tcPr>
            <w:tcW w:w="10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14,557 </w:t>
            </w:r>
          </w:p>
        </w:tc>
        <w:tc>
          <w:tcPr>
            <w:tcW w:w="109" w:type="dxa"/>
            <w:tcBorders/>
            <w:shd w:fill="CCEEFF" w:val="clear"/>
            <w:vAlign w:val="center"/>
          </w:tcPr>
          <w:p>
            <w:pPr>
              <w:pStyle w:val="TableContents"/>
              <w:spacing w:before="0" w:after="283"/>
              <w:rPr>
                <w:sz w:val="4"/>
                <w:szCs w:val="4"/>
              </w:rPr>
            </w:pPr>
            <w:r>
              <w:rPr>
                <w:sz w:val="4"/>
                <w:szCs w:val="4"/>
              </w:rPr>
            </w:r>
          </w:p>
        </w:tc>
        <w:tc>
          <w:tcPr>
            <w:tcW w:w="12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202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Ohio</w:t>
            </w:r>
          </w:p>
        </w:tc>
        <w:tc>
          <w:tcPr>
            <w:tcW w:w="109"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w:t>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Store</w:t>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58,420 </w:t>
            </w:r>
          </w:p>
        </w:tc>
        <w:tc>
          <w:tcPr>
            <w:tcW w:w="109"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20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South Dakota</w:t>
            </w:r>
          </w:p>
        </w:tc>
        <w:tc>
          <w:tcPr>
            <w:tcW w:w="109" w:type="dxa"/>
            <w:tcBorders/>
            <w:shd w:fill="CCEEFF" w:val="clear"/>
            <w:vAlign w:val="center"/>
          </w:tcPr>
          <w:p>
            <w:pPr>
              <w:pStyle w:val="TableContents"/>
              <w:spacing w:before="0" w:after="283"/>
              <w:rPr>
                <w:sz w:val="4"/>
                <w:szCs w:val="4"/>
              </w:rPr>
            </w:pPr>
            <w:r>
              <w:rPr>
                <w:sz w:val="4"/>
                <w:szCs w:val="4"/>
              </w:rPr>
            </w:r>
          </w:p>
        </w:tc>
        <w:tc>
          <w:tcPr>
            <w:tcW w:w="14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w:t>
            </w:r>
          </w:p>
        </w:tc>
        <w:tc>
          <w:tcPr>
            <w:tcW w:w="109" w:type="dxa"/>
            <w:tcBorders/>
            <w:shd w:fill="CCEEFF" w:val="clear"/>
            <w:vAlign w:val="center"/>
          </w:tcPr>
          <w:p>
            <w:pPr>
              <w:pStyle w:val="TableContents"/>
              <w:spacing w:before="0" w:after="283"/>
              <w:rPr>
                <w:sz w:val="4"/>
                <w:szCs w:val="4"/>
              </w:rPr>
            </w:pPr>
            <w:r>
              <w:rPr>
                <w:sz w:val="4"/>
                <w:szCs w:val="4"/>
              </w:rPr>
            </w:r>
          </w:p>
        </w:tc>
        <w:tc>
          <w:tcPr>
            <w:tcW w:w="17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Store</w:t>
            </w:r>
          </w:p>
        </w:tc>
        <w:tc>
          <w:tcPr>
            <w:tcW w:w="109" w:type="dxa"/>
            <w:tcBorders/>
            <w:shd w:fill="CCEEFF" w:val="clear"/>
            <w:vAlign w:val="center"/>
          </w:tcPr>
          <w:p>
            <w:pPr>
              <w:pStyle w:val="TableContents"/>
              <w:spacing w:before="0" w:after="283"/>
              <w:rPr>
                <w:sz w:val="4"/>
                <w:szCs w:val="4"/>
              </w:rPr>
            </w:pPr>
            <w:r>
              <w:rPr>
                <w:sz w:val="4"/>
                <w:szCs w:val="4"/>
              </w:rPr>
            </w:r>
          </w:p>
        </w:tc>
        <w:tc>
          <w:tcPr>
            <w:tcW w:w="10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9,166 </w:t>
            </w:r>
          </w:p>
        </w:tc>
        <w:tc>
          <w:tcPr>
            <w:tcW w:w="109" w:type="dxa"/>
            <w:tcBorders/>
            <w:shd w:fill="CCEEFF" w:val="clear"/>
            <w:vAlign w:val="center"/>
          </w:tcPr>
          <w:p>
            <w:pPr>
              <w:pStyle w:val="TableContents"/>
              <w:spacing w:before="0" w:after="283"/>
              <w:rPr>
                <w:sz w:val="4"/>
                <w:szCs w:val="4"/>
              </w:rPr>
            </w:pPr>
            <w:r>
              <w:rPr>
                <w:sz w:val="4"/>
                <w:szCs w:val="4"/>
              </w:rPr>
            </w:r>
          </w:p>
        </w:tc>
        <w:tc>
          <w:tcPr>
            <w:tcW w:w="12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202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Wisconsin</w:t>
            </w:r>
          </w:p>
        </w:tc>
        <w:tc>
          <w:tcPr>
            <w:tcW w:w="109"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w:t>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Store</w:t>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53,646 </w:t>
            </w:r>
          </w:p>
        </w:tc>
        <w:tc>
          <w:tcPr>
            <w:tcW w:w="109"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2026"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South</w:t>
            </w:r>
          </w:p>
        </w:tc>
        <w:tc>
          <w:tcPr>
            <w:tcW w:w="109" w:type="dxa"/>
            <w:tcBorders/>
            <w:shd w:fill="CCEEFF" w:val="clear"/>
            <w:vAlign w:val="center"/>
          </w:tcPr>
          <w:p>
            <w:pPr>
              <w:pStyle w:val="TableContents"/>
              <w:spacing w:before="0" w:after="283"/>
              <w:rPr>
                <w:sz w:val="4"/>
                <w:szCs w:val="4"/>
              </w:rPr>
            </w:pPr>
            <w:r>
              <w:rPr>
                <w:sz w:val="4"/>
                <w:szCs w:val="4"/>
              </w:rPr>
            </w:r>
          </w:p>
        </w:tc>
        <w:tc>
          <w:tcPr>
            <w:tcW w:w="147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75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02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291" w:type="dxa"/>
            <w:tcBorders/>
            <w:shd w:fill="CCEEFF" w:val="clear"/>
            <w:vAlign w:val="center"/>
          </w:tcPr>
          <w:p>
            <w:pPr>
              <w:pStyle w:val="TableContents"/>
              <w:spacing w:before="0" w:after="283"/>
              <w:rPr>
                <w:sz w:val="4"/>
                <w:szCs w:val="4"/>
              </w:rPr>
            </w:pPr>
            <w:r>
              <w:rPr>
                <w:sz w:val="4"/>
                <w:szCs w:val="4"/>
              </w:rPr>
            </w:r>
          </w:p>
        </w:tc>
      </w:tr>
      <w:tr>
        <w:trPr/>
        <w:tc>
          <w:tcPr>
            <w:tcW w:w="202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Alabama</w:t>
            </w:r>
          </w:p>
        </w:tc>
        <w:tc>
          <w:tcPr>
            <w:tcW w:w="109"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w:t>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Store</w:t>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31,312 </w:t>
            </w:r>
          </w:p>
        </w:tc>
        <w:tc>
          <w:tcPr>
            <w:tcW w:w="109"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20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Arkansas</w:t>
            </w:r>
          </w:p>
        </w:tc>
        <w:tc>
          <w:tcPr>
            <w:tcW w:w="109" w:type="dxa"/>
            <w:tcBorders/>
            <w:shd w:fill="CCEEFF" w:val="clear"/>
            <w:vAlign w:val="center"/>
          </w:tcPr>
          <w:p>
            <w:pPr>
              <w:pStyle w:val="TableContents"/>
              <w:spacing w:before="0" w:after="283"/>
              <w:rPr>
                <w:sz w:val="4"/>
                <w:szCs w:val="4"/>
              </w:rPr>
            </w:pPr>
            <w:r>
              <w:rPr>
                <w:sz w:val="4"/>
                <w:szCs w:val="4"/>
              </w:rPr>
            </w:r>
          </w:p>
        </w:tc>
        <w:tc>
          <w:tcPr>
            <w:tcW w:w="14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w:t>
            </w:r>
          </w:p>
        </w:tc>
        <w:tc>
          <w:tcPr>
            <w:tcW w:w="109" w:type="dxa"/>
            <w:tcBorders/>
            <w:shd w:fill="CCEEFF" w:val="clear"/>
            <w:vAlign w:val="center"/>
          </w:tcPr>
          <w:p>
            <w:pPr>
              <w:pStyle w:val="TableContents"/>
              <w:spacing w:before="0" w:after="283"/>
              <w:rPr>
                <w:sz w:val="4"/>
                <w:szCs w:val="4"/>
              </w:rPr>
            </w:pPr>
            <w:r>
              <w:rPr>
                <w:sz w:val="4"/>
                <w:szCs w:val="4"/>
              </w:rPr>
            </w:r>
          </w:p>
        </w:tc>
        <w:tc>
          <w:tcPr>
            <w:tcW w:w="17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Store</w:t>
            </w:r>
          </w:p>
        </w:tc>
        <w:tc>
          <w:tcPr>
            <w:tcW w:w="109" w:type="dxa"/>
            <w:tcBorders/>
            <w:shd w:fill="CCEEFF" w:val="clear"/>
            <w:vAlign w:val="center"/>
          </w:tcPr>
          <w:p>
            <w:pPr>
              <w:pStyle w:val="TableContents"/>
              <w:spacing w:before="0" w:after="283"/>
              <w:rPr>
                <w:sz w:val="4"/>
                <w:szCs w:val="4"/>
              </w:rPr>
            </w:pPr>
            <w:r>
              <w:rPr>
                <w:sz w:val="4"/>
                <w:szCs w:val="4"/>
              </w:rPr>
            </w:r>
          </w:p>
        </w:tc>
        <w:tc>
          <w:tcPr>
            <w:tcW w:w="10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15,656 </w:t>
            </w:r>
          </w:p>
        </w:tc>
        <w:tc>
          <w:tcPr>
            <w:tcW w:w="109" w:type="dxa"/>
            <w:tcBorders/>
            <w:shd w:fill="CCEEFF" w:val="clear"/>
            <w:vAlign w:val="center"/>
          </w:tcPr>
          <w:p>
            <w:pPr>
              <w:pStyle w:val="TableContents"/>
              <w:spacing w:before="0" w:after="283"/>
              <w:rPr>
                <w:sz w:val="4"/>
                <w:szCs w:val="4"/>
              </w:rPr>
            </w:pPr>
            <w:r>
              <w:rPr>
                <w:sz w:val="4"/>
                <w:szCs w:val="4"/>
              </w:rPr>
            </w:r>
          </w:p>
        </w:tc>
        <w:tc>
          <w:tcPr>
            <w:tcW w:w="12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202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Florida</w:t>
            </w:r>
          </w:p>
        </w:tc>
        <w:tc>
          <w:tcPr>
            <w:tcW w:w="109"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w:t>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Store</w:t>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14,557 </w:t>
            </w:r>
          </w:p>
        </w:tc>
        <w:tc>
          <w:tcPr>
            <w:tcW w:w="109"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20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Georgia</w:t>
            </w:r>
          </w:p>
        </w:tc>
        <w:tc>
          <w:tcPr>
            <w:tcW w:w="109" w:type="dxa"/>
            <w:tcBorders/>
            <w:shd w:fill="CCEEFF" w:val="clear"/>
            <w:vAlign w:val="center"/>
          </w:tcPr>
          <w:p>
            <w:pPr>
              <w:pStyle w:val="TableContents"/>
              <w:spacing w:before="0" w:after="283"/>
              <w:rPr>
                <w:sz w:val="4"/>
                <w:szCs w:val="4"/>
              </w:rPr>
            </w:pPr>
            <w:r>
              <w:rPr>
                <w:sz w:val="4"/>
                <w:szCs w:val="4"/>
              </w:rPr>
            </w:r>
          </w:p>
        </w:tc>
        <w:tc>
          <w:tcPr>
            <w:tcW w:w="14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w:t>
            </w:r>
          </w:p>
        </w:tc>
        <w:tc>
          <w:tcPr>
            <w:tcW w:w="109" w:type="dxa"/>
            <w:tcBorders/>
            <w:shd w:fill="CCEEFF" w:val="clear"/>
            <w:vAlign w:val="center"/>
          </w:tcPr>
          <w:p>
            <w:pPr>
              <w:pStyle w:val="TableContents"/>
              <w:spacing w:before="0" w:after="283"/>
              <w:rPr>
                <w:sz w:val="4"/>
                <w:szCs w:val="4"/>
              </w:rPr>
            </w:pPr>
            <w:r>
              <w:rPr>
                <w:sz w:val="4"/>
                <w:szCs w:val="4"/>
              </w:rPr>
            </w:r>
          </w:p>
        </w:tc>
        <w:tc>
          <w:tcPr>
            <w:tcW w:w="17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Store</w:t>
            </w:r>
          </w:p>
        </w:tc>
        <w:tc>
          <w:tcPr>
            <w:tcW w:w="109" w:type="dxa"/>
            <w:tcBorders/>
            <w:shd w:fill="CCEEFF" w:val="clear"/>
            <w:vAlign w:val="center"/>
          </w:tcPr>
          <w:p>
            <w:pPr>
              <w:pStyle w:val="TableContents"/>
              <w:spacing w:before="0" w:after="283"/>
              <w:rPr>
                <w:sz w:val="4"/>
                <w:szCs w:val="4"/>
              </w:rPr>
            </w:pPr>
            <w:r>
              <w:rPr>
                <w:sz w:val="4"/>
                <w:szCs w:val="4"/>
              </w:rPr>
            </w:r>
          </w:p>
        </w:tc>
        <w:tc>
          <w:tcPr>
            <w:tcW w:w="10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20,041 </w:t>
            </w:r>
          </w:p>
        </w:tc>
        <w:tc>
          <w:tcPr>
            <w:tcW w:w="109" w:type="dxa"/>
            <w:tcBorders/>
            <w:shd w:fill="CCEEFF" w:val="clear"/>
            <w:vAlign w:val="center"/>
          </w:tcPr>
          <w:p>
            <w:pPr>
              <w:pStyle w:val="TableContents"/>
              <w:spacing w:before="0" w:after="283"/>
              <w:rPr>
                <w:sz w:val="4"/>
                <w:szCs w:val="4"/>
              </w:rPr>
            </w:pPr>
            <w:r>
              <w:rPr>
                <w:sz w:val="4"/>
                <w:szCs w:val="4"/>
              </w:rPr>
            </w:r>
          </w:p>
        </w:tc>
        <w:tc>
          <w:tcPr>
            <w:tcW w:w="12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202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Kentucky</w:t>
            </w:r>
          </w:p>
        </w:tc>
        <w:tc>
          <w:tcPr>
            <w:tcW w:w="109"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w:t>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Store</w:t>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28,582 </w:t>
            </w:r>
          </w:p>
        </w:tc>
        <w:tc>
          <w:tcPr>
            <w:tcW w:w="109"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20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North Carolina</w:t>
            </w:r>
          </w:p>
        </w:tc>
        <w:tc>
          <w:tcPr>
            <w:tcW w:w="109" w:type="dxa"/>
            <w:tcBorders/>
            <w:shd w:fill="CCEEFF" w:val="clear"/>
            <w:vAlign w:val="center"/>
          </w:tcPr>
          <w:p>
            <w:pPr>
              <w:pStyle w:val="TableContents"/>
              <w:spacing w:before="0" w:after="283"/>
              <w:rPr>
                <w:sz w:val="4"/>
                <w:szCs w:val="4"/>
              </w:rPr>
            </w:pPr>
            <w:r>
              <w:rPr>
                <w:sz w:val="4"/>
                <w:szCs w:val="4"/>
              </w:rPr>
            </w:r>
          </w:p>
        </w:tc>
        <w:tc>
          <w:tcPr>
            <w:tcW w:w="14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w:t>
            </w:r>
          </w:p>
        </w:tc>
        <w:tc>
          <w:tcPr>
            <w:tcW w:w="109" w:type="dxa"/>
            <w:tcBorders/>
            <w:shd w:fill="CCEEFF" w:val="clear"/>
            <w:vAlign w:val="center"/>
          </w:tcPr>
          <w:p>
            <w:pPr>
              <w:pStyle w:val="TableContents"/>
              <w:spacing w:before="0" w:after="283"/>
              <w:rPr>
                <w:sz w:val="4"/>
                <w:szCs w:val="4"/>
              </w:rPr>
            </w:pPr>
            <w:r>
              <w:rPr>
                <w:sz w:val="4"/>
                <w:szCs w:val="4"/>
              </w:rPr>
            </w:r>
          </w:p>
        </w:tc>
        <w:tc>
          <w:tcPr>
            <w:tcW w:w="17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Store</w:t>
            </w:r>
          </w:p>
        </w:tc>
        <w:tc>
          <w:tcPr>
            <w:tcW w:w="109" w:type="dxa"/>
            <w:tcBorders/>
            <w:shd w:fill="CCEEFF" w:val="clear"/>
            <w:vAlign w:val="center"/>
          </w:tcPr>
          <w:p>
            <w:pPr>
              <w:pStyle w:val="TableContents"/>
              <w:spacing w:before="0" w:after="283"/>
              <w:rPr>
                <w:sz w:val="4"/>
                <w:szCs w:val="4"/>
              </w:rPr>
            </w:pPr>
            <w:r>
              <w:rPr>
                <w:sz w:val="4"/>
                <w:szCs w:val="4"/>
              </w:rPr>
            </w:r>
          </w:p>
        </w:tc>
        <w:tc>
          <w:tcPr>
            <w:tcW w:w="10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41,672 </w:t>
            </w:r>
          </w:p>
        </w:tc>
        <w:tc>
          <w:tcPr>
            <w:tcW w:w="109" w:type="dxa"/>
            <w:tcBorders/>
            <w:shd w:fill="CCEEFF" w:val="clear"/>
            <w:vAlign w:val="center"/>
          </w:tcPr>
          <w:p>
            <w:pPr>
              <w:pStyle w:val="TableContents"/>
              <w:spacing w:before="0" w:after="283"/>
              <w:rPr>
                <w:sz w:val="4"/>
                <w:szCs w:val="4"/>
              </w:rPr>
            </w:pPr>
            <w:r>
              <w:rPr>
                <w:sz w:val="4"/>
                <w:szCs w:val="4"/>
              </w:rPr>
            </w:r>
          </w:p>
        </w:tc>
        <w:tc>
          <w:tcPr>
            <w:tcW w:w="12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202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Oklahoma</w:t>
            </w:r>
          </w:p>
        </w:tc>
        <w:tc>
          <w:tcPr>
            <w:tcW w:w="109"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w:t>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Store</w:t>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15,536 </w:t>
            </w:r>
          </w:p>
        </w:tc>
        <w:tc>
          <w:tcPr>
            <w:tcW w:w="109"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20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Tennessee</w:t>
            </w:r>
          </w:p>
        </w:tc>
        <w:tc>
          <w:tcPr>
            <w:tcW w:w="109" w:type="dxa"/>
            <w:tcBorders/>
            <w:shd w:fill="CCEEFF" w:val="clear"/>
            <w:vAlign w:val="center"/>
          </w:tcPr>
          <w:p>
            <w:pPr>
              <w:pStyle w:val="TableContents"/>
              <w:spacing w:before="0" w:after="283"/>
              <w:rPr>
                <w:sz w:val="4"/>
                <w:szCs w:val="4"/>
              </w:rPr>
            </w:pPr>
            <w:r>
              <w:rPr>
                <w:sz w:val="4"/>
                <w:szCs w:val="4"/>
              </w:rPr>
            </w:r>
          </w:p>
        </w:tc>
        <w:tc>
          <w:tcPr>
            <w:tcW w:w="14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w:t>
            </w:r>
          </w:p>
        </w:tc>
        <w:tc>
          <w:tcPr>
            <w:tcW w:w="109" w:type="dxa"/>
            <w:tcBorders/>
            <w:shd w:fill="CCEEFF" w:val="clear"/>
            <w:vAlign w:val="center"/>
          </w:tcPr>
          <w:p>
            <w:pPr>
              <w:pStyle w:val="TableContents"/>
              <w:spacing w:before="0" w:after="283"/>
              <w:rPr>
                <w:sz w:val="4"/>
                <w:szCs w:val="4"/>
              </w:rPr>
            </w:pPr>
            <w:r>
              <w:rPr>
                <w:sz w:val="4"/>
                <w:szCs w:val="4"/>
              </w:rPr>
            </w:r>
          </w:p>
        </w:tc>
        <w:tc>
          <w:tcPr>
            <w:tcW w:w="17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Store</w:t>
            </w:r>
          </w:p>
        </w:tc>
        <w:tc>
          <w:tcPr>
            <w:tcW w:w="109" w:type="dxa"/>
            <w:tcBorders/>
            <w:shd w:fill="CCEEFF" w:val="clear"/>
            <w:vAlign w:val="center"/>
          </w:tcPr>
          <w:p>
            <w:pPr>
              <w:pStyle w:val="TableContents"/>
              <w:spacing w:before="0" w:after="283"/>
              <w:rPr>
                <w:sz w:val="4"/>
                <w:szCs w:val="4"/>
              </w:rPr>
            </w:pPr>
            <w:r>
              <w:rPr>
                <w:sz w:val="4"/>
                <w:szCs w:val="4"/>
              </w:rPr>
            </w:r>
          </w:p>
        </w:tc>
        <w:tc>
          <w:tcPr>
            <w:tcW w:w="10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27,325 </w:t>
            </w:r>
          </w:p>
        </w:tc>
        <w:tc>
          <w:tcPr>
            <w:tcW w:w="109" w:type="dxa"/>
            <w:tcBorders/>
            <w:shd w:fill="CCEEFF" w:val="clear"/>
            <w:vAlign w:val="center"/>
          </w:tcPr>
          <w:p>
            <w:pPr>
              <w:pStyle w:val="TableContents"/>
              <w:spacing w:before="0" w:after="283"/>
              <w:rPr>
                <w:sz w:val="4"/>
                <w:szCs w:val="4"/>
              </w:rPr>
            </w:pPr>
            <w:r>
              <w:rPr>
                <w:sz w:val="4"/>
                <w:szCs w:val="4"/>
              </w:rPr>
            </w:r>
          </w:p>
        </w:tc>
        <w:tc>
          <w:tcPr>
            <w:tcW w:w="12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202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Texas</w:t>
            </w:r>
          </w:p>
        </w:tc>
        <w:tc>
          <w:tcPr>
            <w:tcW w:w="109"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6</w:t>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Store</w:t>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92,212 </w:t>
            </w:r>
          </w:p>
        </w:tc>
        <w:tc>
          <w:tcPr>
            <w:tcW w:w="109"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20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Virginia</w:t>
            </w:r>
          </w:p>
        </w:tc>
        <w:tc>
          <w:tcPr>
            <w:tcW w:w="109" w:type="dxa"/>
            <w:tcBorders/>
            <w:shd w:fill="CCEEFF" w:val="clear"/>
            <w:vAlign w:val="center"/>
          </w:tcPr>
          <w:p>
            <w:pPr>
              <w:pStyle w:val="TableContents"/>
              <w:spacing w:before="0" w:after="283"/>
              <w:rPr>
                <w:sz w:val="4"/>
                <w:szCs w:val="4"/>
              </w:rPr>
            </w:pPr>
            <w:r>
              <w:rPr>
                <w:sz w:val="4"/>
                <w:szCs w:val="4"/>
              </w:rPr>
            </w:r>
          </w:p>
        </w:tc>
        <w:tc>
          <w:tcPr>
            <w:tcW w:w="14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w:t>
            </w:r>
          </w:p>
        </w:tc>
        <w:tc>
          <w:tcPr>
            <w:tcW w:w="109" w:type="dxa"/>
            <w:tcBorders/>
            <w:shd w:fill="CCEEFF" w:val="clear"/>
            <w:vAlign w:val="center"/>
          </w:tcPr>
          <w:p>
            <w:pPr>
              <w:pStyle w:val="TableContents"/>
              <w:spacing w:before="0" w:after="283"/>
              <w:rPr>
                <w:sz w:val="4"/>
                <w:szCs w:val="4"/>
              </w:rPr>
            </w:pPr>
            <w:r>
              <w:rPr>
                <w:sz w:val="4"/>
                <w:szCs w:val="4"/>
              </w:rPr>
            </w:r>
          </w:p>
        </w:tc>
        <w:tc>
          <w:tcPr>
            <w:tcW w:w="17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Store</w:t>
            </w:r>
          </w:p>
        </w:tc>
        <w:tc>
          <w:tcPr>
            <w:tcW w:w="109" w:type="dxa"/>
            <w:tcBorders/>
            <w:shd w:fill="CCEEFF" w:val="clear"/>
            <w:vAlign w:val="center"/>
          </w:tcPr>
          <w:p>
            <w:pPr>
              <w:pStyle w:val="TableContents"/>
              <w:spacing w:before="0" w:after="283"/>
              <w:rPr>
                <w:sz w:val="4"/>
                <w:szCs w:val="4"/>
              </w:rPr>
            </w:pPr>
            <w:r>
              <w:rPr>
                <w:sz w:val="4"/>
                <w:szCs w:val="4"/>
              </w:rPr>
            </w:r>
          </w:p>
        </w:tc>
        <w:tc>
          <w:tcPr>
            <w:tcW w:w="10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31,828 </w:t>
            </w:r>
          </w:p>
        </w:tc>
        <w:tc>
          <w:tcPr>
            <w:tcW w:w="109" w:type="dxa"/>
            <w:tcBorders/>
            <w:shd w:fill="CCEEFF" w:val="clear"/>
            <w:vAlign w:val="center"/>
          </w:tcPr>
          <w:p>
            <w:pPr>
              <w:pStyle w:val="TableContents"/>
              <w:spacing w:before="0" w:after="283"/>
              <w:rPr>
                <w:sz w:val="4"/>
                <w:szCs w:val="4"/>
              </w:rPr>
            </w:pPr>
            <w:r>
              <w:rPr>
                <w:sz w:val="4"/>
                <w:szCs w:val="4"/>
              </w:rPr>
            </w:r>
          </w:p>
        </w:tc>
        <w:tc>
          <w:tcPr>
            <w:tcW w:w="12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2026" w:type="dxa"/>
            <w:tcBorders/>
            <w:shd w:fill="auto" w:val="cle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West</w:t>
            </w:r>
          </w:p>
        </w:tc>
        <w:tc>
          <w:tcPr>
            <w:tcW w:w="109"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r>
      <w:tr>
        <w:trPr/>
        <w:tc>
          <w:tcPr>
            <w:tcW w:w="20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Alaska</w:t>
            </w:r>
          </w:p>
        </w:tc>
        <w:tc>
          <w:tcPr>
            <w:tcW w:w="109" w:type="dxa"/>
            <w:tcBorders/>
            <w:shd w:fill="CCEEFF" w:val="clear"/>
            <w:vAlign w:val="center"/>
          </w:tcPr>
          <w:p>
            <w:pPr>
              <w:pStyle w:val="TableContents"/>
              <w:spacing w:before="0" w:after="283"/>
              <w:rPr>
                <w:sz w:val="4"/>
                <w:szCs w:val="4"/>
              </w:rPr>
            </w:pPr>
            <w:r>
              <w:rPr>
                <w:sz w:val="4"/>
                <w:szCs w:val="4"/>
              </w:rPr>
            </w:r>
          </w:p>
        </w:tc>
        <w:tc>
          <w:tcPr>
            <w:tcW w:w="14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w:t>
            </w:r>
          </w:p>
        </w:tc>
        <w:tc>
          <w:tcPr>
            <w:tcW w:w="109" w:type="dxa"/>
            <w:tcBorders/>
            <w:shd w:fill="CCEEFF" w:val="clear"/>
            <w:vAlign w:val="center"/>
          </w:tcPr>
          <w:p>
            <w:pPr>
              <w:pStyle w:val="TableContents"/>
              <w:spacing w:before="0" w:after="283"/>
              <w:rPr>
                <w:sz w:val="4"/>
                <w:szCs w:val="4"/>
              </w:rPr>
            </w:pPr>
            <w:r>
              <w:rPr>
                <w:sz w:val="4"/>
                <w:szCs w:val="4"/>
              </w:rPr>
            </w:r>
          </w:p>
        </w:tc>
        <w:tc>
          <w:tcPr>
            <w:tcW w:w="17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Store</w:t>
            </w:r>
          </w:p>
        </w:tc>
        <w:tc>
          <w:tcPr>
            <w:tcW w:w="109" w:type="dxa"/>
            <w:tcBorders/>
            <w:shd w:fill="CCEEFF" w:val="clear"/>
            <w:vAlign w:val="center"/>
          </w:tcPr>
          <w:p>
            <w:pPr>
              <w:pStyle w:val="TableContents"/>
              <w:spacing w:before="0" w:after="283"/>
              <w:rPr>
                <w:sz w:val="4"/>
                <w:szCs w:val="4"/>
              </w:rPr>
            </w:pPr>
            <w:r>
              <w:rPr>
                <w:sz w:val="4"/>
                <w:szCs w:val="4"/>
              </w:rPr>
            </w:r>
          </w:p>
        </w:tc>
        <w:tc>
          <w:tcPr>
            <w:tcW w:w="10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25,409 </w:t>
            </w:r>
          </w:p>
        </w:tc>
        <w:tc>
          <w:tcPr>
            <w:tcW w:w="109" w:type="dxa"/>
            <w:tcBorders/>
            <w:shd w:fill="CCEEFF" w:val="clear"/>
            <w:vAlign w:val="center"/>
          </w:tcPr>
          <w:p>
            <w:pPr>
              <w:pStyle w:val="TableContents"/>
              <w:spacing w:before="0" w:after="283"/>
              <w:rPr>
                <w:sz w:val="4"/>
                <w:szCs w:val="4"/>
              </w:rPr>
            </w:pPr>
            <w:r>
              <w:rPr>
                <w:sz w:val="4"/>
                <w:szCs w:val="4"/>
              </w:rPr>
            </w:r>
          </w:p>
        </w:tc>
        <w:tc>
          <w:tcPr>
            <w:tcW w:w="12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202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Colorado</w:t>
            </w:r>
          </w:p>
        </w:tc>
        <w:tc>
          <w:tcPr>
            <w:tcW w:w="109"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w:t>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Store</w:t>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52,840 </w:t>
            </w:r>
          </w:p>
        </w:tc>
        <w:tc>
          <w:tcPr>
            <w:tcW w:w="109"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20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Oregon</w:t>
            </w:r>
          </w:p>
        </w:tc>
        <w:tc>
          <w:tcPr>
            <w:tcW w:w="109" w:type="dxa"/>
            <w:tcBorders/>
            <w:shd w:fill="CCEEFF" w:val="clear"/>
            <w:vAlign w:val="center"/>
          </w:tcPr>
          <w:p>
            <w:pPr>
              <w:pStyle w:val="TableContents"/>
              <w:spacing w:before="0" w:after="283"/>
              <w:rPr>
                <w:sz w:val="4"/>
                <w:szCs w:val="4"/>
              </w:rPr>
            </w:pPr>
            <w:r>
              <w:rPr>
                <w:sz w:val="4"/>
                <w:szCs w:val="4"/>
              </w:rPr>
            </w:r>
          </w:p>
        </w:tc>
        <w:tc>
          <w:tcPr>
            <w:tcW w:w="14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w:t>
            </w:r>
          </w:p>
        </w:tc>
        <w:tc>
          <w:tcPr>
            <w:tcW w:w="109" w:type="dxa"/>
            <w:tcBorders/>
            <w:shd w:fill="CCEEFF" w:val="clear"/>
            <w:vAlign w:val="center"/>
          </w:tcPr>
          <w:p>
            <w:pPr>
              <w:pStyle w:val="TableContents"/>
              <w:spacing w:before="0" w:after="283"/>
              <w:rPr>
                <w:sz w:val="4"/>
                <w:szCs w:val="4"/>
              </w:rPr>
            </w:pPr>
            <w:r>
              <w:rPr>
                <w:sz w:val="4"/>
                <w:szCs w:val="4"/>
              </w:rPr>
            </w:r>
          </w:p>
        </w:tc>
        <w:tc>
          <w:tcPr>
            <w:tcW w:w="17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Store</w:t>
            </w:r>
          </w:p>
        </w:tc>
        <w:tc>
          <w:tcPr>
            <w:tcW w:w="109" w:type="dxa"/>
            <w:tcBorders/>
            <w:shd w:fill="CCEEFF" w:val="clear"/>
            <w:vAlign w:val="center"/>
          </w:tcPr>
          <w:p>
            <w:pPr>
              <w:pStyle w:val="TableContents"/>
              <w:spacing w:before="0" w:after="283"/>
              <w:rPr>
                <w:sz w:val="4"/>
                <w:szCs w:val="4"/>
              </w:rPr>
            </w:pPr>
            <w:r>
              <w:rPr>
                <w:sz w:val="4"/>
                <w:szCs w:val="4"/>
              </w:rPr>
            </w:r>
          </w:p>
        </w:tc>
        <w:tc>
          <w:tcPr>
            <w:tcW w:w="10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39,463 </w:t>
            </w:r>
          </w:p>
        </w:tc>
        <w:tc>
          <w:tcPr>
            <w:tcW w:w="109" w:type="dxa"/>
            <w:tcBorders/>
            <w:shd w:fill="CCEEFF" w:val="clear"/>
            <w:vAlign w:val="center"/>
          </w:tcPr>
          <w:p>
            <w:pPr>
              <w:pStyle w:val="TableContents"/>
              <w:spacing w:before="0" w:after="283"/>
              <w:rPr>
                <w:sz w:val="4"/>
                <w:szCs w:val="4"/>
              </w:rPr>
            </w:pPr>
            <w:r>
              <w:rPr>
                <w:sz w:val="4"/>
                <w:szCs w:val="4"/>
              </w:rPr>
            </w:r>
          </w:p>
        </w:tc>
        <w:tc>
          <w:tcPr>
            <w:tcW w:w="12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202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Utah</w:t>
            </w:r>
          </w:p>
        </w:tc>
        <w:tc>
          <w:tcPr>
            <w:tcW w:w="109"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w:t>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Store</w:t>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15,602 </w:t>
            </w:r>
          </w:p>
        </w:tc>
        <w:tc>
          <w:tcPr>
            <w:tcW w:w="109"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20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Washington</w:t>
            </w:r>
          </w:p>
        </w:tc>
        <w:tc>
          <w:tcPr>
            <w:tcW w:w="109" w:type="dxa"/>
            <w:tcBorders/>
            <w:shd w:fill="CCEEFF" w:val="clear"/>
            <w:vAlign w:val="center"/>
          </w:tcPr>
          <w:p>
            <w:pPr>
              <w:pStyle w:val="TableContents"/>
              <w:spacing w:before="0" w:after="283"/>
              <w:rPr>
                <w:sz w:val="4"/>
                <w:szCs w:val="4"/>
              </w:rPr>
            </w:pPr>
            <w:r>
              <w:rPr>
                <w:sz w:val="4"/>
                <w:szCs w:val="4"/>
              </w:rPr>
            </w:r>
          </w:p>
        </w:tc>
        <w:tc>
          <w:tcPr>
            <w:tcW w:w="14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w:t>
            </w:r>
          </w:p>
        </w:tc>
        <w:tc>
          <w:tcPr>
            <w:tcW w:w="109" w:type="dxa"/>
            <w:tcBorders/>
            <w:shd w:fill="CCEEFF" w:val="clear"/>
            <w:vAlign w:val="center"/>
          </w:tcPr>
          <w:p>
            <w:pPr>
              <w:pStyle w:val="TableContents"/>
              <w:spacing w:before="0" w:after="283"/>
              <w:rPr>
                <w:sz w:val="4"/>
                <w:szCs w:val="4"/>
              </w:rPr>
            </w:pPr>
            <w:r>
              <w:rPr>
                <w:sz w:val="4"/>
                <w:szCs w:val="4"/>
              </w:rPr>
            </w:r>
          </w:p>
        </w:tc>
        <w:tc>
          <w:tcPr>
            <w:tcW w:w="17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Store</w:t>
            </w:r>
          </w:p>
        </w:tc>
        <w:tc>
          <w:tcPr>
            <w:tcW w:w="109" w:type="dxa"/>
            <w:tcBorders/>
            <w:shd w:fill="CCEEFF" w:val="clear"/>
            <w:vAlign w:val="center"/>
          </w:tcPr>
          <w:p>
            <w:pPr>
              <w:pStyle w:val="TableContents"/>
              <w:spacing w:before="0" w:after="283"/>
              <w:rPr>
                <w:sz w:val="4"/>
                <w:szCs w:val="4"/>
              </w:rPr>
            </w:pPr>
            <w:r>
              <w:rPr>
                <w:sz w:val="4"/>
                <w:szCs w:val="4"/>
              </w:rPr>
            </w:r>
          </w:p>
        </w:tc>
        <w:tc>
          <w:tcPr>
            <w:tcW w:w="10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15,656 </w:t>
            </w:r>
          </w:p>
        </w:tc>
        <w:tc>
          <w:tcPr>
            <w:tcW w:w="109" w:type="dxa"/>
            <w:tcBorders/>
            <w:shd w:fill="CCEEFF" w:val="clear"/>
            <w:vAlign w:val="center"/>
          </w:tcPr>
          <w:p>
            <w:pPr>
              <w:pStyle w:val="TableContents"/>
              <w:spacing w:before="0" w:after="283"/>
              <w:rPr>
                <w:sz w:val="4"/>
                <w:szCs w:val="4"/>
              </w:rPr>
            </w:pPr>
            <w:r>
              <w:rPr>
                <w:sz w:val="4"/>
                <w:szCs w:val="4"/>
              </w:rPr>
            </w:r>
          </w:p>
        </w:tc>
        <w:tc>
          <w:tcPr>
            <w:tcW w:w="12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8001" w:type="dxa"/>
            <w:gridSpan w:val="9"/>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Leased to Open New Store</w:t>
            </w:r>
          </w:p>
        </w:tc>
      </w:tr>
      <w:tr>
        <w:trPr/>
        <w:tc>
          <w:tcPr>
            <w:tcW w:w="20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Cherry Hill, NJ</w:t>
            </w:r>
            <w:r>
              <w:rPr>
                <w:rFonts w:ascii="Times New Roman;serif" w:hAnsi="Times New Roman;serif"/>
                <w:b w:val="false"/>
                <w:i w:val="false"/>
                <w:caps w:val="false"/>
                <w:smallCaps w:val="false"/>
                <w:position w:val="5"/>
                <w:sz w:val="13"/>
                <w:sz w:val="16"/>
              </w:rPr>
              <w:t>1</w:t>
            </w:r>
          </w:p>
        </w:tc>
        <w:tc>
          <w:tcPr>
            <w:tcW w:w="109"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47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75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Store</w:t>
            </w:r>
          </w:p>
        </w:tc>
        <w:tc>
          <w:tcPr>
            <w:tcW w:w="109"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11,441 </w:t>
            </w:r>
          </w:p>
        </w:tc>
        <w:tc>
          <w:tcPr>
            <w:tcW w:w="109"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29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8001" w:type="dxa"/>
            <w:gridSpan w:val="9"/>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Other</w:t>
            </w:r>
          </w:p>
        </w:tc>
      </w:tr>
      <w:tr>
        <w:trPr/>
        <w:tc>
          <w:tcPr>
            <w:tcW w:w="3606" w:type="dxa"/>
            <w:gridSpan w:val="3"/>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Mount Horeb, WI</w:t>
            </w:r>
          </w:p>
        </w:tc>
        <w:tc>
          <w:tcPr>
            <w:tcW w:w="109"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75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Photo Studio</w:t>
            </w:r>
          </w:p>
        </w:tc>
        <w:tc>
          <w:tcPr>
            <w:tcW w:w="109"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7,000 </w:t>
            </w:r>
          </w:p>
        </w:tc>
        <w:tc>
          <w:tcPr>
            <w:tcW w:w="109"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29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3606" w:type="dxa"/>
            <w:gridSpan w:val="3"/>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Belleville, WI</w:t>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Outlet store</w:t>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17,890 </w:t>
            </w:r>
          </w:p>
        </w:tc>
        <w:tc>
          <w:tcPr>
            <w:tcW w:w="109"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Owned</w:t>
            </w:r>
          </w:p>
        </w:tc>
      </w:tr>
      <w:tr>
        <w:trPr/>
        <w:tc>
          <w:tcPr>
            <w:tcW w:w="3606" w:type="dxa"/>
            <w:gridSpan w:val="3"/>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Oshkosh, WI</w:t>
            </w:r>
          </w:p>
        </w:tc>
        <w:tc>
          <w:tcPr>
            <w:tcW w:w="109" w:type="dxa"/>
            <w:tcBorders/>
            <w:shd w:fill="CCEEFF" w:val="clear"/>
            <w:vAlign w:val="center"/>
          </w:tcPr>
          <w:p>
            <w:pPr>
              <w:pStyle w:val="TableContents"/>
              <w:spacing w:before="0" w:after="283"/>
              <w:rPr>
                <w:sz w:val="4"/>
                <w:szCs w:val="4"/>
              </w:rPr>
            </w:pPr>
            <w:r>
              <w:rPr>
                <w:sz w:val="4"/>
                <w:szCs w:val="4"/>
              </w:rPr>
            </w:r>
          </w:p>
        </w:tc>
        <w:tc>
          <w:tcPr>
            <w:tcW w:w="17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Outlet store</w:t>
            </w:r>
          </w:p>
        </w:tc>
        <w:tc>
          <w:tcPr>
            <w:tcW w:w="109" w:type="dxa"/>
            <w:tcBorders/>
            <w:shd w:fill="CCEEFF" w:val="clear"/>
            <w:vAlign w:val="center"/>
          </w:tcPr>
          <w:p>
            <w:pPr>
              <w:pStyle w:val="TableContents"/>
              <w:spacing w:before="0" w:after="283"/>
              <w:rPr>
                <w:sz w:val="4"/>
                <w:szCs w:val="4"/>
              </w:rPr>
            </w:pPr>
            <w:r>
              <w:rPr>
                <w:sz w:val="4"/>
                <w:szCs w:val="4"/>
              </w:rPr>
            </w:r>
          </w:p>
        </w:tc>
        <w:tc>
          <w:tcPr>
            <w:tcW w:w="10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12,777 </w:t>
            </w:r>
          </w:p>
        </w:tc>
        <w:tc>
          <w:tcPr>
            <w:tcW w:w="109" w:type="dxa"/>
            <w:tcBorders/>
            <w:shd w:fill="CCEEFF" w:val="clear"/>
            <w:vAlign w:val="center"/>
          </w:tcPr>
          <w:p>
            <w:pPr>
              <w:pStyle w:val="TableContents"/>
              <w:spacing w:before="0" w:after="283"/>
              <w:rPr>
                <w:sz w:val="4"/>
                <w:szCs w:val="4"/>
              </w:rPr>
            </w:pPr>
            <w:r>
              <w:rPr>
                <w:sz w:val="4"/>
                <w:szCs w:val="4"/>
              </w:rPr>
            </w:r>
          </w:p>
        </w:tc>
        <w:tc>
          <w:tcPr>
            <w:tcW w:w="12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3606" w:type="dxa"/>
            <w:gridSpan w:val="3"/>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Red Wing, MN</w:t>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Outlet store</w:t>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15,560 </w:t>
            </w:r>
          </w:p>
        </w:tc>
        <w:tc>
          <w:tcPr>
            <w:tcW w:w="109"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3606" w:type="dxa"/>
            <w:gridSpan w:val="3"/>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Mount Horeb, WI</w:t>
            </w:r>
          </w:p>
        </w:tc>
        <w:tc>
          <w:tcPr>
            <w:tcW w:w="109" w:type="dxa"/>
            <w:tcBorders/>
            <w:shd w:fill="CCEEFF" w:val="clear"/>
            <w:vAlign w:val="center"/>
          </w:tcPr>
          <w:p>
            <w:pPr>
              <w:pStyle w:val="TableContents"/>
              <w:spacing w:before="0" w:after="283"/>
              <w:rPr>
                <w:sz w:val="4"/>
                <w:szCs w:val="4"/>
              </w:rPr>
            </w:pPr>
            <w:r>
              <w:rPr>
                <w:sz w:val="4"/>
                <w:szCs w:val="4"/>
              </w:rPr>
            </w:r>
          </w:p>
        </w:tc>
        <w:tc>
          <w:tcPr>
            <w:tcW w:w="17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Corporate headquarters</w:t>
            </w:r>
          </w:p>
        </w:tc>
        <w:tc>
          <w:tcPr>
            <w:tcW w:w="109" w:type="dxa"/>
            <w:tcBorders/>
            <w:shd w:fill="CCEEFF" w:val="clear"/>
            <w:vAlign w:val="center"/>
          </w:tcPr>
          <w:p>
            <w:pPr>
              <w:pStyle w:val="TableContents"/>
              <w:spacing w:before="0" w:after="283"/>
              <w:rPr>
                <w:sz w:val="4"/>
                <w:szCs w:val="4"/>
              </w:rPr>
            </w:pPr>
            <w:r>
              <w:rPr>
                <w:sz w:val="4"/>
                <w:szCs w:val="4"/>
              </w:rPr>
            </w:r>
          </w:p>
        </w:tc>
        <w:tc>
          <w:tcPr>
            <w:tcW w:w="10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108,000 </w:t>
            </w:r>
          </w:p>
        </w:tc>
        <w:tc>
          <w:tcPr>
            <w:tcW w:w="109" w:type="dxa"/>
            <w:tcBorders/>
            <w:shd w:fill="CCEEFF" w:val="clear"/>
            <w:vAlign w:val="center"/>
          </w:tcPr>
          <w:p>
            <w:pPr>
              <w:pStyle w:val="TableContents"/>
              <w:spacing w:before="0" w:after="283"/>
              <w:rPr>
                <w:sz w:val="4"/>
                <w:szCs w:val="4"/>
              </w:rPr>
            </w:pPr>
            <w:r>
              <w:rPr>
                <w:sz w:val="4"/>
                <w:szCs w:val="4"/>
              </w:rPr>
            </w:r>
          </w:p>
        </w:tc>
        <w:tc>
          <w:tcPr>
            <w:tcW w:w="12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3606" w:type="dxa"/>
            <w:gridSpan w:val="3"/>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Belleville, WI</w:t>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Distribution center</w:t>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220,000 </w:t>
            </w:r>
          </w:p>
        </w:tc>
        <w:tc>
          <w:tcPr>
            <w:tcW w:w="109"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Owned</w:t>
            </w:r>
          </w:p>
        </w:tc>
      </w:tr>
      <w:tr>
        <w:trPr/>
        <w:tc>
          <w:tcPr>
            <w:tcW w:w="20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Dubuque, IA</w:t>
            </w:r>
          </w:p>
        </w:tc>
        <w:tc>
          <w:tcPr>
            <w:tcW w:w="109" w:type="dxa"/>
            <w:tcBorders/>
            <w:shd w:fill="CCEEFF" w:val="clear"/>
            <w:vAlign w:val="center"/>
          </w:tcPr>
          <w:p>
            <w:pPr>
              <w:pStyle w:val="TableContents"/>
              <w:spacing w:before="0" w:after="283"/>
              <w:rPr>
                <w:sz w:val="4"/>
                <w:szCs w:val="4"/>
              </w:rPr>
            </w:pPr>
            <w:r>
              <w:rPr>
                <w:sz w:val="4"/>
                <w:szCs w:val="4"/>
              </w:rPr>
            </w:r>
          </w:p>
        </w:tc>
        <w:tc>
          <w:tcPr>
            <w:tcW w:w="147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7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Distribution center</w:t>
            </w:r>
          </w:p>
        </w:tc>
        <w:tc>
          <w:tcPr>
            <w:tcW w:w="109" w:type="dxa"/>
            <w:tcBorders/>
            <w:shd w:fill="CCEEFF" w:val="clear"/>
            <w:vAlign w:val="center"/>
          </w:tcPr>
          <w:p>
            <w:pPr>
              <w:pStyle w:val="TableContents"/>
              <w:spacing w:before="0" w:after="283"/>
              <w:rPr>
                <w:sz w:val="4"/>
                <w:szCs w:val="4"/>
              </w:rPr>
            </w:pPr>
            <w:r>
              <w:rPr>
                <w:sz w:val="4"/>
                <w:szCs w:val="4"/>
              </w:rPr>
            </w:r>
          </w:p>
        </w:tc>
        <w:tc>
          <w:tcPr>
            <w:tcW w:w="10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220,685 </w:t>
            </w:r>
          </w:p>
        </w:tc>
        <w:tc>
          <w:tcPr>
            <w:tcW w:w="109" w:type="dxa"/>
            <w:tcBorders/>
            <w:shd w:fill="CCEEFF" w:val="clear"/>
            <w:vAlign w:val="center"/>
          </w:tcPr>
          <w:p>
            <w:pPr>
              <w:pStyle w:val="TableContents"/>
              <w:spacing w:before="0" w:after="283"/>
              <w:rPr>
                <w:sz w:val="4"/>
                <w:szCs w:val="4"/>
              </w:rPr>
            </w:pPr>
            <w:r>
              <w:rPr>
                <w:sz w:val="4"/>
                <w:szCs w:val="4"/>
              </w:rPr>
            </w:r>
          </w:p>
        </w:tc>
        <w:tc>
          <w:tcPr>
            <w:tcW w:w="12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202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Dubuque, IA</w:t>
            </w:r>
          </w:p>
        </w:tc>
        <w:tc>
          <w:tcPr>
            <w:tcW w:w="109"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Distribution center</w:t>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216,000 </w:t>
            </w:r>
          </w:p>
        </w:tc>
        <w:tc>
          <w:tcPr>
            <w:tcW w:w="109"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2026" w:type="dxa"/>
            <w:tcBorders/>
            <w:shd w:fill="CCEEFF" w:val="clear"/>
            <w:vAlign w:val="center"/>
          </w:tcPr>
          <w:p>
            <w:pPr>
              <w:pStyle w:val="TableContents"/>
              <w:bidi w:val="0"/>
              <w:spacing w:lineRule="auto" w:line="259" w:before="0" w:after="283"/>
              <w:rPr>
                <w:rFonts w:ascii="Times New Roman;serif" w:hAnsi="Times New Roman;serif"/>
                <w:sz w:val="18"/>
              </w:rPr>
            </w:pPr>
            <w:r>
              <w:rPr>
                <w:rFonts w:ascii="Times New Roman;serif" w:hAnsi="Times New Roman;serif"/>
                <w:b w:val="false"/>
                <w:i w:val="false"/>
                <w:caps w:val="false"/>
                <w:smallCaps w:val="false"/>
                <w:sz w:val="18"/>
              </w:rPr>
              <w:t>Salt Lake City, UT</w:t>
            </w:r>
            <w:r>
              <w:rPr>
                <w:rFonts w:ascii="Times New Roman;serif" w:hAnsi="Times New Roman;serif"/>
                <w:b w:val="false"/>
                <w:i w:val="false"/>
                <w:caps w:val="false"/>
                <w:smallCaps w:val="false"/>
                <w:position w:val="5"/>
                <w:sz w:val="13"/>
                <w:sz w:val="16"/>
              </w:rPr>
              <w:t>2</w:t>
            </w:r>
          </w:p>
        </w:tc>
        <w:tc>
          <w:tcPr>
            <w:tcW w:w="109" w:type="dxa"/>
            <w:tcBorders/>
            <w:shd w:fill="CCEEFF" w:val="clear"/>
            <w:vAlign w:val="center"/>
          </w:tcPr>
          <w:p>
            <w:pPr>
              <w:pStyle w:val="TableContents"/>
              <w:spacing w:before="0" w:after="283"/>
              <w:rPr>
                <w:sz w:val="4"/>
                <w:szCs w:val="4"/>
              </w:rPr>
            </w:pPr>
            <w:r>
              <w:rPr>
                <w:sz w:val="4"/>
                <w:szCs w:val="4"/>
              </w:rPr>
            </w:r>
          </w:p>
        </w:tc>
        <w:tc>
          <w:tcPr>
            <w:tcW w:w="147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7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Distribution center</w:t>
            </w:r>
          </w:p>
        </w:tc>
        <w:tc>
          <w:tcPr>
            <w:tcW w:w="109" w:type="dxa"/>
            <w:tcBorders/>
            <w:shd w:fill="CCEEFF" w:val="clear"/>
            <w:vAlign w:val="center"/>
          </w:tcPr>
          <w:p>
            <w:pPr>
              <w:pStyle w:val="TableContents"/>
              <w:spacing w:before="0" w:after="283"/>
              <w:rPr>
                <w:sz w:val="4"/>
                <w:szCs w:val="4"/>
              </w:rPr>
            </w:pPr>
            <w:r>
              <w:rPr>
                <w:sz w:val="4"/>
                <w:szCs w:val="4"/>
              </w:rPr>
            </w:r>
          </w:p>
        </w:tc>
        <w:tc>
          <w:tcPr>
            <w:tcW w:w="10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228,800 </w:t>
            </w:r>
          </w:p>
        </w:tc>
        <w:tc>
          <w:tcPr>
            <w:tcW w:w="109" w:type="dxa"/>
            <w:tcBorders/>
            <w:shd w:fill="CCEEFF" w:val="clear"/>
            <w:vAlign w:val="center"/>
          </w:tcPr>
          <w:p>
            <w:pPr>
              <w:pStyle w:val="TableContents"/>
              <w:spacing w:before="0" w:after="283"/>
              <w:rPr>
                <w:sz w:val="4"/>
                <w:szCs w:val="4"/>
              </w:rPr>
            </w:pPr>
            <w:r>
              <w:rPr>
                <w:sz w:val="4"/>
                <w:szCs w:val="4"/>
              </w:rPr>
            </w:r>
          </w:p>
        </w:tc>
        <w:tc>
          <w:tcPr>
            <w:tcW w:w="12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3606" w:type="dxa"/>
            <w:gridSpan w:val="3"/>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Verona, WI</w:t>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Returns center</w:t>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38,687 </w:t>
            </w:r>
          </w:p>
        </w:tc>
        <w:tc>
          <w:tcPr>
            <w:tcW w:w="109"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Leased</w:t>
            </w:r>
          </w:p>
        </w:tc>
      </w:tr>
      <w:tr>
        <w:trPr/>
        <w:tc>
          <w:tcPr>
            <w:tcW w:w="2026" w:type="dxa"/>
            <w:tcBorders>
              <w:top w:val="single" w:sz="8"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position w:val="5"/>
                <w:sz w:val="13"/>
                <w:sz w:val="16"/>
              </w:rPr>
              <w:t>1</w:t>
            </w:r>
            <w:r>
              <w:rPr>
                <w:rFonts w:ascii="Times New Roman;serif" w:hAnsi="Times New Roman;serif"/>
                <w:b w:val="false"/>
                <w:i w:val="false"/>
                <w:caps w:val="false"/>
                <w:smallCaps w:val="false"/>
                <w:sz w:val="16"/>
              </w:rPr>
              <w:t>To open in Q4 fiscal 2021</w:t>
            </w:r>
          </w:p>
        </w:tc>
        <w:tc>
          <w:tcPr>
            <w:tcW w:w="109"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r>
      <w:tr>
        <w:trPr/>
        <w:tc>
          <w:tcPr>
            <w:tcW w:w="202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position w:val="5"/>
                <w:sz w:val="13"/>
                <w:sz w:val="16"/>
              </w:rPr>
              <w:t>2</w:t>
            </w:r>
            <w:r>
              <w:rPr>
                <w:rFonts w:ascii="Times New Roman;serif" w:hAnsi="Times New Roman;serif"/>
                <w:b w:val="false"/>
                <w:i w:val="false"/>
                <w:caps w:val="false"/>
                <w:smallCaps w:val="false"/>
                <w:sz w:val="16"/>
              </w:rPr>
              <w:t>To open in Q3 fiscal 2021</w:t>
            </w:r>
          </w:p>
        </w:tc>
        <w:tc>
          <w:tcPr>
            <w:tcW w:w="109" w:type="dxa"/>
            <w:tcBorders/>
            <w:shd w:fill="CCEEFF" w:val="clear"/>
            <w:vAlign w:val="center"/>
          </w:tcPr>
          <w:p>
            <w:pPr>
              <w:pStyle w:val="TableContents"/>
              <w:spacing w:before="0" w:after="283"/>
              <w:rPr>
                <w:sz w:val="4"/>
                <w:szCs w:val="4"/>
              </w:rPr>
            </w:pPr>
            <w:r>
              <w:rPr>
                <w:sz w:val="4"/>
                <w:szCs w:val="4"/>
              </w:rPr>
            </w:r>
          </w:p>
        </w:tc>
        <w:tc>
          <w:tcPr>
            <w:tcW w:w="147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75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02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291" w:type="dxa"/>
            <w:tcBorders/>
            <w:shd w:fill="CCEEFF" w:val="clear"/>
            <w:vAlign w:val="center"/>
          </w:tcPr>
          <w:p>
            <w:pPr>
              <w:pStyle w:val="TableContents"/>
              <w:spacing w:before="0" w:after="283"/>
              <w:rPr>
                <w:sz w:val="4"/>
                <w:szCs w:val="4"/>
              </w:rPr>
            </w:pPr>
            <w:r>
              <w:rPr>
                <w:sz w:val="4"/>
                <w:szCs w:val="4"/>
              </w:rPr>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leases on our retail stores expire at various times and are subject to renewal options and rent escalation provisions. We consider these properties to be in good condition and believe that our facilities are adequate for our operations and provide sufficient capacity to meet our anticipated requirements.</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24</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tbl>
      <w:tblPr>
        <w:tblW w:w="3108" w:type="dxa"/>
        <w:jc w:val="left"/>
        <w:tblInd w:w="0" w:type="dxa"/>
        <w:tblCellMar>
          <w:top w:w="0" w:type="dxa"/>
          <w:left w:w="0" w:type="dxa"/>
          <w:bottom w:w="0" w:type="dxa"/>
          <w:right w:w="0" w:type="dxa"/>
        </w:tblCellMar>
      </w:tblPr>
      <w:tblGrid>
        <w:gridCol w:w="825"/>
        <w:gridCol w:w="1054"/>
        <w:gridCol w:w="1075"/>
        <w:gridCol w:w="154"/>
      </w:tblGrid>
      <w:tr>
        <w:trPr/>
        <w:tc>
          <w:tcPr>
            <w:tcW w:w="1879" w:type="dxa"/>
            <w:gridSpan w:val="2"/>
            <w:tcBorders/>
            <w:shd w:fill="auto" w:val="clear"/>
            <w:vAlign w:val="center"/>
          </w:tcPr>
          <w:p>
            <w:pPr>
              <w:pStyle w:val="TableContents"/>
              <w:spacing w:before="0" w:after="283"/>
              <w:rPr>
                <w:sz w:val="4"/>
                <w:szCs w:val="4"/>
              </w:rPr>
            </w:pPr>
            <w:r>
              <w:rPr>
                <w:sz w:val="4"/>
                <w:szCs w:val="4"/>
              </w:rPr>
            </w:r>
          </w:p>
        </w:tc>
        <w:tc>
          <w:tcPr>
            <w:tcW w:w="1229" w:type="dxa"/>
            <w:gridSpan w:val="2"/>
            <w:tcBorders/>
            <w:shd w:fill="auto" w:val="clear"/>
            <w:vAlign w:val="center"/>
          </w:tcPr>
          <w:p>
            <w:pPr>
              <w:pStyle w:val="TableContents"/>
              <w:spacing w:before="0" w:after="283"/>
              <w:rPr>
                <w:sz w:val="4"/>
                <w:szCs w:val="4"/>
              </w:rPr>
            </w:pPr>
            <w:r>
              <w:rPr>
                <w:sz w:val="4"/>
                <w:szCs w:val="4"/>
              </w:rPr>
            </w:r>
          </w:p>
        </w:tc>
      </w:tr>
      <w:tr>
        <w:trPr/>
        <w:tc>
          <w:tcPr>
            <w:tcW w:w="825" w:type="dxa"/>
            <w:tcBorders/>
            <w:shd w:fill="auto" w:val="clear"/>
            <w:vAlign w:val="center"/>
          </w:tcPr>
          <w:p>
            <w:pPr>
              <w:pStyle w:val="TableContents"/>
              <w:spacing w:before="0" w:after="283"/>
              <w:rPr>
                <w:sz w:val="4"/>
                <w:szCs w:val="4"/>
              </w:rPr>
            </w:pPr>
            <w:r>
              <w:rPr>
                <w:sz w:val="4"/>
                <w:szCs w:val="4"/>
              </w:rPr>
            </w:r>
          </w:p>
        </w:tc>
        <w:tc>
          <w:tcPr>
            <w:tcW w:w="2129" w:type="dxa"/>
            <w:gridSpan w:val="2"/>
            <w:tcBorders/>
            <w:shd w:fill="auto" w:val="clear"/>
            <w:vAlign w:val="center"/>
          </w:tcPr>
          <w:p>
            <w:pPr>
              <w:pStyle w:val="TableContents"/>
              <w:spacing w:before="0" w:after="283"/>
              <w:rPr>
                <w:sz w:val="4"/>
                <w:szCs w:val="4"/>
              </w:rPr>
            </w:pPr>
            <w:r>
              <w:rPr>
                <w:sz w:val="4"/>
                <w:szCs w:val="4"/>
              </w:rPr>
            </w:r>
          </w:p>
        </w:tc>
        <w:tc>
          <w:tcPr>
            <w:tcW w:w="154"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825" w:type="dxa"/>
            <w:tcBorders/>
            <w:shd w:fill="auto" w:val="clear"/>
            <w:vAlign w:val="center"/>
          </w:tcPr>
          <w:p>
            <w:pPr>
              <w:pStyle w:val="TableContents"/>
              <w:bidi w:val="0"/>
              <w:spacing w:lineRule="auto" w:line="259" w:before="0" w:after="22"/>
              <w:ind w:left="0" w:right="29" w:hanging="0"/>
              <w:jc w:val="left"/>
              <w:rPr>
                <w:rFonts w:ascii="Times New Roman;serif" w:hAnsi="Times New Roman;serif"/>
                <w:b w:val="false"/>
                <w:i w:val="false"/>
                <w:caps w:val="false"/>
                <w:smallCaps w:val="false"/>
                <w:color w:val="000000"/>
                <w:sz w:val="20"/>
              </w:rPr>
            </w:pPr>
            <w:bookmarkStart w:id="9" w:name="Item3LegalProceedings"/>
            <w:bookmarkEnd w:id="9"/>
            <w:r>
              <w:rPr>
                <w:rFonts w:ascii="Times New Roman;serif" w:hAnsi="Times New Roman;serif"/>
                <w:b w:val="false"/>
                <w:i w:val="false"/>
                <w:caps w:val="false"/>
                <w:smallCaps w:val="false"/>
                <w:color w:val="000000"/>
                <w:sz w:val="20"/>
              </w:rPr>
              <w:t>ITEM 3.</w:t>
            </w:r>
          </w:p>
        </w:tc>
        <w:tc>
          <w:tcPr>
            <w:tcW w:w="2129" w:type="dxa"/>
            <w:gridSpan w:val="2"/>
            <w:tcBorders/>
            <w:shd w:fill="auto" w:val="clear"/>
            <w:vAlign w:val="center"/>
          </w:tcPr>
          <w:p>
            <w:pPr>
              <w:pStyle w:val="TableContents"/>
              <w:bidi w:val="0"/>
              <w:spacing w:lineRule="auto" w:line="259" w:before="0" w:after="22"/>
              <w:ind w:left="0" w:right="29"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LEGAL PROCEEDINGS</w:t>
            </w:r>
          </w:p>
        </w:tc>
        <w:tc>
          <w:tcPr>
            <w:tcW w:w="154"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From time to time, we are subject to certain legal proceedings and claims in the ordinary course of business. We are not presently party to any legal proceedings the resolution of which we believe would have a material adverse effect on our business, financial condition, operating results or cash flows. We establish reserves for specific legal matters when we determine that the likelihood of an unfavorable outcome is probable and the loss is reasonably estimable.</w:t>
      </w:r>
    </w:p>
    <w:tbl>
      <w:tblPr>
        <w:tblW w:w="3600" w:type="dxa"/>
        <w:jc w:val="left"/>
        <w:tblInd w:w="0" w:type="dxa"/>
        <w:tblCellMar>
          <w:top w:w="0" w:type="dxa"/>
          <w:left w:w="0" w:type="dxa"/>
          <w:bottom w:w="0" w:type="dxa"/>
          <w:right w:w="0" w:type="dxa"/>
        </w:tblCellMar>
      </w:tblPr>
      <w:tblGrid>
        <w:gridCol w:w="825"/>
        <w:gridCol w:w="2775"/>
      </w:tblGrid>
      <w:tr>
        <w:trPr/>
        <w:tc>
          <w:tcPr>
            <w:tcW w:w="825" w:type="dxa"/>
            <w:tcBorders/>
            <w:shd w:fill="auto" w:val="clear"/>
            <w:vAlign w:val="center"/>
          </w:tcPr>
          <w:p>
            <w:pPr>
              <w:pStyle w:val="TableContents"/>
              <w:spacing w:before="0" w:after="283"/>
              <w:rPr>
                <w:sz w:val="4"/>
                <w:szCs w:val="4"/>
              </w:rPr>
            </w:pPr>
            <w:r>
              <w:rPr>
                <w:sz w:val="4"/>
                <w:szCs w:val="4"/>
              </w:rPr>
            </w:r>
          </w:p>
        </w:tc>
        <w:tc>
          <w:tcPr>
            <w:tcW w:w="2775" w:type="dxa"/>
            <w:tcBorders/>
            <w:shd w:fill="auto" w:val="clear"/>
            <w:vAlign w:val="center"/>
          </w:tcPr>
          <w:p>
            <w:pPr>
              <w:pStyle w:val="TableContents"/>
              <w:spacing w:before="0" w:after="283"/>
              <w:rPr>
                <w:sz w:val="4"/>
                <w:szCs w:val="4"/>
              </w:rPr>
            </w:pPr>
            <w:r>
              <w:rPr>
                <w:sz w:val="4"/>
                <w:szCs w:val="4"/>
              </w:rPr>
            </w:r>
          </w:p>
        </w:tc>
      </w:tr>
      <w:tr>
        <w:trPr/>
        <w:tc>
          <w:tcPr>
            <w:tcW w:w="825" w:type="dxa"/>
            <w:tcBorders/>
            <w:shd w:fill="auto" w:val="clear"/>
            <w:vAlign w:val="center"/>
          </w:tcPr>
          <w:p>
            <w:pPr>
              <w:pStyle w:val="TableContents"/>
              <w:bidi w:val="0"/>
              <w:spacing w:lineRule="auto" w:line="259" w:before="0" w:after="22"/>
              <w:ind w:left="0" w:right="29" w:hanging="0"/>
              <w:jc w:val="left"/>
              <w:rPr>
                <w:rFonts w:ascii="Times New Roman;serif" w:hAnsi="Times New Roman;serif"/>
                <w:b w:val="false"/>
                <w:i w:val="false"/>
                <w:caps w:val="false"/>
                <w:smallCaps w:val="false"/>
                <w:color w:val="000000"/>
                <w:sz w:val="20"/>
              </w:rPr>
            </w:pPr>
            <w:bookmarkStart w:id="10" w:name="Item4MineSafetyDisclosures"/>
            <w:bookmarkEnd w:id="10"/>
            <w:r>
              <w:rPr>
                <w:rFonts w:ascii="Times New Roman;serif" w:hAnsi="Times New Roman;serif"/>
                <w:b w:val="false"/>
                <w:i w:val="false"/>
                <w:caps w:val="false"/>
                <w:smallCaps w:val="false"/>
                <w:color w:val="000000"/>
                <w:sz w:val="20"/>
              </w:rPr>
              <w:t>ITEM 4.</w:t>
            </w:r>
          </w:p>
        </w:tc>
        <w:tc>
          <w:tcPr>
            <w:tcW w:w="2775" w:type="dxa"/>
            <w:tcBorders/>
            <w:shd w:fill="auto" w:val="clear"/>
            <w:vAlign w:val="center"/>
          </w:tcPr>
          <w:p>
            <w:pPr>
              <w:pStyle w:val="TableContents"/>
              <w:bidi w:val="0"/>
              <w:spacing w:lineRule="auto" w:line="259" w:before="0" w:after="22"/>
              <w:ind w:left="0" w:right="29"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MINE SAFETY DISCLOSURES</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25</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 xml:space="preserve">Information </w:t>
      </w:r>
      <w:bookmarkStart w:id="11" w:name="ExecutiveOfficersofDuluthTrading"/>
      <w:bookmarkEnd w:id="11"/>
      <w:r>
        <w:rPr>
          <w:rFonts w:ascii="Times New Roman;serif" w:hAnsi="Times New Roman;serif"/>
          <w:b/>
          <w:i w:val="false"/>
          <w:caps w:val="false"/>
          <w:smallCaps w:val="false"/>
          <w:sz w:val="20"/>
        </w:rPr>
        <w:t>about our Executive Officers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is a list of names and ages of executive officers of Duluth Trading indicating all positions and offices held by each such person and each such person’s principal occupation(s) or employment during the past five years. Officers are appointed annually by the Board of Directors at the meeting of directors immediately following the annual meeting of shareholders. There are no family relationships among these officers, except as disclosed below, arrangements or understandings between any officer and any other person pursuant to which the officer was selected. The information presented below is as of March 26, 2021.</w:t>
      </w:r>
    </w:p>
    <w:tbl>
      <w:tblPr>
        <w:tblW w:w="10205" w:type="dxa"/>
        <w:jc w:val="left"/>
        <w:tblInd w:w="0" w:type="dxa"/>
        <w:tblCellMar>
          <w:top w:w="0" w:type="dxa"/>
          <w:left w:w="0" w:type="dxa"/>
          <w:bottom w:w="0" w:type="dxa"/>
          <w:right w:w="0" w:type="dxa"/>
        </w:tblCellMar>
      </w:tblPr>
      <w:tblGrid>
        <w:gridCol w:w="1149"/>
        <w:gridCol w:w="436"/>
        <w:gridCol w:w="8620"/>
      </w:tblGrid>
      <w:tr>
        <w:trPr/>
        <w:tc>
          <w:tcPr>
            <w:tcW w:w="1149"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8620" w:type="dxa"/>
            <w:tcBorders/>
            <w:shd w:fill="auto" w:val="clear"/>
            <w:vAlign w:val="center"/>
          </w:tcPr>
          <w:p>
            <w:pPr>
              <w:pStyle w:val="TableContents"/>
              <w:spacing w:before="0" w:after="283"/>
              <w:rPr>
                <w:sz w:val="4"/>
                <w:szCs w:val="4"/>
              </w:rPr>
            </w:pPr>
            <w:r>
              <w:rPr>
                <w:sz w:val="4"/>
                <w:szCs w:val="4"/>
              </w:rPr>
            </w:r>
          </w:p>
        </w:tc>
      </w:tr>
      <w:tr>
        <w:trPr/>
        <w:tc>
          <w:tcPr>
            <w:tcW w:w="1149" w:type="dxa"/>
            <w:tcBorders>
              <w:top w:val="single" w:sz="8" w:space="0" w:color="000000"/>
              <w:left w:val="single" w:sz="8" w:space="0" w:color="000000"/>
              <w:bottom w:val="single" w:sz="8" w:space="0" w:color="000000"/>
              <w:right w:val="single" w:sz="8" w:space="0" w:color="000000"/>
            </w:tcBorders>
            <w:shd w:fill="auto" w:val="clear"/>
            <w:tcMar>
              <w:top w:w="28" w:type="dxa"/>
              <w:left w:w="108" w:type="dxa"/>
              <w:bottom w:w="2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Name</w:t>
            </w:r>
          </w:p>
        </w:tc>
        <w:tc>
          <w:tcPr>
            <w:tcW w:w="436" w:type="dxa"/>
            <w:tcBorders>
              <w:top w:val="single" w:sz="8" w:space="0" w:color="000000"/>
              <w:left w:val="single" w:sz="8" w:space="0" w:color="000000"/>
              <w:bottom w:val="single" w:sz="8" w:space="0" w:color="000000"/>
              <w:right w:val="single" w:sz="8" w:space="0" w:color="000000"/>
            </w:tcBorders>
            <w:shd w:fill="auto" w:val="clear"/>
            <w:tcMar>
              <w:top w:w="28" w:type="dxa"/>
              <w:left w:w="108" w:type="dxa"/>
              <w:bottom w:w="2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Age</w:t>
            </w:r>
          </w:p>
        </w:tc>
        <w:tc>
          <w:tcPr>
            <w:tcW w:w="8620" w:type="dxa"/>
            <w:tcBorders>
              <w:top w:val="single" w:sz="8" w:space="0" w:color="000000"/>
              <w:left w:val="single" w:sz="8" w:space="0" w:color="000000"/>
              <w:bottom w:val="single" w:sz="8" w:space="0" w:color="000000"/>
              <w:right w:val="single" w:sz="8" w:space="0" w:color="000000"/>
            </w:tcBorders>
            <w:shd w:fill="auto" w:val="clear"/>
            <w:tcMar>
              <w:top w:w="28" w:type="dxa"/>
              <w:left w:w="108" w:type="dxa"/>
              <w:bottom w:w="2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Office</w:t>
            </w:r>
          </w:p>
        </w:tc>
      </w:tr>
      <w:tr>
        <w:trPr/>
        <w:tc>
          <w:tcPr>
            <w:tcW w:w="1149" w:type="dxa"/>
            <w:tcBorders>
              <w:top w:val="single" w:sz="8" w:space="0" w:color="000000"/>
              <w:left w:val="single" w:sz="8" w:space="0" w:color="000000"/>
              <w:bottom w:val="single" w:sz="8" w:space="0" w:color="000000"/>
              <w:right w:val="single" w:sz="8" w:space="0" w:color="000000"/>
            </w:tcBorders>
            <w:shd w:fill="auto" w:val="clear"/>
            <w:tcMar>
              <w:top w:w="28" w:type="dxa"/>
              <w:left w:w="10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Stephen L. Schlecht</w:t>
            </w:r>
          </w:p>
        </w:tc>
        <w:tc>
          <w:tcPr>
            <w:tcW w:w="436" w:type="dxa"/>
            <w:tcBorders>
              <w:top w:val="single" w:sz="8" w:space="0" w:color="000000"/>
              <w:left w:val="single" w:sz="8" w:space="0" w:color="000000"/>
              <w:bottom w:val="single" w:sz="8" w:space="0" w:color="000000"/>
              <w:right w:val="single" w:sz="8" w:space="0" w:color="000000"/>
            </w:tcBorders>
            <w:shd w:fill="auto" w:val="clear"/>
            <w:tcMar>
              <w:top w:w="28" w:type="dxa"/>
              <w:left w:w="10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73</w:t>
            </w:r>
          </w:p>
        </w:tc>
        <w:tc>
          <w:tcPr>
            <w:tcW w:w="8620" w:type="dxa"/>
            <w:tcBorders>
              <w:top w:val="single" w:sz="8" w:space="0" w:color="000000"/>
              <w:left w:val="single" w:sz="8" w:space="0" w:color="000000"/>
              <w:bottom w:val="single" w:sz="8" w:space="0" w:color="000000"/>
              <w:right w:val="single" w:sz="8" w:space="0" w:color="000000"/>
            </w:tcBorders>
            <w:shd w:fill="auto" w:val="clear"/>
            <w:tcMar>
              <w:top w:w="28" w:type="dxa"/>
              <w:left w:w="10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highlight w:val="white"/>
              </w:rPr>
            </w:pPr>
            <w:r>
              <w:rPr>
                <w:rFonts w:ascii="Times New Roman;serif" w:hAnsi="Times New Roman;serif"/>
                <w:b w:val="false"/>
                <w:i w:val="false"/>
                <w:caps w:val="false"/>
                <w:smallCaps w:val="false"/>
                <w:color w:val="000000"/>
                <w:sz w:val="20"/>
                <w:highlight w:val="white"/>
              </w:rPr>
              <w:t xml:space="preserve">Mr. Schlecht is the founder of our Company and has served as Executive Chairman of the Board since February 2015 and as Chief Executive Officer since August 2019. Mr. Schlecht has served on our Board of Directors since our founding in 1986. Mr. Schlecht previously served as our Chairman of the Board of Directors and Chief Executive Officer from February 2003 to February 2015, as President from February 2003 to February 2012 and as President and Chief Executive Officer of GEMPLER’S, Inc., which he founded in 1986, until February 2003. Mr. Schlecht holds a B.S.B.A. degree and an M.B.A. from Northwestern University. Mr. Schlecht has over 50 years of experience in the direct marketing and retail industries and has extensive leadership experience and strategic vision. Mr. Schlecht is the father of Richard W Schlecht, our Senior Vice President of Product Development, Visual Merchandise and Creative. </w:t>
            </w:r>
          </w:p>
        </w:tc>
      </w:tr>
      <w:tr>
        <w:trPr/>
        <w:tc>
          <w:tcPr>
            <w:tcW w:w="1149" w:type="dxa"/>
            <w:tcBorders>
              <w:top w:val="single" w:sz="8" w:space="0" w:color="000000"/>
              <w:left w:val="single" w:sz="8" w:space="0" w:color="000000"/>
              <w:bottom w:val="single" w:sz="8" w:space="0" w:color="000000"/>
              <w:right w:val="single" w:sz="8" w:space="0" w:color="000000"/>
            </w:tcBorders>
            <w:shd w:fill="auto" w:val="clear"/>
            <w:tcMar>
              <w:top w:w="28" w:type="dxa"/>
              <w:left w:w="10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David Loretta</w:t>
            </w:r>
          </w:p>
        </w:tc>
        <w:tc>
          <w:tcPr>
            <w:tcW w:w="436" w:type="dxa"/>
            <w:tcBorders>
              <w:top w:val="single" w:sz="8" w:space="0" w:color="000000"/>
              <w:left w:val="single" w:sz="8" w:space="0" w:color="000000"/>
              <w:bottom w:val="single" w:sz="8" w:space="0" w:color="000000"/>
              <w:right w:val="single" w:sz="8" w:space="0" w:color="000000"/>
            </w:tcBorders>
            <w:shd w:fill="auto" w:val="clear"/>
            <w:tcMar>
              <w:top w:w="28" w:type="dxa"/>
              <w:left w:w="10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w:t>
            </w:r>
          </w:p>
        </w:tc>
        <w:tc>
          <w:tcPr>
            <w:tcW w:w="8620" w:type="dxa"/>
            <w:tcBorders>
              <w:top w:val="single" w:sz="8" w:space="0" w:color="000000"/>
              <w:left w:val="single" w:sz="8" w:space="0" w:color="000000"/>
              <w:bottom w:val="single" w:sz="8" w:space="0" w:color="000000"/>
              <w:right w:val="single" w:sz="8" w:space="0" w:color="000000"/>
            </w:tcBorders>
            <w:shd w:fill="auto" w:val="clear"/>
            <w:tcMar>
              <w:top w:w="28" w:type="dxa"/>
              <w:left w:w="108" w:type="dxa"/>
              <w:bottom w:w="28" w:type="dxa"/>
              <w:right w:w="10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highlight w:val="white"/>
              </w:rPr>
              <w:t xml:space="preserve">Mr. Loretta has been our Chief Financial Officer since July 2017. Mr. Loretta previously </w:t>
            </w:r>
            <w:r>
              <w:rPr>
                <w:rFonts w:ascii="Times New Roman;serif" w:hAnsi="Times New Roman;serif"/>
                <w:b w:val="false"/>
                <w:i w:val="false"/>
                <w:caps w:val="false"/>
                <w:smallCaps w:val="false"/>
                <w:color w:val="000000"/>
                <w:sz w:val="20"/>
              </w:rPr>
              <w:t>served four years as President and Chief Financial Officer of Nordstrom Bank and led all financial and operating functions of their proprietary card operations. During his tenure, Mr. Loretta was responsible for financial reporting, budgeting, forecasting and long-range strategic planning as well as operational leadership. Previously at Nordstrom, Inc., he served as corporate Vice President and Treasurer overseeing treasury, investor relations and corporate development. Before his 13 years with Nordstrom, Mr. Loretta was Director of Planning and Analysis for Restoration Hardware, Inc., where he developed a companywide budgeting, forecasting and reporting process for the retail stores, catalog direct mail and e-commerce. Following his time at Nordstrom, Mr. Loretta launched and operated his own company, Pacific Time, LLC, a unique food and beverage business, from 2014 to 2016. Mr. Loretta holds a B.A. in Business Economics from the University of California, Riverside and earned an MBA from San Diego State University.</w:t>
            </w:r>
          </w:p>
        </w:tc>
      </w:tr>
      <w:tr>
        <w:trPr/>
        <w:tc>
          <w:tcPr>
            <w:tcW w:w="1149" w:type="dxa"/>
            <w:tcBorders>
              <w:top w:val="single" w:sz="8" w:space="0" w:color="000000"/>
              <w:left w:val="single" w:sz="8" w:space="0" w:color="000000"/>
              <w:bottom w:val="single" w:sz="8" w:space="0" w:color="000000"/>
              <w:right w:val="single" w:sz="8" w:space="0" w:color="000000"/>
            </w:tcBorders>
            <w:shd w:fill="auto" w:val="clear"/>
            <w:tcMar>
              <w:top w:w="28" w:type="dxa"/>
              <w:left w:w="10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Christopher M. Teufel</w:t>
            </w:r>
          </w:p>
        </w:tc>
        <w:tc>
          <w:tcPr>
            <w:tcW w:w="436" w:type="dxa"/>
            <w:tcBorders>
              <w:top w:val="single" w:sz="8" w:space="0" w:color="000000"/>
              <w:left w:val="single" w:sz="8" w:space="0" w:color="000000"/>
              <w:bottom w:val="single" w:sz="8" w:space="0" w:color="000000"/>
              <w:right w:val="single" w:sz="8" w:space="0" w:color="000000"/>
            </w:tcBorders>
            <w:shd w:fill="auto" w:val="clear"/>
            <w:tcMar>
              <w:top w:w="28" w:type="dxa"/>
              <w:left w:w="10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w:t>
            </w:r>
          </w:p>
        </w:tc>
        <w:tc>
          <w:tcPr>
            <w:tcW w:w="8620" w:type="dxa"/>
            <w:tcBorders>
              <w:top w:val="single" w:sz="8" w:space="0" w:color="000000"/>
              <w:left w:val="single" w:sz="8" w:space="0" w:color="000000"/>
              <w:bottom w:val="single" w:sz="8" w:space="0" w:color="000000"/>
              <w:right w:val="single" w:sz="8" w:space="0" w:color="000000"/>
            </w:tcBorders>
            <w:shd w:fill="auto" w:val="clear"/>
            <w:tcMar>
              <w:top w:w="28" w:type="dxa"/>
              <w:left w:w="108" w:type="dxa"/>
              <w:bottom w:w="28" w:type="dxa"/>
              <w:right w:w="108" w:type="dxa"/>
            </w:tcMar>
            <w:vAlign w:val="center"/>
          </w:tcPr>
          <w:p>
            <w:pPr>
              <w:pStyle w:val="TableContents"/>
              <w:shd w:fill="FFFFFF" w:val="clear"/>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Mr. Teufel has served as our Senior Vice President of Information Technology and Logistics since February 2020 and served as Chief Information Officer from October 2017 to February 2020. He also previously served as our Vice President of Information Technology and Logistics from April 2019 to February 2020, and Chief Information Officer from October 2017 to April 2019. Mr. Teufel has also previously served as Vice President and Senior Director of Technology at Nordstrom from 2001 to April 2016. Mr. Teufel holds a B.S. in Accounting from the Daniels College of Business at the University of Denver.</w:t>
            </w:r>
          </w:p>
        </w:tc>
      </w:tr>
      <w:tr>
        <w:trPr/>
        <w:tc>
          <w:tcPr>
            <w:tcW w:w="1149" w:type="dxa"/>
            <w:tcBorders>
              <w:top w:val="single" w:sz="8" w:space="0" w:color="000000"/>
              <w:left w:val="single" w:sz="8" w:space="0" w:color="000000"/>
              <w:bottom w:val="single" w:sz="8" w:space="0" w:color="000000"/>
              <w:right w:val="single" w:sz="8" w:space="0" w:color="000000"/>
            </w:tcBorders>
            <w:shd w:fill="auto" w:val="clear"/>
            <w:tcMar>
              <w:top w:w="28" w:type="dxa"/>
              <w:left w:w="10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David S. Homolka</w:t>
            </w:r>
          </w:p>
        </w:tc>
        <w:tc>
          <w:tcPr>
            <w:tcW w:w="436" w:type="dxa"/>
            <w:tcBorders>
              <w:top w:val="single" w:sz="8" w:space="0" w:color="000000"/>
              <w:left w:val="single" w:sz="8" w:space="0" w:color="000000"/>
              <w:bottom w:val="single" w:sz="8" w:space="0" w:color="000000"/>
              <w:right w:val="single" w:sz="8" w:space="0" w:color="000000"/>
            </w:tcBorders>
            <w:shd w:fill="auto" w:val="clear"/>
            <w:tcMar>
              <w:top w:w="28" w:type="dxa"/>
              <w:left w:w="10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w:t>
            </w:r>
          </w:p>
        </w:tc>
        <w:tc>
          <w:tcPr>
            <w:tcW w:w="8620" w:type="dxa"/>
            <w:tcBorders>
              <w:top w:val="single" w:sz="8" w:space="0" w:color="000000"/>
              <w:left w:val="single" w:sz="8" w:space="0" w:color="000000"/>
              <w:bottom w:val="single" w:sz="8" w:space="0" w:color="000000"/>
              <w:right w:val="single" w:sz="8" w:space="0" w:color="000000"/>
            </w:tcBorders>
            <w:shd w:fill="auto" w:val="clear"/>
            <w:tcMar>
              <w:top w:w="28" w:type="dxa"/>
              <w:left w:w="108" w:type="dxa"/>
              <w:bottom w:w="28" w:type="dxa"/>
              <w:right w:w="108" w:type="dxa"/>
            </w:tcMar>
            <w:vAlign w:val="center"/>
          </w:tcPr>
          <w:p>
            <w:pPr>
              <w:pStyle w:val="TableContents"/>
              <w:shd w:fill="FFFFFF" w:val="clear"/>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Mr. Homolka has served as our Senior Vice President of Human Resources, Retail Store Operations and Contact Center Operations since February 2020 and previously served as our Vice President of Human Resources, Store Operations and Asset Protection from January 2019 to February 2020, and Vice President of Human Resources from February 2017 to January 2019. Mr. Homolka previously served as Chief Property and Design Officer and Vice President of Real Estate, Store Design and Construction at Cabela’s from October 2015 to February 2017 and Vice President of Human Resources and Asset Protection from January 2012 to October 2015.</w:t>
            </w:r>
          </w:p>
        </w:tc>
      </w:tr>
      <w:tr>
        <w:trPr/>
        <w:tc>
          <w:tcPr>
            <w:tcW w:w="1149" w:type="dxa"/>
            <w:tcBorders>
              <w:top w:val="single" w:sz="8" w:space="0" w:color="000000"/>
              <w:left w:val="single" w:sz="8" w:space="0" w:color="000000"/>
              <w:bottom w:val="single" w:sz="8" w:space="0" w:color="000000"/>
              <w:right w:val="single" w:sz="8" w:space="0" w:color="000000"/>
            </w:tcBorders>
            <w:shd w:fill="auto" w:val="clear"/>
            <w:tcMar>
              <w:top w:w="28" w:type="dxa"/>
              <w:left w:w="10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Richard W. Schlecht</w:t>
            </w:r>
          </w:p>
        </w:tc>
        <w:tc>
          <w:tcPr>
            <w:tcW w:w="436" w:type="dxa"/>
            <w:tcBorders>
              <w:top w:val="single" w:sz="8" w:space="0" w:color="000000"/>
              <w:left w:val="single" w:sz="8" w:space="0" w:color="000000"/>
              <w:bottom w:val="single" w:sz="8" w:space="0" w:color="000000"/>
              <w:right w:val="single" w:sz="8" w:space="0" w:color="000000"/>
            </w:tcBorders>
            <w:shd w:fill="auto" w:val="clear"/>
            <w:tcMar>
              <w:top w:w="28" w:type="dxa"/>
              <w:left w:w="10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w:t>
            </w:r>
          </w:p>
        </w:tc>
        <w:tc>
          <w:tcPr>
            <w:tcW w:w="8620" w:type="dxa"/>
            <w:tcBorders>
              <w:top w:val="single" w:sz="8" w:space="0" w:color="000000"/>
              <w:left w:val="single" w:sz="8" w:space="0" w:color="000000"/>
              <w:bottom w:val="single" w:sz="8" w:space="0" w:color="000000"/>
              <w:right w:val="single" w:sz="8" w:space="0" w:color="000000"/>
            </w:tcBorders>
            <w:shd w:fill="auto" w:val="clear"/>
            <w:tcMar>
              <w:top w:w="28" w:type="dxa"/>
              <w:left w:w="108" w:type="dxa"/>
              <w:bottom w:w="28" w:type="dxa"/>
              <w:right w:w="108" w:type="dxa"/>
            </w:tcMar>
            <w:vAlign w:val="center"/>
          </w:tcPr>
          <w:p>
            <w:pPr>
              <w:pStyle w:val="TableContents"/>
              <w:shd w:fill="FFFFFF" w:val="clear"/>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Mr. Schlecht has served as our Senior Vice President of Product Development, Visual Merchandise and Creative since February 2020 and has previously served as our Vice President of Product Development from March 2016 to February 2020 and Director of Product Development from September 2013 to March 2016. Mr. Schlecht holds a B.S.B.A. with a minor in Statistics from Denver University. Mr. Schlecht is the son of Stephen L. Schlecht, our Executive Chairman and Chief Executive Officer.</w:t>
            </w:r>
          </w:p>
        </w:tc>
      </w:tr>
    </w:tbl>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color w:val="000000"/>
          <w:sz w:val="20"/>
        </w:rPr>
        <w:br/>
        <w:t>‎</w:t>
      </w:r>
      <w:r>
        <w:rPr>
          <w:rFonts w:ascii="Times New Roman;serif" w:hAnsi="Times New Roman;serif"/>
          <w:caps w:val="false"/>
          <w:smallCaps w:val="false"/>
          <w:color w:val="000000"/>
          <w:sz w:val="20"/>
        </w:rPr>
        <w:t xml:space="preserve"> </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PART II</w:t>
      </w:r>
    </w:p>
    <w:p>
      <w:pPr>
        <w:pStyle w:val="TextBody"/>
        <w:bidi w:val="0"/>
        <w:spacing w:lineRule="auto" w:line="259"/>
        <w:rPr>
          <w:caps w:val="false"/>
          <w:smallCaps w:val="false"/>
          <w:color w:val="000000"/>
        </w:rPr>
      </w:pPr>
      <w:r>
        <w:rPr>
          <w:caps w:val="false"/>
          <w:smallCaps w:val="false"/>
          <w:color w:val="000000"/>
        </w:rPr>
        <w:t> </w:t>
      </w:r>
    </w:p>
    <w:tbl>
      <w:tblPr>
        <w:tblW w:w="10205" w:type="dxa"/>
        <w:jc w:val="left"/>
        <w:tblInd w:w="0" w:type="dxa"/>
        <w:tblCellMar>
          <w:top w:w="0" w:type="dxa"/>
          <w:left w:w="0" w:type="dxa"/>
          <w:bottom w:w="0" w:type="dxa"/>
          <w:right w:w="0" w:type="dxa"/>
        </w:tblCellMar>
      </w:tblPr>
      <w:tblGrid>
        <w:gridCol w:w="811"/>
        <w:gridCol w:w="9394"/>
      </w:tblGrid>
      <w:tr>
        <w:trPr/>
        <w:tc>
          <w:tcPr>
            <w:tcW w:w="811" w:type="dxa"/>
            <w:tcBorders/>
            <w:shd w:fill="auto" w:val="clear"/>
            <w:vAlign w:val="center"/>
          </w:tcPr>
          <w:p>
            <w:pPr>
              <w:pStyle w:val="TableContents"/>
              <w:spacing w:before="0" w:after="283"/>
              <w:rPr>
                <w:sz w:val="4"/>
                <w:szCs w:val="4"/>
              </w:rPr>
            </w:pPr>
            <w:r>
              <w:rPr>
                <w:sz w:val="4"/>
                <w:szCs w:val="4"/>
              </w:rPr>
            </w:r>
          </w:p>
        </w:tc>
        <w:tc>
          <w:tcPr>
            <w:tcW w:w="9394" w:type="dxa"/>
            <w:tcBorders/>
            <w:shd w:fill="auto" w:val="clear"/>
            <w:vAlign w:val="center"/>
          </w:tcPr>
          <w:p>
            <w:pPr>
              <w:pStyle w:val="TableContents"/>
              <w:spacing w:before="0" w:after="283"/>
              <w:rPr>
                <w:sz w:val="4"/>
                <w:szCs w:val="4"/>
              </w:rPr>
            </w:pPr>
            <w:r>
              <w:rPr>
                <w:sz w:val="4"/>
                <w:szCs w:val="4"/>
              </w:rPr>
            </w:r>
          </w:p>
        </w:tc>
      </w:tr>
      <w:tr>
        <w:trPr/>
        <w:tc>
          <w:tcPr>
            <w:tcW w:w="811" w:type="dxa"/>
            <w:tcBorders/>
            <w:shd w:fill="auto" w:val="clear"/>
            <w:vAlign w:val="center"/>
          </w:tcPr>
          <w:p>
            <w:pPr>
              <w:pStyle w:val="TableContents"/>
              <w:bidi w:val="0"/>
              <w:spacing w:lineRule="auto" w:line="259" w:before="0" w:after="22"/>
              <w:ind w:left="0" w:right="29" w:hanging="0"/>
              <w:jc w:val="left"/>
              <w:rPr>
                <w:rFonts w:ascii="Times New Roman;serif" w:hAnsi="Times New Roman;serif"/>
                <w:b w:val="false"/>
                <w:i w:val="false"/>
                <w:caps w:val="false"/>
                <w:smallCaps w:val="false"/>
                <w:color w:val="000000"/>
                <w:sz w:val="20"/>
              </w:rPr>
            </w:pPr>
            <w:bookmarkStart w:id="12" w:name="Item5MarketfortheRegistrantsCommonEquity"/>
            <w:bookmarkEnd w:id="12"/>
            <w:r>
              <w:rPr>
                <w:rFonts w:ascii="Times New Roman;serif" w:hAnsi="Times New Roman;serif"/>
                <w:b w:val="false"/>
                <w:i w:val="false"/>
                <w:caps w:val="false"/>
                <w:smallCaps w:val="false"/>
                <w:color w:val="000000"/>
                <w:sz w:val="20"/>
              </w:rPr>
              <w:t>ITEM 5.</w:t>
            </w:r>
          </w:p>
        </w:tc>
        <w:tc>
          <w:tcPr>
            <w:tcW w:w="9394" w:type="dxa"/>
            <w:tcBorders/>
            <w:shd w:fill="auto" w:val="clear"/>
            <w:vAlign w:val="center"/>
          </w:tcPr>
          <w:p>
            <w:pPr>
              <w:pStyle w:val="TableContents"/>
              <w:bidi w:val="0"/>
              <w:spacing w:lineRule="auto" w:line="259" w:before="0" w:after="22"/>
              <w:ind w:left="0" w:right="29"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MARKET FOR THE REGISTRANT’S COMMON EQUITY, RELATED SHAREHOLDER MATTERS AND ISSUER PURCHASES OF EQUITY SECURITIES</w:t>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Common Stock Listing and Trading</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Our Class B common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stock is traded on the NASDAQ Global Select Market under the symbol “DLTH,” since our initial public offering on November 19, 2015. Our Class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 common stock is neither listed nor traded on an exchange.</w:t>
      </w:r>
    </w:p>
    <w:p>
      <w:pPr>
        <w:pStyle w:val="TextBody"/>
        <w:bidi w:val="0"/>
        <w:spacing w:lineRule="auto" w:line="259"/>
        <w:rPr>
          <w:rFonts w:ascii="Times New Roman;serif" w:hAnsi="Times New Roman;serif"/>
          <w:b/>
          <w:i w:val="false"/>
          <w:caps w:val="false"/>
          <w:smallCaps w:val="false"/>
          <w:sz w:val="20"/>
        </w:rPr>
      </w:pPr>
      <w:bookmarkStart w:id="13" w:name="_Hlk67571134"/>
      <w:bookmarkEnd w:id="13"/>
      <w:r>
        <w:rPr>
          <w:rFonts w:ascii="Times New Roman;serif" w:hAnsi="Times New Roman;serif"/>
          <w:b/>
          <w:i w:val="false"/>
          <w:caps w:val="false"/>
          <w:smallCaps w:val="false"/>
          <w:sz w:val="20"/>
        </w:rPr>
        <w:t>Shareholders of Record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March 22, 2021, there were approximately 92 holders of record, based upon data provided by our transfer agent, of our Class B common stock, one of whom is the sole holder of our Class A common stock. We believe the number of beneficial holders of the Company’s Class B common stock is in excess of this amount.</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Dividends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Our Class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B common stock began trading on November 20, 2015, since that time, we have not declared any cash dividends, and we do not anticipate declaring any cash dividends in the foreseeable future.</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Securities Authorized for Issuance Under Equity Compensation Plans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Information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regarding our equity compensation plans is set forth in Part III, Item 12. Security Ownership of Certain Beneficial Owners and Management and Related Shareholder Matters.</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tbl>
      <w:tblPr>
        <w:tblW w:w="10205" w:type="dxa"/>
        <w:jc w:val="left"/>
        <w:tblInd w:w="0" w:type="dxa"/>
        <w:tblCellMar>
          <w:top w:w="0" w:type="dxa"/>
          <w:left w:w="0" w:type="dxa"/>
          <w:bottom w:w="0" w:type="dxa"/>
          <w:right w:w="0" w:type="dxa"/>
        </w:tblCellMar>
      </w:tblPr>
      <w:tblGrid>
        <w:gridCol w:w="823"/>
        <w:gridCol w:w="9382"/>
      </w:tblGrid>
      <w:tr>
        <w:trPr/>
        <w:tc>
          <w:tcPr>
            <w:tcW w:w="823" w:type="dxa"/>
            <w:tcBorders/>
            <w:shd w:fill="auto" w:val="clear"/>
            <w:vAlign w:val="center"/>
          </w:tcPr>
          <w:p>
            <w:pPr>
              <w:pStyle w:val="TableContents"/>
              <w:spacing w:before="0" w:after="283"/>
              <w:rPr>
                <w:sz w:val="4"/>
                <w:szCs w:val="4"/>
              </w:rPr>
            </w:pPr>
            <w:r>
              <w:rPr>
                <w:sz w:val="4"/>
                <w:szCs w:val="4"/>
              </w:rPr>
            </w:r>
          </w:p>
        </w:tc>
        <w:tc>
          <w:tcPr>
            <w:tcW w:w="9382" w:type="dxa"/>
            <w:tcBorders/>
            <w:shd w:fill="auto" w:val="clear"/>
            <w:vAlign w:val="center"/>
          </w:tcPr>
          <w:p>
            <w:pPr>
              <w:pStyle w:val="TableContents"/>
              <w:spacing w:before="0" w:after="283"/>
              <w:rPr>
                <w:sz w:val="4"/>
                <w:szCs w:val="4"/>
              </w:rPr>
            </w:pPr>
            <w:r>
              <w:rPr>
                <w:sz w:val="4"/>
                <w:szCs w:val="4"/>
              </w:rPr>
            </w:r>
          </w:p>
        </w:tc>
      </w:tr>
      <w:tr>
        <w:trPr/>
        <w:tc>
          <w:tcPr>
            <w:tcW w:w="823" w:type="dxa"/>
            <w:tcBorders/>
            <w:shd w:fill="auto" w:val="clear"/>
            <w:vAlign w:val="center"/>
          </w:tcPr>
          <w:p>
            <w:pPr>
              <w:pStyle w:val="TableContents"/>
              <w:bidi w:val="0"/>
              <w:spacing w:lineRule="auto" w:line="259" w:before="0" w:after="22"/>
              <w:ind w:left="0" w:right="29" w:hanging="0"/>
              <w:jc w:val="left"/>
              <w:rPr>
                <w:rFonts w:ascii="Times New Roman;serif" w:hAnsi="Times New Roman;serif"/>
                <w:b w:val="false"/>
                <w:i w:val="false"/>
                <w:caps w:val="false"/>
                <w:smallCaps w:val="false"/>
                <w:color w:val="000000"/>
                <w:sz w:val="20"/>
              </w:rPr>
            </w:pPr>
            <w:bookmarkStart w:id="14" w:name="Item7MDA"/>
            <w:bookmarkEnd w:id="14"/>
            <w:r>
              <w:rPr>
                <w:rFonts w:ascii="Times New Roman;serif" w:hAnsi="Times New Roman;serif"/>
                <w:b w:val="false"/>
                <w:i w:val="false"/>
                <w:caps w:val="false"/>
                <w:smallCaps w:val="false"/>
                <w:color w:val="000000"/>
                <w:sz w:val="20"/>
              </w:rPr>
              <w:t>ITEM 7.</w:t>
            </w:r>
          </w:p>
        </w:tc>
        <w:tc>
          <w:tcPr>
            <w:tcW w:w="9382" w:type="dxa"/>
            <w:tcBorders/>
            <w:shd w:fill="auto" w:val="clear"/>
            <w:vAlign w:val="center"/>
          </w:tcPr>
          <w:p>
            <w:pPr>
              <w:pStyle w:val="TableContents"/>
              <w:bidi w:val="0"/>
              <w:spacing w:lineRule="auto" w:line="259" w:before="0" w:after="22"/>
              <w:ind w:left="0" w:right="29"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MANAGEMENT’S DISCUSSION AND ANALYSIS OF FINANCIAL CONDITION AND RESULTS OF OPERATIONS</w:t>
            </w:r>
          </w:p>
        </w:tc>
      </w:tr>
    </w:tbl>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The following discussion and analysis of the financial condition and results of operations should be read in conjunction with the consolidated financial statements and the accompanying notes and information contained in other sections included elsewhere in this annual report, particularly, “Risk Factors,” and “Business.” This discussion and analysis is based on the beliefs of our management, as well as assumptions made by, and information currently available to our management. The statements in this discussion and analysis concerning expectations regarding our future performance, liquidity and capital resources, as well as other non-historical statements in this discussion and analysis, are forward-looking statements. See “Forward-Looking Statements.” These forward-looking statements are subject to numerous risks and uncertainties, including those described under “Risk Factors.” Our actual results could differ materially from those suggested or implied by any forward-looking statements.</w:t>
      </w:r>
    </w:p>
    <w:p>
      <w:pPr>
        <w:pStyle w:val="TextBody"/>
        <w:bidi w:val="0"/>
        <w:spacing w:lineRule="auto" w:line="259"/>
        <w:rPr/>
      </w:pPr>
      <w:r>
        <w:rPr>
          <w:rFonts w:ascii="Times New Roman;serif" w:hAnsi="Times New Roman;serif"/>
          <w:b w:val="false"/>
          <w:i/>
          <w:sz w:val="20"/>
        </w:rPr>
        <w:t xml:space="preserve">Management’s discussion focuses on fiscal 2020 results compared to fiscal 2019. Fiscal year 2020 and 2019 were 52-week periods. For a discussion of fiscal 2019 results compared to fiscal 2018, refer to the Company’s Annual Report on </w:t>
      </w:r>
      <w:hyperlink r:id="rId2">
        <w:r>
          <w:rPr>
            <w:rStyle w:val="InternetLink"/>
            <w:rFonts w:ascii="Times New Roman;serif" w:hAnsi="Times New Roman;serif"/>
            <w:b w:val="false"/>
            <w:i/>
            <w:color w:val="0000FF"/>
            <w:sz w:val="20"/>
            <w:u w:val="single"/>
          </w:rPr>
          <w:t>Form 10-K</w:t>
        </w:r>
      </w:hyperlink>
      <w:r>
        <w:rPr>
          <w:rFonts w:ascii="Times New Roman;serif" w:hAnsi="Times New Roman;serif"/>
          <w:sz w:val="20"/>
        </w:rPr>
        <w:t xml:space="preserve"> </w:t>
      </w:r>
      <w:r>
        <w:rPr>
          <w:rFonts w:ascii="Times New Roman;serif" w:hAnsi="Times New Roman;serif"/>
          <w:b w:val="false"/>
          <w:i/>
          <w:sz w:val="20"/>
        </w:rPr>
        <w:t>for the year ended February 2, 2020.</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Overview</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a lifestyle brand of men’s and women’s casual wear, workwear and accessories sold primarily through our own omnichannel platform. We offer products nationwide through our website and catalog. In 2010, we initiated our omnichannel platform with the opening of our first store. Since then, we have expanded our retail presence, and as of January 31, 2021, we operated 62 retail stores and three outlet stores.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 offer a comprehensive line of innovative, durable and functional products, such as our Longtail T</w:t>
      </w:r>
      <w:r>
        <w:rPr>
          <w:rFonts w:ascii="Times New Roman;serif" w:hAnsi="Times New Roman;serif"/>
          <w:b w:val="false"/>
          <w:i w:val="false"/>
          <w:caps w:val="false"/>
          <w:smallCaps w:val="false"/>
          <w:position w:val="7"/>
          <w:sz w:val="16"/>
          <w:sz w:val="20"/>
        </w:rPr>
        <w: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shirts, Buck Naked</w:t>
      </w:r>
      <w:r>
        <w:rPr>
          <w:rFonts w:ascii="Times New Roman;serif" w:hAnsi="Times New Roman;serif"/>
          <w:b w:val="false"/>
          <w:i w:val="false"/>
          <w:caps w:val="false"/>
          <w:smallCaps w:val="false"/>
          <w:position w:val="7"/>
          <w:sz w:val="16"/>
          <w:sz w:val="20"/>
        </w:rPr>
        <w:t>TM</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underwear, Fire Hose</w:t>
      </w:r>
      <w:r>
        <w:rPr>
          <w:rFonts w:ascii="Times New Roman;serif" w:hAnsi="Times New Roman;serif"/>
          <w:b w:val="false"/>
          <w:i w:val="false"/>
          <w:caps w:val="false"/>
          <w:smallCaps w:val="false"/>
          <w:position w:val="7"/>
          <w:sz w:val="16"/>
          <w:sz w:val="20"/>
        </w:rPr>
        <w: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work pants and No-Yank™ Tank, which reflect our position as the Modern, Self-Reliant American Lifestyle brand. Our brand has a heritage in workwear that transcends tradesmen and appeals to a broad demographic for everyday and on-the-job use.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From our heritage as a catalog for those working in the building trades, Duluth Trading has become a widely recognized brand and proprietary line of innovative and functional apparel and gear. Over the last decade, we have created strong brand awareness, built a loyal customer base and generated robust sales momentum. We have done so by sticking to our roots of “there’s gotta be a better way” and through our relentless focus on providing our customers with quality, functional products.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 summary of our financial results is as follows: </w:t>
      </w:r>
    </w:p>
    <w:p>
      <w:pPr>
        <w:pStyle w:val="TextBody"/>
        <w:bidi w:val="0"/>
        <w:spacing w:lineRule="auto" w:line="259" w:before="100" w:after="283"/>
        <w:ind w:left="979" w:right="0" w:hanging="490"/>
        <w:jc w:val="left"/>
        <w:rPr/>
      </w:pPr>
      <w:r>
        <w:rPr>
          <w:caps w:val="false"/>
          <w:smallCaps w:val="false"/>
        </w:rPr>
        <w:t></w:t>
      </w:r>
      <w:r>
        <w:rPr>
          <w:rFonts w:ascii="Times New Roman;serif" w:hAnsi="Times New Roman;serif"/>
          <w:b w:val="false"/>
          <w:i w:val="false"/>
          <w:caps w:val="false"/>
          <w:smallCaps w:val="false"/>
          <w:sz w:val="20"/>
        </w:rPr>
        <w:t>Net sales in fiscal 2020 increased by 3.8% over the prior year to $638.8 million;</w:t>
      </w:r>
    </w:p>
    <w:p>
      <w:pPr>
        <w:pStyle w:val="TextBody"/>
        <w:bidi w:val="0"/>
        <w:spacing w:lineRule="auto" w:line="259" w:before="100" w:after="283"/>
        <w:ind w:left="979" w:right="0" w:hanging="490"/>
        <w:jc w:val="left"/>
        <w:rPr/>
      </w:pPr>
      <w:r>
        <w:rPr>
          <w:caps w:val="false"/>
          <w:smallCaps w:val="false"/>
        </w:rPr>
        <w:t></w:t>
      </w:r>
      <w:r>
        <w:rPr>
          <w:rFonts w:ascii="Times New Roman;serif" w:hAnsi="Times New Roman;serif"/>
          <w:b w:val="false"/>
          <w:i w:val="false"/>
          <w:caps w:val="false"/>
          <w:smallCaps w:val="false"/>
          <w:sz w:val="20"/>
        </w:rPr>
        <w:t xml:space="preserve">Net income in fiscal 2020 decreased compared to the prior year to $13.4 million; </w:t>
      </w:r>
    </w:p>
    <w:p>
      <w:pPr>
        <w:pStyle w:val="TextBody"/>
        <w:bidi w:val="0"/>
        <w:spacing w:lineRule="auto" w:line="259" w:before="100" w:after="283"/>
        <w:ind w:left="979" w:right="0" w:hanging="490"/>
        <w:jc w:val="left"/>
        <w:rPr/>
      </w:pPr>
      <w:r>
        <w:rPr>
          <w:caps w:val="false"/>
          <w:smallCaps w:val="false"/>
        </w:rPr>
        <w:t></w:t>
      </w:r>
      <w:r>
        <w:rPr>
          <w:rFonts w:ascii="Times New Roman;serif" w:hAnsi="Times New Roman;serif"/>
          <w:b w:val="false"/>
          <w:i w:val="false"/>
          <w:caps w:val="false"/>
          <w:smallCaps w:val="false"/>
          <w:sz w:val="20"/>
        </w:rPr>
        <w:t>Adjusted EBITDA in fiscal 2020 increased 6.8% over the prior year to $55.5 million;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Cash flow from operations in Fiscal 2020 increased to $55.8 million and Free Cash Flow increased $60.9 million over the prior year to $38.5 million.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“Reconciliation of Net Income to EBITDA and EBITDA to Adjusted EBITDA” section for a reconciliation of our net income to EBITDA and EBITDA to Adjusted EBITDA, both of which are non-U.S. GAAP financial measures. See also the information under the heading “Adjusted EBITDA” in the section “How We Assess the Performance of Our Business” for our definition of Adjusted EBITDA.</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“Free Cash Flow” section for a reconciliation of Net cash provided by operating activities to Free Cash Flow. See also the information under the heading “Free Cash Flow” in the section “How We Assess the Performance of Our Business” for our definition of Free Cash Flow.</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With an emphasis on profitable growth we are pursuing several strategies, including building brand awareness to continue customer acquisition, continuing selective retail expansion, strengthening the core Men’s Duluth sub-brand and growing our Women’s Duluth sub-brand.</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28</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continue to grow our omnichannel distribution network which allows the consumer to interact with us through a consistent customer experience whether on the company website or at company stores. As we expand our distribution network, and in conjunction with assessing the similar nature of products sold, production process, distribution process, target customers and economic characteristics between our sales channels, we have determined that the historical structure of separate reporting segments for direct and retail was no longer representative of the way in which we manage our business. Therefore, as of February 3, 2020, we have updated our segment reporting to one reportable external segment, consistent with our omnichannel business approach.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management’s discussion and analysis includes market sales metrics for our stores, website and catalog sales. Market areas are determined by a third-party that divides the United States and Puerto Rico into 280 unique geographical areas. Our store market sales metrics include sales from our stores, website and catalog. Our non-store market sales metrics include sales from our website and catalog.</w:t>
      </w:r>
    </w:p>
    <w:p>
      <w:pPr>
        <w:pStyle w:val="TextBody"/>
        <w:bidi w:val="0"/>
        <w:spacing w:lineRule="auto" w:line="259"/>
        <w:rPr>
          <w:rFonts w:ascii="Times New Roman;serif" w:hAnsi="Times New Roman;serif"/>
          <w:b/>
          <w:i/>
          <w:sz w:val="20"/>
        </w:rPr>
      </w:pPr>
      <w:r>
        <w:rPr>
          <w:rFonts w:ascii="Times New Roman;serif" w:hAnsi="Times New Roman;serif"/>
          <w:b/>
          <w:i/>
          <w:sz w:val="20"/>
        </w:rPr>
        <w:t>COVID-19</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March 2020, a novel strain of coronavirus (“COVID-19”) was declared a global pandemic by the World Health Organization. This pandemic has negatively affected the U.S. and global economies, disrupted global supply chains and financial markets, and led to significant travel and transportation restrictions, including mandatory business closures and orders to shelter in place.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has focused on protecting the health and safety of our employees, customers and suppliers, working with our customers, landlords, suppliers and vendors to minimize potential disruptions and supporting our community, while managing our business in these unprecedented times. The Company took the following significant actions during the first fiscal quarter as a response to the pandemic:</w:t>
      </w:r>
    </w:p>
    <w:p>
      <w:pPr>
        <w:pStyle w:val="TextBody"/>
        <w:bidi w:val="0"/>
        <w:spacing w:lineRule="auto" w:line="259" w:before="100" w:after="283"/>
        <w:ind w:left="979" w:right="0" w:hanging="490"/>
        <w:jc w:val="left"/>
        <w:rPr/>
      </w:pPr>
      <w:r>
        <w:rPr>
          <w:caps w:val="false"/>
          <w:smallCaps w:val="false"/>
        </w:rPr>
        <w:t></w:t>
      </w:r>
      <w:r>
        <w:rPr>
          <w:rFonts w:ascii="Times New Roman;serif" w:hAnsi="Times New Roman;serif"/>
          <w:b w:val="false"/>
          <w:i w:val="false"/>
          <w:caps w:val="false"/>
          <w:smallCaps w:val="false"/>
          <w:sz w:val="20"/>
        </w:rPr>
        <w:t>Beginning March 20, 2020 temporarily closed all stores for a period of seven weeks;</w:t>
      </w:r>
    </w:p>
    <w:p>
      <w:pPr>
        <w:pStyle w:val="TextBody"/>
        <w:bidi w:val="0"/>
        <w:spacing w:lineRule="auto" w:line="259" w:before="100" w:after="283"/>
        <w:ind w:left="979" w:right="0" w:hanging="490"/>
        <w:jc w:val="left"/>
        <w:rPr/>
      </w:pPr>
      <w:r>
        <w:rPr>
          <w:caps w:val="false"/>
          <w:smallCaps w:val="false"/>
        </w:rPr>
        <w:t></w:t>
      </w:r>
      <w:r>
        <w:rPr>
          <w:rFonts w:ascii="Times New Roman;serif" w:hAnsi="Times New Roman;serif"/>
          <w:b w:val="false"/>
          <w:i w:val="false"/>
          <w:caps w:val="false"/>
          <w:smallCaps w:val="false"/>
          <w:sz w:val="20"/>
        </w:rPr>
        <w:t>Made operational changes to accommodate social distancing within our distribution centers;</w:t>
      </w:r>
    </w:p>
    <w:p>
      <w:pPr>
        <w:pStyle w:val="TextBody"/>
        <w:bidi w:val="0"/>
        <w:spacing w:lineRule="auto" w:line="259" w:before="100" w:after="283"/>
        <w:ind w:left="979" w:right="0" w:hanging="490"/>
        <w:jc w:val="left"/>
        <w:rPr/>
      </w:pPr>
      <w:r>
        <w:rPr>
          <w:caps w:val="false"/>
          <w:smallCaps w:val="false"/>
        </w:rPr>
        <w:t></w:t>
      </w:r>
      <w:r>
        <w:rPr>
          <w:rFonts w:ascii="Times New Roman;serif" w:hAnsi="Times New Roman;serif"/>
          <w:b w:val="false"/>
          <w:i w:val="false"/>
          <w:caps w:val="false"/>
          <w:smallCaps w:val="false"/>
          <w:sz w:val="20"/>
        </w:rPr>
        <w:t>Made work from home accommodations for corporate employees;</w:t>
      </w:r>
    </w:p>
    <w:p>
      <w:pPr>
        <w:pStyle w:val="TextBody"/>
        <w:bidi w:val="0"/>
        <w:spacing w:lineRule="auto" w:line="259" w:before="100" w:after="283"/>
        <w:ind w:left="979" w:right="0" w:hanging="490"/>
        <w:jc w:val="left"/>
        <w:rPr/>
      </w:pPr>
      <w:r>
        <w:rPr>
          <w:caps w:val="false"/>
          <w:smallCaps w:val="false"/>
        </w:rPr>
        <w:t></w:t>
      </w:r>
      <w:r>
        <w:rPr>
          <w:rFonts w:ascii="Times New Roman;serif" w:hAnsi="Times New Roman;serif"/>
          <w:b w:val="false"/>
          <w:i w:val="false"/>
          <w:caps w:val="false"/>
          <w:smallCaps w:val="false"/>
          <w:sz w:val="20"/>
        </w:rPr>
        <w:t>Amended our Credit Agreement to include an incremental delayed draw term loan of $20.5 million and amended the loan covenants to provide greater flexibility during peak borrowing periods in fiscal 2020; </w:t>
      </w:r>
    </w:p>
    <w:p>
      <w:pPr>
        <w:pStyle w:val="TextBody"/>
        <w:bidi w:val="0"/>
        <w:spacing w:lineRule="auto" w:line="259" w:before="100" w:after="283"/>
        <w:ind w:left="979" w:right="0" w:hanging="490"/>
        <w:jc w:val="left"/>
        <w:rPr/>
      </w:pPr>
      <w:r>
        <w:rPr>
          <w:caps w:val="false"/>
          <w:smallCaps w:val="false"/>
        </w:rPr>
        <w:t></w:t>
      </w:r>
      <w:r>
        <w:rPr>
          <w:rFonts w:ascii="Times New Roman;serif" w:hAnsi="Times New Roman;serif"/>
          <w:b w:val="false"/>
          <w:i w:val="false"/>
          <w:caps w:val="false"/>
          <w:smallCaps w:val="false"/>
          <w:sz w:val="20"/>
        </w:rPr>
        <w:t>Partnered with landlords, suppliers and vendors to materially reduce costs, extend payment terms and cancel merchandise receipts;</w:t>
      </w:r>
    </w:p>
    <w:p>
      <w:pPr>
        <w:pStyle w:val="TextBody"/>
        <w:bidi w:val="0"/>
        <w:spacing w:lineRule="auto" w:line="259" w:before="100" w:after="283"/>
        <w:ind w:left="979" w:right="0" w:hanging="490"/>
        <w:jc w:val="left"/>
        <w:rPr/>
      </w:pPr>
      <w:r>
        <w:rPr>
          <w:caps w:val="false"/>
          <w:smallCaps w:val="false"/>
        </w:rPr>
        <w:t></w:t>
      </w:r>
      <w:r>
        <w:rPr>
          <w:rFonts w:ascii="Times New Roman;serif" w:hAnsi="Times New Roman;serif"/>
          <w:b w:val="false"/>
          <w:i w:val="false"/>
          <w:caps w:val="false"/>
          <w:smallCaps w:val="false"/>
          <w:sz w:val="20"/>
        </w:rPr>
        <w:t>Initiated furloughs of varying lengths with benefits intact for 68% of salaried staff;</w:t>
      </w:r>
    </w:p>
    <w:p>
      <w:pPr>
        <w:pStyle w:val="TextBody"/>
        <w:bidi w:val="0"/>
        <w:spacing w:lineRule="auto" w:line="259" w:before="100" w:after="283"/>
        <w:ind w:left="979" w:right="0" w:hanging="490"/>
        <w:jc w:val="left"/>
        <w:rPr/>
      </w:pPr>
      <w:r>
        <w:rPr>
          <w:caps w:val="false"/>
          <w:smallCaps w:val="false"/>
        </w:rPr>
        <w:t></w:t>
      </w:r>
      <w:r>
        <w:rPr>
          <w:rFonts w:ascii="Times New Roman;serif" w:hAnsi="Times New Roman;serif"/>
          <w:b w:val="false"/>
          <w:i w:val="false"/>
          <w:caps w:val="false"/>
          <w:smallCaps w:val="false"/>
          <w:sz w:val="20"/>
        </w:rPr>
        <w:t>Began a six-month pay reduction for senior leadership ranging from 10 to 20 percent;</w:t>
      </w:r>
    </w:p>
    <w:p>
      <w:pPr>
        <w:pStyle w:val="TextBody"/>
        <w:bidi w:val="0"/>
        <w:spacing w:lineRule="auto" w:line="259" w:before="100" w:after="283"/>
        <w:ind w:left="979" w:right="0" w:hanging="490"/>
        <w:jc w:val="left"/>
        <w:rPr/>
      </w:pPr>
      <w:r>
        <w:rPr>
          <w:caps w:val="false"/>
          <w:smallCaps w:val="false"/>
        </w:rPr>
        <w:t></w:t>
      </w:r>
      <w:r>
        <w:rPr>
          <w:rFonts w:ascii="Times New Roman;serif" w:hAnsi="Times New Roman;serif"/>
          <w:b w:val="false"/>
          <w:i w:val="false"/>
          <w:caps w:val="false"/>
          <w:smallCaps w:val="false"/>
          <w:sz w:val="20"/>
        </w:rPr>
        <w:t>The Company’s Chief Executive Officer (“CEO”) agreed to temporarily forgo his base salary;</w:t>
      </w:r>
    </w:p>
    <w:p>
      <w:pPr>
        <w:pStyle w:val="TextBody"/>
        <w:bidi w:val="0"/>
        <w:spacing w:lineRule="auto" w:line="259" w:before="100" w:after="283"/>
        <w:ind w:left="979" w:right="0" w:hanging="490"/>
        <w:jc w:val="left"/>
        <w:rPr/>
      </w:pPr>
      <w:r>
        <w:rPr>
          <w:caps w:val="false"/>
          <w:smallCaps w:val="false"/>
        </w:rPr>
        <w:t></w:t>
      </w:r>
      <w:r>
        <w:rPr>
          <w:rFonts w:ascii="Times New Roman;serif" w:hAnsi="Times New Roman;serif"/>
          <w:b w:val="false"/>
          <w:i w:val="false"/>
          <w:caps w:val="false"/>
          <w:smallCaps w:val="false"/>
          <w:sz w:val="20"/>
        </w:rPr>
        <w:t>The Board of Directors agreed to forgo cash retainers for the second and third quarters;</w:t>
      </w:r>
    </w:p>
    <w:p>
      <w:pPr>
        <w:pStyle w:val="TextBody"/>
        <w:bidi w:val="0"/>
        <w:spacing w:lineRule="auto" w:line="259" w:before="100" w:after="283"/>
        <w:ind w:left="979" w:right="0" w:hanging="490"/>
        <w:jc w:val="left"/>
        <w:rPr/>
      </w:pPr>
      <w:r>
        <w:rPr>
          <w:caps w:val="false"/>
          <w:smallCaps w:val="false"/>
        </w:rPr>
        <w:t></w:t>
      </w:r>
      <w:r>
        <w:rPr>
          <w:rFonts w:ascii="Times New Roman;serif" w:hAnsi="Times New Roman;serif"/>
          <w:b w:val="false"/>
          <w:i w:val="false"/>
          <w:caps w:val="false"/>
          <w:smallCaps w:val="false"/>
          <w:sz w:val="20"/>
        </w:rPr>
        <w:t>Reduced planned capital spend levels by approximately 40% primarily by decreasing new store openings to four in fiscal 2020;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Partnered with the American Red Cross to donate a portion of sales on key apparel items.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While the business environment and above actions have impacted our results for the fiscal year, our strong brand awareness and loyal customer base were evident by a continued surge in direct sales through the fourth fiscal quarter. As of June 15, 2020, all of our retail stores were re-opened in some capacity, but prolonged COVID-19 safety concerns did impact store traffic levels throughout the year, including during our peak selling season.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ultimate impact of COVID-19 on our operational and financial performance still depends on future developments outside of our control, including the duration and spread of the pandemic and related actions taken by federal, state and local government officials, and international governments to prevent disease spread, and the availability, safety and efficiency of a vaccine. Given the uncertainty, we cannot reasonably estimate store traffic patterns and the prolonged impact on overall consumer demand. We continue to actively evaluate all federal, state and local regulations to ensure compliance with store operations.</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29</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How We Assess the Performance of Our Business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assessing the performance of our business, we consider a variety of financial and operating measures that affect our operating results.</w:t>
      </w:r>
    </w:p>
    <w:p>
      <w:pPr>
        <w:pStyle w:val="TextBody"/>
        <w:bidi w:val="0"/>
        <w:spacing w:lineRule="auto" w:line="259"/>
        <w:rPr>
          <w:rFonts w:ascii="Times New Roman;serif" w:hAnsi="Times New Roman;serif"/>
          <w:b/>
          <w:i/>
          <w:sz w:val="20"/>
        </w:rPr>
      </w:pPr>
      <w:r>
        <w:rPr>
          <w:rFonts w:ascii="Times New Roman;serif" w:hAnsi="Times New Roman;serif"/>
          <w:b/>
          <w:i/>
          <w:sz w:val="20"/>
        </w:rPr>
        <w:t>Net Sales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sales reflect our sale of merchandise plus shipping and handling revenue collected from our customers, less returns and discounts. Direct-to-consumer sales are recognized upon shipment to a customer, while store sales are recognized at the point of sale. Although we did not do so in fiscal 2020, we also have historically used net sales as one of the key financial metrics in determining our annual bonus compensation for our employees.</w:t>
      </w:r>
    </w:p>
    <w:p>
      <w:pPr>
        <w:pStyle w:val="TextBody"/>
        <w:bidi w:val="0"/>
        <w:spacing w:lineRule="auto" w:line="259"/>
        <w:rPr>
          <w:rFonts w:ascii="Times New Roman;serif" w:hAnsi="Times New Roman;serif"/>
          <w:b/>
          <w:i/>
          <w:sz w:val="20"/>
        </w:rPr>
      </w:pPr>
      <w:r>
        <w:rPr>
          <w:rFonts w:ascii="Times New Roman;serif" w:hAnsi="Times New Roman;serif"/>
          <w:b/>
          <w:i/>
          <w:sz w:val="20"/>
        </w:rPr>
        <w:t>Gross Profit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Gross profit is equal to our net sales less cost of goods sold. Gross profit as a percentage of our net sales is referred to as gross margin. Cost of goods sold includes the direct cost of purchased merchandise; inventory shrinkage; inventory adjustments due to obsolescence, including excess and slow-moving inventory and lower of cost and net realizable reserves; inbound freight; and freight from our distribution centers to our retail stores. The primary drivers of the costs of individual goods are raw material costs. Depreciation and amortization are excluded from gross profit. We expect gross profit to increase to the extent that we successfully grow our net sales. Given the size of our sales through our direct-to-consumer sales channel relative to our total net sales, shipping and handling revenue has had a significant impact on our gross profit and gross profit margin. Historically, this revenue has partially offset shipping and handling expense included in selling, general and administrative expenses. We have experienced declines in shipping and handling revenues, and this trend is expected to continue. Declines in shipping and handling revenues may have a material adverse effect on our gross profit and gross profit margin, as well as Adjusted EBITDA to the extent there are not commensurate declines, or if there are increases, in our shipping and handling expense. Our gross profit may not be comparable to other retailers, as we do not include distribution network and store occupancy expenses in calculating gross profit, but instead we include them in selling, general and administrative expenses.</w:t>
      </w:r>
    </w:p>
    <w:p>
      <w:pPr>
        <w:pStyle w:val="TextBody"/>
        <w:bidi w:val="0"/>
        <w:spacing w:lineRule="auto" w:line="259"/>
        <w:rPr>
          <w:rFonts w:ascii="Times New Roman;serif" w:hAnsi="Times New Roman;serif"/>
          <w:b/>
          <w:i/>
          <w:sz w:val="20"/>
        </w:rPr>
      </w:pPr>
      <w:r>
        <w:rPr>
          <w:rFonts w:ascii="Times New Roman;serif" w:hAnsi="Times New Roman;serif"/>
          <w:b/>
          <w:i/>
          <w:sz w:val="20"/>
        </w:rPr>
        <w:t>Selling, General and Administrative Expenses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They also include marketing expense, which primarily includes television advertising, catalog production, mailing and print advertising costs, as well as all logistics costs associated with shipping product to our customers, consulting and software expenses and professional services fees. Selling, general and administrative expenses as a percentage of net sales is usually higher in lower-volume quarters and lower in higher-volume quarters because a portion of the costs are relatively fixed.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historical sales growth has been accompanied by increased selling, general and administrative expenses. The most significant components of these increases are advertising, marketing, rent/occupancy and payroll costs. While we expect these expenses to increase as we continue to open new stores, increase brand awareness and grow our organization to support our growing business, we believe these expenses will decrease as a percentage of sales over time. Our shipping and handling expenses increased during the second half of the year because of additional surcharges due to the strained distribution network.</w:t>
      </w:r>
    </w:p>
    <w:p>
      <w:pPr>
        <w:pStyle w:val="TextBody"/>
        <w:bidi w:val="0"/>
        <w:spacing w:lineRule="auto" w:line="259"/>
        <w:rPr>
          <w:rFonts w:ascii="Times New Roman;serif" w:hAnsi="Times New Roman;serif"/>
          <w:b/>
          <w:i/>
          <w:sz w:val="20"/>
        </w:rPr>
      </w:pPr>
      <w:r>
        <w:rPr>
          <w:rFonts w:ascii="Times New Roman;serif" w:hAnsi="Times New Roman;serif"/>
          <w:b/>
          <w:i/>
          <w:sz w:val="20"/>
        </w:rPr>
        <w:t>Adjusted EBITDA</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believe Adjusted EBITDA is a useful measure of operating performance, as it provides a clearer picture of operating results by excluding the effects of financing and investing activities by eliminating the effects of interest and depreciation costs and eliminating expenses that are not reflective of underlying business performance. We use Adjusted EBITDA to facilitate a comparison of our operating performance on a consistent basis from period-to-period and to provide for a more complete understanding of factors and trends affecting our business.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define Adjusted EBITDA as consolidated net income before depreciation and amortization, interest expense and provision for income taxes adjusted for the impact of certain items, including non-cash and other items we do not consider representative of our ongoing operating performance. We believe Adjusted EBITDA is less susceptible to variances in actual performance resulting from depreciation, amortization and other items. This non-GAAP measure may not be comparable to similarly titled measures used by other companies.</w:t>
      </w:r>
    </w:p>
    <w:p>
      <w:pPr>
        <w:pStyle w:val="TextBody"/>
        <w:bidi w:val="0"/>
        <w:spacing w:lineRule="auto" w:line="259"/>
        <w:rPr>
          <w:rFonts w:ascii="Times New Roman;serif" w:hAnsi="Times New Roman;serif"/>
          <w:sz w:val="20"/>
        </w:rPr>
      </w:pPr>
      <w:r>
        <w:rPr>
          <w:rFonts w:ascii="Times New Roman;serif" w:hAnsi="Times New Roman;serif"/>
          <w:b/>
          <w:i/>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30</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sz w:val="20"/>
        </w:rPr>
      </w:pPr>
      <w:r>
        <w:rPr>
          <w:rFonts w:ascii="Times New Roman;serif" w:hAnsi="Times New Roman;serif"/>
          <w:b/>
          <w:i/>
          <w:sz w:val="20"/>
        </w:rPr>
        <w:t>Free Cash Flow</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believe Free Cash Flow is a useful measure of performance as an indication of our financial strength and provides additional perspective on our ability to efficiently use capital in executing our growth strategy. We use Free Cash Flow to facilitate a comparison of our operating performance on a consistent basis from period-to-period and our ability to generate cash.</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define Free Cash Flow as net cash provided by operating activities less purchase of property and equipment and capital contributions towards build-to-suit stores. This non-GAAP measure may not be comparable to similarly titled measures used by other companies.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31</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Results of Operations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summarizes our consolidated results of operations for the periods indicated, both in dollars and as a percentage of net sales.</w:t>
      </w:r>
    </w:p>
    <w:tbl>
      <w:tblPr>
        <w:tblW w:w="8587" w:type="dxa"/>
        <w:jc w:val="left"/>
        <w:tblInd w:w="0" w:type="dxa"/>
        <w:tblCellMar>
          <w:top w:w="0" w:type="dxa"/>
          <w:left w:w="0" w:type="dxa"/>
          <w:bottom w:w="0" w:type="dxa"/>
          <w:right w:w="0" w:type="dxa"/>
        </w:tblCellMar>
      </w:tblPr>
      <w:tblGrid>
        <w:gridCol w:w="5116"/>
        <w:gridCol w:w="109"/>
        <w:gridCol w:w="296"/>
        <w:gridCol w:w="1099"/>
        <w:gridCol w:w="271"/>
        <w:gridCol w:w="293"/>
        <w:gridCol w:w="1087"/>
        <w:gridCol w:w="316"/>
      </w:tblGrid>
      <w:tr>
        <w:trPr/>
        <w:tc>
          <w:tcPr>
            <w:tcW w:w="511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96" w:type="dxa"/>
            <w:tcBorders/>
            <w:shd w:fill="FFFFFF" w:val="clear"/>
            <w:vAlign w:val="center"/>
          </w:tcPr>
          <w:p>
            <w:pPr>
              <w:pStyle w:val="TableContents"/>
              <w:spacing w:before="0" w:after="283"/>
              <w:rPr>
                <w:sz w:val="4"/>
                <w:szCs w:val="4"/>
              </w:rPr>
            </w:pPr>
            <w:r>
              <w:rPr>
                <w:sz w:val="4"/>
                <w:szCs w:val="4"/>
              </w:rPr>
            </w:r>
          </w:p>
        </w:tc>
        <w:tc>
          <w:tcPr>
            <w:tcW w:w="1099" w:type="dxa"/>
            <w:tcBorders/>
            <w:shd w:fill="FFFFFF" w:val="clear"/>
            <w:vAlign w:val="center"/>
          </w:tcPr>
          <w:p>
            <w:pPr>
              <w:pStyle w:val="TableContents"/>
              <w:spacing w:before="0" w:after="283"/>
              <w:rPr>
                <w:sz w:val="4"/>
                <w:szCs w:val="4"/>
              </w:rPr>
            </w:pPr>
            <w:r>
              <w:rPr>
                <w:sz w:val="4"/>
                <w:szCs w:val="4"/>
              </w:rPr>
            </w:r>
          </w:p>
        </w:tc>
        <w:tc>
          <w:tcPr>
            <w:tcW w:w="271" w:type="dxa"/>
            <w:tcBorders/>
            <w:shd w:fill="FFFFFF" w:val="clear"/>
            <w:vAlign w:val="center"/>
          </w:tcPr>
          <w:p>
            <w:pPr>
              <w:pStyle w:val="TableContents"/>
              <w:spacing w:before="0" w:after="283"/>
              <w:rPr>
                <w:sz w:val="4"/>
                <w:szCs w:val="4"/>
              </w:rPr>
            </w:pPr>
            <w:r>
              <w:rPr>
                <w:sz w:val="4"/>
                <w:szCs w:val="4"/>
              </w:rPr>
            </w:r>
          </w:p>
        </w:tc>
        <w:tc>
          <w:tcPr>
            <w:tcW w:w="293" w:type="dxa"/>
            <w:tcBorders/>
            <w:shd w:fill="FFFFFF" w:val="clear"/>
            <w:vAlign w:val="center"/>
          </w:tcPr>
          <w:p>
            <w:pPr>
              <w:pStyle w:val="TableContents"/>
              <w:spacing w:before="0" w:after="283"/>
              <w:rPr>
                <w:sz w:val="4"/>
                <w:szCs w:val="4"/>
              </w:rPr>
            </w:pPr>
            <w:r>
              <w:rPr>
                <w:sz w:val="4"/>
                <w:szCs w:val="4"/>
              </w:rPr>
            </w:r>
          </w:p>
        </w:tc>
        <w:tc>
          <w:tcPr>
            <w:tcW w:w="1087" w:type="dxa"/>
            <w:tcBorders/>
            <w:shd w:fill="FFFFFF" w:val="clear"/>
            <w:vAlign w:val="center"/>
          </w:tcPr>
          <w:p>
            <w:pPr>
              <w:pStyle w:val="TableContents"/>
              <w:spacing w:before="0" w:after="283"/>
              <w:rPr>
                <w:sz w:val="4"/>
                <w:szCs w:val="4"/>
              </w:rPr>
            </w:pPr>
            <w:r>
              <w:rPr>
                <w:sz w:val="4"/>
                <w:szCs w:val="4"/>
              </w:rPr>
            </w:r>
          </w:p>
        </w:tc>
        <w:tc>
          <w:tcPr>
            <w:tcW w:w="316" w:type="dxa"/>
            <w:tcBorders/>
            <w:shd w:fill="FFFFFF" w:val="clear"/>
            <w:vAlign w:val="center"/>
          </w:tcPr>
          <w:p>
            <w:pPr>
              <w:pStyle w:val="TableContents"/>
              <w:spacing w:before="0" w:after="283"/>
              <w:rPr>
                <w:sz w:val="4"/>
                <w:szCs w:val="4"/>
              </w:rPr>
            </w:pPr>
            <w:r>
              <w:rPr>
                <w:sz w:val="4"/>
                <w:szCs w:val="4"/>
              </w:rPr>
            </w:r>
          </w:p>
        </w:tc>
      </w:tr>
      <w:tr>
        <w:trPr/>
        <w:tc>
          <w:tcPr>
            <w:tcW w:w="511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362" w:type="dxa"/>
            <w:gridSpan w:val="6"/>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Fiscal Year Ended</w:t>
            </w:r>
          </w:p>
        </w:tc>
      </w:tr>
      <w:tr>
        <w:trPr/>
        <w:tc>
          <w:tcPr>
            <w:tcW w:w="511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395"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January 31, 2021</w:t>
            </w:r>
          </w:p>
        </w:tc>
        <w:tc>
          <w:tcPr>
            <w:tcW w:w="27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380"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February 2, 2020</w:t>
            </w:r>
          </w:p>
        </w:tc>
        <w:tc>
          <w:tcPr>
            <w:tcW w:w="31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5116" w:type="dxa"/>
            <w:tcBorders/>
            <w:shd w:fill="FFFFFF" w:val="clear"/>
            <w:vAlign w:val="center"/>
          </w:tcPr>
          <w:p>
            <w:pPr>
              <w:pStyle w:val="TableContents"/>
              <w:bidi w:val="0"/>
              <w:spacing w:lineRule="auto" w:line="259" w:before="0" w:after="283"/>
              <w:rPr>
                <w:rFonts w:ascii="Times New Roman;serif" w:hAnsi="Times New Roman;serif"/>
                <w:b w:val="false"/>
                <w:i/>
                <w:sz w:val="16"/>
              </w:rPr>
            </w:pPr>
            <w:r>
              <w:rPr>
                <w:rFonts w:ascii="Times New Roman;serif" w:hAnsi="Times New Roman;serif"/>
                <w:b w:val="false"/>
                <w:i/>
                <w:sz w:val="16"/>
              </w:rPr>
              <w:t>(in thousands)</w:t>
            </w:r>
          </w:p>
        </w:tc>
        <w:tc>
          <w:tcPr>
            <w:tcW w:w="109" w:type="dxa"/>
            <w:tcBorders/>
            <w:shd w:fill="FFFFFF" w:val="clear"/>
            <w:vAlign w:val="center"/>
          </w:tcPr>
          <w:p>
            <w:pPr>
              <w:pStyle w:val="TableContents"/>
              <w:spacing w:before="0" w:after="283"/>
              <w:rPr>
                <w:sz w:val="4"/>
                <w:szCs w:val="4"/>
              </w:rPr>
            </w:pPr>
            <w:r>
              <w:rPr>
                <w:sz w:val="4"/>
                <w:szCs w:val="4"/>
              </w:rPr>
            </w:r>
          </w:p>
        </w:tc>
        <w:tc>
          <w:tcPr>
            <w:tcW w:w="29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271" w:type="dxa"/>
            <w:tcBorders/>
            <w:shd w:fill="FFFFFF" w:val="clear"/>
            <w:vAlign w:val="center"/>
          </w:tcPr>
          <w:p>
            <w:pPr>
              <w:pStyle w:val="TableContents"/>
              <w:spacing w:before="0" w:after="283"/>
              <w:rPr>
                <w:sz w:val="4"/>
                <w:szCs w:val="4"/>
              </w:rPr>
            </w:pPr>
            <w:r>
              <w:rPr>
                <w:sz w:val="4"/>
                <w:szCs w:val="4"/>
              </w:rPr>
            </w:r>
          </w:p>
        </w:tc>
        <w:tc>
          <w:tcPr>
            <w:tcW w:w="293"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87"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316" w:type="dxa"/>
            <w:tcBorders/>
            <w:shd w:fill="FFFFFF" w:val="clear"/>
            <w:vAlign w:val="center"/>
          </w:tcPr>
          <w:p>
            <w:pPr>
              <w:pStyle w:val="TableContents"/>
              <w:spacing w:before="0" w:after="283"/>
              <w:rPr>
                <w:sz w:val="4"/>
                <w:szCs w:val="4"/>
              </w:rPr>
            </w:pPr>
            <w:r>
              <w:rPr>
                <w:sz w:val="4"/>
                <w:szCs w:val="4"/>
              </w:rPr>
            </w:r>
          </w:p>
        </w:tc>
      </w:tr>
      <w:tr>
        <w:trPr/>
        <w:tc>
          <w:tcPr>
            <w:tcW w:w="51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sales</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shd w:fill="CCEEFF" w:val="clear"/>
            <w:vAlign w:val="center"/>
          </w:tcPr>
          <w:p>
            <w:pPr>
              <w:pStyle w:val="TableContents"/>
              <w:spacing w:before="0" w:after="283"/>
              <w:rPr>
                <w:sz w:val="4"/>
                <w:szCs w:val="4"/>
              </w:rPr>
            </w:pPr>
            <w:r>
              <w:rPr>
                <w:sz w:val="4"/>
                <w:szCs w:val="4"/>
              </w:rPr>
            </w:r>
          </w:p>
        </w:tc>
        <w:tc>
          <w:tcPr>
            <w:tcW w:w="10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638,783</w:t>
            </w:r>
          </w:p>
        </w:tc>
        <w:tc>
          <w:tcPr>
            <w:tcW w:w="271" w:type="dxa"/>
            <w:tcBorders/>
            <w:shd w:fill="CCEEFF" w:val="clear"/>
            <w:vAlign w:val="center"/>
          </w:tcPr>
          <w:p>
            <w:pPr>
              <w:pStyle w:val="TableContents"/>
              <w:spacing w:before="0" w:after="283"/>
              <w:rPr>
                <w:sz w:val="4"/>
                <w:szCs w:val="4"/>
              </w:rPr>
            </w:pPr>
            <w:r>
              <w:rPr>
                <w:sz w:val="4"/>
                <w:szCs w:val="4"/>
              </w:rPr>
            </w:r>
          </w:p>
        </w:tc>
        <w:tc>
          <w:tcPr>
            <w:tcW w:w="293" w:type="dxa"/>
            <w:tcBorders/>
            <w:shd w:fill="CCEEFF" w:val="clear"/>
            <w:vAlign w:val="center"/>
          </w:tcPr>
          <w:p>
            <w:pPr>
              <w:pStyle w:val="TableContents"/>
              <w:spacing w:before="0" w:after="283"/>
              <w:rPr>
                <w:sz w:val="4"/>
                <w:szCs w:val="4"/>
              </w:rPr>
            </w:pPr>
            <w:r>
              <w:rPr>
                <w:sz w:val="4"/>
                <w:szCs w:val="4"/>
              </w:rPr>
            </w:r>
          </w:p>
        </w:tc>
        <w:tc>
          <w:tcPr>
            <w:tcW w:w="108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615,624</w:t>
            </w:r>
          </w:p>
        </w:tc>
        <w:tc>
          <w:tcPr>
            <w:tcW w:w="316" w:type="dxa"/>
            <w:tcBorders/>
            <w:shd w:fill="CCEEFF" w:val="clear"/>
            <w:vAlign w:val="center"/>
          </w:tcPr>
          <w:p>
            <w:pPr>
              <w:pStyle w:val="TableContents"/>
              <w:spacing w:before="0" w:after="283"/>
              <w:rPr>
                <w:sz w:val="4"/>
                <w:szCs w:val="4"/>
              </w:rPr>
            </w:pPr>
            <w:r>
              <w:rPr>
                <w:sz w:val="4"/>
                <w:szCs w:val="4"/>
              </w:rPr>
            </w:r>
          </w:p>
        </w:tc>
      </w:tr>
      <w:tr>
        <w:trPr/>
        <w:tc>
          <w:tcPr>
            <w:tcW w:w="511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Cost of goods sold (excluding 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99"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307,257</w:t>
            </w:r>
          </w:p>
        </w:tc>
        <w:tc>
          <w:tcPr>
            <w:tcW w:w="271" w:type="dxa"/>
            <w:tcBorders/>
            <w:shd w:fill="auto" w:val="clear"/>
            <w:vAlign w:val="center"/>
          </w:tcPr>
          <w:p>
            <w:pPr>
              <w:pStyle w:val="TableContents"/>
              <w:spacing w:before="0" w:after="283"/>
              <w:rPr>
                <w:sz w:val="4"/>
                <w:szCs w:val="4"/>
              </w:rPr>
            </w:pPr>
            <w:r>
              <w:rPr>
                <w:sz w:val="4"/>
                <w:szCs w:val="4"/>
              </w:rPr>
            </w:r>
          </w:p>
        </w:tc>
        <w:tc>
          <w:tcPr>
            <w:tcW w:w="29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87"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287,475</w:t>
            </w:r>
          </w:p>
        </w:tc>
        <w:tc>
          <w:tcPr>
            <w:tcW w:w="316" w:type="dxa"/>
            <w:tcBorders/>
            <w:shd w:fill="auto" w:val="clear"/>
            <w:vAlign w:val="center"/>
          </w:tcPr>
          <w:p>
            <w:pPr>
              <w:pStyle w:val="TableContents"/>
              <w:spacing w:before="0" w:after="283"/>
              <w:rPr>
                <w:sz w:val="4"/>
                <w:szCs w:val="4"/>
              </w:rPr>
            </w:pPr>
            <w:r>
              <w:rPr>
                <w:sz w:val="4"/>
                <w:szCs w:val="4"/>
              </w:rPr>
            </w:r>
          </w:p>
        </w:tc>
      </w:tr>
      <w:tr>
        <w:trPr/>
        <w:tc>
          <w:tcPr>
            <w:tcW w:w="51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Gross profit</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331,526</w:t>
            </w:r>
          </w:p>
        </w:tc>
        <w:tc>
          <w:tcPr>
            <w:tcW w:w="271" w:type="dxa"/>
            <w:tcBorders/>
            <w:shd w:fill="CCEEFF" w:val="clear"/>
            <w:vAlign w:val="center"/>
          </w:tcPr>
          <w:p>
            <w:pPr>
              <w:pStyle w:val="TableContents"/>
              <w:spacing w:before="0" w:after="283"/>
              <w:rPr>
                <w:sz w:val="4"/>
                <w:szCs w:val="4"/>
              </w:rPr>
            </w:pPr>
            <w:r>
              <w:rPr>
                <w:sz w:val="4"/>
                <w:szCs w:val="4"/>
              </w:rPr>
            </w:r>
          </w:p>
        </w:tc>
        <w:tc>
          <w:tcPr>
            <w:tcW w:w="293"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8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328,149</w:t>
            </w:r>
          </w:p>
        </w:tc>
        <w:tc>
          <w:tcPr>
            <w:tcW w:w="316" w:type="dxa"/>
            <w:tcBorders/>
            <w:shd w:fill="CCEEFF" w:val="clear"/>
            <w:vAlign w:val="center"/>
          </w:tcPr>
          <w:p>
            <w:pPr>
              <w:pStyle w:val="TableContents"/>
              <w:spacing w:before="0" w:after="283"/>
              <w:rPr>
                <w:sz w:val="4"/>
                <w:szCs w:val="4"/>
              </w:rPr>
            </w:pPr>
            <w:r>
              <w:rPr>
                <w:sz w:val="4"/>
                <w:szCs w:val="4"/>
              </w:rPr>
            </w:r>
          </w:p>
        </w:tc>
      </w:tr>
      <w:tr>
        <w:trPr/>
        <w:tc>
          <w:tcPr>
            <w:tcW w:w="511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Selling, general and administrative expenses</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99"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307,311</w:t>
            </w:r>
          </w:p>
        </w:tc>
        <w:tc>
          <w:tcPr>
            <w:tcW w:w="271" w:type="dxa"/>
            <w:tcBorders/>
            <w:shd w:fill="auto" w:val="clear"/>
            <w:vAlign w:val="center"/>
          </w:tcPr>
          <w:p>
            <w:pPr>
              <w:pStyle w:val="TableContents"/>
              <w:spacing w:before="0" w:after="283"/>
              <w:rPr>
                <w:sz w:val="4"/>
                <w:szCs w:val="4"/>
              </w:rPr>
            </w:pPr>
            <w:r>
              <w:rPr>
                <w:sz w:val="4"/>
                <w:szCs w:val="4"/>
              </w:rPr>
            </w:r>
          </w:p>
        </w:tc>
        <w:tc>
          <w:tcPr>
            <w:tcW w:w="29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87"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300,041</w:t>
            </w:r>
          </w:p>
        </w:tc>
        <w:tc>
          <w:tcPr>
            <w:tcW w:w="316" w:type="dxa"/>
            <w:tcBorders/>
            <w:shd w:fill="auto" w:val="clear"/>
            <w:vAlign w:val="center"/>
          </w:tcPr>
          <w:p>
            <w:pPr>
              <w:pStyle w:val="TableContents"/>
              <w:spacing w:before="0" w:after="283"/>
              <w:rPr>
                <w:sz w:val="4"/>
                <w:szCs w:val="4"/>
              </w:rPr>
            </w:pPr>
            <w:r>
              <w:rPr>
                <w:sz w:val="4"/>
                <w:szCs w:val="4"/>
              </w:rPr>
            </w:r>
          </w:p>
        </w:tc>
      </w:tr>
      <w:tr>
        <w:trPr/>
        <w:tc>
          <w:tcPr>
            <w:tcW w:w="51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income</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24,215</w:t>
            </w:r>
          </w:p>
        </w:tc>
        <w:tc>
          <w:tcPr>
            <w:tcW w:w="271" w:type="dxa"/>
            <w:tcBorders/>
            <w:shd w:fill="CCEEFF" w:val="clear"/>
            <w:vAlign w:val="center"/>
          </w:tcPr>
          <w:p>
            <w:pPr>
              <w:pStyle w:val="TableContents"/>
              <w:spacing w:before="0" w:after="283"/>
              <w:rPr>
                <w:sz w:val="4"/>
                <w:szCs w:val="4"/>
              </w:rPr>
            </w:pPr>
            <w:r>
              <w:rPr>
                <w:sz w:val="4"/>
                <w:szCs w:val="4"/>
              </w:rPr>
            </w:r>
          </w:p>
        </w:tc>
        <w:tc>
          <w:tcPr>
            <w:tcW w:w="293"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8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28,108</w:t>
            </w:r>
          </w:p>
        </w:tc>
        <w:tc>
          <w:tcPr>
            <w:tcW w:w="316" w:type="dxa"/>
            <w:tcBorders/>
            <w:shd w:fill="CCEEFF" w:val="clear"/>
            <w:vAlign w:val="center"/>
          </w:tcPr>
          <w:p>
            <w:pPr>
              <w:pStyle w:val="TableContents"/>
              <w:spacing w:before="0" w:after="283"/>
              <w:rPr>
                <w:sz w:val="4"/>
                <w:szCs w:val="4"/>
              </w:rPr>
            </w:pPr>
            <w:r>
              <w:rPr>
                <w:sz w:val="4"/>
                <w:szCs w:val="4"/>
              </w:rPr>
            </w:r>
          </w:p>
        </w:tc>
      </w:tr>
      <w:tr>
        <w:trPr/>
        <w:tc>
          <w:tcPr>
            <w:tcW w:w="511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6,263</w:t>
            </w:r>
          </w:p>
        </w:tc>
        <w:tc>
          <w:tcPr>
            <w:tcW w:w="27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4,471</w:t>
            </w:r>
          </w:p>
        </w:tc>
        <w:tc>
          <w:tcPr>
            <w:tcW w:w="316" w:type="dxa"/>
            <w:tcBorders/>
            <w:shd w:fill="auto" w:val="clear"/>
            <w:vAlign w:val="center"/>
          </w:tcPr>
          <w:p>
            <w:pPr>
              <w:pStyle w:val="TableContents"/>
              <w:spacing w:before="0" w:after="283"/>
              <w:rPr>
                <w:sz w:val="4"/>
                <w:szCs w:val="4"/>
              </w:rPr>
            </w:pPr>
            <w:r>
              <w:rPr>
                <w:sz w:val="4"/>
                <w:szCs w:val="4"/>
              </w:rPr>
            </w:r>
          </w:p>
        </w:tc>
      </w:tr>
      <w:tr>
        <w:trPr/>
        <w:tc>
          <w:tcPr>
            <w:tcW w:w="51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income, net</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9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w:t>
            </w:r>
          </w:p>
        </w:tc>
        <w:tc>
          <w:tcPr>
            <w:tcW w:w="271" w:type="dxa"/>
            <w:tcBorders/>
            <w:shd w:fill="CCEEFF" w:val="clear"/>
            <w:vAlign w:val="center"/>
          </w:tcPr>
          <w:p>
            <w:pPr>
              <w:pStyle w:val="TableContents"/>
              <w:spacing w:before="0" w:after="283"/>
              <w:rPr>
                <w:sz w:val="4"/>
                <w:szCs w:val="4"/>
              </w:rPr>
            </w:pPr>
            <w:r>
              <w:rPr>
                <w:sz w:val="4"/>
                <w:szCs w:val="4"/>
              </w:rPr>
            </w:r>
          </w:p>
        </w:tc>
        <w:tc>
          <w:tcPr>
            <w:tcW w:w="293"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8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291</w:t>
            </w:r>
          </w:p>
        </w:tc>
        <w:tc>
          <w:tcPr>
            <w:tcW w:w="316" w:type="dxa"/>
            <w:tcBorders/>
            <w:shd w:fill="CCEEFF" w:val="clear"/>
            <w:vAlign w:val="center"/>
          </w:tcPr>
          <w:p>
            <w:pPr>
              <w:pStyle w:val="TableContents"/>
              <w:spacing w:before="0" w:after="283"/>
              <w:rPr>
                <w:sz w:val="4"/>
                <w:szCs w:val="4"/>
              </w:rPr>
            </w:pPr>
            <w:r>
              <w:rPr>
                <w:sz w:val="4"/>
                <w:szCs w:val="4"/>
              </w:rPr>
            </w:r>
          </w:p>
        </w:tc>
      </w:tr>
      <w:tr>
        <w:trPr/>
        <w:tc>
          <w:tcPr>
            <w:tcW w:w="511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9" w:type="dxa"/>
            <w:tcBorders>
              <w:top w:val="single" w:sz="8"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18,017</w:t>
            </w:r>
          </w:p>
        </w:tc>
        <w:tc>
          <w:tcPr>
            <w:tcW w:w="271" w:type="dxa"/>
            <w:tcBorders/>
            <w:shd w:fill="auto" w:val="clear"/>
            <w:vAlign w:val="center"/>
          </w:tcPr>
          <w:p>
            <w:pPr>
              <w:pStyle w:val="TableContents"/>
              <w:spacing w:before="0" w:after="283"/>
              <w:rPr>
                <w:sz w:val="4"/>
                <w:szCs w:val="4"/>
              </w:rPr>
            </w:pPr>
            <w:r>
              <w:rPr>
                <w:sz w:val="4"/>
                <w:szCs w:val="4"/>
              </w:rPr>
            </w:r>
          </w:p>
        </w:tc>
        <w:tc>
          <w:tcPr>
            <w:tcW w:w="293"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087" w:type="dxa"/>
            <w:tcBorders>
              <w:top w:val="single" w:sz="8"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23,928</w:t>
            </w:r>
          </w:p>
        </w:tc>
        <w:tc>
          <w:tcPr>
            <w:tcW w:w="316" w:type="dxa"/>
            <w:tcBorders/>
            <w:shd w:fill="auto" w:val="clear"/>
            <w:vAlign w:val="center"/>
          </w:tcPr>
          <w:p>
            <w:pPr>
              <w:pStyle w:val="TableContents"/>
              <w:spacing w:before="0" w:after="283"/>
              <w:rPr>
                <w:sz w:val="4"/>
                <w:szCs w:val="4"/>
              </w:rPr>
            </w:pPr>
            <w:r>
              <w:rPr>
                <w:sz w:val="4"/>
                <w:szCs w:val="4"/>
              </w:rPr>
            </w:r>
          </w:p>
        </w:tc>
      </w:tr>
      <w:tr>
        <w:trPr/>
        <w:tc>
          <w:tcPr>
            <w:tcW w:w="51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 expense</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9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4,637</w:t>
            </w:r>
          </w:p>
        </w:tc>
        <w:tc>
          <w:tcPr>
            <w:tcW w:w="271" w:type="dxa"/>
            <w:tcBorders/>
            <w:shd w:fill="CCEEFF" w:val="clear"/>
            <w:vAlign w:val="center"/>
          </w:tcPr>
          <w:p>
            <w:pPr>
              <w:pStyle w:val="TableContents"/>
              <w:spacing w:before="0" w:after="283"/>
              <w:rPr>
                <w:sz w:val="4"/>
                <w:szCs w:val="4"/>
              </w:rPr>
            </w:pPr>
            <w:r>
              <w:rPr>
                <w:sz w:val="4"/>
                <w:szCs w:val="4"/>
              </w:rPr>
            </w:r>
          </w:p>
        </w:tc>
        <w:tc>
          <w:tcPr>
            <w:tcW w:w="293"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8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5,429</w:t>
            </w:r>
          </w:p>
        </w:tc>
        <w:tc>
          <w:tcPr>
            <w:tcW w:w="316" w:type="dxa"/>
            <w:tcBorders/>
            <w:shd w:fill="CCEEFF" w:val="clear"/>
            <w:vAlign w:val="center"/>
          </w:tcPr>
          <w:p>
            <w:pPr>
              <w:pStyle w:val="TableContents"/>
              <w:spacing w:before="0" w:after="283"/>
              <w:rPr>
                <w:sz w:val="4"/>
                <w:szCs w:val="4"/>
              </w:rPr>
            </w:pPr>
            <w:r>
              <w:rPr>
                <w:sz w:val="4"/>
                <w:szCs w:val="4"/>
              </w:rPr>
            </w:r>
          </w:p>
        </w:tc>
      </w:tr>
      <w:tr>
        <w:trPr/>
        <w:tc>
          <w:tcPr>
            <w:tcW w:w="511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9" w:type="dxa"/>
            <w:tcBorders>
              <w:top w:val="single" w:sz="8"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13,380</w:t>
            </w:r>
          </w:p>
        </w:tc>
        <w:tc>
          <w:tcPr>
            <w:tcW w:w="271" w:type="dxa"/>
            <w:tcBorders/>
            <w:shd w:fill="auto" w:val="clear"/>
            <w:vAlign w:val="center"/>
          </w:tcPr>
          <w:p>
            <w:pPr>
              <w:pStyle w:val="TableContents"/>
              <w:spacing w:before="0" w:after="283"/>
              <w:rPr>
                <w:sz w:val="4"/>
                <w:szCs w:val="4"/>
              </w:rPr>
            </w:pPr>
            <w:r>
              <w:rPr>
                <w:sz w:val="4"/>
                <w:szCs w:val="4"/>
              </w:rPr>
            </w:r>
          </w:p>
        </w:tc>
        <w:tc>
          <w:tcPr>
            <w:tcW w:w="293"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087" w:type="dxa"/>
            <w:tcBorders>
              <w:top w:val="single" w:sz="8"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18,499</w:t>
            </w:r>
          </w:p>
        </w:tc>
        <w:tc>
          <w:tcPr>
            <w:tcW w:w="316" w:type="dxa"/>
            <w:tcBorders/>
            <w:shd w:fill="auto" w:val="clear"/>
            <w:vAlign w:val="center"/>
          </w:tcPr>
          <w:p>
            <w:pPr>
              <w:pStyle w:val="TableContents"/>
              <w:spacing w:before="0" w:after="283"/>
              <w:rPr>
                <w:sz w:val="4"/>
                <w:szCs w:val="4"/>
              </w:rPr>
            </w:pPr>
            <w:r>
              <w:rPr>
                <w:sz w:val="4"/>
                <w:szCs w:val="4"/>
              </w:rPr>
            </w:r>
          </w:p>
        </w:tc>
      </w:tr>
      <w:tr>
        <w:trPr/>
        <w:tc>
          <w:tcPr>
            <w:tcW w:w="51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Less: Net loss attributable to noncontrolling interest</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9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(197)</w:t>
            </w:r>
          </w:p>
        </w:tc>
        <w:tc>
          <w:tcPr>
            <w:tcW w:w="271" w:type="dxa"/>
            <w:tcBorders/>
            <w:shd w:fill="CCEEFF" w:val="clear"/>
            <w:vAlign w:val="center"/>
          </w:tcPr>
          <w:p>
            <w:pPr>
              <w:pStyle w:val="TableContents"/>
              <w:spacing w:before="0" w:after="283"/>
              <w:rPr>
                <w:sz w:val="4"/>
                <w:szCs w:val="4"/>
              </w:rPr>
            </w:pPr>
            <w:r>
              <w:rPr>
                <w:sz w:val="4"/>
                <w:szCs w:val="4"/>
              </w:rPr>
            </w:r>
          </w:p>
        </w:tc>
        <w:tc>
          <w:tcPr>
            <w:tcW w:w="293"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8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(422)</w:t>
            </w:r>
          </w:p>
        </w:tc>
        <w:tc>
          <w:tcPr>
            <w:tcW w:w="316" w:type="dxa"/>
            <w:tcBorders/>
            <w:shd w:fill="CCEEFF" w:val="clear"/>
            <w:vAlign w:val="center"/>
          </w:tcPr>
          <w:p>
            <w:pPr>
              <w:pStyle w:val="TableContents"/>
              <w:spacing w:before="0" w:after="283"/>
              <w:rPr>
                <w:sz w:val="4"/>
                <w:szCs w:val="4"/>
              </w:rPr>
            </w:pPr>
            <w:r>
              <w:rPr>
                <w:sz w:val="4"/>
                <w:szCs w:val="4"/>
              </w:rPr>
            </w:r>
          </w:p>
        </w:tc>
      </w:tr>
      <w:tr>
        <w:trPr/>
        <w:tc>
          <w:tcPr>
            <w:tcW w:w="511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income attributable to controlling interest</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9"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13,577</w:t>
            </w:r>
          </w:p>
        </w:tc>
        <w:tc>
          <w:tcPr>
            <w:tcW w:w="271" w:type="dxa"/>
            <w:tcBorders/>
            <w:shd w:fill="auto" w:val="clear"/>
            <w:vAlign w:val="center"/>
          </w:tcPr>
          <w:p>
            <w:pPr>
              <w:pStyle w:val="TableContents"/>
              <w:spacing w:before="0" w:after="283"/>
              <w:rPr>
                <w:sz w:val="4"/>
                <w:szCs w:val="4"/>
              </w:rPr>
            </w:pPr>
            <w:r>
              <w:rPr>
                <w:sz w:val="4"/>
                <w:szCs w:val="4"/>
              </w:rPr>
            </w:r>
          </w:p>
        </w:tc>
        <w:tc>
          <w:tcPr>
            <w:tcW w:w="293"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7"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18,921</w:t>
            </w:r>
          </w:p>
        </w:tc>
        <w:tc>
          <w:tcPr>
            <w:tcW w:w="316" w:type="dxa"/>
            <w:tcBorders/>
            <w:shd w:fill="auto" w:val="clear"/>
            <w:vAlign w:val="center"/>
          </w:tcPr>
          <w:p>
            <w:pPr>
              <w:pStyle w:val="TableContents"/>
              <w:spacing w:before="0" w:after="283"/>
              <w:rPr>
                <w:sz w:val="4"/>
                <w:szCs w:val="4"/>
              </w:rPr>
            </w:pPr>
            <w:r>
              <w:rPr>
                <w:sz w:val="4"/>
                <w:szCs w:val="4"/>
              </w:rPr>
            </w:r>
          </w:p>
        </w:tc>
      </w:tr>
      <w:tr>
        <w:trPr/>
        <w:tc>
          <w:tcPr>
            <w:tcW w:w="5116"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Percentage of Net sales:</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9"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271" w:type="dxa"/>
            <w:tcBorders/>
            <w:shd w:fill="CCEEFF" w:val="clear"/>
            <w:vAlign w:val="center"/>
          </w:tcPr>
          <w:p>
            <w:pPr>
              <w:pStyle w:val="TableContents"/>
              <w:spacing w:before="0" w:after="283"/>
              <w:rPr>
                <w:sz w:val="4"/>
                <w:szCs w:val="4"/>
              </w:rPr>
            </w:pPr>
            <w:r>
              <w:rPr>
                <w:sz w:val="4"/>
                <w:szCs w:val="4"/>
              </w:rPr>
            </w:r>
          </w:p>
        </w:tc>
        <w:tc>
          <w:tcPr>
            <w:tcW w:w="293"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87"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316" w:type="dxa"/>
            <w:tcBorders/>
            <w:shd w:fill="CCEEFF" w:val="clear"/>
            <w:vAlign w:val="center"/>
          </w:tcPr>
          <w:p>
            <w:pPr>
              <w:pStyle w:val="TableContents"/>
              <w:spacing w:before="0" w:after="283"/>
              <w:rPr>
                <w:sz w:val="4"/>
                <w:szCs w:val="4"/>
              </w:rPr>
            </w:pPr>
            <w:r>
              <w:rPr>
                <w:sz w:val="4"/>
                <w:szCs w:val="4"/>
              </w:rPr>
            </w:r>
          </w:p>
        </w:tc>
      </w:tr>
      <w:tr>
        <w:trPr/>
        <w:tc>
          <w:tcPr>
            <w:tcW w:w="511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sales</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100.0</w:t>
            </w:r>
          </w:p>
        </w:tc>
        <w:tc>
          <w:tcPr>
            <w:tcW w:w="2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93"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100.0</w:t>
            </w:r>
          </w:p>
        </w:tc>
        <w:tc>
          <w:tcPr>
            <w:tcW w:w="31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1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Cost of goods sold (excluding depreciation and amortization)</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9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48.1</w:t>
            </w:r>
          </w:p>
        </w:tc>
        <w:tc>
          <w:tcPr>
            <w:tcW w:w="2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93"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8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46.7</w:t>
            </w:r>
          </w:p>
        </w:tc>
        <w:tc>
          <w:tcPr>
            <w:tcW w:w="3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11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Gross profit</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9" w:type="dxa"/>
            <w:tcBorders>
              <w:top w:val="single" w:sz="8"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51.9</w:t>
            </w:r>
          </w:p>
        </w:tc>
        <w:tc>
          <w:tcPr>
            <w:tcW w:w="2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93"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087" w:type="dxa"/>
            <w:tcBorders>
              <w:top w:val="single" w:sz="8"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53.3</w:t>
            </w:r>
          </w:p>
        </w:tc>
        <w:tc>
          <w:tcPr>
            <w:tcW w:w="31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1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Selling, general and administrative expenses</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9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48.1</w:t>
            </w:r>
          </w:p>
        </w:tc>
        <w:tc>
          <w:tcPr>
            <w:tcW w:w="2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93"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8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48.7</w:t>
            </w:r>
          </w:p>
        </w:tc>
        <w:tc>
          <w:tcPr>
            <w:tcW w:w="3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11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9" w:type="dxa"/>
            <w:tcBorders>
              <w:top w:val="single" w:sz="8"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w:t>
            </w:r>
          </w:p>
        </w:tc>
        <w:tc>
          <w:tcPr>
            <w:tcW w:w="2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93"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087" w:type="dxa"/>
            <w:tcBorders>
              <w:top w:val="single" w:sz="8"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w:t>
            </w:r>
          </w:p>
        </w:tc>
        <w:tc>
          <w:tcPr>
            <w:tcW w:w="31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1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expense</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shd w:fill="CCEEFF" w:val="clear"/>
            <w:vAlign w:val="center"/>
          </w:tcPr>
          <w:p>
            <w:pPr>
              <w:pStyle w:val="TableContents"/>
              <w:spacing w:before="0" w:after="283"/>
              <w:rPr>
                <w:sz w:val="4"/>
                <w:szCs w:val="4"/>
              </w:rPr>
            </w:pPr>
            <w:r>
              <w:rPr>
                <w:sz w:val="4"/>
                <w:szCs w:val="4"/>
              </w:rPr>
            </w:r>
          </w:p>
        </w:tc>
        <w:tc>
          <w:tcPr>
            <w:tcW w:w="10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tc>
        <w:tc>
          <w:tcPr>
            <w:tcW w:w="2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93" w:type="dxa"/>
            <w:tcBorders/>
            <w:shd w:fill="CCEEFF" w:val="clear"/>
            <w:vAlign w:val="center"/>
          </w:tcPr>
          <w:p>
            <w:pPr>
              <w:pStyle w:val="TableContents"/>
              <w:spacing w:before="0" w:after="283"/>
              <w:rPr>
                <w:sz w:val="4"/>
                <w:szCs w:val="4"/>
              </w:rPr>
            </w:pPr>
            <w:r>
              <w:rPr>
                <w:sz w:val="4"/>
                <w:szCs w:val="4"/>
              </w:rPr>
            </w:r>
          </w:p>
        </w:tc>
        <w:tc>
          <w:tcPr>
            <w:tcW w:w="108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0.7</w:t>
            </w:r>
          </w:p>
        </w:tc>
        <w:tc>
          <w:tcPr>
            <w:tcW w:w="3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11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income, net</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99" w:type="dxa"/>
            <w:tcBorders>
              <w:bottom w:val="single" w:sz="8" w:space="0" w:color="000000"/>
            </w:tcBorders>
            <w:shd w:fill="auto"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2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9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87"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w:t>
            </w:r>
          </w:p>
        </w:tc>
        <w:tc>
          <w:tcPr>
            <w:tcW w:w="31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1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before income taxes</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w:t>
            </w:r>
          </w:p>
        </w:tc>
        <w:tc>
          <w:tcPr>
            <w:tcW w:w="2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93"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8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w:t>
            </w:r>
          </w:p>
        </w:tc>
        <w:tc>
          <w:tcPr>
            <w:tcW w:w="3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11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 expense</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99"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0.7</w:t>
            </w:r>
          </w:p>
        </w:tc>
        <w:tc>
          <w:tcPr>
            <w:tcW w:w="2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9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87"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0.9</w:t>
            </w:r>
          </w:p>
        </w:tc>
        <w:tc>
          <w:tcPr>
            <w:tcW w:w="31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1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income</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tc>
        <w:tc>
          <w:tcPr>
            <w:tcW w:w="2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93"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8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w:t>
            </w:r>
          </w:p>
        </w:tc>
        <w:tc>
          <w:tcPr>
            <w:tcW w:w="3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11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Less: Net loss attributable to noncontrolling interest</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99" w:type="dxa"/>
            <w:tcBorders>
              <w:bottom w:val="single" w:sz="8" w:space="0" w:color="000000"/>
            </w:tcBorders>
            <w:shd w:fill="auto"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2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9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87"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(0.1)</w:t>
            </w:r>
          </w:p>
        </w:tc>
        <w:tc>
          <w:tcPr>
            <w:tcW w:w="31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1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income attributable to controlling interest</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top w:val="single" w:sz="8" w:space="0" w:color="000000"/>
              <w:bottom w:val="double" w:sz="6"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09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tc>
        <w:tc>
          <w:tcPr>
            <w:tcW w:w="2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93" w:type="dxa"/>
            <w:tcBorders>
              <w:top w:val="single" w:sz="8" w:space="0" w:color="000000"/>
              <w:bottom w:val="double" w:sz="6"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08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w:t>
            </w:r>
          </w:p>
        </w:tc>
        <w:tc>
          <w:tcPr>
            <w:tcW w:w="3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Fiscal 2020 Compared to Fiscal 2019</w:t>
      </w:r>
    </w:p>
    <w:p>
      <w:pPr>
        <w:pStyle w:val="TextBody"/>
        <w:bidi w:val="0"/>
        <w:spacing w:lineRule="auto" w:line="259"/>
        <w:rPr>
          <w:rFonts w:ascii="Times New Roman;serif" w:hAnsi="Times New Roman;serif"/>
          <w:b/>
          <w:i/>
          <w:sz w:val="20"/>
        </w:rPr>
      </w:pPr>
      <w:r>
        <w:rPr>
          <w:rFonts w:ascii="Times New Roman;serif" w:hAnsi="Times New Roman;serif"/>
          <w:b/>
          <w:i/>
          <w:sz w:val="20"/>
        </w:rPr>
        <w:t>Net Sales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sales increased $23.2 million, or 3.8%, to $638.8 million in fiscal 2020 compared to $615.6 million in fiscal 2019. The increase was due to an increase in non-store market sales partially offset by a decrease in store market sales.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sales in non-store markets increased $46.0 million, or 27.5%, to $213.1 million in fiscal 2020 compared to $167.1 million in fiscal 2019. The increase was driven by new buyer growth and effective digital advertising to promote Mother’s Day, Father’s Day, the Pink Buck Naked event, our Big Dam Birthday, online warehouse clearance and global sales events, coupled with extended free shipping offers. Store market sales decreased $20.0 million, or 4.6%, to $419.1 million in fiscal 2020 compared to $439.1 million in fiscal 2019. The decrease was driven by a decline of in-store market sales due to the temporary closure of all stores beginning on March 20, 2020 until they re-opened beginning the first week of May through the third week of June, as well as slower store traffic throughout the year due to the pandemic, partially offset by growth in online sales from both existing customers and new buyers.</w:t>
      </w:r>
    </w:p>
    <w:p>
      <w:pPr>
        <w:pStyle w:val="TextBody"/>
        <w:bidi w:val="0"/>
        <w:spacing w:lineRule="auto" w:line="259"/>
        <w:rPr>
          <w:rFonts w:ascii="Times New Roman;serif" w:hAnsi="Times New Roman;serif"/>
          <w:b/>
          <w:i/>
          <w:sz w:val="20"/>
        </w:rPr>
      </w:pPr>
      <w:r>
        <w:rPr>
          <w:rFonts w:ascii="Times New Roman;serif" w:hAnsi="Times New Roman;serif"/>
          <w:b/>
          <w:i/>
          <w:sz w:val="20"/>
        </w:rPr>
        <w:t>Gross Profit</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Gross profit increased $3.4 million, or 1.0%, to $331.5 million in fiscal 2020 compared to $328.1 million in fiscal 2019. As a percentage of net sales, gross margin decreased to 51.9% of net sales in fiscal 2020 compared to 53.3% of net sales in fiscal 2019. </w:t>
      </w:r>
      <w:r>
        <w:rPr>
          <w:rFonts w:ascii="Times New Roman;serif" w:hAnsi="Times New Roman;serif"/>
          <w:b w:val="false"/>
          <w:i w:val="false"/>
          <w:caps w:val="false"/>
          <w:smallCaps w:val="false"/>
          <w:color w:val="000000"/>
          <w:sz w:val="20"/>
          <w:highlight w:val="white"/>
        </w:rPr>
        <w:t>The decrease in gross margin rate was driven by promotional events, extending clearance events and sitewide sales events to continue moving inventory during the period of store closures and uncertainty in customer demand. The decrease was partially offset by reduced store delivery costs from lower store sales volumes and lower product returns.</w:t>
      </w:r>
    </w:p>
    <w:p>
      <w:pPr>
        <w:pStyle w:val="TextBody"/>
        <w:bidi w:val="0"/>
        <w:spacing w:lineRule="auto" w:line="259"/>
        <w:rPr>
          <w:rFonts w:ascii="Times New Roman;serif" w:hAnsi="Times New Roman;serif"/>
          <w:sz w:val="20"/>
        </w:rPr>
      </w:pPr>
      <w:r>
        <w:rPr>
          <w:rFonts w:ascii="Times New Roman;serif" w:hAnsi="Times New Roman;serif"/>
          <w:b/>
          <w:i/>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32</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sz w:val="20"/>
        </w:rPr>
      </w:pPr>
      <w:r>
        <w:rPr>
          <w:rFonts w:ascii="Times New Roman;serif" w:hAnsi="Times New Roman;serif"/>
          <w:b/>
          <w:i/>
          <w:sz w:val="20"/>
        </w:rPr>
        <w:t>Selling, General and Administrative Expenses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Selling, general and administrative expenses increased $7.3 million, or 2.4%, to $307.3 million in fiscal 2020 compared to $300.0 million in fiscal 2019. Selling, general and administrative expenses as a percentage of net sales decreased in fiscal 2020 to 48.1% of net sales, compared to 48.7% of net sales for fiscal 2019. The positive leverage was primarily due to shifting to a more efficient digital marketing approach as customer purchasing patterns migrated to online.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increase in selling, general and administrative expense was due to increased shipping costs to support website sales coupled with additional surcharges during our peak shopping season, higher retail overhead costs driven by new store growth, increased depreciation expense primarily associated with investments in technology, and increased incentive compensation. These increases were partially offset by reduced catalog spend and national TV advertising.</w:t>
      </w:r>
    </w:p>
    <w:p>
      <w:pPr>
        <w:pStyle w:val="TextBody"/>
        <w:bidi w:val="0"/>
        <w:spacing w:lineRule="auto" w:line="259"/>
        <w:rPr>
          <w:rFonts w:ascii="Times New Roman;serif" w:hAnsi="Times New Roman;serif"/>
          <w:b/>
          <w:i/>
          <w:sz w:val="20"/>
        </w:rPr>
      </w:pPr>
      <w:r>
        <w:rPr>
          <w:rFonts w:ascii="Times New Roman;serif" w:hAnsi="Times New Roman;serif"/>
          <w:b/>
          <w:i/>
          <w:sz w:val="20"/>
        </w:rPr>
        <w:t>Interest Expense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expense increased $1.8 million to $6.3 million in fiscal 2020 compared to $4.5 million in fiscal 2019. The increase in interest expense was primarily attributable to an increase in borrowings on our revolving line of credit and delayed draw term loan, particularly during the first six months of fiscal 2020 as compared to the same period in the prior year, and interest expense relating to two additional finance leases during fiscal 2020.</w:t>
      </w:r>
    </w:p>
    <w:p>
      <w:pPr>
        <w:pStyle w:val="TextBody"/>
        <w:bidi w:val="0"/>
        <w:spacing w:lineRule="auto" w:line="259"/>
        <w:rPr>
          <w:rFonts w:ascii="Times New Roman;serif" w:hAnsi="Times New Roman;serif"/>
          <w:b/>
          <w:i/>
          <w:sz w:val="20"/>
        </w:rPr>
      </w:pPr>
      <w:r>
        <w:rPr>
          <w:rFonts w:ascii="Times New Roman;serif" w:hAnsi="Times New Roman;serif"/>
          <w:b/>
          <w:i/>
          <w:sz w:val="20"/>
        </w:rPr>
        <w:t>Income Taxes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Income tax expense was $4.6 million in fiscal 2020 compared to $5.4 million in fiscal 2019. Our effective tax rate related to controlling interest was 25.5% and 22.3% in fiscal 2020 and fiscal 2019, respectively. </w:t>
      </w:r>
    </w:p>
    <w:p>
      <w:pPr>
        <w:pStyle w:val="TextBody"/>
        <w:bidi w:val="0"/>
        <w:spacing w:lineRule="auto" w:line="259"/>
        <w:rPr>
          <w:rFonts w:ascii="Times New Roman;serif" w:hAnsi="Times New Roman;serif"/>
          <w:b/>
          <w:i/>
          <w:sz w:val="20"/>
        </w:rPr>
      </w:pPr>
      <w:r>
        <w:rPr>
          <w:rFonts w:ascii="Times New Roman;serif" w:hAnsi="Times New Roman;serif"/>
          <w:b/>
          <w:i/>
          <w:sz w:val="20"/>
        </w:rPr>
        <w:t>Net Income Attributable to Controlling Interest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income attributable to controlling interest was $13.6 million in fiscal 2020 compared to $18.9 million in fiscal 2019, primarily due to the factors discussed above.</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Non-GAAP Financial Measures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the above section titled “How We Asses the Performance of Our Business,” for our definition of Adjusted EBITDA and Free Cash Flow.</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Reconciliation of Net Income to EBITDA and EBITDA to Adjusted EBITDA</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represents reconciliations of net income to EBITDA and EBITDA to Adjusted EBITDA for the periods indicated below.</w:t>
      </w:r>
    </w:p>
    <w:tbl>
      <w:tblPr>
        <w:tblW w:w="6879" w:type="dxa"/>
        <w:jc w:val="left"/>
        <w:tblInd w:w="0" w:type="dxa"/>
        <w:tblCellMar>
          <w:top w:w="0" w:type="dxa"/>
          <w:left w:w="0" w:type="dxa"/>
          <w:bottom w:w="0" w:type="dxa"/>
          <w:right w:w="0" w:type="dxa"/>
        </w:tblCellMar>
      </w:tblPr>
      <w:tblGrid>
        <w:gridCol w:w="3841"/>
        <w:gridCol w:w="109"/>
        <w:gridCol w:w="332"/>
        <w:gridCol w:w="1063"/>
        <w:gridCol w:w="109"/>
        <w:gridCol w:w="322"/>
        <w:gridCol w:w="1103"/>
      </w:tblGrid>
      <w:tr>
        <w:trPr/>
        <w:tc>
          <w:tcPr>
            <w:tcW w:w="384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32" w:type="dxa"/>
            <w:tcBorders/>
            <w:shd w:fill="FFFFFF" w:val="clear"/>
            <w:vAlign w:val="center"/>
          </w:tcPr>
          <w:p>
            <w:pPr>
              <w:pStyle w:val="TableContents"/>
              <w:spacing w:before="0" w:after="283"/>
              <w:rPr>
                <w:sz w:val="4"/>
                <w:szCs w:val="4"/>
              </w:rPr>
            </w:pPr>
            <w:r>
              <w:rPr>
                <w:sz w:val="4"/>
                <w:szCs w:val="4"/>
              </w:rPr>
            </w:r>
          </w:p>
        </w:tc>
        <w:tc>
          <w:tcPr>
            <w:tcW w:w="106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22" w:type="dxa"/>
            <w:tcBorders/>
            <w:shd w:fill="FFFFFF" w:val="clear"/>
            <w:vAlign w:val="center"/>
          </w:tcPr>
          <w:p>
            <w:pPr>
              <w:pStyle w:val="TableContents"/>
              <w:spacing w:before="0" w:after="283"/>
              <w:rPr>
                <w:sz w:val="4"/>
                <w:szCs w:val="4"/>
              </w:rPr>
            </w:pPr>
            <w:r>
              <w:rPr>
                <w:sz w:val="4"/>
                <w:szCs w:val="4"/>
              </w:rPr>
            </w:r>
          </w:p>
        </w:tc>
        <w:tc>
          <w:tcPr>
            <w:tcW w:w="1103" w:type="dxa"/>
            <w:tcBorders/>
            <w:shd w:fill="FFFFFF" w:val="clear"/>
            <w:vAlign w:val="center"/>
          </w:tcPr>
          <w:p>
            <w:pPr>
              <w:pStyle w:val="TableContents"/>
              <w:spacing w:before="0" w:after="283"/>
              <w:rPr>
                <w:sz w:val="4"/>
                <w:szCs w:val="4"/>
              </w:rPr>
            </w:pPr>
            <w:r>
              <w:rPr>
                <w:sz w:val="4"/>
                <w:szCs w:val="4"/>
              </w:rPr>
            </w:r>
          </w:p>
        </w:tc>
      </w:tr>
      <w:tr>
        <w:trPr/>
        <w:tc>
          <w:tcPr>
            <w:tcW w:w="384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929"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Fiscal Year Ended</w:t>
            </w:r>
          </w:p>
        </w:tc>
      </w:tr>
      <w:tr>
        <w:trPr/>
        <w:tc>
          <w:tcPr>
            <w:tcW w:w="384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395"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January 31, 2021</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425"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February 2, 2020</w:t>
            </w:r>
          </w:p>
        </w:tc>
      </w:tr>
      <w:tr>
        <w:trPr/>
        <w:tc>
          <w:tcPr>
            <w:tcW w:w="3841" w:type="dxa"/>
            <w:tcBorders/>
            <w:shd w:fill="FFFFFF" w:val="clear"/>
            <w:vAlign w:val="center"/>
          </w:tcPr>
          <w:p>
            <w:pPr>
              <w:pStyle w:val="TableContents"/>
              <w:bidi w:val="0"/>
              <w:spacing w:lineRule="auto" w:line="259" w:before="0" w:after="283"/>
              <w:rPr>
                <w:rFonts w:ascii="Times New Roman;serif" w:hAnsi="Times New Roman;serif"/>
                <w:b w:val="false"/>
                <w:i/>
                <w:sz w:val="16"/>
              </w:rPr>
            </w:pPr>
            <w:r>
              <w:rPr>
                <w:rFonts w:ascii="Times New Roman;serif" w:hAnsi="Times New Roman;serif"/>
                <w:b w:val="false"/>
                <w:i/>
                <w:sz w:val="16"/>
              </w:rPr>
              <w:t>(in thousands)</w:t>
            </w:r>
          </w:p>
        </w:tc>
        <w:tc>
          <w:tcPr>
            <w:tcW w:w="109" w:type="dxa"/>
            <w:tcBorders/>
            <w:shd w:fill="FFFFFF" w:val="clear"/>
            <w:vAlign w:val="center"/>
          </w:tcPr>
          <w:p>
            <w:pPr>
              <w:pStyle w:val="TableContents"/>
              <w:spacing w:before="0" w:after="283"/>
              <w:rPr>
                <w:sz w:val="4"/>
                <w:szCs w:val="4"/>
              </w:rPr>
            </w:pPr>
            <w:r>
              <w:rPr>
                <w:sz w:val="4"/>
                <w:szCs w:val="4"/>
              </w:rPr>
            </w:r>
          </w:p>
        </w:tc>
        <w:tc>
          <w:tcPr>
            <w:tcW w:w="332"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63"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22"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03"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3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income</w:t>
            </w:r>
          </w:p>
        </w:tc>
        <w:tc>
          <w:tcPr>
            <w:tcW w:w="109" w:type="dxa"/>
            <w:tcBorders/>
            <w:shd w:fill="CCEEFF" w:val="clear"/>
            <w:vAlign w:val="center"/>
          </w:tcPr>
          <w:p>
            <w:pPr>
              <w:pStyle w:val="TableContents"/>
              <w:spacing w:before="0" w:after="283"/>
              <w:rPr>
                <w:sz w:val="4"/>
                <w:szCs w:val="4"/>
              </w:rPr>
            </w:pPr>
            <w:r>
              <w:rPr>
                <w:sz w:val="4"/>
                <w:szCs w:val="4"/>
              </w:rPr>
            </w:r>
          </w:p>
        </w:tc>
        <w:tc>
          <w:tcPr>
            <w:tcW w:w="33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13,380</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18,499</w:t>
            </w:r>
          </w:p>
        </w:tc>
      </w:tr>
      <w:tr>
        <w:trPr/>
        <w:tc>
          <w:tcPr>
            <w:tcW w:w="384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28,520</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22,083</w:t>
            </w:r>
          </w:p>
        </w:tc>
      </w:tr>
      <w:tr>
        <w:trPr/>
        <w:tc>
          <w:tcPr>
            <w:tcW w:w="3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Amortization of internal-use software hosting </w:t>
              <w:br/>
              <w:t>‎subscription implementation costs</w:t>
            </w:r>
          </w:p>
        </w:tc>
        <w:tc>
          <w:tcPr>
            <w:tcW w:w="109" w:type="dxa"/>
            <w:tcBorders/>
            <w:shd w:fill="CCEEFF" w:val="clear"/>
            <w:vAlign w:val="center"/>
          </w:tcPr>
          <w:p>
            <w:pPr>
              <w:pStyle w:val="TableContents"/>
              <w:spacing w:before="0" w:after="283"/>
              <w:rPr>
                <w:sz w:val="4"/>
                <w:szCs w:val="4"/>
              </w:rPr>
            </w:pPr>
            <w:r>
              <w:rPr>
                <w:sz w:val="4"/>
                <w:szCs w:val="4"/>
              </w:rPr>
            </w:r>
          </w:p>
        </w:tc>
        <w:tc>
          <w:tcPr>
            <w:tcW w:w="332" w:type="dxa"/>
            <w:tcBorders/>
            <w:shd w:fill="CCEEFF" w:val="clear"/>
            <w:vAlign w:val="center"/>
          </w:tcPr>
          <w:p>
            <w:pPr>
              <w:pStyle w:val="TableContents"/>
              <w:spacing w:before="0" w:after="283"/>
              <w:rPr>
                <w:sz w:val="4"/>
                <w:szCs w:val="4"/>
              </w:rPr>
            </w:pPr>
            <w:r>
              <w:rPr>
                <w:sz w:val="4"/>
                <w:szCs w:val="4"/>
              </w:rPr>
            </w:r>
          </w:p>
        </w:tc>
        <w:tc>
          <w:tcPr>
            <w:tcW w:w="10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229</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shd w:fill="CCEEFF" w:val="clear"/>
            <w:vAlign w:val="center"/>
          </w:tcPr>
          <w:p>
            <w:pPr>
              <w:pStyle w:val="TableContents"/>
              <w:spacing w:before="0" w:after="283"/>
              <w:rPr>
                <w:sz w:val="4"/>
                <w:szCs w:val="4"/>
              </w:rPr>
            </w:pPr>
            <w:r>
              <w:rPr>
                <w:sz w:val="4"/>
                <w:szCs w:val="4"/>
              </w:rPr>
            </w:r>
          </w:p>
        </w:tc>
        <w:tc>
          <w:tcPr>
            <w:tcW w:w="1103"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384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6,263</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4,471</w:t>
            </w:r>
          </w:p>
        </w:tc>
      </w:tr>
      <w:tr>
        <w:trPr/>
        <w:tc>
          <w:tcPr>
            <w:tcW w:w="3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Amortization of build-to-suit operating </w:t>
              <w:br/>
              <w:t>‎leases capital contribution</w:t>
            </w:r>
          </w:p>
        </w:tc>
        <w:tc>
          <w:tcPr>
            <w:tcW w:w="109" w:type="dxa"/>
            <w:tcBorders/>
            <w:shd w:fill="CCEEFF" w:val="clear"/>
            <w:vAlign w:val="center"/>
          </w:tcPr>
          <w:p>
            <w:pPr>
              <w:pStyle w:val="TableContents"/>
              <w:spacing w:before="0" w:after="283"/>
              <w:rPr>
                <w:sz w:val="4"/>
                <w:szCs w:val="4"/>
              </w:rPr>
            </w:pPr>
            <w:r>
              <w:rPr>
                <w:sz w:val="4"/>
                <w:szCs w:val="4"/>
              </w:rPr>
            </w:r>
          </w:p>
        </w:tc>
        <w:tc>
          <w:tcPr>
            <w:tcW w:w="332" w:type="dxa"/>
            <w:tcBorders/>
            <w:shd w:fill="CCEEFF" w:val="clear"/>
            <w:vAlign w:val="center"/>
          </w:tcPr>
          <w:p>
            <w:pPr>
              <w:pStyle w:val="TableContents"/>
              <w:spacing w:before="0" w:after="283"/>
              <w:rPr>
                <w:sz w:val="4"/>
                <w:szCs w:val="4"/>
              </w:rPr>
            </w:pPr>
            <w:r>
              <w:rPr>
                <w:sz w:val="4"/>
                <w:szCs w:val="4"/>
              </w:rPr>
            </w:r>
          </w:p>
        </w:tc>
        <w:tc>
          <w:tcPr>
            <w:tcW w:w="10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794</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shd w:fill="CCEEFF" w:val="clear"/>
            <w:vAlign w:val="center"/>
          </w:tcPr>
          <w:p>
            <w:pPr>
              <w:pStyle w:val="TableContents"/>
              <w:spacing w:before="0" w:after="283"/>
              <w:rPr>
                <w:sz w:val="4"/>
                <w:szCs w:val="4"/>
              </w:rPr>
            </w:pPr>
            <w:r>
              <w:rPr>
                <w:sz w:val="4"/>
                <w:szCs w:val="4"/>
              </w:rPr>
            </w:r>
          </w:p>
        </w:tc>
        <w:tc>
          <w:tcPr>
            <w:tcW w:w="110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784</w:t>
            </w:r>
          </w:p>
        </w:tc>
      </w:tr>
      <w:tr>
        <w:trPr/>
        <w:tc>
          <w:tcPr>
            <w:tcW w:w="384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 expense</w:t>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63"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4,637</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3"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5,429</w:t>
            </w:r>
          </w:p>
        </w:tc>
      </w:tr>
      <w:tr>
        <w:trPr/>
        <w:tc>
          <w:tcPr>
            <w:tcW w:w="3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EBITDA (non-GAAP)</w:t>
            </w:r>
          </w:p>
        </w:tc>
        <w:tc>
          <w:tcPr>
            <w:tcW w:w="109" w:type="dxa"/>
            <w:tcBorders/>
            <w:shd w:fill="CCEEFF" w:val="clear"/>
            <w:vAlign w:val="center"/>
          </w:tcPr>
          <w:p>
            <w:pPr>
              <w:pStyle w:val="TableContents"/>
              <w:spacing w:before="0" w:after="283"/>
              <w:rPr>
                <w:sz w:val="4"/>
                <w:szCs w:val="4"/>
              </w:rPr>
            </w:pPr>
            <w:r>
              <w:rPr>
                <w:sz w:val="4"/>
                <w:szCs w:val="4"/>
              </w:rPr>
            </w:r>
          </w:p>
        </w:tc>
        <w:tc>
          <w:tcPr>
            <w:tcW w:w="332"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6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53,823</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10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51,266</w:t>
            </w:r>
          </w:p>
        </w:tc>
      </w:tr>
      <w:tr>
        <w:trPr/>
        <w:tc>
          <w:tcPr>
            <w:tcW w:w="384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 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63"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1,629</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3"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647</w:t>
            </w:r>
          </w:p>
        </w:tc>
      </w:tr>
      <w:tr>
        <w:trPr/>
        <w:tc>
          <w:tcPr>
            <w:tcW w:w="3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Adjusted EBITDA (non-GAAP)</w:t>
            </w:r>
          </w:p>
        </w:tc>
        <w:tc>
          <w:tcPr>
            <w:tcW w:w="109" w:type="dxa"/>
            <w:tcBorders/>
            <w:shd w:fill="CCEEFF" w:val="clear"/>
            <w:vAlign w:val="center"/>
          </w:tcPr>
          <w:p>
            <w:pPr>
              <w:pStyle w:val="TableContents"/>
              <w:spacing w:before="0" w:after="283"/>
              <w:rPr>
                <w:sz w:val="4"/>
                <w:szCs w:val="4"/>
              </w:rPr>
            </w:pPr>
            <w:r>
              <w:rPr>
                <w:sz w:val="4"/>
                <w:szCs w:val="4"/>
              </w:rPr>
            </w:r>
          </w:p>
        </w:tc>
        <w:tc>
          <w:tcPr>
            <w:tcW w:w="33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55,452</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51,913</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a result of the factors discussed above in the “Results of Operations” section, Adjusted EBITDA increased $3.5 million, or 6.8%, to $55.5 million in fiscal 2020 compared to $51.9 million in fiscal 2019. As a percentage of net sales, Adjusted EBITDA increased to 8.7% of net sales in fiscal 2020 compared to 8.4% of net sales in fiscal 2019.</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33</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Free Cash Flow</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represents a reconciliation of Net cash provided by operating activities, the most comparable U.S. GAAP financial measure, to free cash flow.</w:t>
      </w:r>
    </w:p>
    <w:tbl>
      <w:tblPr>
        <w:tblW w:w="7149" w:type="dxa"/>
        <w:jc w:val="left"/>
        <w:tblInd w:w="0" w:type="dxa"/>
        <w:tblCellMar>
          <w:top w:w="0" w:type="dxa"/>
          <w:left w:w="0" w:type="dxa"/>
          <w:bottom w:w="0" w:type="dxa"/>
          <w:right w:w="0" w:type="dxa"/>
        </w:tblCellMar>
      </w:tblPr>
      <w:tblGrid>
        <w:gridCol w:w="4111"/>
        <w:gridCol w:w="109"/>
        <w:gridCol w:w="292"/>
        <w:gridCol w:w="1103"/>
        <w:gridCol w:w="109"/>
        <w:gridCol w:w="286"/>
        <w:gridCol w:w="1139"/>
      </w:tblGrid>
      <w:tr>
        <w:trPr/>
        <w:tc>
          <w:tcPr>
            <w:tcW w:w="411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92" w:type="dxa"/>
            <w:tcBorders/>
            <w:shd w:fill="FFFFFF" w:val="clear"/>
            <w:vAlign w:val="center"/>
          </w:tcPr>
          <w:p>
            <w:pPr>
              <w:pStyle w:val="TableContents"/>
              <w:spacing w:before="0" w:after="283"/>
              <w:rPr>
                <w:sz w:val="4"/>
                <w:szCs w:val="4"/>
              </w:rPr>
            </w:pPr>
            <w:r>
              <w:rPr>
                <w:sz w:val="4"/>
                <w:szCs w:val="4"/>
              </w:rPr>
            </w:r>
          </w:p>
        </w:tc>
        <w:tc>
          <w:tcPr>
            <w:tcW w:w="110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86" w:type="dxa"/>
            <w:tcBorders/>
            <w:shd w:fill="FFFFFF" w:val="clear"/>
            <w:vAlign w:val="center"/>
          </w:tcPr>
          <w:p>
            <w:pPr>
              <w:pStyle w:val="TableContents"/>
              <w:spacing w:before="0" w:after="283"/>
              <w:rPr>
                <w:sz w:val="4"/>
                <w:szCs w:val="4"/>
              </w:rPr>
            </w:pPr>
            <w:r>
              <w:rPr>
                <w:sz w:val="4"/>
                <w:szCs w:val="4"/>
              </w:rPr>
            </w:r>
          </w:p>
        </w:tc>
        <w:tc>
          <w:tcPr>
            <w:tcW w:w="1139" w:type="dxa"/>
            <w:tcBorders/>
            <w:shd w:fill="FFFFFF" w:val="clear"/>
            <w:vAlign w:val="center"/>
          </w:tcPr>
          <w:p>
            <w:pPr>
              <w:pStyle w:val="TableContents"/>
              <w:spacing w:before="0" w:after="283"/>
              <w:rPr>
                <w:sz w:val="4"/>
                <w:szCs w:val="4"/>
              </w:rPr>
            </w:pPr>
            <w:r>
              <w:rPr>
                <w:sz w:val="4"/>
                <w:szCs w:val="4"/>
              </w:rPr>
            </w:r>
          </w:p>
        </w:tc>
      </w:tr>
      <w:tr>
        <w:trPr/>
        <w:tc>
          <w:tcPr>
            <w:tcW w:w="411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929"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Fiscal Year Ended</w:t>
            </w:r>
          </w:p>
        </w:tc>
      </w:tr>
      <w:tr>
        <w:trPr/>
        <w:tc>
          <w:tcPr>
            <w:tcW w:w="411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395"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January 31, 2021</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425"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February 2, 2020</w:t>
            </w:r>
          </w:p>
        </w:tc>
      </w:tr>
      <w:tr>
        <w:trPr/>
        <w:tc>
          <w:tcPr>
            <w:tcW w:w="4111" w:type="dxa"/>
            <w:tcBorders/>
            <w:shd w:fill="FFFFFF" w:val="clear"/>
            <w:vAlign w:val="center"/>
          </w:tcPr>
          <w:p>
            <w:pPr>
              <w:pStyle w:val="TableContents"/>
              <w:bidi w:val="0"/>
              <w:spacing w:lineRule="auto" w:line="259" w:before="0" w:after="283"/>
              <w:rPr>
                <w:rFonts w:ascii="Times New Roman;serif" w:hAnsi="Times New Roman;serif"/>
                <w:b w:val="false"/>
                <w:i/>
                <w:sz w:val="16"/>
              </w:rPr>
            </w:pPr>
            <w:r>
              <w:rPr>
                <w:rFonts w:ascii="Times New Roman;serif" w:hAnsi="Times New Roman;serif"/>
                <w:b w:val="false"/>
                <w:i/>
                <w:sz w:val="16"/>
              </w:rPr>
              <w:t>(in thousands)</w:t>
            </w:r>
          </w:p>
        </w:tc>
        <w:tc>
          <w:tcPr>
            <w:tcW w:w="109" w:type="dxa"/>
            <w:tcBorders/>
            <w:shd w:fill="FFFFFF" w:val="clear"/>
            <w:vAlign w:val="center"/>
          </w:tcPr>
          <w:p>
            <w:pPr>
              <w:pStyle w:val="TableContents"/>
              <w:spacing w:before="0" w:after="283"/>
              <w:rPr>
                <w:sz w:val="4"/>
                <w:szCs w:val="4"/>
              </w:rPr>
            </w:pPr>
            <w:r>
              <w:rPr>
                <w:sz w:val="4"/>
                <w:szCs w:val="4"/>
              </w:rPr>
            </w:r>
          </w:p>
        </w:tc>
        <w:tc>
          <w:tcPr>
            <w:tcW w:w="292"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03"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8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3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41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operating activities</w:t>
            </w:r>
          </w:p>
        </w:tc>
        <w:tc>
          <w:tcPr>
            <w:tcW w:w="109" w:type="dxa"/>
            <w:tcBorders/>
            <w:shd w:fill="CCEEFF" w:val="clear"/>
            <w:vAlign w:val="center"/>
          </w:tcPr>
          <w:p>
            <w:pPr>
              <w:pStyle w:val="TableContents"/>
              <w:spacing w:before="0" w:after="283"/>
              <w:rPr>
                <w:sz w:val="4"/>
                <w:szCs w:val="4"/>
              </w:rPr>
            </w:pPr>
            <w:r>
              <w:rPr>
                <w:sz w:val="4"/>
                <w:szCs w:val="4"/>
              </w:rPr>
            </w:r>
          </w:p>
        </w:tc>
        <w:tc>
          <w:tcPr>
            <w:tcW w:w="29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50,751</w:t>
            </w:r>
          </w:p>
        </w:tc>
        <w:tc>
          <w:tcPr>
            <w:tcW w:w="109" w:type="dxa"/>
            <w:tcBorders/>
            <w:shd w:fill="CCEEFF" w:val="clear"/>
            <w:vAlign w:val="center"/>
          </w:tcPr>
          <w:p>
            <w:pPr>
              <w:pStyle w:val="TableContents"/>
              <w:spacing w:before="0" w:after="283"/>
              <w:rPr>
                <w:sz w:val="4"/>
                <w:szCs w:val="4"/>
              </w:rPr>
            </w:pPr>
            <w:r>
              <w:rPr>
                <w:sz w:val="4"/>
                <w:szCs w:val="4"/>
              </w:rPr>
            </w:r>
          </w:p>
        </w:tc>
        <w:tc>
          <w:tcPr>
            <w:tcW w:w="2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3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8,347</w:t>
            </w:r>
          </w:p>
        </w:tc>
      </w:tr>
      <w:tr>
        <w:trPr/>
        <w:tc>
          <w:tcPr>
            <w:tcW w:w="411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Purchases of property and equipment</w:t>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(11,743)</w:t>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(24,435)</w:t>
            </w:r>
          </w:p>
        </w:tc>
      </w:tr>
      <w:tr>
        <w:trPr/>
        <w:tc>
          <w:tcPr>
            <w:tcW w:w="41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Capital contributions towards build-to-suit stores</w:t>
            </w:r>
          </w:p>
        </w:tc>
        <w:tc>
          <w:tcPr>
            <w:tcW w:w="109" w:type="dxa"/>
            <w:tcBorders/>
            <w:shd w:fill="CCEEFF" w:val="clear"/>
            <w:vAlign w:val="center"/>
          </w:tcPr>
          <w:p>
            <w:pPr>
              <w:pStyle w:val="TableContents"/>
              <w:spacing w:before="0" w:after="283"/>
              <w:rPr>
                <w:sz w:val="4"/>
                <w:szCs w:val="4"/>
              </w:rPr>
            </w:pPr>
            <w:r>
              <w:rPr>
                <w:sz w:val="4"/>
                <w:szCs w:val="4"/>
              </w:rPr>
            </w:r>
          </w:p>
        </w:tc>
        <w:tc>
          <w:tcPr>
            <w:tcW w:w="292"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10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(520)</w:t>
            </w:r>
          </w:p>
        </w:tc>
        <w:tc>
          <w:tcPr>
            <w:tcW w:w="109" w:type="dxa"/>
            <w:tcBorders/>
            <w:shd w:fill="CCEEFF" w:val="clear"/>
            <w:vAlign w:val="center"/>
          </w:tcPr>
          <w:p>
            <w:pPr>
              <w:pStyle w:val="TableContents"/>
              <w:spacing w:before="0" w:after="283"/>
              <w:rPr>
                <w:sz w:val="4"/>
                <w:szCs w:val="4"/>
              </w:rPr>
            </w:pPr>
            <w:r>
              <w:rPr>
                <w:sz w:val="4"/>
                <w:szCs w:val="4"/>
              </w:rPr>
            </w:r>
          </w:p>
        </w:tc>
        <w:tc>
          <w:tcPr>
            <w:tcW w:w="28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13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(6,354)</w:t>
            </w:r>
          </w:p>
        </w:tc>
      </w:tr>
      <w:tr>
        <w:trPr/>
        <w:tc>
          <w:tcPr>
            <w:tcW w:w="411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Free Cash Flow (non-GAAP)</w:t>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3"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38,488</w:t>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39"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(22,442)</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Free cash flow increased $60.9 million to $38.5 million in fiscal 2020 compared to $(22.4) million in fiscal 2019. The increase was primarily driven by moderating inventory levels back in line with net sales growth as well as reducing capital expenditures during fiscal 2020.</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Liquidity and Capital Resources</w:t>
      </w:r>
    </w:p>
    <w:p>
      <w:pPr>
        <w:pStyle w:val="TextBody"/>
        <w:bidi w:val="0"/>
        <w:spacing w:lineRule="auto" w:line="259"/>
        <w:rPr>
          <w:rFonts w:ascii="Times New Roman;serif" w:hAnsi="Times New Roman;serif"/>
          <w:b/>
          <w:i/>
          <w:sz w:val="20"/>
        </w:rPr>
      </w:pPr>
      <w:r>
        <w:rPr>
          <w:rFonts w:ascii="Times New Roman;serif" w:hAnsi="Times New Roman;serif"/>
          <w:b/>
          <w:i/>
          <w:sz w:val="20"/>
        </w:rPr>
        <w:t>General</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business relies on cash from operating activities and a credit facility as our primary sources of liquidity. Our primary cash needs have been for inventory, marketing and advertising, payroll, store leases, capital expenditures associated with opening new stores, infrastructure and information technology. The most significant components of our working capital are cash, inventory, accounts payable and other current liabilities. At January 31, 2021 our working capital was $114.6 million, which includes cash of $47.2 million.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spent $12.3 million in fiscal 2020 on capital expenditures, as well as, $4.1 million of additional investments in implementation costs to enhance the value of hosting arrangements, which are included in Prepaid expenses &amp; other current assets on the Company’s Consolidated Balance Sheets. We expect to spend approximately $10.0 million in fiscal 2021 on capital expenditures, primarily due to investments in technology, as well as $5.0 million of additional investments in implementations costs to enhance the value of hosting arrangements. Due to the seasonality of our business, a significant amount of cash from operating activities is generated during the fourth quarter of our fiscal year. During the first three quarters of our fiscal year, we typically are net users of cash in our operating activities as we acquire inventory in anticipation of our peak selling season, which occurs in the fourth quarter of our fiscal year. We also use cash in our investing activities for capital expenditures throughout all four quarters of our fiscal year.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believe that our cash flow from operating activities and the availability of cash under our credit facility will be sufficient to cover working capital requirements and anticipated capital expenditures for the foreseeable future.</w:t>
      </w:r>
    </w:p>
    <w:p>
      <w:pPr>
        <w:pStyle w:val="TextBody"/>
        <w:bidi w:val="0"/>
        <w:spacing w:lineRule="auto" w:line="259"/>
        <w:rPr>
          <w:rFonts w:ascii="Times New Roman;serif" w:hAnsi="Times New Roman;serif"/>
          <w:b/>
          <w:i/>
          <w:sz w:val="20"/>
        </w:rPr>
      </w:pPr>
      <w:r>
        <w:rPr>
          <w:rFonts w:ascii="Times New Roman;serif" w:hAnsi="Times New Roman;serif"/>
          <w:b/>
          <w:i/>
          <w:sz w:val="20"/>
        </w:rPr>
        <w:t>Cash Flow Analysis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 summary of operating, investing and financing activities is shown in the following table.</w:t>
      </w:r>
    </w:p>
    <w:tbl>
      <w:tblPr>
        <w:tblW w:w="8319" w:type="dxa"/>
        <w:jc w:val="left"/>
        <w:tblInd w:w="0" w:type="dxa"/>
        <w:tblCellMar>
          <w:top w:w="0" w:type="dxa"/>
          <w:left w:w="0" w:type="dxa"/>
          <w:bottom w:w="0" w:type="dxa"/>
          <w:right w:w="0" w:type="dxa"/>
        </w:tblCellMar>
      </w:tblPr>
      <w:tblGrid>
        <w:gridCol w:w="5281"/>
        <w:gridCol w:w="109"/>
        <w:gridCol w:w="292"/>
        <w:gridCol w:w="1103"/>
        <w:gridCol w:w="109"/>
        <w:gridCol w:w="286"/>
        <w:gridCol w:w="1139"/>
      </w:tblGrid>
      <w:tr>
        <w:trPr/>
        <w:tc>
          <w:tcPr>
            <w:tcW w:w="52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92" w:type="dxa"/>
            <w:tcBorders/>
            <w:shd w:fill="FFFFFF" w:val="clear"/>
            <w:vAlign w:val="center"/>
          </w:tcPr>
          <w:p>
            <w:pPr>
              <w:pStyle w:val="TableContents"/>
              <w:spacing w:before="0" w:after="283"/>
              <w:rPr>
                <w:sz w:val="4"/>
                <w:szCs w:val="4"/>
              </w:rPr>
            </w:pPr>
            <w:r>
              <w:rPr>
                <w:sz w:val="4"/>
                <w:szCs w:val="4"/>
              </w:rPr>
            </w:r>
          </w:p>
        </w:tc>
        <w:tc>
          <w:tcPr>
            <w:tcW w:w="110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86" w:type="dxa"/>
            <w:tcBorders/>
            <w:shd w:fill="FFFFFF" w:val="clear"/>
            <w:vAlign w:val="center"/>
          </w:tcPr>
          <w:p>
            <w:pPr>
              <w:pStyle w:val="TableContents"/>
              <w:spacing w:before="0" w:after="283"/>
              <w:rPr>
                <w:sz w:val="4"/>
                <w:szCs w:val="4"/>
              </w:rPr>
            </w:pPr>
            <w:r>
              <w:rPr>
                <w:sz w:val="4"/>
                <w:szCs w:val="4"/>
              </w:rPr>
            </w:r>
          </w:p>
        </w:tc>
        <w:tc>
          <w:tcPr>
            <w:tcW w:w="1139" w:type="dxa"/>
            <w:tcBorders/>
            <w:shd w:fill="FFFFFF" w:val="clear"/>
            <w:vAlign w:val="center"/>
          </w:tcPr>
          <w:p>
            <w:pPr>
              <w:pStyle w:val="TableContents"/>
              <w:spacing w:before="0" w:after="283"/>
              <w:rPr>
                <w:sz w:val="4"/>
                <w:szCs w:val="4"/>
              </w:rPr>
            </w:pPr>
            <w:r>
              <w:rPr>
                <w:sz w:val="4"/>
                <w:szCs w:val="4"/>
              </w:rPr>
            </w:r>
          </w:p>
        </w:tc>
      </w:tr>
      <w:tr>
        <w:trPr/>
        <w:tc>
          <w:tcPr>
            <w:tcW w:w="52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929"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Fiscal Year Ended</w:t>
            </w:r>
          </w:p>
        </w:tc>
      </w:tr>
      <w:tr>
        <w:trPr/>
        <w:tc>
          <w:tcPr>
            <w:tcW w:w="52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395"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January 31, 2021</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425"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February 2, 2020</w:t>
            </w:r>
          </w:p>
        </w:tc>
      </w:tr>
      <w:tr>
        <w:trPr/>
        <w:tc>
          <w:tcPr>
            <w:tcW w:w="5281" w:type="dxa"/>
            <w:tcBorders/>
            <w:shd w:fill="FFFFFF" w:val="clear"/>
            <w:vAlign w:val="center"/>
          </w:tcPr>
          <w:p>
            <w:pPr>
              <w:pStyle w:val="TableContents"/>
              <w:bidi w:val="0"/>
              <w:spacing w:lineRule="auto" w:line="259" w:before="0" w:after="283"/>
              <w:rPr>
                <w:rFonts w:ascii="Times New Roman;serif" w:hAnsi="Times New Roman;serif"/>
                <w:b w:val="false"/>
                <w:i/>
                <w:sz w:val="16"/>
              </w:rPr>
            </w:pPr>
            <w:r>
              <w:rPr>
                <w:rFonts w:ascii="Times New Roman;serif" w:hAnsi="Times New Roman;serif"/>
                <w:b w:val="false"/>
                <w:i/>
                <w:sz w:val="16"/>
              </w:rPr>
              <w:t>(in thousands)</w:t>
            </w:r>
          </w:p>
        </w:tc>
        <w:tc>
          <w:tcPr>
            <w:tcW w:w="109" w:type="dxa"/>
            <w:tcBorders/>
            <w:shd w:fill="FFFFFF" w:val="clear"/>
            <w:vAlign w:val="center"/>
          </w:tcPr>
          <w:p>
            <w:pPr>
              <w:pStyle w:val="TableContents"/>
              <w:spacing w:before="0" w:after="283"/>
              <w:rPr>
                <w:sz w:val="4"/>
                <w:szCs w:val="4"/>
              </w:rPr>
            </w:pPr>
            <w:r>
              <w:rPr>
                <w:sz w:val="4"/>
                <w:szCs w:val="4"/>
              </w:rPr>
            </w:r>
          </w:p>
        </w:tc>
        <w:tc>
          <w:tcPr>
            <w:tcW w:w="292"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03"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8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3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52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operating activities</w:t>
            </w:r>
          </w:p>
        </w:tc>
        <w:tc>
          <w:tcPr>
            <w:tcW w:w="109" w:type="dxa"/>
            <w:tcBorders/>
            <w:shd w:fill="CCEEFF" w:val="clear"/>
            <w:vAlign w:val="center"/>
          </w:tcPr>
          <w:p>
            <w:pPr>
              <w:pStyle w:val="TableContents"/>
              <w:spacing w:before="0" w:after="283"/>
              <w:rPr>
                <w:sz w:val="4"/>
                <w:szCs w:val="4"/>
              </w:rPr>
            </w:pPr>
            <w:r>
              <w:rPr>
                <w:sz w:val="4"/>
                <w:szCs w:val="4"/>
              </w:rPr>
            </w:r>
          </w:p>
        </w:tc>
        <w:tc>
          <w:tcPr>
            <w:tcW w:w="29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50,751</w:t>
            </w:r>
          </w:p>
        </w:tc>
        <w:tc>
          <w:tcPr>
            <w:tcW w:w="109" w:type="dxa"/>
            <w:tcBorders/>
            <w:shd w:fill="CCEEFF" w:val="clear"/>
            <w:vAlign w:val="center"/>
          </w:tcPr>
          <w:p>
            <w:pPr>
              <w:pStyle w:val="TableContents"/>
              <w:spacing w:before="0" w:after="283"/>
              <w:rPr>
                <w:sz w:val="4"/>
                <w:szCs w:val="4"/>
              </w:rPr>
            </w:pPr>
            <w:r>
              <w:rPr>
                <w:sz w:val="4"/>
                <w:szCs w:val="4"/>
              </w:rPr>
            </w:r>
          </w:p>
        </w:tc>
        <w:tc>
          <w:tcPr>
            <w:tcW w:w="2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3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8,347</w:t>
            </w:r>
          </w:p>
        </w:tc>
      </w:tr>
      <w:tr>
        <w:trPr/>
        <w:tc>
          <w:tcPr>
            <w:tcW w:w="528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used in investing activities</w:t>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(12,132)</w:t>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(30,687)</w:t>
            </w:r>
          </w:p>
        </w:tc>
      </w:tr>
      <w:tr>
        <w:trPr/>
        <w:tc>
          <w:tcPr>
            <w:tcW w:w="52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financing activities</w:t>
            </w:r>
          </w:p>
        </w:tc>
        <w:tc>
          <w:tcPr>
            <w:tcW w:w="109" w:type="dxa"/>
            <w:tcBorders/>
            <w:shd w:fill="CCEEFF" w:val="clear"/>
            <w:vAlign w:val="center"/>
          </w:tcPr>
          <w:p>
            <w:pPr>
              <w:pStyle w:val="TableContents"/>
              <w:spacing w:before="0" w:after="283"/>
              <w:rPr>
                <w:sz w:val="4"/>
                <w:szCs w:val="4"/>
              </w:rPr>
            </w:pPr>
            <w:r>
              <w:rPr>
                <w:sz w:val="4"/>
                <w:szCs w:val="4"/>
              </w:rPr>
            </w:r>
          </w:p>
        </w:tc>
        <w:tc>
          <w:tcPr>
            <w:tcW w:w="292"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10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6,362</w:t>
            </w:r>
          </w:p>
        </w:tc>
        <w:tc>
          <w:tcPr>
            <w:tcW w:w="109" w:type="dxa"/>
            <w:tcBorders/>
            <w:shd w:fill="CCEEFF" w:val="clear"/>
            <w:vAlign w:val="center"/>
          </w:tcPr>
          <w:p>
            <w:pPr>
              <w:pStyle w:val="TableContents"/>
              <w:spacing w:before="0" w:after="283"/>
              <w:rPr>
                <w:sz w:val="4"/>
                <w:szCs w:val="4"/>
              </w:rPr>
            </w:pPr>
            <w:r>
              <w:rPr>
                <w:sz w:val="4"/>
                <w:szCs w:val="4"/>
              </w:rPr>
            </w:r>
          </w:p>
        </w:tc>
        <w:tc>
          <w:tcPr>
            <w:tcW w:w="28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13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21,495</w:t>
            </w:r>
          </w:p>
        </w:tc>
      </w:tr>
      <w:tr>
        <w:trPr/>
        <w:tc>
          <w:tcPr>
            <w:tcW w:w="528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Increase (decrease) in cash, cash equivalents and restricted cash </w:t>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3"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44,981</w:t>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39"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(845)</w:t>
            </w:r>
          </w:p>
        </w:tc>
      </w:tr>
    </w:tbl>
    <w:p>
      <w:pPr>
        <w:pStyle w:val="TextBody"/>
        <w:bidi w:val="0"/>
        <w:spacing w:lineRule="auto" w:line="259"/>
        <w:rPr>
          <w:rFonts w:ascii="Times New Roman;serif" w:hAnsi="Times New Roman;serif"/>
          <w:sz w:val="20"/>
        </w:rPr>
      </w:pPr>
      <w:r>
        <w:rPr>
          <w:rFonts w:ascii="Times New Roman;serif" w:hAnsi="Times New Roman;serif"/>
          <w:b/>
          <w:i/>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34</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sz w:val="20"/>
        </w:rPr>
      </w:pPr>
      <w:r>
        <w:rPr>
          <w:rFonts w:ascii="Times New Roman;serif" w:hAnsi="Times New Roman;serif"/>
          <w:b/>
          <w:i/>
          <w:sz w:val="20"/>
        </w:rPr>
        <w:t>Net Cash Provided by Operating Activities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activities consist primarily of net income adjusted for non-cash items that include depreciation and amortization, stock-based compensation and the effect of changes in assets and liabilities.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fiscal 2020, net cash provided by operating activities was $50.8 million, which consisted of net income of $13.4 million, non-cash depreciation and amortization of $28.5 million and amortization of stock-based compensation of $1.6 million and cash provided by operating assets and liabilities of $7.2 million. The cash provided by operating assets and liabilities of $7.2 million primarily consisted of a $7.7 million increase in accrued expenses and deferred rent obligations due to $3.5 million of deferred payroll taxes afforded by the CARES Act, a $4.2 million increase in income tax payable, a $2.6 million decrease in prepaid expenses, offset by a $1.2 million increase in inventory, a $4.1 million increase in hosting software implementation costs and a $1.5 million decrease in trade accounts payable.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fiscal 2019, net cash provided by operating activities was $8.3 million, which consisted of net income of $18.5 million, non-cash depreciation and amortization of $22.1 million and amortization of stock-based compensation of $0.6 million offset by deferred income taxes of $1.2 million and cash used in operating assets and liabilities of $31.7 million. The cash used in operating assets and liabilities of $31.7 million primarily consisted of a $50.2 million increase in inventory due to growth and supply of inventory for our new retail stores in the first quarter of fiscal 2019, which was partially offset by a $5.4 decrease in prepaid expenses, coupled with a $3.2 million increase in income taxes payable and a $7.6 million increase in trade accounts payable. The increase in trade accounts payable was primarily due to an increase in inventory and timing of payments.</w:t>
      </w:r>
    </w:p>
    <w:p>
      <w:pPr>
        <w:pStyle w:val="TextBody"/>
        <w:bidi w:val="0"/>
        <w:spacing w:lineRule="auto" w:line="259"/>
        <w:rPr>
          <w:rFonts w:ascii="Times New Roman;serif" w:hAnsi="Times New Roman;serif"/>
          <w:b/>
          <w:i/>
          <w:sz w:val="20"/>
        </w:rPr>
      </w:pPr>
      <w:r>
        <w:rPr>
          <w:rFonts w:ascii="Times New Roman;serif" w:hAnsi="Times New Roman;serif"/>
          <w:b/>
          <w:i/>
          <w:sz w:val="20"/>
        </w:rPr>
        <w:t>Net Cash Used in Investing Activities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Investing activities consist primarily of capital expenditures for growth related to new stores and information technology.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fiscal 2020, net cash used in investing activities was $12.1 million, primarily driven by capital expenditures of $11.7 million, due mainly to the opening of 4 new stores, as well as investments in information technology.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fiscal 2019, net cash used in investing activities was $30.7 million, primarily driven by capital expenditures of $24.4 million, due mainly to the opening of 15 new stores, as well as investments in information technology and $6.3 million of capital contributions towards our build-to-suit stores.</w:t>
      </w:r>
    </w:p>
    <w:p>
      <w:pPr>
        <w:pStyle w:val="TextBody"/>
        <w:bidi w:val="0"/>
        <w:spacing w:lineRule="auto" w:line="259"/>
        <w:rPr>
          <w:rFonts w:ascii="Times New Roman;serif" w:hAnsi="Times New Roman;serif"/>
          <w:b/>
          <w:i/>
          <w:sz w:val="20"/>
        </w:rPr>
      </w:pPr>
      <w:r>
        <w:rPr>
          <w:rFonts w:ascii="Times New Roman;serif" w:hAnsi="Times New Roman;serif"/>
          <w:b/>
          <w:i/>
          <w:sz w:val="20"/>
        </w:rPr>
        <w:t>Net Cash Provided by Financing Activities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Financing activities consist primarily of borrowings and payments related to our revolving line of credit and other long-term debts, as well as proceeds from finance lease obligations.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fiscal 2020, net cash provided by financing activities was $6.4 million, primarily consisting of proceeds of $28.3 million, net from our term loan and payments of $19.3 million, net from our revolving line of credit to fund working capital.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fiscal 2019, net cash provided by financing activities was $21.5 million, which included borrowings of $271.8 million on our revolving line of credit and $20.0 million on our delayed draw term loan to support our capital expenditures discussed above and working capital needs, offset by payments of $269.0 million on our revolving line of credit.</w:t>
      </w:r>
    </w:p>
    <w:p>
      <w:pPr>
        <w:pStyle w:val="TextBody"/>
        <w:bidi w:val="0"/>
        <w:spacing w:lineRule="auto" w:line="259"/>
        <w:rPr>
          <w:rFonts w:ascii="Times New Roman;serif" w:hAnsi="Times New Roman;serif"/>
          <w:b/>
          <w:i/>
          <w:sz w:val="20"/>
        </w:rPr>
      </w:pPr>
      <w:r>
        <w:rPr>
          <w:rFonts w:ascii="Times New Roman;serif" w:hAnsi="Times New Roman;serif"/>
          <w:b/>
          <w:i/>
          <w:sz w:val="20"/>
        </w:rPr>
        <w:t>Credit Agreement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May 17, 2018, we entered into a credit agreement (the “Credit Agreement”) which provides for borrowings of up to $80.0 million on a revolving line of credit and an additional $50.0 million in a delayed draw term loan. The $80.0 million revolving line of credit matures on May 17, 2023 and we had the option to draw in various amounts on the $50.0 million term loan through May 17, 2020, with a maturity on May 17, 2023. On April 30, 2020, the Credit Agreement was amended to include an incremental delayed draw term loan of $20.5 million that is available to draw upon before March 31, 2021, and matures on April 29, 2021, for a total credit facility of $150.5 million. As of and for the fiscal year ended January 31, 2021, no amount of the incremental delayed draw term loan was funded. See Note 4 “Debt and Credit Agreement,” included in this Annual Report on Form 10-K for further information.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and for the fiscal year ended January 31, 2021, we were in compliance with all financial and non-financial covenants.</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color w:val="000000"/>
          <w:sz w:val="20"/>
        </w:rPr>
        <w:br/>
        <w:t>‎</w:t>
      </w:r>
      <w:r>
        <w:rPr>
          <w:rFonts w:ascii="Times New Roman;serif" w:hAnsi="Times New Roman;serif"/>
          <w:caps w:val="false"/>
          <w:smallCaps w:val="false"/>
          <w:color w:val="000000"/>
          <w:sz w:val="20"/>
        </w:rPr>
        <w:t xml:space="preserve"> </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35</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Contractual Obligations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enter into long term contractual obligations and commitments in the normal course of business. As of January 31, 2021, our contractual cash obligations were as follows:</w:t>
      </w:r>
    </w:p>
    <w:p>
      <w:pPr>
        <w:pStyle w:val="TextBody"/>
        <w:bidi w:val="0"/>
        <w:spacing w:lineRule="auto" w:line="259"/>
        <w:rPr>
          <w:caps w:val="false"/>
          <w:smallCaps w:val="false"/>
          <w:color w:val="000000"/>
        </w:rPr>
      </w:pPr>
      <w:r>
        <w:rPr>
          <w:caps w:val="false"/>
          <w:smallCaps w:val="false"/>
          <w:color w:val="000000"/>
        </w:rPr>
        <w:t> </w:t>
      </w:r>
    </w:p>
    <w:tbl>
      <w:tblPr>
        <w:tblW w:w="7276" w:type="dxa"/>
        <w:jc w:val="left"/>
        <w:tblInd w:w="0" w:type="dxa"/>
        <w:tblCellMar>
          <w:top w:w="0" w:type="dxa"/>
          <w:left w:w="0" w:type="dxa"/>
          <w:bottom w:w="0" w:type="dxa"/>
          <w:right w:w="0" w:type="dxa"/>
        </w:tblCellMar>
      </w:tblPr>
      <w:tblGrid>
        <w:gridCol w:w="2041"/>
        <w:gridCol w:w="109"/>
        <w:gridCol w:w="211"/>
        <w:gridCol w:w="781"/>
        <w:gridCol w:w="109"/>
        <w:gridCol w:w="211"/>
        <w:gridCol w:w="676"/>
        <w:gridCol w:w="109"/>
        <w:gridCol w:w="211"/>
        <w:gridCol w:w="676"/>
        <w:gridCol w:w="109"/>
        <w:gridCol w:w="211"/>
        <w:gridCol w:w="676"/>
        <w:gridCol w:w="109"/>
        <w:gridCol w:w="211"/>
        <w:gridCol w:w="826"/>
      </w:tblGrid>
      <w:tr>
        <w:trPr/>
        <w:tc>
          <w:tcPr>
            <w:tcW w:w="204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7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7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7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26" w:type="dxa"/>
            <w:tcBorders/>
            <w:shd w:fill="FFFFFF" w:val="clear"/>
            <w:vAlign w:val="center"/>
          </w:tcPr>
          <w:p>
            <w:pPr>
              <w:pStyle w:val="TableContents"/>
              <w:spacing w:before="0" w:after="283"/>
              <w:rPr>
                <w:sz w:val="4"/>
                <w:szCs w:val="4"/>
              </w:rPr>
            </w:pPr>
            <w:r>
              <w:rPr>
                <w:sz w:val="4"/>
                <w:szCs w:val="4"/>
              </w:rPr>
            </w:r>
          </w:p>
        </w:tc>
      </w:tr>
      <w:tr>
        <w:trPr/>
        <w:tc>
          <w:tcPr>
            <w:tcW w:w="204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7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7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7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26" w:type="dxa"/>
            <w:tcBorders/>
            <w:shd w:fill="FFFFFF" w:val="clear"/>
            <w:vAlign w:val="center"/>
          </w:tcPr>
          <w:p>
            <w:pPr>
              <w:pStyle w:val="TableContents"/>
              <w:spacing w:before="0" w:after="283"/>
              <w:rPr>
                <w:sz w:val="4"/>
                <w:szCs w:val="4"/>
              </w:rPr>
            </w:pPr>
            <w:r>
              <w:rPr>
                <w:sz w:val="4"/>
                <w:szCs w:val="4"/>
              </w:rPr>
            </w:r>
          </w:p>
        </w:tc>
      </w:tr>
      <w:tr>
        <w:trPr/>
        <w:tc>
          <w:tcPr>
            <w:tcW w:w="204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5126" w:type="dxa"/>
            <w:gridSpan w:val="14"/>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Maturing in:</w:t>
            </w:r>
          </w:p>
        </w:tc>
      </w:tr>
      <w:tr>
        <w:trPr/>
        <w:tc>
          <w:tcPr>
            <w:tcW w:w="204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887" w:type="dxa"/>
            <w:gridSpan w:val="2"/>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887"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2022</w:t>
            </w:r>
          </w:p>
        </w:tc>
        <w:tc>
          <w:tcPr>
            <w:tcW w:w="109" w:type="dxa"/>
            <w:tcBorders/>
            <w:shd w:fill="FFFFFF" w:val="clear"/>
            <w:vAlign w:val="center"/>
          </w:tcPr>
          <w:p>
            <w:pPr>
              <w:pStyle w:val="TableContents"/>
              <w:spacing w:before="0" w:after="283"/>
              <w:rPr>
                <w:sz w:val="4"/>
                <w:szCs w:val="4"/>
              </w:rPr>
            </w:pPr>
            <w:r>
              <w:rPr>
                <w:sz w:val="4"/>
                <w:szCs w:val="4"/>
              </w:rPr>
            </w:r>
          </w:p>
        </w:tc>
        <w:tc>
          <w:tcPr>
            <w:tcW w:w="887"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2024</w:t>
            </w:r>
          </w:p>
        </w:tc>
        <w:tc>
          <w:tcPr>
            <w:tcW w:w="109" w:type="dxa"/>
            <w:tcBorders/>
            <w:shd w:fill="FFFFFF" w:val="clear"/>
            <w:vAlign w:val="center"/>
          </w:tcPr>
          <w:p>
            <w:pPr>
              <w:pStyle w:val="TableContents"/>
              <w:spacing w:before="0" w:after="283"/>
              <w:rPr>
                <w:sz w:val="4"/>
                <w:szCs w:val="4"/>
              </w:rPr>
            </w:pPr>
            <w:r>
              <w:rPr>
                <w:sz w:val="4"/>
                <w:szCs w:val="4"/>
              </w:rPr>
            </w:r>
          </w:p>
        </w:tc>
        <w:tc>
          <w:tcPr>
            <w:tcW w:w="1037"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2026</w:t>
            </w:r>
          </w:p>
        </w:tc>
      </w:tr>
      <w:tr>
        <w:trPr/>
        <w:tc>
          <w:tcPr>
            <w:tcW w:w="204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7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887"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w:t>
            </w:r>
          </w:p>
        </w:tc>
        <w:tc>
          <w:tcPr>
            <w:tcW w:w="109" w:type="dxa"/>
            <w:tcBorders/>
            <w:shd w:fill="FFFFFF" w:val="clear"/>
            <w:vAlign w:val="center"/>
          </w:tcPr>
          <w:p>
            <w:pPr>
              <w:pStyle w:val="TableContents"/>
              <w:spacing w:before="0" w:after="283"/>
              <w:rPr>
                <w:sz w:val="4"/>
                <w:szCs w:val="4"/>
              </w:rPr>
            </w:pPr>
            <w:r>
              <w:rPr>
                <w:sz w:val="4"/>
                <w:szCs w:val="4"/>
              </w:rPr>
            </w:r>
          </w:p>
        </w:tc>
        <w:tc>
          <w:tcPr>
            <w:tcW w:w="887"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w:t>
            </w:r>
          </w:p>
        </w:tc>
        <w:tc>
          <w:tcPr>
            <w:tcW w:w="109" w:type="dxa"/>
            <w:tcBorders/>
            <w:shd w:fill="FFFFFF" w:val="clear"/>
            <w:vAlign w:val="center"/>
          </w:tcPr>
          <w:p>
            <w:pPr>
              <w:pStyle w:val="TableContents"/>
              <w:spacing w:before="0" w:after="283"/>
              <w:rPr>
                <w:sz w:val="4"/>
                <w:szCs w:val="4"/>
              </w:rPr>
            </w:pPr>
            <w:r>
              <w:rPr>
                <w:sz w:val="4"/>
                <w:szCs w:val="4"/>
              </w:rPr>
            </w:r>
          </w:p>
        </w:tc>
        <w:tc>
          <w:tcPr>
            <w:tcW w:w="1037"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and </w:t>
            </w:r>
          </w:p>
        </w:tc>
      </w:tr>
      <w:tr>
        <w:trPr/>
        <w:tc>
          <w:tcPr>
            <w:tcW w:w="204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99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c>
          <w:tcPr>
            <w:tcW w:w="109" w:type="dxa"/>
            <w:tcBorders/>
            <w:shd w:fill="FFFFFF" w:val="clear"/>
            <w:vAlign w:val="center"/>
          </w:tcPr>
          <w:p>
            <w:pPr>
              <w:pStyle w:val="TableContents"/>
              <w:spacing w:before="0" w:after="283"/>
              <w:rPr>
                <w:sz w:val="4"/>
                <w:szCs w:val="4"/>
              </w:rPr>
            </w:pPr>
            <w:r>
              <w:rPr>
                <w:sz w:val="4"/>
                <w:szCs w:val="4"/>
              </w:rPr>
            </w:r>
          </w:p>
        </w:tc>
        <w:tc>
          <w:tcPr>
            <w:tcW w:w="887"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2021</w:t>
            </w:r>
          </w:p>
        </w:tc>
        <w:tc>
          <w:tcPr>
            <w:tcW w:w="109" w:type="dxa"/>
            <w:tcBorders/>
            <w:shd w:fill="FFFFFF" w:val="clear"/>
            <w:vAlign w:val="center"/>
          </w:tcPr>
          <w:p>
            <w:pPr>
              <w:pStyle w:val="TableContents"/>
              <w:spacing w:before="0" w:after="283"/>
              <w:rPr>
                <w:sz w:val="4"/>
                <w:szCs w:val="4"/>
              </w:rPr>
            </w:pPr>
            <w:r>
              <w:rPr>
                <w:sz w:val="4"/>
                <w:szCs w:val="4"/>
              </w:rPr>
            </w:r>
          </w:p>
        </w:tc>
        <w:tc>
          <w:tcPr>
            <w:tcW w:w="887"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w:t>
            </w:r>
          </w:p>
        </w:tc>
        <w:tc>
          <w:tcPr>
            <w:tcW w:w="109" w:type="dxa"/>
            <w:tcBorders/>
            <w:shd w:fill="FFFFFF" w:val="clear"/>
            <w:vAlign w:val="center"/>
          </w:tcPr>
          <w:p>
            <w:pPr>
              <w:pStyle w:val="TableContents"/>
              <w:spacing w:before="0" w:after="283"/>
              <w:rPr>
                <w:sz w:val="4"/>
                <w:szCs w:val="4"/>
              </w:rPr>
            </w:pPr>
            <w:r>
              <w:rPr>
                <w:sz w:val="4"/>
                <w:szCs w:val="4"/>
              </w:rPr>
            </w:r>
          </w:p>
        </w:tc>
        <w:tc>
          <w:tcPr>
            <w:tcW w:w="887"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2025</w:t>
            </w:r>
          </w:p>
        </w:tc>
        <w:tc>
          <w:tcPr>
            <w:tcW w:w="109" w:type="dxa"/>
            <w:tcBorders/>
            <w:shd w:fill="FFFFFF" w:val="clear"/>
            <w:vAlign w:val="center"/>
          </w:tcPr>
          <w:p>
            <w:pPr>
              <w:pStyle w:val="TableContents"/>
              <w:spacing w:before="0" w:after="283"/>
              <w:rPr>
                <w:sz w:val="4"/>
                <w:szCs w:val="4"/>
              </w:rPr>
            </w:pPr>
            <w:r>
              <w:rPr>
                <w:sz w:val="4"/>
                <w:szCs w:val="4"/>
              </w:rPr>
            </w:r>
          </w:p>
        </w:tc>
        <w:tc>
          <w:tcPr>
            <w:tcW w:w="1037"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after</w:t>
            </w:r>
          </w:p>
        </w:tc>
      </w:tr>
      <w:tr>
        <w:trPr/>
        <w:tc>
          <w:tcPr>
            <w:tcW w:w="2041" w:type="dxa"/>
            <w:tcBorders/>
            <w:shd w:fill="FFFFFF" w:val="clear"/>
            <w:vAlign w:val="center"/>
          </w:tcPr>
          <w:p>
            <w:pPr>
              <w:pStyle w:val="TableContents"/>
              <w:bidi w:val="0"/>
              <w:spacing w:lineRule="auto" w:line="259" w:before="0" w:after="283"/>
              <w:rPr>
                <w:rFonts w:ascii="Times New Roman;serif" w:hAnsi="Times New Roman;serif"/>
                <w:b w:val="false"/>
                <w:i/>
                <w:sz w:val="16"/>
              </w:rPr>
            </w:pPr>
            <w:r>
              <w:rPr>
                <w:rFonts w:ascii="Times New Roman;serif" w:hAnsi="Times New Roman;serif"/>
                <w:b w:val="false"/>
                <w:i/>
                <w:sz w:val="16"/>
              </w:rPr>
              <w:t>(in thousands)</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8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67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67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67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2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20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Delayed draw term loan</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48,250</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2,500</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45,750</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7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2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2041" w:type="dxa"/>
            <w:tcBorders/>
            <w:shd w:fill="auto"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 xml:space="preserve">VIE Debt </w:t>
            </w:r>
            <w:r>
              <w:rPr>
                <w:rFonts w:ascii="Times New Roman;serif" w:hAnsi="Times New Roman;serif"/>
                <w:b w:val="false"/>
                <w:i w:val="false"/>
                <w:caps w:val="false"/>
                <w:smallCaps w:val="false"/>
                <w:position w:val="5"/>
                <w:sz w:val="13"/>
                <w:sz w:val="16"/>
              </w:rPr>
              <w:t>(1)</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29,154</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623</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1,461</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1,778</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25,292</w:t>
            </w:r>
          </w:p>
        </w:tc>
      </w:tr>
      <w:tr>
        <w:trPr/>
        <w:tc>
          <w:tcPr>
            <w:tcW w:w="2041"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 xml:space="preserve">Operating leases </w:t>
            </w:r>
            <w:r>
              <w:rPr>
                <w:rFonts w:ascii="Times New Roman;serif" w:hAnsi="Times New Roman;serif"/>
                <w:b w:val="false"/>
                <w:i w:val="false"/>
                <w:caps w:val="false"/>
                <w:smallCaps w:val="false"/>
                <w:position w:val="5"/>
                <w:sz w:val="13"/>
                <w:sz w:val="16"/>
              </w:rPr>
              <w:t>(2)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141,008</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15,721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31,884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29,976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63,427</w:t>
            </w:r>
          </w:p>
        </w:tc>
      </w:tr>
      <w:tr>
        <w:trPr/>
        <w:tc>
          <w:tcPr>
            <w:tcW w:w="2041" w:type="dxa"/>
            <w:tcBorders/>
            <w:shd w:fill="auto"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Finance leases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position w:val="5"/>
                <w:sz w:val="13"/>
                <w:sz w:val="16"/>
              </w:rPr>
              <w:t>(2)</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8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61,135</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76"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4,575</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76"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9,136</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76"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9,902</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26"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37,522</w:t>
            </w:r>
          </w:p>
        </w:tc>
      </w:tr>
      <w:tr>
        <w:trPr/>
        <w:tc>
          <w:tcPr>
            <w:tcW w:w="20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279,547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23,419</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88,231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41,656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126,241</w:t>
            </w:r>
          </w:p>
        </w:tc>
      </w:tr>
    </w:tbl>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_____________________________</w:t>
      </w:r>
    </w:p>
    <w:p>
      <w:pPr>
        <w:pStyle w:val="TextBody"/>
        <w:bidi w:val="0"/>
        <w:spacing w:lineRule="auto" w:line="259" w:before="120" w:after="283"/>
        <w:ind w:left="36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(1)Consists of debt based on the consolidation of the VIE, TRI. The TRI debt listed above includes financing fees which are a direct deduction from the carrying value of the related debt liability on the Company’s Consolidated Balance Sheets. See Note 4 “Debt and Credit Agreement,” included in this Annual Report on Form 10-K for further information. </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(2)Our store leases generally have initial lease terms of 5-15 years and include renewal options and rent escalation provisions.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Off-Balance Sheet Arrangements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are not a party to any off balance sheet arrangements, except for operating leases, as discussed in “Contractual Obligations” section above.</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color w:val="000000"/>
          <w:sz w:val="20"/>
        </w:rPr>
        <w:t>Critical Accounting</w:t>
      </w:r>
      <w:r>
        <w:rPr>
          <w:rFonts w:ascii="Times New Roman;serif" w:hAnsi="Times New Roman;serif"/>
          <w:caps w:val="false"/>
          <w:smallCaps w:val="false"/>
          <w:color w:val="000000"/>
          <w:sz w:val="20"/>
        </w:rPr>
        <w:t xml:space="preserve"> </w:t>
      </w:r>
      <w:r>
        <w:rPr>
          <w:rFonts w:ascii="Times New Roman;serif" w:hAnsi="Times New Roman;serif"/>
          <w:b/>
          <w:i w:val="false"/>
          <w:caps w:val="false"/>
          <w:smallCaps w:val="false"/>
          <w:color w:val="000000"/>
          <w:sz w:val="20"/>
        </w:rPr>
        <w:t>Estimates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preparation of financial statements in accordance with accounting principles generally accepted in the United States requires management to make estimates and assumptions that affect amounts reported in our consolidated financial statements and related notes, as well as the related disclosure of contingent assets and liabilities at the date of the financial statements and the reported amounts of revenue and expenses during the reporting period.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evaluated the development and selection of our critical accounting estimates and believe that the following involve a higher degree of judgment or complexity and are most significant to reporting our results of operations and financial position, and are therefore discussed as critical. </w:t>
      </w:r>
    </w:p>
    <w:p>
      <w:pPr>
        <w:pStyle w:val="TextBody"/>
        <w:bidi w:val="0"/>
        <w:spacing w:lineRule="auto" w:line="259"/>
        <w:rPr>
          <w:rFonts w:ascii="Times New Roman;serif" w:hAnsi="Times New Roman;serif"/>
          <w:b/>
          <w:i/>
          <w:sz w:val="20"/>
        </w:rPr>
      </w:pPr>
      <w:r>
        <w:rPr>
          <w:rFonts w:ascii="Times New Roman;serif" w:hAnsi="Times New Roman;serif"/>
          <w:b/>
          <w:i/>
          <w:sz w:val="20"/>
        </w:rPr>
        <w:t>Product Return Reserve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currently estimates product return reserve using available industry data and its own historical sales information. The Company regularly assesses and adjusts the estimate of accrued sales returns by updating return rates for actual industry and company trends and projected costs. While returns have historically been within our expectations, future return rates may differ from those experienced in the past. Changes in these estimates can have a material impact on our financial statements. We believe the accounting estimate related to product returns is a critical accounting estimate because it requires us to make assumptions about future potential returns and changes in demand, both of which are highly uncertain.</w:t>
      </w:r>
    </w:p>
    <w:p>
      <w:pPr>
        <w:pStyle w:val="TextBody"/>
        <w:bidi w:val="0"/>
        <w:spacing w:lineRule="auto" w:line="259"/>
        <w:rPr>
          <w:rFonts w:ascii="Times New Roman;serif" w:hAnsi="Times New Roman;serif"/>
          <w:b/>
          <w:i/>
          <w:sz w:val="20"/>
        </w:rPr>
      </w:pPr>
      <w:r>
        <w:rPr>
          <w:rFonts w:ascii="Times New Roman;serif" w:hAnsi="Times New Roman;serif"/>
          <w:b/>
          <w:i/>
          <w:sz w:val="20"/>
        </w:rPr>
        <w:t>Fair Value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use of fair values is required in determining the carrying values of certain assets and liabilities, as well as for specific disclosures. In determining the fair value of financial instruments, market prices of the same or similar instruments are used whenever such prices are available. If observable market prices are unavailable or impracticable to obtain, we are required to make judgments about assumptions that market participants would use in estimating the fair value of the financial instrument.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Fair value is estimated using modeling techniques and incorporates assumptions about interest rates, duration, future expected cash flows, market conditions, risks inherent in a particular valuation technique and the risk of nonperformance. These assumptions are inherently subjective as they require material estimates, all of which may be susceptible to significant change. The models used to determine fair value adjustments are periodically evaluated by management for relevance under </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36</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 facts and circumstances. We believe the accounting estimate related to the fair value of available-for-sale securities to be a critical accounting estimate because it requires us to make assumptions where observable market prices are unavailable.</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color w:val="000000"/>
          <w:sz w:val="20"/>
        </w:rPr>
        <w:t>Critical Accounting</w:t>
      </w:r>
      <w:r>
        <w:rPr>
          <w:rFonts w:ascii="Times New Roman;serif" w:hAnsi="Times New Roman;serif"/>
          <w:caps w:val="false"/>
          <w:smallCaps w:val="false"/>
          <w:color w:val="000000"/>
          <w:sz w:val="20"/>
        </w:rPr>
        <w:t xml:space="preserve"> </w:t>
      </w:r>
      <w:r>
        <w:rPr>
          <w:rFonts w:ascii="Times New Roman;serif" w:hAnsi="Times New Roman;serif"/>
          <w:b/>
          <w:i w:val="false"/>
          <w:caps w:val="false"/>
          <w:smallCaps w:val="false"/>
          <w:color w:val="000000"/>
          <w:sz w:val="20"/>
        </w:rPr>
        <w:t>Policies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With respect to critical accounting policies, even a relatively minor variance between actual and expected experience can potentially have a materially favorable or unfavorable impact on subsequent results of operations. However, our historical results for the periods presented in the consolidated financial statements have not been materially impacted by such variances. More information on all of our significant accounting policies can be found in Note 2, “Summary of Significant Accounting Policies” of Notes to Consolidated Financial Statements included in this Annual Report on Form 10-K.</w:t>
      </w:r>
    </w:p>
    <w:p>
      <w:pPr>
        <w:pStyle w:val="TextBody"/>
        <w:bidi w:val="0"/>
        <w:spacing w:lineRule="auto" w:line="259"/>
        <w:rPr>
          <w:rFonts w:ascii="Times New Roman;serif" w:hAnsi="Times New Roman;serif"/>
          <w:b/>
          <w:i/>
          <w:sz w:val="20"/>
        </w:rPr>
      </w:pPr>
      <w:r>
        <w:rPr>
          <w:rFonts w:ascii="Times New Roman;serif" w:hAnsi="Times New Roman;serif"/>
          <w:b/>
          <w:i/>
          <w:sz w:val="20"/>
        </w:rPr>
        <w:t>Leases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The Company recognizes ROU assets and lease liabilities related to leases on the Company’s consolidated balance sheets. </w:t>
      </w:r>
      <w:r>
        <w:rPr>
          <w:rFonts w:ascii="Times New Roman;serif" w:hAnsi="Times New Roman;serif"/>
          <w:b w:val="false"/>
          <w:i w:val="false"/>
          <w:caps w:val="false"/>
          <w:smallCaps w:val="false"/>
          <w:color w:val="000000"/>
          <w:sz w:val="20"/>
        </w:rPr>
        <w:t xml:space="preserve">The Company determines if an arrangement is, or contains, a lease at inception. ROU assets represent the right to use an underlying asset for the lease term and lease liabilities reflect the obligation to make lease payments arising from the lease. At any given time during the lease term, the lease liability represents the present value of the remaining lease payments and the ROU asset is measured at the amount of the lease liability, adjusted for pre-paid rent, unamortized initial direct costs and the remaining balance of lease incentives received. Both the lease ROU asset and liability are reduced to zero at the end of the lease. </w:t>
      </w:r>
      <w:r>
        <w:rPr>
          <w:rFonts w:ascii="Times New Roman;serif" w:hAnsi="Times New Roman;serif"/>
          <w:b w:val="false"/>
          <w:i w:val="false"/>
          <w:caps w:val="false"/>
          <w:smallCaps w:val="false"/>
          <w:sz w:val="20"/>
        </w:rPr>
        <w:t>See Note 3 “Leases,” of Notes to Consolidated Financial Statements included in this Annual Report on Form 10-K.</w:t>
      </w:r>
    </w:p>
    <w:p>
      <w:pPr>
        <w:pStyle w:val="TextBody"/>
        <w:bidi w:val="0"/>
        <w:spacing w:lineRule="auto" w:line="259"/>
        <w:rPr>
          <w:rFonts w:ascii="Times New Roman;serif" w:hAnsi="Times New Roman;serif"/>
          <w:b/>
          <w:i/>
          <w:sz w:val="20"/>
        </w:rPr>
      </w:pPr>
      <w:r>
        <w:rPr>
          <w:rFonts w:ascii="Times New Roman;serif" w:hAnsi="Times New Roman;serif"/>
          <w:b/>
          <w:i/>
          <w:sz w:val="20"/>
        </w:rPr>
        <w:t>Revenue Recognition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Revenue for merchandise that is shipped to our customers from our distribution centers and stores is recognized upon shipment following customer payment, which is when the customer obtains control of the product and has the ability to direct the use of the product, including, among other options, the ability to redirect the product to a different shipping destination. Store revenue is recognized at the point of sale. </w:t>
      </w:r>
      <w:r>
        <w:rPr>
          <w:rFonts w:ascii="Times New Roman;serif" w:hAnsi="Times New Roman;serif"/>
          <w:b w:val="false"/>
          <w:i w:val="false"/>
          <w:caps w:val="false"/>
          <w:smallCaps w:val="false"/>
          <w:sz w:val="20"/>
        </w:rPr>
        <w:t>This represents the point at which the customer obtains control of the product and has the ability to direct the use of the product.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recognize shipping and handling fees as revenue included in net sales when generated from a customer order upon shipment or at the point of sale. Costs of shipping and handling are included in selling, general and administrative expenses.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Sales tax collected is not recognized as revenue as it is ultimately remitted to governmental authorities.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reserve for projected merchandise returns based on both historical and actual experience, as well as various other assumptions that we believe to be reasonable. Actual merchandise returns are monitored regularly and have not been materially different from the estimates recorded. Product returns often represent merchandise that can be resold. Amounts refunded to customers are generally made by issuing the same payment tender as used in the original purchase. Merchandise exchanges of the same product and price are not considered merchandise returns and are therefore excluded when calculating the sales returns reserve.</w:t>
      </w:r>
    </w:p>
    <w:p>
      <w:pPr>
        <w:pStyle w:val="TextBody"/>
        <w:bidi w:val="0"/>
        <w:spacing w:lineRule="auto" w:line="259"/>
        <w:rPr>
          <w:rFonts w:ascii="Times New Roman;serif" w:hAnsi="Times New Roman;serif"/>
          <w:b/>
          <w:i/>
          <w:sz w:val="20"/>
        </w:rPr>
      </w:pPr>
      <w:r>
        <w:rPr>
          <w:rFonts w:ascii="Times New Roman;serif" w:hAnsi="Times New Roman;serif"/>
          <w:b/>
          <w:i/>
          <w:sz w:val="20"/>
        </w:rPr>
        <w:t>Inventories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inventories are composed of finished goods and are stated at the lower of cost or net realizable value, with cost determined using the first-in, first-out method. Net realizable value is defined as the “estimated selling prices in the ordinary course of business, less reasonably predictable costs of completion, disposal and transportation.” The inventory value is adjusted periodically, if needed, to reflect current market conditions, which requires our judgments that may significantly affect the ending inventory valuation, as well as gross margin. The significant estimates used in inventory valuation are obsolescence (including excess and slow-moving inventory and lower of cost or market reserves) and estimates of inventory shrinkage. We adjust our inventory for obsolescence based on historical trends, aging reports, specific identification, current retail prices and our estimates of future retail sales prices.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Due to these factors, our obsolescence and shrinkage reserves contain uncertainties. Both estimates have calculations that require us to make assumptions and to apply judgment regarding a number of factors, including market conditions, the selling environment, historical results and current inventory trends. If actual observed obsolescence or periodic updates of our shrinkage estimates differ from our original estimates, we adjust our inventory reserves accordingly throughout the period. We do not believe that changes in the assumptions used in these estimates would have a significant effect on our net income or inventory balances. We have not made any material changes to our assumptions included in the calculations of the obsolescence and shrinkage reserves during the periods presented, nor have we recorded significant adjustments related to the physical inventory process.</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37</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reserve for inventory shrinkage is adjusted to reflect the trend of historical physical inventory count results. The Company performs its retail store physical inventory counts in July and the difference between actual and estimated shrinkage, recorded in Cost of goods sold, may cause fluctuations in second fiscal quarter results.</w:t>
      </w:r>
    </w:p>
    <w:p>
      <w:pPr>
        <w:pStyle w:val="TextBody"/>
        <w:bidi w:val="0"/>
        <w:spacing w:lineRule="auto" w:line="259"/>
        <w:rPr>
          <w:rFonts w:ascii="Times New Roman;serif" w:hAnsi="Times New Roman;serif"/>
          <w:b/>
          <w:i/>
          <w:sz w:val="20"/>
        </w:rPr>
      </w:pPr>
      <w:r>
        <w:rPr>
          <w:rFonts w:ascii="Times New Roman;serif" w:hAnsi="Times New Roman;serif"/>
          <w:b/>
          <w:i/>
          <w:sz w:val="20"/>
        </w:rPr>
        <w:t>Long-Lived Assets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Long-lived assets, such as property and equipment are reviewed for impairment during the fourth quarter, or whenever events or changes in circumstances indicate that the carrying amount of an asset may not be recoverable. Conditions that may indicate impairment include, but are not limited to, a significant adverse change in customer demand or business climate that could affect the value of an asset, a product recall or an adverse action or an assessment by a regulator. If the sum of the estimated undiscounted future cash flows related to the asset is less than the carrying value, we recognize a loss equal to the difference between the carrying value and the fair value, usually determined by the estimated discounted cash flow analysis of the asset. Impairment charges are included in selling, general and administrative expenses.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evaluate long-lived tangible assets at an individual store level, which is the lowest level at which independent cash flows can be identified. We evaluate corporate assets or other long-lived assets that are not store-specific at the consolidated level.</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Since there is typically no active market for our long-lived tangible assets, we estimate fair values based on the expected future cash flows. We estimate future cash flows based on store-level historical results, current trends, and operating and cash flow projections. Our estimates are subject to uncertainty and may be affected by a number of factors outside our control, including general economic conditions and the competitive environment. While we believe our estimates and judgments about future cash flows are reasonable, future impairment charges may be required if the expected cash flow estimates, as projected, do not occur or if events change requiring us to revise our estimates.</w:t>
      </w:r>
    </w:p>
    <w:p>
      <w:pPr>
        <w:pStyle w:val="TextBody"/>
        <w:bidi w:val="0"/>
        <w:spacing w:lineRule="auto" w:line="259"/>
        <w:rPr>
          <w:rFonts w:ascii="Times New Roman;serif" w:hAnsi="Times New Roman;serif"/>
          <w:b/>
          <w:i/>
          <w:sz w:val="20"/>
        </w:rPr>
      </w:pPr>
      <w:r>
        <w:rPr>
          <w:rFonts w:ascii="Times New Roman;serif" w:hAnsi="Times New Roman;serif"/>
          <w:b/>
          <w:i/>
          <w:sz w:val="20"/>
        </w:rPr>
        <w:t>Income Taxes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We account for income taxes and the related accounts using the liability method in accordance with ASC Topic 740, </w:t>
      </w:r>
      <w:r>
        <w:rPr>
          <w:rFonts w:ascii="Times New Roman;serif" w:hAnsi="Times New Roman;serif"/>
          <w:b w:val="false"/>
          <w:i/>
          <w:sz w:val="20"/>
        </w:rPr>
        <w:t xml:space="preserve">Income Taxes </w:t>
      </w:r>
      <w:r>
        <w:rPr>
          <w:rFonts w:ascii="Times New Roman;serif" w:hAnsi="Times New Roman;serif"/>
          <w:b w:val="false"/>
          <w:i w:val="false"/>
          <w:caps w:val="false"/>
          <w:smallCaps w:val="false"/>
          <w:sz w:val="20"/>
        </w:rPr>
        <w:t>(“ASC 740”). Under this method, we accrue income taxes payable or refundable and recognize deferred tax assets and liabilities based on differences between U.S. GAAP and tax bases of assets and liabilities. We measure deferred tax assets and liabilities using enacted tax rates in effect for the years in which the differences are expected to reverse, and recognize the effect of a change in enacted rates in the period of enactment.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record net deferred tax assets to the extent we believe these assets will more likely than not be realized. In making such determination, we consider all available positive and negative evidence, including future reversals of existing taxable temporary differences, projected future taxable income, tax planning strategies and recent financial operations. A valuation allowance is established if it is more likely than not that some portion or all of the deferred income tax asset will not be realized.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establish assets and liabilities for uncertain tax positions taken or expected to be taken in income tax returns, using a more-likely-than-not recognition threshold. We recognize penalties and interest related to uncertain tax positions as income tax expense.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Note 9 “Income Taxes,” of Notes to Consolidated Financial Statements included in this Annual Report on Form 10-K.</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38</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tbl>
      <w:tblPr>
        <w:tblW w:w="5987" w:type="dxa"/>
        <w:jc w:val="left"/>
        <w:tblInd w:w="0" w:type="dxa"/>
        <w:tblCellMar>
          <w:top w:w="0" w:type="dxa"/>
          <w:left w:w="0" w:type="dxa"/>
          <w:bottom w:w="0" w:type="dxa"/>
          <w:right w:w="0" w:type="dxa"/>
        </w:tblCellMar>
      </w:tblPr>
      <w:tblGrid>
        <w:gridCol w:w="796"/>
        <w:gridCol w:w="5191"/>
      </w:tblGrid>
      <w:tr>
        <w:trPr/>
        <w:tc>
          <w:tcPr>
            <w:tcW w:w="796" w:type="dxa"/>
            <w:tcBorders/>
            <w:shd w:fill="auto" w:val="clear"/>
            <w:vAlign w:val="center"/>
          </w:tcPr>
          <w:p>
            <w:pPr>
              <w:pStyle w:val="TableContents"/>
              <w:spacing w:before="0" w:after="283"/>
              <w:rPr>
                <w:sz w:val="4"/>
                <w:szCs w:val="4"/>
              </w:rPr>
            </w:pPr>
            <w:r>
              <w:rPr>
                <w:sz w:val="4"/>
                <w:szCs w:val="4"/>
              </w:rPr>
            </w:r>
          </w:p>
        </w:tc>
        <w:tc>
          <w:tcPr>
            <w:tcW w:w="5191" w:type="dxa"/>
            <w:tcBorders/>
            <w:shd w:fill="auto" w:val="clear"/>
            <w:vAlign w:val="center"/>
          </w:tcPr>
          <w:p>
            <w:pPr>
              <w:pStyle w:val="TableContents"/>
              <w:spacing w:before="0" w:after="283"/>
              <w:rPr>
                <w:sz w:val="4"/>
                <w:szCs w:val="4"/>
              </w:rPr>
            </w:pPr>
            <w:r>
              <w:rPr>
                <w:sz w:val="4"/>
                <w:szCs w:val="4"/>
              </w:rPr>
            </w:r>
          </w:p>
        </w:tc>
      </w:tr>
      <w:tr>
        <w:trPr/>
        <w:tc>
          <w:tcPr>
            <w:tcW w:w="796" w:type="dxa"/>
            <w:tcBorders/>
            <w:shd w:fill="auto" w:val="clear"/>
            <w:vAlign w:val="center"/>
          </w:tcPr>
          <w:p>
            <w:pPr>
              <w:pStyle w:val="TableContents"/>
              <w:bidi w:val="0"/>
              <w:spacing w:lineRule="auto" w:line="259" w:before="0" w:after="20"/>
              <w:jc w:val="left"/>
              <w:rPr>
                <w:rFonts w:ascii="Times New Roman;serif" w:hAnsi="Times New Roman;serif"/>
                <w:b w:val="false"/>
                <w:i w:val="false"/>
                <w:caps w:val="false"/>
                <w:smallCaps w:val="false"/>
                <w:sz w:val="20"/>
              </w:rPr>
            </w:pPr>
            <w:bookmarkStart w:id="15" w:name="Item8FinancialStatementsandSupplementary"/>
            <w:bookmarkEnd w:id="15"/>
            <w:r>
              <w:rPr>
                <w:rFonts w:ascii="Times New Roman;serif" w:hAnsi="Times New Roman;serif"/>
                <w:b w:val="false"/>
                <w:i w:val="false"/>
                <w:caps w:val="false"/>
                <w:smallCaps w:val="false"/>
                <w:sz w:val="20"/>
              </w:rPr>
              <w:t>ITEM 8.</w:t>
            </w:r>
          </w:p>
        </w:tc>
        <w:tc>
          <w:tcPr>
            <w:tcW w:w="5191" w:type="dxa"/>
            <w:tcBorders/>
            <w:shd w:fill="auto" w:val="clear"/>
            <w:vAlign w:val="center"/>
          </w:tcPr>
          <w:p>
            <w:pPr>
              <w:pStyle w:val="TableContents"/>
              <w:bidi w:val="0"/>
              <w:spacing w:lineRule="auto" w:line="259" w:before="0" w:after="2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FINANCIAL STATEMENTS AND SUPPLEMENTARY DATA</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Index to Consolidated Financial Statements</w:t>
      </w:r>
    </w:p>
    <w:tbl>
      <w:tblPr>
        <w:tblW w:w="9960" w:type="dxa"/>
        <w:jc w:val="left"/>
        <w:tblInd w:w="0" w:type="dxa"/>
        <w:tblCellMar>
          <w:top w:w="0" w:type="dxa"/>
          <w:left w:w="0" w:type="dxa"/>
          <w:bottom w:w="0" w:type="dxa"/>
          <w:right w:w="0" w:type="dxa"/>
        </w:tblCellMar>
      </w:tblPr>
      <w:tblGrid>
        <w:gridCol w:w="9420"/>
        <w:gridCol w:w="540"/>
      </w:tblGrid>
      <w:tr>
        <w:trPr/>
        <w:tc>
          <w:tcPr>
            <w:tcW w:w="942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r>
      <w:tr>
        <w:trPr/>
        <w:tc>
          <w:tcPr>
            <w:tcW w:w="9420" w:type="dxa"/>
            <w:tcBorders/>
            <w:shd w:fill="auto" w:val="clear"/>
            <w:vAlign w:val="center"/>
          </w:tcPr>
          <w:p>
            <w:pPr>
              <w:pStyle w:val="TableContents"/>
              <w:bidi w:val="0"/>
              <w:spacing w:lineRule="auto" w:line="259" w:before="0" w:after="22"/>
              <w:ind w:left="72" w:right="29" w:hanging="0"/>
              <w:jc w:val="left"/>
              <w:rPr>
                <w:caps w:val="false"/>
                <w:smallCaps w:val="false"/>
                <w:color w:val="000000"/>
              </w:rPr>
            </w:pPr>
            <w:r>
              <w:rPr>
                <w:caps w:val="false"/>
                <w:smallCaps w:val="false"/>
                <w:color w:val="000000"/>
              </w:rPr>
              <w:t> </w:t>
            </w:r>
          </w:p>
        </w:tc>
        <w:tc>
          <w:tcPr>
            <w:tcW w:w="540" w:type="dxa"/>
            <w:tcBorders>
              <w:bottom w:val="single" w:sz="8" w:space="0" w:color="000000"/>
            </w:tcBorders>
            <w:shd w:fill="auto" w:val="clear"/>
            <w:tcMar>
              <w:bottom w:w="28" w:type="dxa"/>
            </w:tcMar>
            <w:vAlign w:val="center"/>
          </w:tcPr>
          <w:p>
            <w:pPr>
              <w:pStyle w:val="TableContents"/>
              <w:bidi w:val="0"/>
              <w:spacing w:lineRule="auto" w:line="259" w:before="0" w:after="22"/>
              <w:ind w:left="72" w:right="29" w:hanging="0"/>
              <w:jc w:val="righ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Page</w:t>
            </w:r>
          </w:p>
        </w:tc>
      </w:tr>
      <w:tr>
        <w:trPr/>
        <w:tc>
          <w:tcPr>
            <w:tcW w:w="9420" w:type="dxa"/>
            <w:tcBorders/>
            <w:shd w:fill="CCEEFF" w:val="clear"/>
            <w:vAlign w:val="center"/>
          </w:tcPr>
          <w:p>
            <w:pPr>
              <w:pStyle w:val="TableContents"/>
              <w:bidi w:val="0"/>
              <w:spacing w:lineRule="auto" w:line="259" w:before="0" w:after="22"/>
              <w:ind w:left="72" w:right="29" w:hanging="0"/>
              <w:jc w:val="left"/>
              <w:rPr/>
            </w:pPr>
            <w:hyperlink w:anchor="ReportofIndependentRegPublicAcctFirm">
              <w:r>
                <w:rPr>
                  <w:rStyle w:val="InternetLink"/>
                  <w:rFonts w:ascii="Times New Roman;serif" w:hAnsi="Times New Roman;serif"/>
                  <w:b w:val="false"/>
                  <w:i w:val="false"/>
                  <w:caps w:val="false"/>
                  <w:smallCaps w:val="false"/>
                  <w:color w:val="0000FF"/>
                  <w:sz w:val="20"/>
                  <w:u w:val="single"/>
                </w:rPr>
                <w:t>Report of Independent Registered Public Accounting Firm</w:t>
              </w:r>
            </w:hyperlink>
          </w:p>
        </w:tc>
        <w:tc>
          <w:tcPr>
            <w:tcW w:w="540" w:type="dxa"/>
            <w:tcBorders/>
            <w:shd w:fill="CCEEFF" w:val="clear"/>
            <w:vAlign w:val="center"/>
          </w:tcPr>
          <w:p>
            <w:pPr>
              <w:pStyle w:val="TableContents"/>
              <w:bidi w:val="0"/>
              <w:spacing w:lineRule="auto" w:line="259" w:before="0" w:after="22"/>
              <w:ind w:left="72" w:right="29"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w:t>
            </w:r>
          </w:p>
        </w:tc>
      </w:tr>
      <w:tr>
        <w:trPr/>
        <w:tc>
          <w:tcPr>
            <w:tcW w:w="9420" w:type="dxa"/>
            <w:tcBorders/>
            <w:shd w:fill="auto" w:val="clear"/>
            <w:vAlign w:val="center"/>
          </w:tcPr>
          <w:p>
            <w:pPr>
              <w:pStyle w:val="TableContents"/>
              <w:bidi w:val="0"/>
              <w:spacing w:lineRule="auto" w:line="259" w:before="0" w:after="22"/>
              <w:ind w:left="72" w:right="29" w:hanging="0"/>
              <w:jc w:val="left"/>
              <w:rPr/>
            </w:pPr>
            <w:hyperlink w:anchor="ConsolidatedStmntFinancialPosition">
              <w:r>
                <w:rPr>
                  <w:rStyle w:val="InternetLink"/>
                  <w:rFonts w:ascii="Times New Roman;serif" w:hAnsi="Times New Roman;serif"/>
                  <w:b w:val="false"/>
                  <w:i w:val="false"/>
                  <w:caps w:val="false"/>
                  <w:smallCaps w:val="false"/>
                  <w:color w:val="0000FF"/>
                  <w:sz w:val="20"/>
                  <w:u w:val="single"/>
                </w:rPr>
                <w:t>Consolidated Balance Sheets as of January 31, 2021 and February 2, 2020</w:t>
              </w:r>
            </w:hyperlink>
          </w:p>
        </w:tc>
        <w:tc>
          <w:tcPr>
            <w:tcW w:w="540" w:type="dxa"/>
            <w:tcBorders/>
            <w:shd w:fill="auto" w:val="clear"/>
            <w:vAlign w:val="center"/>
          </w:tcPr>
          <w:p>
            <w:pPr>
              <w:pStyle w:val="TableContents"/>
              <w:bidi w:val="0"/>
              <w:spacing w:lineRule="auto" w:line="259" w:before="0" w:after="22"/>
              <w:ind w:left="72" w:right="29"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w:t>
            </w:r>
          </w:p>
        </w:tc>
      </w:tr>
      <w:tr>
        <w:trPr/>
        <w:tc>
          <w:tcPr>
            <w:tcW w:w="9420" w:type="dxa"/>
            <w:tcBorders/>
            <w:shd w:fill="CCEEFF" w:val="clear"/>
            <w:vAlign w:val="center"/>
          </w:tcPr>
          <w:p>
            <w:pPr>
              <w:pStyle w:val="TableContents"/>
              <w:bidi w:val="0"/>
              <w:spacing w:lineRule="auto" w:line="259" w:before="0" w:after="22"/>
              <w:ind w:left="72" w:right="29" w:hanging="0"/>
              <w:jc w:val="left"/>
              <w:rPr/>
            </w:pPr>
            <w:hyperlink w:anchor="ConsolidatedStmntOperations">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Operations for Fiscal Years Ended January 31, 2021 and February 2, 2020</w:t>
              </w:r>
            </w:hyperlink>
          </w:p>
        </w:tc>
        <w:tc>
          <w:tcPr>
            <w:tcW w:w="540" w:type="dxa"/>
            <w:tcBorders/>
            <w:shd w:fill="CCEEFF" w:val="clear"/>
            <w:vAlign w:val="center"/>
          </w:tcPr>
          <w:p>
            <w:pPr>
              <w:pStyle w:val="TableContents"/>
              <w:bidi w:val="0"/>
              <w:spacing w:lineRule="auto" w:line="259" w:before="0" w:after="22"/>
              <w:ind w:left="72" w:right="29"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w:t>
            </w:r>
          </w:p>
        </w:tc>
      </w:tr>
      <w:tr>
        <w:trPr/>
        <w:tc>
          <w:tcPr>
            <w:tcW w:w="9420" w:type="dxa"/>
            <w:tcBorders/>
            <w:shd w:fill="auto" w:val="clear"/>
            <w:vAlign w:val="center"/>
          </w:tcPr>
          <w:p>
            <w:pPr>
              <w:pStyle w:val="TableContents"/>
              <w:bidi w:val="0"/>
              <w:spacing w:lineRule="auto" w:line="259" w:before="0" w:after="22"/>
              <w:ind w:left="72" w:right="29" w:hanging="0"/>
              <w:jc w:val="left"/>
              <w:rPr/>
            </w:pPr>
            <w:hyperlink w:anchor="ConsolidatedStmntComprehensiveIncome">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Comprehensive Income for Fiscal Years Ended January 31, 2021 and February 2, 2020</w:t>
              </w:r>
            </w:hyperlink>
          </w:p>
        </w:tc>
        <w:tc>
          <w:tcPr>
            <w:tcW w:w="540" w:type="dxa"/>
            <w:tcBorders/>
            <w:shd w:fill="auto" w:val="clear"/>
            <w:vAlign w:val="center"/>
          </w:tcPr>
          <w:p>
            <w:pPr>
              <w:pStyle w:val="TableContents"/>
              <w:bidi w:val="0"/>
              <w:spacing w:lineRule="auto" w:line="259" w:before="0" w:after="22"/>
              <w:ind w:left="72" w:right="29"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w:t>
            </w:r>
          </w:p>
        </w:tc>
      </w:tr>
      <w:tr>
        <w:trPr/>
        <w:tc>
          <w:tcPr>
            <w:tcW w:w="9420" w:type="dxa"/>
            <w:tcBorders/>
            <w:shd w:fill="CCEEFF" w:val="clear"/>
            <w:vAlign w:val="center"/>
          </w:tcPr>
          <w:p>
            <w:pPr>
              <w:pStyle w:val="TableContents"/>
              <w:bidi w:val="0"/>
              <w:spacing w:lineRule="auto" w:line="259" w:before="0" w:after="22"/>
              <w:ind w:left="72" w:right="29" w:hanging="0"/>
              <w:jc w:val="left"/>
              <w:rPr/>
            </w:pPr>
            <w:hyperlink w:anchor="ConsolidatedStmntShareholdersEquity">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Shareholders’ Equity for Fiscal Years Ended January 31, 2021 and February 2, 2020</w:t>
              </w:r>
            </w:hyperlink>
          </w:p>
        </w:tc>
        <w:tc>
          <w:tcPr>
            <w:tcW w:w="540" w:type="dxa"/>
            <w:tcBorders/>
            <w:shd w:fill="CCEEFF" w:val="clear"/>
            <w:vAlign w:val="center"/>
          </w:tcPr>
          <w:p>
            <w:pPr>
              <w:pStyle w:val="TableContents"/>
              <w:bidi w:val="0"/>
              <w:spacing w:lineRule="auto" w:line="259" w:before="0" w:after="22"/>
              <w:ind w:left="72" w:right="29"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w:t>
            </w:r>
          </w:p>
        </w:tc>
      </w:tr>
      <w:tr>
        <w:trPr/>
        <w:tc>
          <w:tcPr>
            <w:tcW w:w="9420" w:type="dxa"/>
            <w:tcBorders/>
            <w:shd w:fill="auto" w:val="clear"/>
            <w:vAlign w:val="center"/>
          </w:tcPr>
          <w:p>
            <w:pPr>
              <w:pStyle w:val="TableContents"/>
              <w:bidi w:val="0"/>
              <w:spacing w:lineRule="auto" w:line="259" w:before="0" w:after="22"/>
              <w:ind w:left="72" w:right="29" w:hanging="0"/>
              <w:jc w:val="left"/>
              <w:rPr/>
            </w:pPr>
            <w:hyperlink w:anchor="ConsolidatedStmntofCashFlows">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Cash Flows for Fiscal Years Ended January 31, 2021 and February 2, 2020</w:t>
              </w:r>
            </w:hyperlink>
          </w:p>
        </w:tc>
        <w:tc>
          <w:tcPr>
            <w:tcW w:w="540" w:type="dxa"/>
            <w:tcBorders/>
            <w:shd w:fill="auto" w:val="clear"/>
            <w:vAlign w:val="center"/>
          </w:tcPr>
          <w:p>
            <w:pPr>
              <w:pStyle w:val="TableContents"/>
              <w:bidi w:val="0"/>
              <w:spacing w:lineRule="auto" w:line="259" w:before="0" w:after="22"/>
              <w:ind w:left="72" w:right="29"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w:t>
            </w:r>
          </w:p>
        </w:tc>
      </w:tr>
      <w:tr>
        <w:trPr/>
        <w:tc>
          <w:tcPr>
            <w:tcW w:w="9420" w:type="dxa"/>
            <w:tcBorders/>
            <w:shd w:fill="CCEEFF" w:val="clear"/>
            <w:vAlign w:val="center"/>
          </w:tcPr>
          <w:p>
            <w:pPr>
              <w:pStyle w:val="TableContents"/>
              <w:bidi w:val="0"/>
              <w:spacing w:lineRule="auto" w:line="259" w:before="0" w:after="22"/>
              <w:ind w:left="72" w:right="29" w:hanging="0"/>
              <w:jc w:val="left"/>
              <w:rPr/>
            </w:pPr>
            <w:hyperlink w:anchor="NotesToCFS">
              <w:r>
                <w:rPr>
                  <w:rStyle w:val="InternetLink"/>
                  <w:rFonts w:ascii="Times New Roman;serif" w:hAnsi="Times New Roman;serif"/>
                  <w:b w:val="false"/>
                  <w:i w:val="false"/>
                  <w:caps w:val="false"/>
                  <w:smallCaps w:val="false"/>
                  <w:strike w:val="false"/>
                  <w:dstrike w:val="false"/>
                  <w:color w:val="0000FF"/>
                  <w:sz w:val="20"/>
                  <w:u w:val="single"/>
                  <w:effect w:val="none"/>
                </w:rPr>
                <w:t>Notes to Consolidated Financial Statements</w:t>
              </w:r>
            </w:hyperlink>
          </w:p>
        </w:tc>
        <w:tc>
          <w:tcPr>
            <w:tcW w:w="540" w:type="dxa"/>
            <w:tcBorders/>
            <w:shd w:fill="CCEEFF" w:val="clear"/>
            <w:vAlign w:val="center"/>
          </w:tcPr>
          <w:p>
            <w:pPr>
              <w:pStyle w:val="TableContents"/>
              <w:bidi w:val="0"/>
              <w:spacing w:lineRule="auto" w:line="259" w:before="0" w:after="22"/>
              <w:ind w:left="72" w:right="29"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w:t>
            </w:r>
          </w:p>
        </w:tc>
      </w:tr>
      <w:tr>
        <w:trPr/>
        <w:tc>
          <w:tcPr>
            <w:tcW w:w="9420" w:type="dxa"/>
            <w:tcBorders/>
            <w:shd w:fill="auto" w:val="clear"/>
            <w:vAlign w:val="center"/>
          </w:tcPr>
          <w:p>
            <w:pPr>
              <w:pStyle w:val="TableContents"/>
              <w:bidi w:val="0"/>
              <w:spacing w:lineRule="auto" w:line="259" w:before="0" w:after="22"/>
              <w:ind w:left="72" w:right="29" w:hanging="0"/>
              <w:jc w:val="left"/>
              <w:rPr/>
            </w:pPr>
            <w:hyperlink w:anchor="ScheduleII">
              <w:r>
                <w:rPr>
                  <w:rStyle w:val="InternetLink"/>
                  <w:rFonts w:ascii="Times New Roman;serif" w:hAnsi="Times New Roman;serif"/>
                  <w:b w:val="false"/>
                  <w:i w:val="false"/>
                  <w:caps w:val="false"/>
                  <w:smallCaps w:val="false"/>
                  <w:strike w:val="false"/>
                  <w:dstrike w:val="false"/>
                  <w:color w:val="0000FF"/>
                  <w:sz w:val="20"/>
                  <w:u w:val="single"/>
                  <w:effect w:val="none"/>
                </w:rPr>
                <w:t>Schedule II Valuation and Qualifying Accounts</w:t>
              </w:r>
            </w:hyperlink>
          </w:p>
        </w:tc>
        <w:tc>
          <w:tcPr>
            <w:tcW w:w="540" w:type="dxa"/>
            <w:tcBorders/>
            <w:shd w:fill="auto" w:val="clear"/>
            <w:vAlign w:val="center"/>
          </w:tcPr>
          <w:p>
            <w:pPr>
              <w:pStyle w:val="TableContents"/>
              <w:bidi w:val="0"/>
              <w:spacing w:lineRule="auto" w:line="259" w:before="0" w:after="22"/>
              <w:ind w:left="72" w:right="29"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66</w:t>
            </w:r>
          </w:p>
        </w:tc>
      </w:tr>
    </w:tbl>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39</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tLeast" w:line="280"/>
        <w:rPr>
          <w:rFonts w:ascii="Times New Roman;serif" w:hAnsi="Times New Roman;serif"/>
          <w:sz w:val="20"/>
        </w:rPr>
      </w:pPr>
      <w:r>
        <w:rPr>
          <w:rFonts w:ascii="Times New Roman;serif" w:hAnsi="Times New Roman;serif"/>
          <w:b/>
          <w:i w:val="false"/>
          <w:caps w:val="false"/>
          <w:smallCaps w:val="false"/>
          <w:sz w:val="20"/>
        </w:rPr>
        <w:t xml:space="preserve">REPORT </w:t>
      </w:r>
      <w:bookmarkStart w:id="16" w:name="ReportofIndependentRegPublicAcctFirm"/>
      <w:bookmarkEnd w:id="16"/>
      <w:r>
        <w:rPr>
          <w:rFonts w:ascii="Times New Roman;serif" w:hAnsi="Times New Roman;serif"/>
          <w:b/>
          <w:i w:val="false"/>
          <w:caps w:val="false"/>
          <w:smallCaps w:val="false"/>
          <w:sz w:val="20"/>
        </w:rPr>
        <w:t>OF INDEPENDENT REGISTERED PUBLIC ACCOUNTING FIRM</w:t>
      </w:r>
    </w:p>
    <w:p>
      <w:pPr>
        <w:pStyle w:val="TextBody"/>
        <w:bidi w:val="0"/>
        <w:spacing w:lineRule="atLeast" w:line="28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Board of Directors and Shareholders</w:t>
      </w:r>
    </w:p>
    <w:p>
      <w:pPr>
        <w:pStyle w:val="TextBody"/>
        <w:bidi w:val="0"/>
        <w:spacing w:lineRule="atLeast" w:line="28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Duluth Holdings Inc.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Opinion on the financial statements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We have audited the accompanying consolidated balance sheets of Duluth Holdings Inc, a Wisconsin corporation, and affiliate (collectively, the “Company”) as of </w:t>
      </w:r>
      <w:bookmarkStart w:id="17" w:name="_Hlk66094735"/>
      <w:bookmarkEnd w:id="17"/>
      <w:r>
        <w:rPr>
          <w:rFonts w:ascii="Times New Roman;serif" w:hAnsi="Times New Roman;serif"/>
          <w:b w:val="false"/>
          <w:i w:val="false"/>
          <w:caps w:val="false"/>
          <w:smallCaps w:val="false"/>
          <w:sz w:val="20"/>
        </w:rPr>
        <w:t>January 31, 2021 and February 2, 2020,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the related consolidated statements of operations, comprehensive income, shareholders’ equity, and cash flows for each of the two years in the period ended January 31, 2021, and the related notes and financial statement schedule included under Item 15 (collectively referred to as the “financial statements”). In our opinion, the financial statements present fairly, in all material respects, the financial position of the Company as of January 31, 2021 and February 2, 2020, and the results of its operations and its cash flows for each of the two years in the period ended January 31, 2021, in conformity with accounting principles generally accepted in the United States of America.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We also have audited, in accordance with the standards of the Public Company Accounting Oversight Board (United States) (“PCAOB”), the Company’s internal control over financial reporting as of January 31, 2021, based on criteria established in the 2013 </w:t>
      </w:r>
      <w:r>
        <w:rPr>
          <w:rFonts w:ascii="Times New Roman;serif" w:hAnsi="Times New Roman;serif"/>
          <w:b w:val="false"/>
          <w:i/>
          <w:sz w:val="20"/>
        </w:rPr>
        <w:t>Internal Control—Integrated Framework</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issued by the Committee of Sponsoring Organizations of the Treadway Commission (“COSO”), and our report dated March 26, 2021 expressed an unqualified opinion.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Basis for opinion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Critical audit matter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Segment reporting</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described in Note 1 to the consolidated financial statements, the Company has historically disclosed two reportable segments, direct and retail. As a result of the Company’s continued growth of its omnichannel distribution network, resulting in a consistent online and in-store customer experience, and in conjunction with an assessment of the similarities of qualitative and quantitative characteristics between the two former reportable segments, the Company has determined that the historical structure of separate reportable segments for direct and retail is no longer representative. Therefore, as of February 3, 2020, the Company updated its segment reporting to one reportable segment. We identified the aggregation of reportable segments as a critical audit matter.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principal considerations for our determination that the aggregation of reportable segments is a critical audit matter are the qualitative and economic aggregation criteria and the appropriate period in which to reflect the change, which involved significant management judgment. As such, auditing this change required a high degree of auditor judgment when performing audit procedures and evaluating the results of those procedures.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40</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audit procedures related to the aggregation of reportable segments included the following, among others: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We tested the Company’s internal control specific to management’s periodic assessment of the identification and disclosure of reportable segments. Following management’s conclusion that an updated assessment was necessary relative to reportable segments, we tested the Company’s accounting analysis control that included the factors specified below.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In consultation with our national office resources, we evaluated the time period in which management concluded it was appropriate to aggregate and disclose the two previously disclosed reportable segments. This included evaluating the continued maturation of the Company as an omni-store business, as well as the evolution of various omni-store initiatives that have been implemented by the Company including buy online and pick up in-store and ship from store. Our consultation included the following:</w:t>
      </w:r>
    </w:p>
    <w:p>
      <w:pPr>
        <w:pStyle w:val="TextBody"/>
        <w:bidi w:val="0"/>
        <w:spacing w:lineRule="auto" w:line="259"/>
        <w:rPr>
          <w:rFonts w:ascii="Times New Roman;serif" w:hAnsi="Times New Roman;serif"/>
          <w:sz w:val="20"/>
        </w:rPr>
      </w:pPr>
      <w:r>
        <w:rPr>
          <w:rFonts w:ascii="Courier New" w:hAnsi="Courier New"/>
          <w:b w:val="false"/>
          <w:i w:val="false"/>
          <w:caps w:val="false"/>
          <w:smallCaps w:val="false"/>
          <w:sz w:val="20"/>
        </w:rPr>
        <w:t>o</w:t>
      </w:r>
      <w:r>
        <w:rPr>
          <w:rFonts w:ascii="Times New Roman;serif" w:hAnsi="Times New Roman;serif"/>
          <w:b w:val="false"/>
          <w:i w:val="false"/>
          <w:caps w:val="false"/>
          <w:smallCaps w:val="false"/>
          <w:sz w:val="20"/>
        </w:rPr>
        <w:t>We considered our experience as the Company’s auditor of record in evaluating management’s identification of the Chief Executive Officer as the Chief Operating Decision Maker (“CODM”).</w:t>
      </w:r>
    </w:p>
    <w:p>
      <w:pPr>
        <w:pStyle w:val="TextBody"/>
        <w:bidi w:val="0"/>
        <w:spacing w:lineRule="auto" w:line="259"/>
        <w:ind w:left="1440" w:right="0" w:hanging="360"/>
        <w:jc w:val="left"/>
        <w:rPr>
          <w:rFonts w:ascii="Times New Roman;serif" w:hAnsi="Times New Roman;serif"/>
          <w:sz w:val="20"/>
        </w:rPr>
      </w:pPr>
      <w:r>
        <w:rPr>
          <w:rFonts w:ascii="Courier New" w:hAnsi="Courier New"/>
          <w:b w:val="false"/>
          <w:i w:val="false"/>
          <w:caps w:val="false"/>
          <w:smallCaps w:val="false"/>
          <w:sz w:val="20"/>
        </w:rPr>
        <w:t>o</w:t>
      </w:r>
      <w:r>
        <w:rPr>
          <w:rFonts w:ascii="Times New Roman;serif" w:hAnsi="Times New Roman;serif"/>
          <w:b w:val="false"/>
          <w:i w:val="false"/>
          <w:caps w:val="false"/>
          <w:smallCaps w:val="false"/>
          <w:sz w:val="20"/>
        </w:rPr>
        <w:t xml:space="preserve">We corroborated management’s conclusion that the Company’s operating segments consist of direct and retail through the report that is periodically provided to the CODM to assist with business decisions. </w:t>
      </w:r>
    </w:p>
    <w:p>
      <w:pPr>
        <w:pStyle w:val="TextBody"/>
        <w:bidi w:val="0"/>
        <w:spacing w:lineRule="auto" w:line="259"/>
        <w:ind w:left="1440" w:right="0" w:hanging="360"/>
        <w:jc w:val="left"/>
        <w:rPr>
          <w:rFonts w:ascii="Times New Roman;serif" w:hAnsi="Times New Roman;serif"/>
          <w:sz w:val="20"/>
        </w:rPr>
      </w:pPr>
      <w:r>
        <w:rPr>
          <w:rFonts w:ascii="Courier New" w:hAnsi="Courier New"/>
          <w:b w:val="false"/>
          <w:i w:val="false"/>
          <w:caps w:val="false"/>
          <w:smallCaps w:val="false"/>
          <w:sz w:val="20"/>
        </w:rPr>
        <w:t>o</w:t>
      </w:r>
      <w:r>
        <w:rPr>
          <w:rFonts w:ascii="Times New Roman;serif" w:hAnsi="Times New Roman;serif"/>
          <w:b w:val="false"/>
          <w:i w:val="false"/>
          <w:caps w:val="false"/>
          <w:smallCaps w:val="false"/>
          <w:sz w:val="20"/>
        </w:rPr>
        <w:t xml:space="preserve">We evaluated management’s assessments related to the qualitative and economic aggregation criteria that were considered to aggregate two previously disclosed reportable segments. The qualitative criteria we evaluated included (i) the nature of the Company’s products and services, (ii) the nature of the Company’s production process, (iii) the type of customer that the Company targets, and (iv) the methods used to distribute the Company’s products. The quantitative criteria we evaluated included </w:t>
      </w:r>
      <w:r>
        <w:rPr>
          <w:rFonts w:ascii="Times New Roman;serif" w:hAnsi="Times New Roman;serif"/>
          <w:b w:val="false"/>
          <w:i w:val="false"/>
          <w:caps w:val="false"/>
          <w:smallCaps w:val="false"/>
          <w:color w:val="000000"/>
          <w:sz w:val="20"/>
          <w:highlight w:val="white"/>
        </w:rPr>
        <w:t>(i) the mix of product sales between the aggregated components, and (ii) the similarity of long-term gross margins of the aggregated components. We corroborated management’s conclusions through our understanding of the Company’s products and customers and audited historical financial data.</w:t>
      </w:r>
    </w:p>
    <w:p>
      <w:pPr>
        <w:pStyle w:val="TextBody"/>
        <w:bidi w:val="0"/>
        <w:spacing w:lineRule="auto" w:line="259"/>
        <w:ind w:left="1440" w:right="0" w:hanging="360"/>
        <w:jc w:val="left"/>
        <w:rPr>
          <w:rFonts w:ascii="Times New Roman;serif" w:hAnsi="Times New Roman;serif"/>
          <w:sz w:val="20"/>
        </w:rPr>
      </w:pPr>
      <w:r>
        <w:rPr>
          <w:rFonts w:ascii="Courier New" w:hAnsi="Courier New"/>
          <w:b w:val="false"/>
          <w:i w:val="false"/>
          <w:caps w:val="false"/>
          <w:smallCaps w:val="false"/>
          <w:sz w:val="20"/>
        </w:rPr>
        <w:t>o</w:t>
      </w:r>
      <w:r>
        <w:rPr>
          <w:rFonts w:ascii="Times New Roman;serif" w:hAnsi="Times New Roman;serif"/>
          <w:b w:val="false"/>
          <w:i w:val="false"/>
          <w:caps w:val="false"/>
          <w:smallCaps w:val="false"/>
          <w:sz w:val="20"/>
        </w:rPr>
        <w:t>We assessed management’s presentation and disclosure against the objectives and principles outlined in relevant accounting literature.</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GRANT THORNTON LLP</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served as the Company’s auditor since 2002.</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Chicago, Illinois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26, 2021</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41</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REPORT OF INDEPENDENT REGISTERED PUBLIC ACCOUNTING FIRM</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Board of Directors and Shareholders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Duluth Holdings Inc.</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Opinion on internal control over financial reporting</w:t>
      </w:r>
    </w:p>
    <w:p>
      <w:pPr>
        <w:pStyle w:val="TextBody"/>
        <w:bidi w:val="0"/>
        <w:spacing w:lineRule="auto" w:line="259"/>
        <w:jc w:val="left"/>
        <w:rPr>
          <w:rFonts w:ascii="Times New Roman;serif" w:hAnsi="Times New Roman;serif"/>
          <w:sz w:val="18"/>
        </w:rPr>
      </w:pPr>
      <w:r>
        <w:rPr>
          <w:rFonts w:ascii="Times New Roman;serif" w:hAnsi="Times New Roman;serif"/>
          <w:b w:val="false"/>
          <w:i w:val="false"/>
          <w:caps w:val="false"/>
          <w:smallCaps w:val="false"/>
          <w:sz w:val="18"/>
        </w:rPr>
        <w:t xml:space="preserve">We have audited the internal control over financial reporting of Duluth Holdings Inc., a Wisconsin corporation, and affiliate (the “Company”) as of January 31, 2021, based on criteria established in the 2013 </w:t>
      </w:r>
      <w:r>
        <w:rPr>
          <w:rFonts w:ascii="Times New Roman;serif" w:hAnsi="Times New Roman;serif"/>
          <w:b w:val="false"/>
          <w:i/>
          <w:sz w:val="18"/>
        </w:rPr>
        <w:t>Internal Control—Integrated Framework</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 xml:space="preserve">issued by the Committee of Sponsoring Organizations of the Treadway Commission (“COSO”). In our opinion, the Company maintained, in all material respects, effective internal control over financial reporting as of January 31, 2021, based on criteria established in the 2013 </w:t>
      </w:r>
      <w:r>
        <w:rPr>
          <w:rFonts w:ascii="Times New Roman;serif" w:hAnsi="Times New Roman;serif"/>
          <w:b w:val="false"/>
          <w:i/>
          <w:sz w:val="18"/>
        </w:rPr>
        <w:t>Internal Control—Integrated Framework</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issued by COSO.</w:t>
      </w:r>
    </w:p>
    <w:p>
      <w:pPr>
        <w:pStyle w:val="TextBody"/>
        <w:bidi w:val="0"/>
        <w:spacing w:lineRule="auto" w:line="259"/>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We also have audited, in accordance with the standards of the Public Company Accounting Oversight Board (United States) (“PCAOB”), the consolidated financial statements of the Company as of and for the year ended January 31, 2021, and our report dated March 26, 2021 expressed an unqualified opinion on those financial statements.</w:t>
      </w:r>
    </w:p>
    <w:p>
      <w:pPr>
        <w:pStyle w:val="TextBody"/>
        <w:bidi w:val="0"/>
        <w:spacing w:lineRule="auto" w:line="259"/>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Basis for opinion</w:t>
      </w:r>
    </w:p>
    <w:p>
      <w:pPr>
        <w:pStyle w:val="TextBody"/>
        <w:bidi w:val="0"/>
        <w:spacing w:lineRule="auto" w:line="259"/>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59"/>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59"/>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Definition and limitations of internal control over financial reporting</w:t>
      </w:r>
    </w:p>
    <w:p>
      <w:pPr>
        <w:pStyle w:val="TextBody"/>
        <w:bidi w:val="0"/>
        <w:spacing w:lineRule="auto" w:line="259"/>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59"/>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59"/>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 GRANT THORNTON LLP</w:t>
      </w:r>
    </w:p>
    <w:p>
      <w:pPr>
        <w:pStyle w:val="TextBody"/>
        <w:bidi w:val="0"/>
        <w:spacing w:lineRule="auto" w:line="259"/>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Chicago, Illinois</w:t>
      </w:r>
    </w:p>
    <w:p>
      <w:pPr>
        <w:pStyle w:val="TextBody"/>
        <w:bidi w:val="0"/>
        <w:spacing w:lineRule="auto" w:line="259"/>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March 26, 2021</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42</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DULUTH HOLDINGS INC.</w:t>
      </w:r>
    </w:p>
    <w:p>
      <w:pPr>
        <w:pStyle w:val="TextBody"/>
        <w:bidi w:val="0"/>
        <w:spacing w:lineRule="auto" w:line="259"/>
        <w:rPr>
          <w:rFonts w:ascii="Times New Roman;serif" w:hAnsi="Times New Roman;serif"/>
          <w:b/>
          <w:i w:val="false"/>
          <w:caps w:val="false"/>
          <w:smallCaps w:val="false"/>
          <w:color w:val="000000"/>
          <w:sz w:val="20"/>
        </w:rPr>
      </w:pPr>
      <w:bookmarkStart w:id="18" w:name="ConsolidatedStmntFinancialPosition"/>
      <w:bookmarkEnd w:id="18"/>
      <w:r>
        <w:rPr>
          <w:rFonts w:ascii="Times New Roman;serif" w:hAnsi="Times New Roman;serif"/>
          <w:b/>
          <w:i w:val="false"/>
          <w:caps w:val="false"/>
          <w:smallCaps w:val="false"/>
          <w:color w:val="000000"/>
          <w:sz w:val="20"/>
        </w:rPr>
        <w:t>Consolidated Balance Sheets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(Amounts in thousands)</w:t>
      </w:r>
    </w:p>
    <w:tbl>
      <w:tblPr>
        <w:tblW w:w="9549" w:type="dxa"/>
        <w:jc w:val="left"/>
        <w:tblInd w:w="0" w:type="dxa"/>
        <w:tblCellMar>
          <w:top w:w="0" w:type="dxa"/>
          <w:left w:w="0" w:type="dxa"/>
          <w:bottom w:w="0" w:type="dxa"/>
          <w:right w:w="0" w:type="dxa"/>
        </w:tblCellMar>
      </w:tblPr>
      <w:tblGrid>
        <w:gridCol w:w="6511"/>
        <w:gridCol w:w="109"/>
        <w:gridCol w:w="296"/>
        <w:gridCol w:w="1099"/>
        <w:gridCol w:w="109"/>
        <w:gridCol w:w="290"/>
        <w:gridCol w:w="1135"/>
      </w:tblGrid>
      <w:tr>
        <w:trPr/>
        <w:tc>
          <w:tcPr>
            <w:tcW w:w="651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96" w:type="dxa"/>
            <w:tcBorders/>
            <w:shd w:fill="FFFFFF" w:val="clear"/>
            <w:vAlign w:val="center"/>
          </w:tcPr>
          <w:p>
            <w:pPr>
              <w:pStyle w:val="TableContents"/>
              <w:spacing w:before="0" w:after="283"/>
              <w:rPr>
                <w:sz w:val="4"/>
                <w:szCs w:val="4"/>
              </w:rPr>
            </w:pPr>
            <w:r>
              <w:rPr>
                <w:sz w:val="4"/>
                <w:szCs w:val="4"/>
              </w:rPr>
            </w:r>
          </w:p>
        </w:tc>
        <w:tc>
          <w:tcPr>
            <w:tcW w:w="109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90" w:type="dxa"/>
            <w:tcBorders/>
            <w:shd w:fill="FFFFFF" w:val="clear"/>
            <w:vAlign w:val="center"/>
          </w:tcPr>
          <w:p>
            <w:pPr>
              <w:pStyle w:val="TableContents"/>
              <w:spacing w:before="0" w:after="283"/>
              <w:rPr>
                <w:sz w:val="4"/>
                <w:szCs w:val="4"/>
              </w:rPr>
            </w:pPr>
            <w:r>
              <w:rPr>
                <w:sz w:val="4"/>
                <w:szCs w:val="4"/>
              </w:rPr>
            </w:r>
          </w:p>
        </w:tc>
        <w:tc>
          <w:tcPr>
            <w:tcW w:w="1135" w:type="dxa"/>
            <w:tcBorders/>
            <w:shd w:fill="FFFFFF" w:val="clear"/>
            <w:vAlign w:val="center"/>
          </w:tcPr>
          <w:p>
            <w:pPr>
              <w:pStyle w:val="TableContents"/>
              <w:spacing w:before="0" w:after="283"/>
              <w:rPr>
                <w:sz w:val="4"/>
                <w:szCs w:val="4"/>
              </w:rPr>
            </w:pPr>
            <w:r>
              <w:rPr>
                <w:sz w:val="4"/>
                <w:szCs w:val="4"/>
              </w:rPr>
            </w:r>
          </w:p>
        </w:tc>
      </w:tr>
      <w:tr>
        <w:trPr/>
        <w:tc>
          <w:tcPr>
            <w:tcW w:w="651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96" w:type="dxa"/>
            <w:tcBorders/>
            <w:shd w:fill="FFFFFF" w:val="clear"/>
            <w:vAlign w:val="center"/>
          </w:tcPr>
          <w:p>
            <w:pPr>
              <w:pStyle w:val="TableContents"/>
              <w:spacing w:before="0" w:after="283"/>
              <w:rPr>
                <w:sz w:val="4"/>
                <w:szCs w:val="4"/>
              </w:rPr>
            </w:pPr>
            <w:r>
              <w:rPr>
                <w:sz w:val="4"/>
                <w:szCs w:val="4"/>
              </w:rPr>
            </w:r>
          </w:p>
        </w:tc>
        <w:tc>
          <w:tcPr>
            <w:tcW w:w="109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90" w:type="dxa"/>
            <w:tcBorders/>
            <w:shd w:fill="FFFFFF" w:val="clear"/>
            <w:vAlign w:val="center"/>
          </w:tcPr>
          <w:p>
            <w:pPr>
              <w:pStyle w:val="TableContents"/>
              <w:spacing w:before="0" w:after="283"/>
              <w:rPr>
                <w:sz w:val="4"/>
                <w:szCs w:val="4"/>
              </w:rPr>
            </w:pPr>
            <w:r>
              <w:rPr>
                <w:sz w:val="4"/>
                <w:szCs w:val="4"/>
              </w:rPr>
            </w:r>
          </w:p>
        </w:tc>
        <w:tc>
          <w:tcPr>
            <w:tcW w:w="1135" w:type="dxa"/>
            <w:tcBorders/>
            <w:shd w:fill="FFFFFF" w:val="clear"/>
            <w:vAlign w:val="center"/>
          </w:tcPr>
          <w:p>
            <w:pPr>
              <w:pStyle w:val="TableContents"/>
              <w:spacing w:before="0" w:after="283"/>
              <w:rPr>
                <w:sz w:val="4"/>
                <w:szCs w:val="4"/>
              </w:rPr>
            </w:pPr>
            <w:r>
              <w:rPr>
                <w:sz w:val="4"/>
                <w:szCs w:val="4"/>
              </w:rPr>
            </w:r>
          </w:p>
        </w:tc>
      </w:tr>
      <w:tr>
        <w:trPr/>
        <w:tc>
          <w:tcPr>
            <w:tcW w:w="651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96" w:type="dxa"/>
            <w:tcBorders/>
            <w:shd w:fill="FFFFFF" w:val="clear"/>
            <w:vAlign w:val="center"/>
          </w:tcPr>
          <w:p>
            <w:pPr>
              <w:pStyle w:val="TableContents"/>
              <w:spacing w:before="0" w:after="283"/>
              <w:rPr>
                <w:sz w:val="4"/>
                <w:szCs w:val="4"/>
              </w:rPr>
            </w:pPr>
            <w:r>
              <w:rPr>
                <w:sz w:val="4"/>
                <w:szCs w:val="4"/>
              </w:rPr>
            </w:r>
          </w:p>
        </w:tc>
        <w:tc>
          <w:tcPr>
            <w:tcW w:w="109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90" w:type="dxa"/>
            <w:tcBorders/>
            <w:shd w:fill="FFFFFF" w:val="clear"/>
            <w:vAlign w:val="center"/>
          </w:tcPr>
          <w:p>
            <w:pPr>
              <w:pStyle w:val="TableContents"/>
              <w:spacing w:before="0" w:after="283"/>
              <w:rPr>
                <w:sz w:val="4"/>
                <w:szCs w:val="4"/>
              </w:rPr>
            </w:pPr>
            <w:r>
              <w:rPr>
                <w:sz w:val="4"/>
                <w:szCs w:val="4"/>
              </w:rPr>
            </w:r>
          </w:p>
        </w:tc>
        <w:tc>
          <w:tcPr>
            <w:tcW w:w="1135" w:type="dxa"/>
            <w:tcBorders/>
            <w:shd w:fill="FFFFFF" w:val="clear"/>
            <w:vAlign w:val="center"/>
          </w:tcPr>
          <w:p>
            <w:pPr>
              <w:pStyle w:val="TableContents"/>
              <w:spacing w:before="0" w:after="283"/>
              <w:rPr>
                <w:sz w:val="4"/>
                <w:szCs w:val="4"/>
              </w:rPr>
            </w:pPr>
            <w:r>
              <w:rPr>
                <w:sz w:val="4"/>
                <w:szCs w:val="4"/>
              </w:rPr>
            </w:r>
          </w:p>
        </w:tc>
      </w:tr>
      <w:tr>
        <w:trPr/>
        <w:tc>
          <w:tcPr>
            <w:tcW w:w="651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39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January 31, 2021</w:t>
            </w:r>
          </w:p>
        </w:tc>
        <w:tc>
          <w:tcPr>
            <w:tcW w:w="109" w:type="dxa"/>
            <w:tcBorders/>
            <w:shd w:fill="FFFFFF" w:val="clear"/>
            <w:vAlign w:val="center"/>
          </w:tcPr>
          <w:p>
            <w:pPr>
              <w:pStyle w:val="TableContents"/>
              <w:spacing w:before="0" w:after="283"/>
              <w:rPr>
                <w:sz w:val="4"/>
                <w:szCs w:val="4"/>
              </w:rPr>
            </w:pPr>
            <w:r>
              <w:rPr>
                <w:sz w:val="4"/>
                <w:szCs w:val="4"/>
              </w:rPr>
            </w:r>
          </w:p>
        </w:tc>
        <w:tc>
          <w:tcPr>
            <w:tcW w:w="142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February 2, 2020</w:t>
            </w:r>
          </w:p>
        </w:tc>
      </w:tr>
      <w:tr>
        <w:trPr/>
        <w:tc>
          <w:tcPr>
            <w:tcW w:w="651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ASSETS</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shd w:fill="CCEEFF" w:val="clear"/>
            <w:vAlign w:val="center"/>
          </w:tcPr>
          <w:p>
            <w:pPr>
              <w:pStyle w:val="TableContents"/>
              <w:spacing w:before="0" w:after="283"/>
              <w:rPr>
                <w:sz w:val="4"/>
                <w:szCs w:val="4"/>
              </w:rPr>
            </w:pPr>
            <w:r>
              <w:rPr>
                <w:sz w:val="4"/>
                <w:szCs w:val="4"/>
              </w:rPr>
            </w:r>
          </w:p>
        </w:tc>
        <w:tc>
          <w:tcPr>
            <w:tcW w:w="109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c>
          <w:tcPr>
            <w:tcW w:w="1135" w:type="dxa"/>
            <w:tcBorders/>
            <w:shd w:fill="CCEEFF" w:val="clear"/>
            <w:vAlign w:val="center"/>
          </w:tcPr>
          <w:p>
            <w:pPr>
              <w:pStyle w:val="TableContents"/>
              <w:spacing w:before="0" w:after="283"/>
              <w:rPr>
                <w:sz w:val="4"/>
                <w:szCs w:val="4"/>
              </w:rPr>
            </w:pPr>
            <w:r>
              <w:rPr>
                <w:sz w:val="4"/>
                <w:szCs w:val="4"/>
              </w:rPr>
            </w:r>
          </w:p>
        </w:tc>
      </w:tr>
      <w:tr>
        <w:trPr/>
        <w:tc>
          <w:tcPr>
            <w:tcW w:w="651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 Assets:</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r>
      <w:tr>
        <w:trPr/>
        <w:tc>
          <w:tcPr>
            <w:tcW w:w="6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and cash equivalents</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47,221</w:t>
            </w:r>
          </w:p>
        </w:tc>
        <w:tc>
          <w:tcPr>
            <w:tcW w:w="109"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3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2,189</w:t>
            </w:r>
          </w:p>
        </w:tc>
      </w:tr>
      <w:tr>
        <w:trPr/>
        <w:tc>
          <w:tcPr>
            <w:tcW w:w="651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Receivables</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2,820</w:t>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1,470</w:t>
            </w:r>
          </w:p>
        </w:tc>
      </w:tr>
      <w:tr>
        <w:trPr/>
        <w:tc>
          <w:tcPr>
            <w:tcW w:w="6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Inventory, net</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shd w:fill="CCEEFF" w:val="clear"/>
            <w:vAlign w:val="center"/>
          </w:tcPr>
          <w:p>
            <w:pPr>
              <w:pStyle w:val="TableContents"/>
              <w:spacing w:before="0" w:after="283"/>
              <w:rPr>
                <w:sz w:val="4"/>
                <w:szCs w:val="4"/>
              </w:rPr>
            </w:pPr>
            <w:r>
              <w:rPr>
                <w:sz w:val="4"/>
                <w:szCs w:val="4"/>
              </w:rPr>
            </w:r>
          </w:p>
        </w:tc>
        <w:tc>
          <w:tcPr>
            <w:tcW w:w="10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149,052</w:t>
            </w:r>
          </w:p>
        </w:tc>
        <w:tc>
          <w:tcPr>
            <w:tcW w:w="109"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c>
          <w:tcPr>
            <w:tcW w:w="113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147,849</w:t>
            </w:r>
          </w:p>
        </w:tc>
      </w:tr>
      <w:tr>
        <w:trPr/>
        <w:tc>
          <w:tcPr>
            <w:tcW w:w="651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Prepaid expenses &amp; other current assets</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10,203</w:t>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9,503</w:t>
            </w:r>
          </w:p>
        </w:tc>
      </w:tr>
      <w:tr>
        <w:trPr/>
        <w:tc>
          <w:tcPr>
            <w:tcW w:w="6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Prepaid catalog costs</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9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1,014</w:t>
            </w:r>
          </w:p>
        </w:tc>
        <w:tc>
          <w:tcPr>
            <w:tcW w:w="109" w:type="dxa"/>
            <w:tcBorders/>
            <w:shd w:fill="CCEEFF" w:val="clear"/>
            <w:vAlign w:val="center"/>
          </w:tcPr>
          <w:p>
            <w:pPr>
              <w:pStyle w:val="TableContents"/>
              <w:spacing w:before="0" w:after="283"/>
              <w:rPr>
                <w:sz w:val="4"/>
                <w:szCs w:val="4"/>
              </w:rPr>
            </w:pPr>
            <w:r>
              <w:rPr>
                <w:sz w:val="4"/>
                <w:szCs w:val="4"/>
              </w:rPr>
            </w:r>
          </w:p>
        </w:tc>
        <w:tc>
          <w:tcPr>
            <w:tcW w:w="290"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13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1,181</w:t>
            </w:r>
          </w:p>
        </w:tc>
      </w:tr>
      <w:tr>
        <w:trPr/>
        <w:tc>
          <w:tcPr>
            <w:tcW w:w="651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current assets</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9" w:type="dxa"/>
            <w:tcBorders>
              <w:top w:val="single" w:sz="8"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210,310</w:t>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135" w:type="dxa"/>
            <w:tcBorders>
              <w:top w:val="single" w:sz="8"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162,192</w:t>
            </w:r>
          </w:p>
        </w:tc>
      </w:tr>
      <w:tr>
        <w:trPr/>
        <w:tc>
          <w:tcPr>
            <w:tcW w:w="6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Property and equipment, net</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shd w:fill="CCEEFF" w:val="clear"/>
            <w:vAlign w:val="center"/>
          </w:tcPr>
          <w:p>
            <w:pPr>
              <w:pStyle w:val="TableContents"/>
              <w:spacing w:before="0" w:after="283"/>
              <w:rPr>
                <w:sz w:val="4"/>
                <w:szCs w:val="4"/>
              </w:rPr>
            </w:pPr>
            <w:r>
              <w:rPr>
                <w:sz w:val="4"/>
                <w:szCs w:val="4"/>
              </w:rPr>
            </w:r>
          </w:p>
        </w:tc>
        <w:tc>
          <w:tcPr>
            <w:tcW w:w="10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124,237</w:t>
            </w:r>
          </w:p>
        </w:tc>
        <w:tc>
          <w:tcPr>
            <w:tcW w:w="109"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c>
          <w:tcPr>
            <w:tcW w:w="113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137,071</w:t>
            </w:r>
          </w:p>
        </w:tc>
      </w:tr>
      <w:tr>
        <w:trPr/>
        <w:tc>
          <w:tcPr>
            <w:tcW w:w="651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right-of-use assets</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117,490</w:t>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120,431</w:t>
            </w:r>
          </w:p>
        </w:tc>
      </w:tr>
      <w:tr>
        <w:trPr/>
        <w:tc>
          <w:tcPr>
            <w:tcW w:w="6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Finance lease right-of-use assets, net</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shd w:fill="CCEEFF" w:val="clear"/>
            <w:vAlign w:val="center"/>
          </w:tcPr>
          <w:p>
            <w:pPr>
              <w:pStyle w:val="TableContents"/>
              <w:spacing w:before="0" w:after="283"/>
              <w:rPr>
                <w:sz w:val="4"/>
                <w:szCs w:val="4"/>
              </w:rPr>
            </w:pPr>
            <w:r>
              <w:rPr>
                <w:sz w:val="4"/>
                <w:szCs w:val="4"/>
              </w:rPr>
            </w:r>
          </w:p>
        </w:tc>
        <w:tc>
          <w:tcPr>
            <w:tcW w:w="10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53,468</w:t>
            </w:r>
          </w:p>
        </w:tc>
        <w:tc>
          <w:tcPr>
            <w:tcW w:w="109"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c>
          <w:tcPr>
            <w:tcW w:w="113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46,677</w:t>
            </w:r>
          </w:p>
        </w:tc>
      </w:tr>
      <w:tr>
        <w:trPr/>
        <w:tc>
          <w:tcPr>
            <w:tcW w:w="651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Restricted cash</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w:t>
            </w:r>
          </w:p>
        </w:tc>
      </w:tr>
      <w:tr>
        <w:trPr/>
        <w:tc>
          <w:tcPr>
            <w:tcW w:w="6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Available-for-sale security</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shd w:fill="CCEEFF" w:val="clear"/>
            <w:vAlign w:val="center"/>
          </w:tcPr>
          <w:p>
            <w:pPr>
              <w:pStyle w:val="TableContents"/>
              <w:spacing w:before="0" w:after="283"/>
              <w:rPr>
                <w:sz w:val="4"/>
                <w:szCs w:val="4"/>
              </w:rPr>
            </w:pPr>
            <w:r>
              <w:rPr>
                <w:sz w:val="4"/>
                <w:szCs w:val="4"/>
              </w:rPr>
            </w:r>
          </w:p>
        </w:tc>
        <w:tc>
          <w:tcPr>
            <w:tcW w:w="10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6,111</w:t>
            </w:r>
          </w:p>
        </w:tc>
        <w:tc>
          <w:tcPr>
            <w:tcW w:w="109"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c>
          <w:tcPr>
            <w:tcW w:w="113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6,432</w:t>
            </w:r>
          </w:p>
        </w:tc>
      </w:tr>
      <w:tr>
        <w:trPr/>
        <w:tc>
          <w:tcPr>
            <w:tcW w:w="651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assets, net</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99"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3,961</w:t>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35"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1,196</w:t>
            </w:r>
          </w:p>
        </w:tc>
      </w:tr>
      <w:tr>
        <w:trPr/>
        <w:tc>
          <w:tcPr>
            <w:tcW w:w="6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assets</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515,577</w:t>
            </w:r>
          </w:p>
        </w:tc>
        <w:tc>
          <w:tcPr>
            <w:tcW w:w="109" w:type="dxa"/>
            <w:tcBorders/>
            <w:shd w:fill="CCEEFF" w:val="clear"/>
            <w:vAlign w:val="center"/>
          </w:tcPr>
          <w:p>
            <w:pPr>
              <w:pStyle w:val="TableContents"/>
              <w:spacing w:before="0" w:after="283"/>
              <w:rPr>
                <w:sz w:val="4"/>
                <w:szCs w:val="4"/>
              </w:rPr>
            </w:pPr>
            <w:r>
              <w:rPr>
                <w:sz w:val="4"/>
                <w:szCs w:val="4"/>
              </w:rPr>
            </w:r>
          </w:p>
        </w:tc>
        <w:tc>
          <w:tcPr>
            <w:tcW w:w="29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3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474,050</w:t>
            </w:r>
          </w:p>
        </w:tc>
      </w:tr>
      <w:tr>
        <w:trPr/>
        <w:tc>
          <w:tcPr>
            <w:tcW w:w="6511" w:type="dxa"/>
            <w:tcBorders/>
            <w:shd w:fill="auto"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LIABILITIES AND SHAREHOLDERS&amp;apos; EQUITY</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9"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135"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r>
      <w:tr>
        <w:trPr/>
        <w:tc>
          <w:tcPr>
            <w:tcW w:w="6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 liabilities:</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shd w:fill="CCEEFF" w:val="clear"/>
            <w:vAlign w:val="center"/>
          </w:tcPr>
          <w:p>
            <w:pPr>
              <w:pStyle w:val="TableContents"/>
              <w:spacing w:before="0" w:after="283"/>
              <w:rPr>
                <w:sz w:val="4"/>
                <w:szCs w:val="4"/>
              </w:rPr>
            </w:pPr>
            <w:r>
              <w:rPr>
                <w:sz w:val="4"/>
                <w:szCs w:val="4"/>
              </w:rPr>
            </w:r>
          </w:p>
        </w:tc>
        <w:tc>
          <w:tcPr>
            <w:tcW w:w="109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c>
          <w:tcPr>
            <w:tcW w:w="1135" w:type="dxa"/>
            <w:tcBorders/>
            <w:shd w:fill="CCEEFF" w:val="clear"/>
            <w:vAlign w:val="center"/>
          </w:tcPr>
          <w:p>
            <w:pPr>
              <w:pStyle w:val="TableContents"/>
              <w:spacing w:before="0" w:after="283"/>
              <w:rPr>
                <w:sz w:val="4"/>
                <w:szCs w:val="4"/>
              </w:rPr>
            </w:pPr>
            <w:r>
              <w:rPr>
                <w:sz w:val="4"/>
                <w:szCs w:val="4"/>
              </w:rPr>
            </w:r>
          </w:p>
        </w:tc>
      </w:tr>
      <w:tr>
        <w:trPr/>
        <w:tc>
          <w:tcPr>
            <w:tcW w:w="651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Trade accounts payable</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9"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33,647</w:t>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35"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33,053</w:t>
            </w:r>
          </w:p>
        </w:tc>
      </w:tr>
      <w:tr>
        <w:trPr/>
        <w:tc>
          <w:tcPr>
            <w:tcW w:w="6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Accrued expenses and other current liabilities</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shd w:fill="CCEEFF" w:val="clear"/>
            <w:vAlign w:val="center"/>
          </w:tcPr>
          <w:p>
            <w:pPr>
              <w:pStyle w:val="TableContents"/>
              <w:spacing w:before="0" w:after="283"/>
              <w:rPr>
                <w:sz w:val="4"/>
                <w:szCs w:val="4"/>
              </w:rPr>
            </w:pPr>
            <w:r>
              <w:rPr>
                <w:sz w:val="4"/>
                <w:szCs w:val="4"/>
              </w:rPr>
            </w:r>
          </w:p>
        </w:tc>
        <w:tc>
          <w:tcPr>
            <w:tcW w:w="10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37,686</w:t>
            </w:r>
          </w:p>
        </w:tc>
        <w:tc>
          <w:tcPr>
            <w:tcW w:w="109"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c>
          <w:tcPr>
            <w:tcW w:w="113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29,464</w:t>
            </w:r>
          </w:p>
        </w:tc>
      </w:tr>
      <w:tr>
        <w:trPr/>
        <w:tc>
          <w:tcPr>
            <w:tcW w:w="651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 payable</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7,579</w:t>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3,427</w:t>
            </w:r>
          </w:p>
        </w:tc>
      </w:tr>
      <w:tr>
        <w:trPr/>
        <w:tc>
          <w:tcPr>
            <w:tcW w:w="6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 portion of operating lease liabilities</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shd w:fill="CCEEFF" w:val="clear"/>
            <w:vAlign w:val="center"/>
          </w:tcPr>
          <w:p>
            <w:pPr>
              <w:pStyle w:val="TableContents"/>
              <w:spacing w:before="0" w:after="283"/>
              <w:rPr>
                <w:sz w:val="4"/>
                <w:szCs w:val="4"/>
              </w:rPr>
            </w:pPr>
            <w:r>
              <w:rPr>
                <w:sz w:val="4"/>
                <w:szCs w:val="4"/>
              </w:rPr>
            </w:r>
          </w:p>
        </w:tc>
        <w:tc>
          <w:tcPr>
            <w:tcW w:w="10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11,050</w:t>
            </w:r>
          </w:p>
        </w:tc>
        <w:tc>
          <w:tcPr>
            <w:tcW w:w="109"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c>
          <w:tcPr>
            <w:tcW w:w="113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10,674</w:t>
            </w:r>
          </w:p>
        </w:tc>
      </w:tr>
      <w:tr>
        <w:trPr/>
        <w:tc>
          <w:tcPr>
            <w:tcW w:w="651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 portion of finance lease liabilities</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2,629</w:t>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1,600</w:t>
            </w:r>
          </w:p>
        </w:tc>
      </w:tr>
      <w:tr>
        <w:trPr/>
        <w:tc>
          <w:tcPr>
            <w:tcW w:w="6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 maturities of Duluth long-term debt</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shd w:fill="CCEEFF" w:val="clear"/>
            <w:vAlign w:val="center"/>
          </w:tcPr>
          <w:p>
            <w:pPr>
              <w:pStyle w:val="TableContents"/>
              <w:spacing w:before="0" w:after="283"/>
              <w:rPr>
                <w:sz w:val="4"/>
                <w:szCs w:val="4"/>
              </w:rPr>
            </w:pPr>
            <w:r>
              <w:rPr>
                <w:sz w:val="4"/>
                <w:szCs w:val="4"/>
              </w:rPr>
            </w:r>
          </w:p>
        </w:tc>
        <w:tc>
          <w:tcPr>
            <w:tcW w:w="10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2,500</w:t>
            </w:r>
          </w:p>
        </w:tc>
        <w:tc>
          <w:tcPr>
            <w:tcW w:w="109"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c>
          <w:tcPr>
            <w:tcW w:w="113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1,000</w:t>
            </w:r>
          </w:p>
        </w:tc>
      </w:tr>
      <w:tr>
        <w:trPr/>
        <w:tc>
          <w:tcPr>
            <w:tcW w:w="651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Current maturities of TRI long-term debt</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99"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623</w:t>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35"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557</w:t>
            </w:r>
          </w:p>
        </w:tc>
      </w:tr>
      <w:tr>
        <w:trPr/>
        <w:tc>
          <w:tcPr>
            <w:tcW w:w="6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current liabilities</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95,714</w:t>
            </w:r>
          </w:p>
        </w:tc>
        <w:tc>
          <w:tcPr>
            <w:tcW w:w="109" w:type="dxa"/>
            <w:tcBorders/>
            <w:shd w:fill="CCEEFF" w:val="clear"/>
            <w:vAlign w:val="center"/>
          </w:tcPr>
          <w:p>
            <w:pPr>
              <w:pStyle w:val="TableContents"/>
              <w:spacing w:before="0" w:after="283"/>
              <w:rPr>
                <w:sz w:val="4"/>
                <w:szCs w:val="4"/>
              </w:rPr>
            </w:pPr>
            <w:r>
              <w:rPr>
                <w:sz w:val="4"/>
                <w:szCs w:val="4"/>
              </w:rPr>
            </w:r>
          </w:p>
        </w:tc>
        <w:tc>
          <w:tcPr>
            <w:tcW w:w="290"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13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79,775</w:t>
            </w:r>
          </w:p>
        </w:tc>
      </w:tr>
      <w:tr>
        <w:trPr/>
        <w:tc>
          <w:tcPr>
            <w:tcW w:w="651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liabilities, less current portion</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104,287</w:t>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106,120</w:t>
            </w:r>
          </w:p>
        </w:tc>
      </w:tr>
      <w:tr>
        <w:trPr/>
        <w:tc>
          <w:tcPr>
            <w:tcW w:w="6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Finance lease liabilities, less current portion</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shd w:fill="CCEEFF" w:val="clear"/>
            <w:vAlign w:val="center"/>
          </w:tcPr>
          <w:p>
            <w:pPr>
              <w:pStyle w:val="TableContents"/>
              <w:spacing w:before="0" w:after="283"/>
              <w:rPr>
                <w:sz w:val="4"/>
                <w:szCs w:val="4"/>
              </w:rPr>
            </w:pPr>
            <w:r>
              <w:rPr>
                <w:sz w:val="4"/>
                <w:szCs w:val="4"/>
              </w:rPr>
            </w:r>
          </w:p>
        </w:tc>
        <w:tc>
          <w:tcPr>
            <w:tcW w:w="10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43,299</w:t>
            </w:r>
          </w:p>
        </w:tc>
        <w:tc>
          <w:tcPr>
            <w:tcW w:w="109"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c>
          <w:tcPr>
            <w:tcW w:w="113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37,434</w:t>
            </w:r>
          </w:p>
        </w:tc>
      </w:tr>
      <w:tr>
        <w:trPr/>
        <w:tc>
          <w:tcPr>
            <w:tcW w:w="651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Duluth long-term debt, less current maturities </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45,750</w:t>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38,332</w:t>
            </w:r>
          </w:p>
        </w:tc>
      </w:tr>
      <w:tr>
        <w:trPr/>
        <w:tc>
          <w:tcPr>
            <w:tcW w:w="6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TRI long-term debt, less current maturities</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shd w:fill="CCEEFF" w:val="clear"/>
            <w:vAlign w:val="center"/>
          </w:tcPr>
          <w:p>
            <w:pPr>
              <w:pStyle w:val="TableContents"/>
              <w:spacing w:before="0" w:after="283"/>
              <w:rPr>
                <w:sz w:val="4"/>
                <w:szCs w:val="4"/>
              </w:rPr>
            </w:pPr>
            <w:r>
              <w:rPr>
                <w:sz w:val="4"/>
                <w:szCs w:val="4"/>
              </w:rPr>
            </w:r>
          </w:p>
        </w:tc>
        <w:tc>
          <w:tcPr>
            <w:tcW w:w="10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27,229</w:t>
            </w:r>
          </w:p>
        </w:tc>
        <w:tc>
          <w:tcPr>
            <w:tcW w:w="109"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c>
          <w:tcPr>
            <w:tcW w:w="113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27,778</w:t>
            </w:r>
          </w:p>
        </w:tc>
      </w:tr>
      <w:tr>
        <w:trPr/>
        <w:tc>
          <w:tcPr>
            <w:tcW w:w="651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tax liabilities</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99"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8,200</w:t>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35"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8,505</w:t>
            </w:r>
          </w:p>
        </w:tc>
      </w:tr>
      <w:tr>
        <w:trPr/>
        <w:tc>
          <w:tcPr>
            <w:tcW w:w="6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liabilities</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324,479</w:t>
            </w:r>
          </w:p>
        </w:tc>
        <w:tc>
          <w:tcPr>
            <w:tcW w:w="109" w:type="dxa"/>
            <w:tcBorders/>
            <w:shd w:fill="CCEEFF" w:val="clear"/>
            <w:vAlign w:val="center"/>
          </w:tcPr>
          <w:p>
            <w:pPr>
              <w:pStyle w:val="TableContents"/>
              <w:spacing w:before="0" w:after="283"/>
              <w:rPr>
                <w:sz w:val="4"/>
                <w:szCs w:val="4"/>
              </w:rPr>
            </w:pPr>
            <w:r>
              <w:rPr>
                <w:sz w:val="4"/>
                <w:szCs w:val="4"/>
              </w:rPr>
            </w:r>
          </w:p>
        </w:tc>
        <w:tc>
          <w:tcPr>
            <w:tcW w:w="290"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13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297,944</w:t>
            </w:r>
          </w:p>
        </w:tc>
      </w:tr>
      <w:tr>
        <w:trPr/>
        <w:tc>
          <w:tcPr>
            <w:tcW w:w="651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Commitments and contingencies</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bidi w:val="0"/>
              <w:spacing w:lineRule="auto" w:line="259" w:before="0" w:after="283"/>
              <w:rPr>
                <w:caps w:val="false"/>
                <w:smallCaps w:val="false"/>
              </w:rPr>
            </w:pPr>
            <w:r>
              <w:rPr>
                <w:caps w:val="false"/>
                <w:smallCaps w:val="false"/>
              </w:rPr>
              <w:t> </w:t>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bidi w:val="0"/>
              <w:spacing w:lineRule="auto" w:line="259" w:before="0" w:after="283"/>
              <w:rPr>
                <w:caps w:val="false"/>
                <w:smallCaps w:val="false"/>
              </w:rPr>
            </w:pPr>
            <w:r>
              <w:rPr>
                <w:caps w:val="false"/>
                <w:smallCaps w:val="false"/>
              </w:rPr>
              <w:t> </w:t>
            </w:r>
          </w:p>
        </w:tc>
      </w:tr>
      <w:tr>
        <w:trPr/>
        <w:tc>
          <w:tcPr>
            <w:tcW w:w="6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Shareholders&amp;apos; equity:</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shd w:fill="CCEEFF" w:val="clear"/>
            <w:vAlign w:val="center"/>
          </w:tcPr>
          <w:p>
            <w:pPr>
              <w:pStyle w:val="TableContents"/>
              <w:spacing w:before="0" w:after="283"/>
              <w:rPr>
                <w:sz w:val="4"/>
                <w:szCs w:val="4"/>
              </w:rPr>
            </w:pPr>
            <w:r>
              <w:rPr>
                <w:sz w:val="4"/>
                <w:szCs w:val="4"/>
              </w:rPr>
            </w:r>
          </w:p>
        </w:tc>
        <w:tc>
          <w:tcPr>
            <w:tcW w:w="109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c>
          <w:tcPr>
            <w:tcW w:w="1135" w:type="dxa"/>
            <w:tcBorders/>
            <w:shd w:fill="CCEEFF" w:val="clear"/>
            <w:vAlign w:val="center"/>
          </w:tcPr>
          <w:p>
            <w:pPr>
              <w:pStyle w:val="TableContents"/>
              <w:spacing w:before="0" w:after="283"/>
              <w:rPr>
                <w:sz w:val="4"/>
                <w:szCs w:val="4"/>
              </w:rPr>
            </w:pPr>
            <w:r>
              <w:rPr>
                <w:sz w:val="4"/>
                <w:szCs w:val="4"/>
              </w:rPr>
            </w:r>
          </w:p>
        </w:tc>
      </w:tr>
      <w:tr>
        <w:trPr/>
        <w:tc>
          <w:tcPr>
            <w:tcW w:w="6511" w:type="dxa"/>
            <w:tcBorders/>
            <w:shd w:fill="auto"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Preferred stock,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par value; 10,000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authorized;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shares </w:t>
              <w:br/>
              <w:t>‎</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issued or outstanding as of January 31, 2021 and February 2, 2020</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6511"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Common stock (Class A),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par value; 10,000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authorized;</w:t>
              <w:br/>
              <w:t>‎</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3,364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issued and outstanding as of January 31, 2021 and</w:t>
              <w:br/>
              <w:t>‎</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February 2, 2020</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shd w:fill="CCEEFF" w:val="clear"/>
            <w:vAlign w:val="center"/>
          </w:tcPr>
          <w:p>
            <w:pPr>
              <w:pStyle w:val="TableContents"/>
              <w:spacing w:before="0" w:after="283"/>
              <w:rPr>
                <w:sz w:val="4"/>
                <w:szCs w:val="4"/>
              </w:rPr>
            </w:pPr>
            <w:r>
              <w:rPr>
                <w:sz w:val="4"/>
                <w:szCs w:val="4"/>
              </w:rPr>
            </w:r>
          </w:p>
        </w:tc>
        <w:tc>
          <w:tcPr>
            <w:tcW w:w="1099"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c>
          <w:tcPr>
            <w:tcW w:w="1135"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6511" w:type="dxa"/>
            <w:tcBorders/>
            <w:shd w:fill="auto"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Common stock (Class B),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par value; 200,000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shares authorized;</w:t>
              <w:br/>
              <w:t>‎29,530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issued and 29,477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outstanding as of January 31, 2021 and</w:t>
              <w:br/>
              <w:t>‎29,191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issued and 29,172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outstanding as of February 2, 2020</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6511"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Treasury stock, at cost; 53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19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as of January 31, 2021 and</w:t>
              <w:br/>
              <w:t>‎</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February 2, 2020, respectively</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shd w:fill="CCEEFF" w:val="clear"/>
            <w:vAlign w:val="center"/>
          </w:tcPr>
          <w:p>
            <w:pPr>
              <w:pStyle w:val="TableContents"/>
              <w:spacing w:before="0" w:after="283"/>
              <w:rPr>
                <w:sz w:val="4"/>
                <w:szCs w:val="4"/>
              </w:rPr>
            </w:pPr>
            <w:r>
              <w:rPr>
                <w:sz w:val="4"/>
                <w:szCs w:val="4"/>
              </w:rPr>
            </w:r>
          </w:p>
        </w:tc>
        <w:tc>
          <w:tcPr>
            <w:tcW w:w="10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(628)</w:t>
            </w:r>
          </w:p>
        </w:tc>
        <w:tc>
          <w:tcPr>
            <w:tcW w:w="109"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c>
          <w:tcPr>
            <w:tcW w:w="113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(407)</w:t>
            </w:r>
          </w:p>
        </w:tc>
      </w:tr>
      <w:tr>
        <w:trPr/>
        <w:tc>
          <w:tcPr>
            <w:tcW w:w="651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Capital stock</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92,875</w:t>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90,902</w:t>
            </w:r>
          </w:p>
        </w:tc>
      </w:tr>
      <w:tr>
        <w:trPr/>
        <w:tc>
          <w:tcPr>
            <w:tcW w:w="6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Retained earnings</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shd w:fill="CCEEFF" w:val="clear"/>
            <w:vAlign w:val="center"/>
          </w:tcPr>
          <w:p>
            <w:pPr>
              <w:pStyle w:val="TableContents"/>
              <w:spacing w:before="0" w:after="283"/>
              <w:rPr>
                <w:sz w:val="4"/>
                <w:szCs w:val="4"/>
              </w:rPr>
            </w:pPr>
            <w:r>
              <w:rPr>
                <w:sz w:val="4"/>
                <w:szCs w:val="4"/>
              </w:rPr>
            </w:r>
          </w:p>
        </w:tc>
        <w:tc>
          <w:tcPr>
            <w:tcW w:w="10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101,166</w:t>
            </w:r>
          </w:p>
        </w:tc>
        <w:tc>
          <w:tcPr>
            <w:tcW w:w="109"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c>
          <w:tcPr>
            <w:tcW w:w="113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87,589</w:t>
            </w:r>
          </w:p>
        </w:tc>
      </w:tr>
      <w:tr>
        <w:trPr/>
        <w:tc>
          <w:tcPr>
            <w:tcW w:w="651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Accumulated other 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99"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w:t>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35"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188</w:t>
            </w:r>
          </w:p>
        </w:tc>
      </w:tr>
      <w:tr>
        <w:trPr/>
        <w:tc>
          <w:tcPr>
            <w:tcW w:w="6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shareholders&amp;apos; equity of Duluth Holdings Inc.</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193,461</w:t>
            </w:r>
          </w:p>
        </w:tc>
        <w:tc>
          <w:tcPr>
            <w:tcW w:w="109" w:type="dxa"/>
            <w:tcBorders/>
            <w:shd w:fill="CCEEFF" w:val="clear"/>
            <w:vAlign w:val="center"/>
          </w:tcPr>
          <w:p>
            <w:pPr>
              <w:pStyle w:val="TableContents"/>
              <w:spacing w:before="0" w:after="283"/>
              <w:rPr>
                <w:sz w:val="4"/>
                <w:szCs w:val="4"/>
              </w:rPr>
            </w:pPr>
            <w:r>
              <w:rPr>
                <w:sz w:val="4"/>
                <w:szCs w:val="4"/>
              </w:rPr>
            </w:r>
          </w:p>
        </w:tc>
        <w:tc>
          <w:tcPr>
            <w:tcW w:w="290"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13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178,272</w:t>
            </w:r>
          </w:p>
        </w:tc>
      </w:tr>
      <w:tr>
        <w:trPr/>
        <w:tc>
          <w:tcPr>
            <w:tcW w:w="651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Noncontrolling interest</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99"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(2,363)</w:t>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35"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(2,166)</w:t>
            </w:r>
          </w:p>
        </w:tc>
      </w:tr>
      <w:tr>
        <w:trPr/>
        <w:tc>
          <w:tcPr>
            <w:tcW w:w="6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shareholders&amp;apos; equity</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09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191,098</w:t>
            </w:r>
          </w:p>
        </w:tc>
        <w:tc>
          <w:tcPr>
            <w:tcW w:w="109" w:type="dxa"/>
            <w:tcBorders/>
            <w:shd w:fill="CCEEFF" w:val="clear"/>
            <w:vAlign w:val="center"/>
          </w:tcPr>
          <w:p>
            <w:pPr>
              <w:pStyle w:val="TableContents"/>
              <w:spacing w:before="0" w:after="283"/>
              <w:rPr>
                <w:sz w:val="4"/>
                <w:szCs w:val="4"/>
              </w:rPr>
            </w:pPr>
            <w:r>
              <w:rPr>
                <w:sz w:val="4"/>
                <w:szCs w:val="4"/>
              </w:rPr>
            </w:r>
          </w:p>
        </w:tc>
        <w:tc>
          <w:tcPr>
            <w:tcW w:w="290"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13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176,106</w:t>
            </w:r>
          </w:p>
        </w:tc>
      </w:tr>
      <w:tr>
        <w:trPr/>
        <w:tc>
          <w:tcPr>
            <w:tcW w:w="651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liabilities and shareholders&amp;apos; equity</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9"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515,577</w:t>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35"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474,050</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these consolidated financial statements.</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43</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DULUTH HOLDINGS INC.</w:t>
      </w:r>
    </w:p>
    <w:p>
      <w:pPr>
        <w:pStyle w:val="TextBody"/>
        <w:bidi w:val="0"/>
        <w:spacing w:lineRule="auto" w:line="259"/>
        <w:rPr>
          <w:rFonts w:ascii="Times New Roman;serif" w:hAnsi="Times New Roman;serif"/>
          <w:b/>
          <w:i w:val="false"/>
          <w:caps w:val="false"/>
          <w:smallCaps w:val="false"/>
          <w:color w:val="000000"/>
          <w:sz w:val="20"/>
        </w:rPr>
      </w:pPr>
      <w:bookmarkStart w:id="19" w:name="ConsolidatedStmntOperations"/>
      <w:bookmarkEnd w:id="19"/>
      <w:r>
        <w:rPr>
          <w:rFonts w:ascii="Times New Roman;serif" w:hAnsi="Times New Roman;serif"/>
          <w:b/>
          <w:i w:val="false"/>
          <w:caps w:val="false"/>
          <w:smallCaps w:val="false"/>
          <w:color w:val="000000"/>
          <w:sz w:val="20"/>
        </w:rPr>
        <w:t>Consolidated Statements of Operations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(Amounts in thousands, except per share figures)</w:t>
      </w:r>
    </w:p>
    <w:tbl>
      <w:tblPr>
        <w:tblW w:w="8154" w:type="dxa"/>
        <w:jc w:val="left"/>
        <w:tblInd w:w="0" w:type="dxa"/>
        <w:tblCellMar>
          <w:top w:w="0" w:type="dxa"/>
          <w:left w:w="0" w:type="dxa"/>
          <w:bottom w:w="0" w:type="dxa"/>
          <w:right w:w="0" w:type="dxa"/>
        </w:tblCellMar>
      </w:tblPr>
      <w:tblGrid>
        <w:gridCol w:w="5116"/>
        <w:gridCol w:w="109"/>
        <w:gridCol w:w="296"/>
        <w:gridCol w:w="1099"/>
        <w:gridCol w:w="109"/>
        <w:gridCol w:w="290"/>
        <w:gridCol w:w="1135"/>
      </w:tblGrid>
      <w:tr>
        <w:trPr/>
        <w:tc>
          <w:tcPr>
            <w:tcW w:w="511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96" w:type="dxa"/>
            <w:tcBorders/>
            <w:shd w:fill="FFFFFF" w:val="clear"/>
            <w:vAlign w:val="center"/>
          </w:tcPr>
          <w:p>
            <w:pPr>
              <w:pStyle w:val="TableContents"/>
              <w:spacing w:before="0" w:after="283"/>
              <w:rPr>
                <w:sz w:val="4"/>
                <w:szCs w:val="4"/>
              </w:rPr>
            </w:pPr>
            <w:r>
              <w:rPr>
                <w:sz w:val="4"/>
                <w:szCs w:val="4"/>
              </w:rPr>
            </w:r>
          </w:p>
        </w:tc>
        <w:tc>
          <w:tcPr>
            <w:tcW w:w="109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90" w:type="dxa"/>
            <w:tcBorders/>
            <w:shd w:fill="FFFFFF" w:val="clear"/>
            <w:vAlign w:val="center"/>
          </w:tcPr>
          <w:p>
            <w:pPr>
              <w:pStyle w:val="TableContents"/>
              <w:spacing w:before="0" w:after="283"/>
              <w:rPr>
                <w:sz w:val="4"/>
                <w:szCs w:val="4"/>
              </w:rPr>
            </w:pPr>
            <w:r>
              <w:rPr>
                <w:sz w:val="4"/>
                <w:szCs w:val="4"/>
              </w:rPr>
            </w:r>
          </w:p>
        </w:tc>
        <w:tc>
          <w:tcPr>
            <w:tcW w:w="1135" w:type="dxa"/>
            <w:tcBorders/>
            <w:shd w:fill="FFFFFF" w:val="clear"/>
            <w:vAlign w:val="center"/>
          </w:tcPr>
          <w:p>
            <w:pPr>
              <w:pStyle w:val="TableContents"/>
              <w:spacing w:before="0" w:after="283"/>
              <w:rPr>
                <w:sz w:val="4"/>
                <w:szCs w:val="4"/>
              </w:rPr>
            </w:pPr>
            <w:r>
              <w:rPr>
                <w:sz w:val="4"/>
                <w:szCs w:val="4"/>
              </w:rPr>
            </w:r>
          </w:p>
        </w:tc>
      </w:tr>
      <w:tr>
        <w:trPr/>
        <w:tc>
          <w:tcPr>
            <w:tcW w:w="511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96" w:type="dxa"/>
            <w:tcBorders/>
            <w:shd w:fill="FFFFFF" w:val="clear"/>
            <w:vAlign w:val="center"/>
          </w:tcPr>
          <w:p>
            <w:pPr>
              <w:pStyle w:val="TableContents"/>
              <w:spacing w:before="0" w:after="283"/>
              <w:rPr>
                <w:sz w:val="4"/>
                <w:szCs w:val="4"/>
              </w:rPr>
            </w:pPr>
            <w:r>
              <w:rPr>
                <w:sz w:val="4"/>
                <w:szCs w:val="4"/>
              </w:rPr>
            </w:r>
          </w:p>
        </w:tc>
        <w:tc>
          <w:tcPr>
            <w:tcW w:w="109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90" w:type="dxa"/>
            <w:tcBorders/>
            <w:shd w:fill="FFFFFF" w:val="clear"/>
            <w:vAlign w:val="center"/>
          </w:tcPr>
          <w:p>
            <w:pPr>
              <w:pStyle w:val="TableContents"/>
              <w:spacing w:before="0" w:after="283"/>
              <w:rPr>
                <w:sz w:val="4"/>
                <w:szCs w:val="4"/>
              </w:rPr>
            </w:pPr>
            <w:r>
              <w:rPr>
                <w:sz w:val="4"/>
                <w:szCs w:val="4"/>
              </w:rPr>
            </w:r>
          </w:p>
        </w:tc>
        <w:tc>
          <w:tcPr>
            <w:tcW w:w="1135" w:type="dxa"/>
            <w:tcBorders/>
            <w:shd w:fill="FFFFFF" w:val="clear"/>
            <w:vAlign w:val="center"/>
          </w:tcPr>
          <w:p>
            <w:pPr>
              <w:pStyle w:val="TableContents"/>
              <w:spacing w:before="0" w:after="283"/>
              <w:rPr>
                <w:sz w:val="4"/>
                <w:szCs w:val="4"/>
              </w:rPr>
            </w:pPr>
            <w:r>
              <w:rPr>
                <w:sz w:val="4"/>
                <w:szCs w:val="4"/>
              </w:rPr>
            </w:r>
          </w:p>
        </w:tc>
      </w:tr>
      <w:tr>
        <w:trPr/>
        <w:tc>
          <w:tcPr>
            <w:tcW w:w="511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929"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Fiscal Year Ended</w:t>
            </w:r>
          </w:p>
        </w:tc>
      </w:tr>
      <w:tr>
        <w:trPr/>
        <w:tc>
          <w:tcPr>
            <w:tcW w:w="511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39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January 31, 2021</w:t>
            </w:r>
          </w:p>
        </w:tc>
        <w:tc>
          <w:tcPr>
            <w:tcW w:w="109" w:type="dxa"/>
            <w:tcBorders/>
            <w:shd w:fill="FFFFFF" w:val="clear"/>
            <w:vAlign w:val="center"/>
          </w:tcPr>
          <w:p>
            <w:pPr>
              <w:pStyle w:val="TableContents"/>
              <w:spacing w:before="0" w:after="283"/>
              <w:rPr>
                <w:sz w:val="4"/>
                <w:szCs w:val="4"/>
              </w:rPr>
            </w:pPr>
            <w:r>
              <w:rPr>
                <w:sz w:val="4"/>
                <w:szCs w:val="4"/>
              </w:rPr>
            </w:r>
          </w:p>
        </w:tc>
        <w:tc>
          <w:tcPr>
            <w:tcW w:w="142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February 2, 2020</w:t>
            </w:r>
          </w:p>
        </w:tc>
      </w:tr>
      <w:tr>
        <w:trPr/>
        <w:tc>
          <w:tcPr>
            <w:tcW w:w="51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sales</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638,783</w:t>
            </w:r>
          </w:p>
        </w:tc>
        <w:tc>
          <w:tcPr>
            <w:tcW w:w="109" w:type="dxa"/>
            <w:tcBorders/>
            <w:shd w:fill="CCEEFF" w:val="clear"/>
            <w:vAlign w:val="center"/>
          </w:tcPr>
          <w:p>
            <w:pPr>
              <w:pStyle w:val="TableContents"/>
              <w:spacing w:before="0" w:after="283"/>
              <w:rPr>
                <w:sz w:val="4"/>
                <w:szCs w:val="4"/>
              </w:rPr>
            </w:pPr>
            <w:r>
              <w:rPr>
                <w:sz w:val="4"/>
                <w:szCs w:val="4"/>
              </w:rPr>
            </w:r>
          </w:p>
        </w:tc>
        <w:tc>
          <w:tcPr>
            <w:tcW w:w="29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3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615,624</w:t>
            </w:r>
          </w:p>
        </w:tc>
      </w:tr>
      <w:tr>
        <w:trPr/>
        <w:tc>
          <w:tcPr>
            <w:tcW w:w="511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Cost of goods sold (excluding 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99"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307,257</w:t>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35"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287,475</w:t>
            </w:r>
          </w:p>
        </w:tc>
      </w:tr>
      <w:tr>
        <w:trPr/>
        <w:tc>
          <w:tcPr>
            <w:tcW w:w="51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Gross profit</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331,526</w:t>
            </w:r>
          </w:p>
        </w:tc>
        <w:tc>
          <w:tcPr>
            <w:tcW w:w="109" w:type="dxa"/>
            <w:tcBorders/>
            <w:shd w:fill="CCEEFF" w:val="clear"/>
            <w:vAlign w:val="center"/>
          </w:tcPr>
          <w:p>
            <w:pPr>
              <w:pStyle w:val="TableContents"/>
              <w:spacing w:before="0" w:after="283"/>
              <w:rPr>
                <w:sz w:val="4"/>
                <w:szCs w:val="4"/>
              </w:rPr>
            </w:pPr>
            <w:r>
              <w:rPr>
                <w:sz w:val="4"/>
                <w:szCs w:val="4"/>
              </w:rPr>
            </w:r>
          </w:p>
        </w:tc>
        <w:tc>
          <w:tcPr>
            <w:tcW w:w="290"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13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328,149</w:t>
            </w:r>
          </w:p>
        </w:tc>
      </w:tr>
      <w:tr>
        <w:trPr/>
        <w:tc>
          <w:tcPr>
            <w:tcW w:w="511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Selling, general and administrative expenses</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99"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307,311</w:t>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35"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300,041</w:t>
            </w:r>
          </w:p>
        </w:tc>
      </w:tr>
      <w:tr>
        <w:trPr/>
        <w:tc>
          <w:tcPr>
            <w:tcW w:w="51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income</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24,215</w:t>
            </w:r>
          </w:p>
        </w:tc>
        <w:tc>
          <w:tcPr>
            <w:tcW w:w="109" w:type="dxa"/>
            <w:tcBorders/>
            <w:shd w:fill="CCEEFF" w:val="clear"/>
            <w:vAlign w:val="center"/>
          </w:tcPr>
          <w:p>
            <w:pPr>
              <w:pStyle w:val="TableContents"/>
              <w:spacing w:before="0" w:after="283"/>
              <w:rPr>
                <w:sz w:val="4"/>
                <w:szCs w:val="4"/>
              </w:rPr>
            </w:pPr>
            <w:r>
              <w:rPr>
                <w:sz w:val="4"/>
                <w:szCs w:val="4"/>
              </w:rPr>
            </w:r>
          </w:p>
        </w:tc>
        <w:tc>
          <w:tcPr>
            <w:tcW w:w="290"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13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28,108</w:t>
            </w:r>
          </w:p>
        </w:tc>
      </w:tr>
      <w:tr>
        <w:trPr/>
        <w:tc>
          <w:tcPr>
            <w:tcW w:w="511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6,263</w:t>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4,471</w:t>
            </w:r>
          </w:p>
        </w:tc>
      </w:tr>
      <w:tr>
        <w:trPr/>
        <w:tc>
          <w:tcPr>
            <w:tcW w:w="51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income, net</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9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w:t>
            </w:r>
          </w:p>
        </w:tc>
        <w:tc>
          <w:tcPr>
            <w:tcW w:w="109" w:type="dxa"/>
            <w:tcBorders/>
            <w:shd w:fill="CCEEFF" w:val="clear"/>
            <w:vAlign w:val="center"/>
          </w:tcPr>
          <w:p>
            <w:pPr>
              <w:pStyle w:val="TableContents"/>
              <w:spacing w:before="0" w:after="283"/>
              <w:rPr>
                <w:sz w:val="4"/>
                <w:szCs w:val="4"/>
              </w:rPr>
            </w:pPr>
            <w:r>
              <w:rPr>
                <w:sz w:val="4"/>
                <w:szCs w:val="4"/>
              </w:rPr>
            </w:r>
          </w:p>
        </w:tc>
        <w:tc>
          <w:tcPr>
            <w:tcW w:w="290"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13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291</w:t>
            </w:r>
          </w:p>
        </w:tc>
      </w:tr>
      <w:tr>
        <w:trPr/>
        <w:tc>
          <w:tcPr>
            <w:tcW w:w="511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9" w:type="dxa"/>
            <w:tcBorders>
              <w:top w:val="single" w:sz="8"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18,017</w:t>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135" w:type="dxa"/>
            <w:tcBorders>
              <w:top w:val="single" w:sz="8"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23,928</w:t>
            </w:r>
          </w:p>
        </w:tc>
      </w:tr>
      <w:tr>
        <w:trPr/>
        <w:tc>
          <w:tcPr>
            <w:tcW w:w="51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 expense</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9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4,637</w:t>
            </w:r>
          </w:p>
        </w:tc>
        <w:tc>
          <w:tcPr>
            <w:tcW w:w="109" w:type="dxa"/>
            <w:tcBorders/>
            <w:shd w:fill="CCEEFF" w:val="clear"/>
            <w:vAlign w:val="center"/>
          </w:tcPr>
          <w:p>
            <w:pPr>
              <w:pStyle w:val="TableContents"/>
              <w:spacing w:before="0" w:after="283"/>
              <w:rPr>
                <w:sz w:val="4"/>
                <w:szCs w:val="4"/>
              </w:rPr>
            </w:pPr>
            <w:r>
              <w:rPr>
                <w:sz w:val="4"/>
                <w:szCs w:val="4"/>
              </w:rPr>
            </w:r>
          </w:p>
        </w:tc>
        <w:tc>
          <w:tcPr>
            <w:tcW w:w="290"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13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5,429</w:t>
            </w:r>
          </w:p>
        </w:tc>
      </w:tr>
      <w:tr>
        <w:trPr/>
        <w:tc>
          <w:tcPr>
            <w:tcW w:w="511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9" w:type="dxa"/>
            <w:tcBorders>
              <w:top w:val="single" w:sz="8"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13,380</w:t>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135" w:type="dxa"/>
            <w:tcBorders>
              <w:top w:val="single" w:sz="8"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18,499</w:t>
            </w:r>
          </w:p>
        </w:tc>
      </w:tr>
      <w:tr>
        <w:trPr/>
        <w:tc>
          <w:tcPr>
            <w:tcW w:w="51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Less: Net loss attributable to noncontrolling interest</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9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(197)</w:t>
            </w:r>
          </w:p>
        </w:tc>
        <w:tc>
          <w:tcPr>
            <w:tcW w:w="109" w:type="dxa"/>
            <w:tcBorders/>
            <w:shd w:fill="CCEEFF" w:val="clear"/>
            <w:vAlign w:val="center"/>
          </w:tcPr>
          <w:p>
            <w:pPr>
              <w:pStyle w:val="TableContents"/>
              <w:spacing w:before="0" w:after="283"/>
              <w:rPr>
                <w:sz w:val="4"/>
                <w:szCs w:val="4"/>
              </w:rPr>
            </w:pPr>
            <w:r>
              <w:rPr>
                <w:sz w:val="4"/>
                <w:szCs w:val="4"/>
              </w:rPr>
            </w:r>
          </w:p>
        </w:tc>
        <w:tc>
          <w:tcPr>
            <w:tcW w:w="290"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13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(422)</w:t>
            </w:r>
          </w:p>
        </w:tc>
      </w:tr>
      <w:tr>
        <w:trPr/>
        <w:tc>
          <w:tcPr>
            <w:tcW w:w="511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income attributable to controlling interest</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9"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13,577</w:t>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35"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18,921</w:t>
            </w:r>
          </w:p>
        </w:tc>
      </w:tr>
      <w:tr>
        <w:trPr/>
        <w:tc>
          <w:tcPr>
            <w:tcW w:w="5116"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Basic earnings per share (Class A and Class B):</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9"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90"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135"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r>
      <w:tr>
        <w:trPr/>
        <w:tc>
          <w:tcPr>
            <w:tcW w:w="5116" w:type="dxa"/>
            <w:tcBorders/>
            <w:shd w:fill="auto"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 xml:space="preserve">Weighted average shares of </w:t>
              <w:br/>
              <w:t>‎</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common stock outstanding</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99"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32,447</w:t>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35"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32,309</w:t>
            </w:r>
          </w:p>
        </w:tc>
      </w:tr>
      <w:tr>
        <w:trPr/>
        <w:tc>
          <w:tcPr>
            <w:tcW w:w="5116"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 xml:space="preserve">Net income per share attributable </w:t>
              <w:br/>
              <w:t>‎</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to controlling interest</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0.42</w:t>
            </w:r>
          </w:p>
        </w:tc>
        <w:tc>
          <w:tcPr>
            <w:tcW w:w="109" w:type="dxa"/>
            <w:tcBorders/>
            <w:shd w:fill="CCEEFF" w:val="clear"/>
            <w:vAlign w:val="center"/>
          </w:tcPr>
          <w:p>
            <w:pPr>
              <w:pStyle w:val="TableContents"/>
              <w:spacing w:before="0" w:after="283"/>
              <w:rPr>
                <w:sz w:val="4"/>
                <w:szCs w:val="4"/>
              </w:rPr>
            </w:pPr>
            <w:r>
              <w:rPr>
                <w:sz w:val="4"/>
                <w:szCs w:val="4"/>
              </w:rPr>
            </w:r>
          </w:p>
        </w:tc>
        <w:tc>
          <w:tcPr>
            <w:tcW w:w="29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3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0.59</w:t>
            </w:r>
          </w:p>
        </w:tc>
      </w:tr>
      <w:tr>
        <w:trPr/>
        <w:tc>
          <w:tcPr>
            <w:tcW w:w="5116" w:type="dxa"/>
            <w:tcBorders/>
            <w:shd w:fill="auto"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Diluted earnings per share (Class A and Class B):</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9"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135"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r>
      <w:tr>
        <w:trPr/>
        <w:tc>
          <w:tcPr>
            <w:tcW w:w="5116"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 xml:space="preserve">Weighted average shares and </w:t>
              <w:br/>
              <w:t>‎</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equivalents outstanding</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9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32,580</w:t>
            </w:r>
          </w:p>
        </w:tc>
        <w:tc>
          <w:tcPr>
            <w:tcW w:w="109" w:type="dxa"/>
            <w:tcBorders/>
            <w:shd w:fill="CCEEFF" w:val="clear"/>
            <w:vAlign w:val="center"/>
          </w:tcPr>
          <w:p>
            <w:pPr>
              <w:pStyle w:val="TableContents"/>
              <w:spacing w:before="0" w:after="283"/>
              <w:rPr>
                <w:sz w:val="4"/>
                <w:szCs w:val="4"/>
              </w:rPr>
            </w:pPr>
            <w:r>
              <w:rPr>
                <w:sz w:val="4"/>
                <w:szCs w:val="4"/>
              </w:rPr>
            </w:r>
          </w:p>
        </w:tc>
        <w:tc>
          <w:tcPr>
            <w:tcW w:w="290"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13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32,371</w:t>
            </w:r>
          </w:p>
        </w:tc>
      </w:tr>
      <w:tr>
        <w:trPr/>
        <w:tc>
          <w:tcPr>
            <w:tcW w:w="5116" w:type="dxa"/>
            <w:tcBorders/>
            <w:shd w:fill="auto"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 xml:space="preserve">Net income per share attributable </w:t>
              <w:br/>
              <w:t>‎</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to controlling interest</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9"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0.42</w:t>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35"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0.58</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these consolidated financial statements.</w:t>
      </w:r>
    </w:p>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DULUTH HOLDINGS INC.</w:t>
      </w:r>
    </w:p>
    <w:p>
      <w:pPr>
        <w:pStyle w:val="TextBody"/>
        <w:bidi w:val="0"/>
        <w:spacing w:lineRule="auto" w:line="259"/>
        <w:rPr>
          <w:rFonts w:ascii="Times New Roman;serif" w:hAnsi="Times New Roman;serif"/>
          <w:b/>
          <w:i w:val="false"/>
          <w:caps w:val="false"/>
          <w:smallCaps w:val="false"/>
          <w:color w:val="000000"/>
          <w:sz w:val="20"/>
        </w:rPr>
      </w:pPr>
      <w:bookmarkStart w:id="20" w:name="ConsolidatedStmntComprehensiveIncome"/>
      <w:bookmarkEnd w:id="20"/>
      <w:r>
        <w:rPr>
          <w:rFonts w:ascii="Times New Roman;serif" w:hAnsi="Times New Roman;serif"/>
          <w:b/>
          <w:i w:val="false"/>
          <w:caps w:val="false"/>
          <w:smallCaps w:val="false"/>
          <w:color w:val="000000"/>
          <w:sz w:val="20"/>
        </w:rPr>
        <w:t>Consolidated Statements of Comprehensive Income</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(Amounts in thousands)</w:t>
      </w:r>
    </w:p>
    <w:tbl>
      <w:tblPr>
        <w:tblW w:w="6114" w:type="dxa"/>
        <w:jc w:val="left"/>
        <w:tblInd w:w="0" w:type="dxa"/>
        <w:tblCellMar>
          <w:top w:w="0" w:type="dxa"/>
          <w:left w:w="0" w:type="dxa"/>
          <w:bottom w:w="0" w:type="dxa"/>
          <w:right w:w="0" w:type="dxa"/>
        </w:tblCellMar>
      </w:tblPr>
      <w:tblGrid>
        <w:gridCol w:w="3076"/>
        <w:gridCol w:w="109"/>
        <w:gridCol w:w="332"/>
        <w:gridCol w:w="1063"/>
        <w:gridCol w:w="109"/>
        <w:gridCol w:w="322"/>
        <w:gridCol w:w="1103"/>
      </w:tblGrid>
      <w:tr>
        <w:trPr/>
        <w:tc>
          <w:tcPr>
            <w:tcW w:w="307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32" w:type="dxa"/>
            <w:tcBorders/>
            <w:shd w:fill="FFFFFF" w:val="clear"/>
            <w:vAlign w:val="center"/>
          </w:tcPr>
          <w:p>
            <w:pPr>
              <w:pStyle w:val="TableContents"/>
              <w:spacing w:before="0" w:after="283"/>
              <w:rPr>
                <w:sz w:val="4"/>
                <w:szCs w:val="4"/>
              </w:rPr>
            </w:pPr>
            <w:r>
              <w:rPr>
                <w:sz w:val="4"/>
                <w:szCs w:val="4"/>
              </w:rPr>
            </w:r>
          </w:p>
        </w:tc>
        <w:tc>
          <w:tcPr>
            <w:tcW w:w="106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22" w:type="dxa"/>
            <w:tcBorders/>
            <w:shd w:fill="FFFFFF" w:val="clear"/>
            <w:vAlign w:val="center"/>
          </w:tcPr>
          <w:p>
            <w:pPr>
              <w:pStyle w:val="TableContents"/>
              <w:spacing w:before="0" w:after="283"/>
              <w:rPr>
                <w:sz w:val="4"/>
                <w:szCs w:val="4"/>
              </w:rPr>
            </w:pPr>
            <w:r>
              <w:rPr>
                <w:sz w:val="4"/>
                <w:szCs w:val="4"/>
              </w:rPr>
            </w:r>
          </w:p>
        </w:tc>
        <w:tc>
          <w:tcPr>
            <w:tcW w:w="1103" w:type="dxa"/>
            <w:tcBorders/>
            <w:shd w:fill="FFFFFF" w:val="clear"/>
            <w:vAlign w:val="center"/>
          </w:tcPr>
          <w:p>
            <w:pPr>
              <w:pStyle w:val="TableContents"/>
              <w:spacing w:before="0" w:after="283"/>
              <w:rPr>
                <w:sz w:val="4"/>
                <w:szCs w:val="4"/>
              </w:rPr>
            </w:pPr>
            <w:r>
              <w:rPr>
                <w:sz w:val="4"/>
                <w:szCs w:val="4"/>
              </w:rPr>
            </w:r>
          </w:p>
        </w:tc>
      </w:tr>
      <w:tr>
        <w:trPr/>
        <w:tc>
          <w:tcPr>
            <w:tcW w:w="307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32" w:type="dxa"/>
            <w:tcBorders/>
            <w:shd w:fill="FFFFFF" w:val="clear"/>
            <w:vAlign w:val="center"/>
          </w:tcPr>
          <w:p>
            <w:pPr>
              <w:pStyle w:val="TableContents"/>
              <w:spacing w:before="0" w:after="283"/>
              <w:rPr>
                <w:sz w:val="4"/>
                <w:szCs w:val="4"/>
              </w:rPr>
            </w:pPr>
            <w:r>
              <w:rPr>
                <w:sz w:val="4"/>
                <w:szCs w:val="4"/>
              </w:rPr>
            </w:r>
          </w:p>
        </w:tc>
        <w:tc>
          <w:tcPr>
            <w:tcW w:w="106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22" w:type="dxa"/>
            <w:tcBorders/>
            <w:shd w:fill="FFFFFF" w:val="clear"/>
            <w:vAlign w:val="center"/>
          </w:tcPr>
          <w:p>
            <w:pPr>
              <w:pStyle w:val="TableContents"/>
              <w:spacing w:before="0" w:after="283"/>
              <w:rPr>
                <w:sz w:val="4"/>
                <w:szCs w:val="4"/>
              </w:rPr>
            </w:pPr>
            <w:r>
              <w:rPr>
                <w:sz w:val="4"/>
                <w:szCs w:val="4"/>
              </w:rPr>
            </w:r>
          </w:p>
        </w:tc>
        <w:tc>
          <w:tcPr>
            <w:tcW w:w="1103" w:type="dxa"/>
            <w:tcBorders/>
            <w:shd w:fill="FFFFFF" w:val="clear"/>
            <w:vAlign w:val="center"/>
          </w:tcPr>
          <w:p>
            <w:pPr>
              <w:pStyle w:val="TableContents"/>
              <w:spacing w:before="0" w:after="283"/>
              <w:rPr>
                <w:sz w:val="4"/>
                <w:szCs w:val="4"/>
              </w:rPr>
            </w:pPr>
            <w:r>
              <w:rPr>
                <w:sz w:val="4"/>
                <w:szCs w:val="4"/>
              </w:rPr>
            </w:r>
          </w:p>
        </w:tc>
      </w:tr>
      <w:tr>
        <w:trPr/>
        <w:tc>
          <w:tcPr>
            <w:tcW w:w="307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929"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Fiscal Year Ended</w:t>
            </w:r>
          </w:p>
        </w:tc>
      </w:tr>
      <w:tr>
        <w:trPr/>
        <w:tc>
          <w:tcPr>
            <w:tcW w:w="307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39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January 31, 2021</w:t>
            </w:r>
          </w:p>
        </w:tc>
        <w:tc>
          <w:tcPr>
            <w:tcW w:w="109" w:type="dxa"/>
            <w:tcBorders/>
            <w:shd w:fill="FFFFFF" w:val="clear"/>
            <w:vAlign w:val="center"/>
          </w:tcPr>
          <w:p>
            <w:pPr>
              <w:pStyle w:val="TableContents"/>
              <w:spacing w:before="0" w:after="283"/>
              <w:rPr>
                <w:sz w:val="4"/>
                <w:szCs w:val="4"/>
              </w:rPr>
            </w:pPr>
            <w:r>
              <w:rPr>
                <w:sz w:val="4"/>
                <w:szCs w:val="4"/>
              </w:rPr>
            </w:r>
          </w:p>
        </w:tc>
        <w:tc>
          <w:tcPr>
            <w:tcW w:w="142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February 2, 2020</w:t>
            </w:r>
          </w:p>
        </w:tc>
      </w:tr>
      <w:tr>
        <w:trPr/>
        <w:tc>
          <w:tcPr>
            <w:tcW w:w="30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income</w:t>
            </w:r>
          </w:p>
        </w:tc>
        <w:tc>
          <w:tcPr>
            <w:tcW w:w="109" w:type="dxa"/>
            <w:tcBorders/>
            <w:shd w:fill="CCEEFF" w:val="clear"/>
            <w:vAlign w:val="center"/>
          </w:tcPr>
          <w:p>
            <w:pPr>
              <w:pStyle w:val="TableContents"/>
              <w:spacing w:before="0" w:after="283"/>
              <w:rPr>
                <w:sz w:val="4"/>
                <w:szCs w:val="4"/>
              </w:rPr>
            </w:pPr>
            <w:r>
              <w:rPr>
                <w:sz w:val="4"/>
                <w:szCs w:val="4"/>
              </w:rPr>
            </w:r>
          </w:p>
        </w:tc>
        <w:tc>
          <w:tcPr>
            <w:tcW w:w="33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13,380</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18,499</w:t>
            </w:r>
          </w:p>
        </w:tc>
      </w:tr>
      <w:tr>
        <w:trPr/>
        <w:tc>
          <w:tcPr>
            <w:tcW w:w="307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r>
      <w:tr>
        <w:trPr/>
        <w:tc>
          <w:tcPr>
            <w:tcW w:w="30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Securities available-for-sale:</w:t>
            </w:r>
          </w:p>
        </w:tc>
        <w:tc>
          <w:tcPr>
            <w:tcW w:w="109" w:type="dxa"/>
            <w:tcBorders/>
            <w:shd w:fill="CCEEFF" w:val="clear"/>
            <w:vAlign w:val="center"/>
          </w:tcPr>
          <w:p>
            <w:pPr>
              <w:pStyle w:val="TableContents"/>
              <w:spacing w:before="0" w:after="283"/>
              <w:rPr>
                <w:sz w:val="4"/>
                <w:szCs w:val="4"/>
              </w:rPr>
            </w:pPr>
            <w:r>
              <w:rPr>
                <w:sz w:val="4"/>
                <w:szCs w:val="4"/>
              </w:rPr>
            </w:r>
          </w:p>
        </w:tc>
        <w:tc>
          <w:tcPr>
            <w:tcW w:w="332" w:type="dxa"/>
            <w:tcBorders/>
            <w:shd w:fill="CCEEFF" w:val="clear"/>
            <w:vAlign w:val="center"/>
          </w:tcPr>
          <w:p>
            <w:pPr>
              <w:pStyle w:val="TableContents"/>
              <w:spacing w:before="0" w:after="283"/>
              <w:rPr>
                <w:sz w:val="4"/>
                <w:szCs w:val="4"/>
              </w:rPr>
            </w:pPr>
            <w:r>
              <w:rPr>
                <w:sz w:val="4"/>
                <w:szCs w:val="4"/>
              </w:rPr>
            </w:r>
          </w:p>
        </w:tc>
        <w:tc>
          <w:tcPr>
            <w:tcW w:w="1063"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shd w:fill="CCEEFF" w:val="clear"/>
            <w:vAlign w:val="center"/>
          </w:tcPr>
          <w:p>
            <w:pPr>
              <w:pStyle w:val="TableContents"/>
              <w:spacing w:before="0" w:after="283"/>
              <w:rPr>
                <w:sz w:val="4"/>
                <w:szCs w:val="4"/>
              </w:rPr>
            </w:pPr>
            <w:r>
              <w:rPr>
                <w:sz w:val="4"/>
                <w:szCs w:val="4"/>
              </w:rPr>
            </w:r>
          </w:p>
        </w:tc>
        <w:tc>
          <w:tcPr>
            <w:tcW w:w="1103" w:type="dxa"/>
            <w:tcBorders/>
            <w:shd w:fill="CCEEFF" w:val="clear"/>
            <w:vAlign w:val="center"/>
          </w:tcPr>
          <w:p>
            <w:pPr>
              <w:pStyle w:val="TableContents"/>
              <w:spacing w:before="0" w:after="283"/>
              <w:rPr>
                <w:sz w:val="4"/>
                <w:szCs w:val="4"/>
              </w:rPr>
            </w:pPr>
            <w:r>
              <w:rPr>
                <w:sz w:val="4"/>
                <w:szCs w:val="4"/>
              </w:rPr>
            </w:r>
          </w:p>
        </w:tc>
      </w:tr>
      <w:tr>
        <w:trPr/>
        <w:tc>
          <w:tcPr>
            <w:tcW w:w="307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Unrealized security (loss) income</w:t>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(190)</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254</w:t>
            </w:r>
          </w:p>
        </w:tc>
      </w:tr>
      <w:tr>
        <w:trPr/>
        <w:tc>
          <w:tcPr>
            <w:tcW w:w="30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 (benefit) expense</w:t>
            </w:r>
          </w:p>
        </w:tc>
        <w:tc>
          <w:tcPr>
            <w:tcW w:w="109" w:type="dxa"/>
            <w:tcBorders/>
            <w:shd w:fill="CCEEFF" w:val="clear"/>
            <w:vAlign w:val="center"/>
          </w:tcPr>
          <w:p>
            <w:pPr>
              <w:pStyle w:val="TableContents"/>
              <w:spacing w:before="0" w:after="283"/>
              <w:rPr>
                <w:sz w:val="4"/>
                <w:szCs w:val="4"/>
              </w:rPr>
            </w:pPr>
            <w:r>
              <w:rPr>
                <w:sz w:val="4"/>
                <w:szCs w:val="4"/>
              </w:rPr>
            </w:r>
          </w:p>
        </w:tc>
        <w:tc>
          <w:tcPr>
            <w:tcW w:w="332"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6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10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66</w:t>
            </w:r>
          </w:p>
        </w:tc>
      </w:tr>
      <w:tr>
        <w:trPr/>
        <w:tc>
          <w:tcPr>
            <w:tcW w:w="307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comprehensive (loss) income </w:t>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063"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(140)</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103"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188</w:t>
            </w:r>
          </w:p>
        </w:tc>
      </w:tr>
      <w:tr>
        <w:trPr/>
        <w:tc>
          <w:tcPr>
            <w:tcW w:w="30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Comprehensive income</w:t>
            </w:r>
          </w:p>
        </w:tc>
        <w:tc>
          <w:tcPr>
            <w:tcW w:w="109" w:type="dxa"/>
            <w:tcBorders/>
            <w:shd w:fill="CCEEFF" w:val="clear"/>
            <w:vAlign w:val="center"/>
          </w:tcPr>
          <w:p>
            <w:pPr>
              <w:pStyle w:val="TableContents"/>
              <w:spacing w:before="0" w:after="283"/>
              <w:rPr>
                <w:sz w:val="4"/>
                <w:szCs w:val="4"/>
              </w:rPr>
            </w:pPr>
            <w:r>
              <w:rPr>
                <w:sz w:val="4"/>
                <w:szCs w:val="4"/>
              </w:rPr>
            </w:r>
          </w:p>
        </w:tc>
        <w:tc>
          <w:tcPr>
            <w:tcW w:w="332"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6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13,240</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10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18,687</w:t>
            </w:r>
          </w:p>
        </w:tc>
      </w:tr>
      <w:tr>
        <w:trPr/>
        <w:tc>
          <w:tcPr>
            <w:tcW w:w="3076" w:type="dxa"/>
            <w:tcBorders/>
            <w:shd w:fill="auto"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Comprehensive loss attributable</w:t>
              <w:br/>
              <w:t>‎</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to noncontrolling interest</w:t>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63"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(197)</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3"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(422)</w:t>
            </w:r>
          </w:p>
        </w:tc>
      </w:tr>
      <w:tr>
        <w:trPr/>
        <w:tc>
          <w:tcPr>
            <w:tcW w:w="3076"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 xml:space="preserve">Comprehensive income attributable </w:t>
              <w:br/>
              <w:t>‎</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to controlling interest</w:t>
            </w:r>
          </w:p>
        </w:tc>
        <w:tc>
          <w:tcPr>
            <w:tcW w:w="109" w:type="dxa"/>
            <w:tcBorders/>
            <w:shd w:fill="CCEEFF" w:val="clear"/>
            <w:vAlign w:val="center"/>
          </w:tcPr>
          <w:p>
            <w:pPr>
              <w:pStyle w:val="TableContents"/>
              <w:spacing w:before="0" w:after="283"/>
              <w:rPr>
                <w:sz w:val="4"/>
                <w:szCs w:val="4"/>
              </w:rPr>
            </w:pPr>
            <w:r>
              <w:rPr>
                <w:sz w:val="4"/>
                <w:szCs w:val="4"/>
              </w:rPr>
            </w:r>
          </w:p>
        </w:tc>
        <w:tc>
          <w:tcPr>
            <w:tcW w:w="33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13,437</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19,109</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these consolidated financial statements.</w:t>
      </w:r>
    </w:p>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45</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color w:val="000000"/>
          <w:sz w:val="20"/>
        </w:rPr>
        <w:t xml:space="preserve">DULUTH </w:t>
      </w:r>
      <w:bookmarkStart w:id="21" w:name="ConsolidatedStmntShareholdersEquity"/>
      <w:bookmarkEnd w:id="21"/>
      <w:r>
        <w:rPr>
          <w:rFonts w:ascii="Times New Roman;serif" w:hAnsi="Times New Roman;serif"/>
          <w:b/>
          <w:i w:val="false"/>
          <w:caps w:val="false"/>
          <w:smallCaps w:val="false"/>
          <w:color w:val="000000"/>
          <w:sz w:val="20"/>
        </w:rPr>
        <w:t>HOLDINGS INC.</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Consolidated Statements of Shareholders’ Equity</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(Amounts in thousands)</w:t>
      </w:r>
    </w:p>
    <w:tbl>
      <w:tblPr>
        <w:tblW w:w="10254" w:type="dxa"/>
        <w:jc w:val="left"/>
        <w:tblInd w:w="0" w:type="dxa"/>
        <w:tblCellMar>
          <w:top w:w="0" w:type="dxa"/>
          <w:left w:w="0" w:type="dxa"/>
          <w:bottom w:w="0" w:type="dxa"/>
          <w:right w:w="0" w:type="dxa"/>
        </w:tblCellMar>
      </w:tblPr>
      <w:tblGrid>
        <w:gridCol w:w="2296"/>
        <w:gridCol w:w="109"/>
        <w:gridCol w:w="676"/>
        <w:gridCol w:w="109"/>
        <w:gridCol w:w="211"/>
        <w:gridCol w:w="676"/>
        <w:gridCol w:w="109"/>
        <w:gridCol w:w="211"/>
        <w:gridCol w:w="766"/>
        <w:gridCol w:w="109"/>
        <w:gridCol w:w="211"/>
        <w:gridCol w:w="781"/>
        <w:gridCol w:w="109"/>
        <w:gridCol w:w="356"/>
        <w:gridCol w:w="815"/>
        <w:gridCol w:w="109"/>
        <w:gridCol w:w="322"/>
        <w:gridCol w:w="969"/>
        <w:gridCol w:w="109"/>
        <w:gridCol w:w="244"/>
        <w:gridCol w:w="957"/>
      </w:tblGrid>
      <w:tr>
        <w:trPr/>
        <w:tc>
          <w:tcPr>
            <w:tcW w:w="22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7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7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56" w:type="dxa"/>
            <w:tcBorders/>
            <w:shd w:fill="FFFFFF" w:val="clear"/>
            <w:vAlign w:val="center"/>
          </w:tcPr>
          <w:p>
            <w:pPr>
              <w:pStyle w:val="TableContents"/>
              <w:spacing w:before="0" w:after="283"/>
              <w:rPr>
                <w:sz w:val="4"/>
                <w:szCs w:val="4"/>
              </w:rPr>
            </w:pPr>
            <w:r>
              <w:rPr>
                <w:sz w:val="4"/>
                <w:szCs w:val="4"/>
              </w:rPr>
            </w:r>
          </w:p>
        </w:tc>
        <w:tc>
          <w:tcPr>
            <w:tcW w:w="815"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22" w:type="dxa"/>
            <w:tcBorders/>
            <w:shd w:fill="FFFFFF" w:val="clear"/>
            <w:vAlign w:val="center"/>
          </w:tcPr>
          <w:p>
            <w:pPr>
              <w:pStyle w:val="TableContents"/>
              <w:spacing w:before="0" w:after="283"/>
              <w:rPr>
                <w:sz w:val="4"/>
                <w:szCs w:val="4"/>
              </w:rPr>
            </w:pPr>
            <w:r>
              <w:rPr>
                <w:sz w:val="4"/>
                <w:szCs w:val="4"/>
              </w:rPr>
            </w:r>
          </w:p>
        </w:tc>
        <w:tc>
          <w:tcPr>
            <w:tcW w:w="96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44" w:type="dxa"/>
            <w:tcBorders/>
            <w:shd w:fill="FFFFFF" w:val="clear"/>
            <w:vAlign w:val="center"/>
          </w:tcPr>
          <w:p>
            <w:pPr>
              <w:pStyle w:val="TableContents"/>
              <w:spacing w:before="0" w:after="283"/>
              <w:rPr>
                <w:sz w:val="4"/>
                <w:szCs w:val="4"/>
              </w:rPr>
            </w:pPr>
            <w:r>
              <w:rPr>
                <w:sz w:val="4"/>
                <w:szCs w:val="4"/>
              </w:rPr>
            </w:r>
          </w:p>
        </w:tc>
        <w:tc>
          <w:tcPr>
            <w:tcW w:w="957" w:type="dxa"/>
            <w:tcBorders/>
            <w:shd w:fill="FFFFFF" w:val="clear"/>
            <w:vAlign w:val="center"/>
          </w:tcPr>
          <w:p>
            <w:pPr>
              <w:pStyle w:val="TableContents"/>
              <w:spacing w:before="0" w:after="283"/>
              <w:rPr>
                <w:sz w:val="4"/>
                <w:szCs w:val="4"/>
              </w:rPr>
            </w:pPr>
            <w:r>
              <w:rPr>
                <w:sz w:val="4"/>
                <w:szCs w:val="4"/>
              </w:rPr>
            </w:r>
          </w:p>
        </w:tc>
      </w:tr>
      <w:tr>
        <w:trPr/>
        <w:tc>
          <w:tcPr>
            <w:tcW w:w="22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5139" w:type="dxa"/>
            <w:gridSpan w:val="13"/>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22" w:type="dxa"/>
            <w:tcBorders/>
            <w:shd w:fill="FFFFFF" w:val="clear"/>
            <w:vAlign w:val="center"/>
          </w:tcPr>
          <w:p>
            <w:pPr>
              <w:pStyle w:val="TableContents"/>
              <w:spacing w:before="0" w:after="283"/>
              <w:rPr>
                <w:sz w:val="4"/>
                <w:szCs w:val="4"/>
              </w:rPr>
            </w:pPr>
            <w:r>
              <w:rPr>
                <w:sz w:val="4"/>
                <w:szCs w:val="4"/>
              </w:rPr>
            </w:r>
          </w:p>
        </w:tc>
        <w:tc>
          <w:tcPr>
            <w:tcW w:w="96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44" w:type="dxa"/>
            <w:tcBorders/>
            <w:shd w:fill="FFFFFF" w:val="clear"/>
            <w:vAlign w:val="center"/>
          </w:tcPr>
          <w:p>
            <w:pPr>
              <w:pStyle w:val="TableContents"/>
              <w:spacing w:before="0" w:after="283"/>
              <w:rPr>
                <w:sz w:val="4"/>
                <w:szCs w:val="4"/>
              </w:rPr>
            </w:pPr>
            <w:r>
              <w:rPr>
                <w:sz w:val="4"/>
                <w:szCs w:val="4"/>
              </w:rPr>
            </w:r>
          </w:p>
        </w:tc>
        <w:tc>
          <w:tcPr>
            <w:tcW w:w="957" w:type="dxa"/>
            <w:tcBorders/>
            <w:shd w:fill="FFFFFF" w:val="clear"/>
            <w:vAlign w:val="center"/>
          </w:tcPr>
          <w:p>
            <w:pPr>
              <w:pStyle w:val="TableContents"/>
              <w:spacing w:before="0" w:after="283"/>
              <w:rPr>
                <w:sz w:val="4"/>
                <w:szCs w:val="4"/>
              </w:rPr>
            </w:pPr>
            <w:r>
              <w:rPr>
                <w:sz w:val="4"/>
                <w:szCs w:val="4"/>
              </w:rPr>
            </w:r>
          </w:p>
        </w:tc>
      </w:tr>
      <w:tr>
        <w:trPr/>
        <w:tc>
          <w:tcPr>
            <w:tcW w:w="22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7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7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56" w:type="dxa"/>
            <w:tcBorders/>
            <w:shd w:fill="FFFFFF" w:val="clear"/>
            <w:vAlign w:val="center"/>
          </w:tcPr>
          <w:p>
            <w:pPr>
              <w:pStyle w:val="TableContents"/>
              <w:spacing w:before="0" w:after="283"/>
              <w:rPr>
                <w:sz w:val="4"/>
                <w:szCs w:val="4"/>
              </w:rPr>
            </w:pPr>
            <w:r>
              <w:rPr>
                <w:sz w:val="4"/>
                <w:szCs w:val="4"/>
              </w:rPr>
            </w:r>
          </w:p>
        </w:tc>
        <w:tc>
          <w:tcPr>
            <w:tcW w:w="815"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22" w:type="dxa"/>
            <w:tcBorders/>
            <w:shd w:fill="FFFFFF" w:val="clear"/>
            <w:vAlign w:val="center"/>
          </w:tcPr>
          <w:p>
            <w:pPr>
              <w:pStyle w:val="TableContents"/>
              <w:spacing w:before="0" w:after="283"/>
              <w:rPr>
                <w:sz w:val="4"/>
                <w:szCs w:val="4"/>
              </w:rPr>
            </w:pPr>
            <w:r>
              <w:rPr>
                <w:sz w:val="4"/>
                <w:szCs w:val="4"/>
              </w:rPr>
            </w:r>
          </w:p>
        </w:tc>
        <w:tc>
          <w:tcPr>
            <w:tcW w:w="96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44" w:type="dxa"/>
            <w:tcBorders/>
            <w:shd w:fill="FFFFFF" w:val="clear"/>
            <w:vAlign w:val="center"/>
          </w:tcPr>
          <w:p>
            <w:pPr>
              <w:pStyle w:val="TableContents"/>
              <w:spacing w:before="0" w:after="283"/>
              <w:rPr>
                <w:sz w:val="4"/>
                <w:szCs w:val="4"/>
              </w:rPr>
            </w:pPr>
            <w:r>
              <w:rPr>
                <w:sz w:val="4"/>
                <w:szCs w:val="4"/>
              </w:rPr>
            </w:r>
          </w:p>
        </w:tc>
        <w:tc>
          <w:tcPr>
            <w:tcW w:w="957" w:type="dxa"/>
            <w:tcBorders/>
            <w:shd w:fill="FFFFFF" w:val="clear"/>
            <w:vAlign w:val="center"/>
          </w:tcPr>
          <w:p>
            <w:pPr>
              <w:pStyle w:val="TableContents"/>
              <w:spacing w:before="0" w:after="283"/>
              <w:rPr>
                <w:sz w:val="4"/>
                <w:szCs w:val="4"/>
              </w:rPr>
            </w:pPr>
            <w:r>
              <w:rPr>
                <w:sz w:val="4"/>
                <w:szCs w:val="4"/>
              </w:rPr>
            </w:r>
          </w:p>
        </w:tc>
      </w:tr>
      <w:tr>
        <w:trPr/>
        <w:tc>
          <w:tcPr>
            <w:tcW w:w="22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7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7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17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Accumulated </w:t>
            </w:r>
          </w:p>
        </w:tc>
        <w:tc>
          <w:tcPr>
            <w:tcW w:w="109" w:type="dxa"/>
            <w:tcBorders/>
            <w:shd w:fill="FFFFFF" w:val="clear"/>
            <w:vAlign w:val="center"/>
          </w:tcPr>
          <w:p>
            <w:pPr>
              <w:pStyle w:val="TableContents"/>
              <w:spacing w:before="0" w:after="283"/>
              <w:rPr>
                <w:sz w:val="4"/>
                <w:szCs w:val="4"/>
              </w:rPr>
            </w:pPr>
            <w:r>
              <w:rPr>
                <w:sz w:val="4"/>
                <w:szCs w:val="4"/>
              </w:rPr>
            </w:r>
          </w:p>
        </w:tc>
        <w:tc>
          <w:tcPr>
            <w:tcW w:w="129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Noncontrolling</w:t>
            </w:r>
          </w:p>
        </w:tc>
        <w:tc>
          <w:tcPr>
            <w:tcW w:w="109" w:type="dxa"/>
            <w:tcBorders/>
            <w:shd w:fill="FFFFFF" w:val="clear"/>
            <w:vAlign w:val="center"/>
          </w:tcPr>
          <w:p>
            <w:pPr>
              <w:pStyle w:val="TableContents"/>
              <w:spacing w:before="0" w:after="283"/>
              <w:rPr>
                <w:sz w:val="4"/>
                <w:szCs w:val="4"/>
              </w:rPr>
            </w:pPr>
            <w:r>
              <w:rPr>
                <w:sz w:val="4"/>
                <w:szCs w:val="4"/>
              </w:rPr>
            </w:r>
          </w:p>
        </w:tc>
        <w:tc>
          <w:tcPr>
            <w:tcW w:w="244" w:type="dxa"/>
            <w:tcBorders/>
            <w:shd w:fill="FFFFFF" w:val="clear"/>
            <w:vAlign w:val="center"/>
          </w:tcPr>
          <w:p>
            <w:pPr>
              <w:pStyle w:val="TableContents"/>
              <w:spacing w:before="0" w:after="283"/>
              <w:rPr>
                <w:sz w:val="4"/>
                <w:szCs w:val="4"/>
              </w:rPr>
            </w:pPr>
            <w:r>
              <w:rPr>
                <w:sz w:val="4"/>
                <w:szCs w:val="4"/>
              </w:rPr>
            </w:r>
          </w:p>
        </w:tc>
        <w:tc>
          <w:tcPr>
            <w:tcW w:w="957" w:type="dxa"/>
            <w:tcBorders/>
            <w:shd w:fill="FFFFFF" w:val="clear"/>
            <w:vAlign w:val="center"/>
          </w:tcPr>
          <w:p>
            <w:pPr>
              <w:pStyle w:val="TableContents"/>
              <w:spacing w:before="0" w:after="283"/>
              <w:rPr>
                <w:sz w:val="4"/>
                <w:szCs w:val="4"/>
              </w:rPr>
            </w:pPr>
            <w:r>
              <w:rPr>
                <w:sz w:val="4"/>
                <w:szCs w:val="4"/>
              </w:rPr>
            </w:r>
          </w:p>
        </w:tc>
      </w:tr>
      <w:tr>
        <w:trPr/>
        <w:tc>
          <w:tcPr>
            <w:tcW w:w="22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758" w:type="dxa"/>
            <w:gridSpan w:val="7"/>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Capital stock</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17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other</w:t>
            </w:r>
          </w:p>
        </w:tc>
        <w:tc>
          <w:tcPr>
            <w:tcW w:w="109" w:type="dxa"/>
            <w:tcBorders/>
            <w:shd w:fill="FFFFFF" w:val="clear"/>
            <w:vAlign w:val="center"/>
          </w:tcPr>
          <w:p>
            <w:pPr>
              <w:pStyle w:val="TableContents"/>
              <w:spacing w:before="0" w:after="283"/>
              <w:rPr>
                <w:sz w:val="4"/>
                <w:szCs w:val="4"/>
              </w:rPr>
            </w:pPr>
            <w:r>
              <w:rPr>
                <w:sz w:val="4"/>
                <w:szCs w:val="4"/>
              </w:rPr>
            </w:r>
          </w:p>
        </w:tc>
        <w:tc>
          <w:tcPr>
            <w:tcW w:w="129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interest in</w:t>
            </w:r>
          </w:p>
        </w:tc>
        <w:tc>
          <w:tcPr>
            <w:tcW w:w="109" w:type="dxa"/>
            <w:tcBorders/>
            <w:shd w:fill="FFFFFF" w:val="clear"/>
            <w:vAlign w:val="center"/>
          </w:tcPr>
          <w:p>
            <w:pPr>
              <w:pStyle w:val="TableContents"/>
              <w:spacing w:before="0" w:after="283"/>
              <w:rPr>
                <w:sz w:val="4"/>
                <w:szCs w:val="4"/>
              </w:rPr>
            </w:pPr>
            <w:r>
              <w:rPr>
                <w:sz w:val="4"/>
                <w:szCs w:val="4"/>
              </w:rPr>
            </w:r>
          </w:p>
        </w:tc>
        <w:tc>
          <w:tcPr>
            <w:tcW w:w="120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r>
      <w:tr>
        <w:trPr/>
        <w:tc>
          <w:tcPr>
            <w:tcW w:w="22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7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67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66" w:type="dxa"/>
            <w:tcBorders>
              <w:top w:val="single" w:sz="8" w:space="0" w:color="000000"/>
            </w:tcBorders>
            <w:shd w:fill="FFFF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Treasury</w:t>
            </w:r>
          </w:p>
        </w:tc>
        <w:tc>
          <w:tcPr>
            <w:tcW w:w="109" w:type="dxa"/>
            <w:tcBorders/>
            <w:shd w:fill="FFFFFF" w:val="clear"/>
            <w:vAlign w:val="center"/>
          </w:tcPr>
          <w:p>
            <w:pPr>
              <w:pStyle w:val="TableContents"/>
              <w:spacing w:before="0" w:after="283"/>
              <w:rPr>
                <w:sz w:val="4"/>
                <w:szCs w:val="4"/>
              </w:rPr>
            </w:pPr>
            <w:r>
              <w:rPr>
                <w:sz w:val="4"/>
                <w:szCs w:val="4"/>
              </w:rPr>
            </w:r>
          </w:p>
        </w:tc>
        <w:tc>
          <w:tcPr>
            <w:tcW w:w="992"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Retained </w:t>
            </w:r>
          </w:p>
        </w:tc>
        <w:tc>
          <w:tcPr>
            <w:tcW w:w="109" w:type="dxa"/>
            <w:tcBorders/>
            <w:shd w:fill="FFFFFF" w:val="clear"/>
            <w:vAlign w:val="center"/>
          </w:tcPr>
          <w:p>
            <w:pPr>
              <w:pStyle w:val="TableContents"/>
              <w:spacing w:before="0" w:after="283"/>
              <w:rPr>
                <w:sz w:val="4"/>
                <w:szCs w:val="4"/>
              </w:rPr>
            </w:pPr>
            <w:r>
              <w:rPr>
                <w:sz w:val="4"/>
                <w:szCs w:val="4"/>
              </w:rPr>
            </w:r>
          </w:p>
        </w:tc>
        <w:tc>
          <w:tcPr>
            <w:tcW w:w="117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comprehensive</w:t>
            </w:r>
          </w:p>
        </w:tc>
        <w:tc>
          <w:tcPr>
            <w:tcW w:w="109" w:type="dxa"/>
            <w:tcBorders/>
            <w:shd w:fill="FFFFFF" w:val="clear"/>
            <w:vAlign w:val="center"/>
          </w:tcPr>
          <w:p>
            <w:pPr>
              <w:pStyle w:val="TableContents"/>
              <w:spacing w:before="0" w:after="283"/>
              <w:rPr>
                <w:sz w:val="4"/>
                <w:szCs w:val="4"/>
              </w:rPr>
            </w:pPr>
            <w:r>
              <w:rPr>
                <w:sz w:val="4"/>
                <w:szCs w:val="4"/>
              </w:rPr>
            </w:r>
          </w:p>
        </w:tc>
        <w:tc>
          <w:tcPr>
            <w:tcW w:w="129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variable interest</w:t>
            </w:r>
          </w:p>
        </w:tc>
        <w:tc>
          <w:tcPr>
            <w:tcW w:w="109" w:type="dxa"/>
            <w:tcBorders/>
            <w:shd w:fill="FFFFFF" w:val="clear"/>
            <w:vAlign w:val="center"/>
          </w:tcPr>
          <w:p>
            <w:pPr>
              <w:pStyle w:val="TableContents"/>
              <w:spacing w:before="0" w:after="283"/>
              <w:rPr>
                <w:sz w:val="4"/>
                <w:szCs w:val="4"/>
              </w:rPr>
            </w:pPr>
            <w:r>
              <w:rPr>
                <w:sz w:val="4"/>
                <w:szCs w:val="4"/>
              </w:rPr>
            </w:r>
          </w:p>
        </w:tc>
        <w:tc>
          <w:tcPr>
            <w:tcW w:w="120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shareholders&amp;apos;</w:t>
            </w:r>
          </w:p>
        </w:tc>
      </w:tr>
      <w:tr>
        <w:trPr/>
        <w:tc>
          <w:tcPr>
            <w:tcW w:w="22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7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Shares</w:t>
            </w:r>
          </w:p>
        </w:tc>
        <w:tc>
          <w:tcPr>
            <w:tcW w:w="109" w:type="dxa"/>
            <w:tcBorders/>
            <w:shd w:fill="FFFFFF" w:val="clear"/>
            <w:vAlign w:val="center"/>
          </w:tcPr>
          <w:p>
            <w:pPr>
              <w:pStyle w:val="TableContents"/>
              <w:spacing w:before="0" w:after="283"/>
              <w:rPr>
                <w:sz w:val="4"/>
                <w:szCs w:val="4"/>
              </w:rPr>
            </w:pPr>
            <w:r>
              <w:rPr>
                <w:sz w:val="4"/>
                <w:szCs w:val="4"/>
              </w:rPr>
            </w:r>
          </w:p>
        </w:tc>
        <w:tc>
          <w:tcPr>
            <w:tcW w:w="887"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Amount</w:t>
            </w:r>
          </w:p>
        </w:tc>
        <w:tc>
          <w:tcPr>
            <w:tcW w:w="109" w:type="dxa"/>
            <w:tcBorders/>
            <w:shd w:fill="FFFFFF" w:val="clear"/>
            <w:vAlign w:val="center"/>
          </w:tcPr>
          <w:p>
            <w:pPr>
              <w:pStyle w:val="TableContents"/>
              <w:spacing w:before="0" w:after="283"/>
              <w:rPr>
                <w:sz w:val="4"/>
                <w:szCs w:val="4"/>
              </w:rPr>
            </w:pPr>
            <w:r>
              <w:rPr>
                <w:sz w:val="4"/>
                <w:szCs w:val="4"/>
              </w:rPr>
            </w:r>
          </w:p>
        </w:tc>
        <w:tc>
          <w:tcPr>
            <w:tcW w:w="977"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stock</w:t>
            </w:r>
          </w:p>
        </w:tc>
        <w:tc>
          <w:tcPr>
            <w:tcW w:w="109" w:type="dxa"/>
            <w:tcBorders/>
            <w:shd w:fill="FFFFFF" w:val="clear"/>
            <w:vAlign w:val="center"/>
          </w:tcPr>
          <w:p>
            <w:pPr>
              <w:pStyle w:val="TableContents"/>
              <w:spacing w:before="0" w:after="283"/>
              <w:rPr>
                <w:sz w:val="4"/>
                <w:szCs w:val="4"/>
              </w:rPr>
            </w:pPr>
            <w:r>
              <w:rPr>
                <w:sz w:val="4"/>
                <w:szCs w:val="4"/>
              </w:rPr>
            </w:r>
          </w:p>
        </w:tc>
        <w:tc>
          <w:tcPr>
            <w:tcW w:w="99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earnings</w:t>
            </w:r>
          </w:p>
        </w:tc>
        <w:tc>
          <w:tcPr>
            <w:tcW w:w="109" w:type="dxa"/>
            <w:tcBorders/>
            <w:shd w:fill="FFFFFF" w:val="clear"/>
            <w:vAlign w:val="center"/>
          </w:tcPr>
          <w:p>
            <w:pPr>
              <w:pStyle w:val="TableContents"/>
              <w:spacing w:before="0" w:after="283"/>
              <w:rPr>
                <w:sz w:val="4"/>
                <w:szCs w:val="4"/>
              </w:rPr>
            </w:pPr>
            <w:r>
              <w:rPr>
                <w:sz w:val="4"/>
                <w:szCs w:val="4"/>
              </w:rPr>
            </w:r>
          </w:p>
        </w:tc>
        <w:tc>
          <w:tcPr>
            <w:tcW w:w="117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loss</w:t>
            </w:r>
          </w:p>
        </w:tc>
        <w:tc>
          <w:tcPr>
            <w:tcW w:w="109" w:type="dxa"/>
            <w:tcBorders/>
            <w:shd w:fill="FFFFFF" w:val="clear"/>
            <w:vAlign w:val="center"/>
          </w:tcPr>
          <w:p>
            <w:pPr>
              <w:pStyle w:val="TableContents"/>
              <w:spacing w:before="0" w:after="283"/>
              <w:rPr>
                <w:sz w:val="4"/>
                <w:szCs w:val="4"/>
              </w:rPr>
            </w:pPr>
            <w:r>
              <w:rPr>
                <w:sz w:val="4"/>
                <w:szCs w:val="4"/>
              </w:rPr>
            </w:r>
          </w:p>
        </w:tc>
        <w:tc>
          <w:tcPr>
            <w:tcW w:w="129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entities</w:t>
            </w:r>
          </w:p>
        </w:tc>
        <w:tc>
          <w:tcPr>
            <w:tcW w:w="109" w:type="dxa"/>
            <w:tcBorders/>
            <w:shd w:fill="FFFFFF" w:val="clear"/>
            <w:vAlign w:val="center"/>
          </w:tcPr>
          <w:p>
            <w:pPr>
              <w:pStyle w:val="TableContents"/>
              <w:spacing w:before="0" w:after="283"/>
              <w:rPr>
                <w:sz w:val="4"/>
                <w:szCs w:val="4"/>
              </w:rPr>
            </w:pPr>
            <w:r>
              <w:rPr>
                <w:sz w:val="4"/>
                <w:szCs w:val="4"/>
              </w:rPr>
            </w:r>
          </w:p>
        </w:tc>
        <w:tc>
          <w:tcPr>
            <w:tcW w:w="120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equity</w:t>
            </w:r>
          </w:p>
        </w:tc>
      </w:tr>
      <w:tr>
        <w:trPr/>
        <w:tc>
          <w:tcPr>
            <w:tcW w:w="22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Balance at February 3, 2019</w:t>
            </w:r>
          </w:p>
        </w:tc>
        <w:tc>
          <w:tcPr>
            <w:tcW w:w="109" w:type="dxa"/>
            <w:tcBorders/>
            <w:shd w:fill="CCEEFF" w:val="clear"/>
            <w:vAlign w:val="center"/>
          </w:tcPr>
          <w:p>
            <w:pPr>
              <w:pStyle w:val="TableContents"/>
              <w:spacing w:before="0" w:after="283"/>
              <w:rPr>
                <w:sz w:val="4"/>
                <w:szCs w:val="4"/>
              </w:rPr>
            </w:pPr>
            <w:r>
              <w:rPr>
                <w:sz w:val="4"/>
                <w:szCs w:val="4"/>
              </w:rPr>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32,574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89,849</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6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70,592</w:t>
            </w:r>
          </w:p>
        </w:tc>
        <w:tc>
          <w:tcPr>
            <w:tcW w:w="109" w:type="dxa"/>
            <w:tcBorders/>
            <w:shd w:fill="CCEEFF" w:val="clear"/>
            <w:vAlign w:val="center"/>
          </w:tcPr>
          <w:p>
            <w:pPr>
              <w:pStyle w:val="TableContents"/>
              <w:spacing w:before="0" w:after="283"/>
              <w:rPr>
                <w:sz w:val="4"/>
                <w:szCs w:val="4"/>
              </w:rPr>
            </w:pPr>
            <w:r>
              <w:rPr>
                <w:sz w:val="4"/>
                <w:szCs w:val="4"/>
              </w:rPr>
            </w:r>
          </w:p>
        </w:tc>
        <w:tc>
          <w:tcPr>
            <w:tcW w:w="35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15"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6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(239)</w:t>
            </w:r>
          </w:p>
        </w:tc>
        <w:tc>
          <w:tcPr>
            <w:tcW w:w="109" w:type="dxa"/>
            <w:tcBorders/>
            <w:shd w:fill="CCEEFF" w:val="cle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5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160,110</w:t>
            </w:r>
          </w:p>
        </w:tc>
      </w:tr>
      <w:tr>
        <w:trPr/>
        <w:tc>
          <w:tcPr>
            <w:tcW w:w="2296" w:type="dxa"/>
            <w:tcBorders/>
            <w:shd w:fill="auto" w:val="clear"/>
            <w:vAlign w:val="center"/>
          </w:tcPr>
          <w:p>
            <w:pPr>
              <w:pStyle w:val="TableContents"/>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Cumulative effect from adoption of </w:t>
            </w:r>
          </w:p>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ASC 842</w:t>
            </w:r>
          </w:p>
        </w:tc>
        <w:tc>
          <w:tcPr>
            <w:tcW w:w="109"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(1,924)</w:t>
            </w:r>
          </w:p>
        </w:tc>
        <w:tc>
          <w:tcPr>
            <w:tcW w:w="109"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(1,924)</w:t>
            </w:r>
          </w:p>
        </w:tc>
      </w:tr>
      <w:tr>
        <w:trPr/>
        <w:tc>
          <w:tcPr>
            <w:tcW w:w="22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Issuance of common stock</w:t>
            </w:r>
          </w:p>
        </w:tc>
        <w:tc>
          <w:tcPr>
            <w:tcW w:w="109" w:type="dxa"/>
            <w:tcBorders/>
            <w:shd w:fill="CCEEFF" w:val="clear"/>
            <w:vAlign w:val="center"/>
          </w:tcPr>
          <w:p>
            <w:pPr>
              <w:pStyle w:val="TableContents"/>
              <w:spacing w:before="0" w:after="283"/>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6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8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356" w:type="dxa"/>
            <w:tcBorders/>
            <w:shd w:fill="CCEEFF" w:val="clear"/>
            <w:vAlign w:val="center"/>
          </w:tcPr>
          <w:p>
            <w:pPr>
              <w:pStyle w:val="TableContents"/>
              <w:spacing w:before="0" w:after="283"/>
              <w:rPr>
                <w:sz w:val="4"/>
                <w:szCs w:val="4"/>
              </w:rPr>
            </w:pPr>
            <w:r>
              <w:rPr>
                <w:sz w:val="4"/>
                <w:szCs w:val="4"/>
              </w:rPr>
            </w:r>
          </w:p>
        </w:tc>
        <w:tc>
          <w:tcPr>
            <w:tcW w:w="815"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shd w:fill="CCEEFF" w:val="clear"/>
            <w:vAlign w:val="center"/>
          </w:tcPr>
          <w:p>
            <w:pPr>
              <w:pStyle w:val="TableContents"/>
              <w:spacing w:before="0" w:after="283"/>
              <w:rPr>
                <w:sz w:val="4"/>
                <w:szCs w:val="4"/>
              </w:rPr>
            </w:pPr>
            <w:r>
              <w:rPr>
                <w:sz w:val="4"/>
                <w:szCs w:val="4"/>
              </w:rPr>
            </w:r>
          </w:p>
        </w:tc>
        <w:tc>
          <w:tcPr>
            <w:tcW w:w="969"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44" w:type="dxa"/>
            <w:tcBorders/>
            <w:shd w:fill="CCEEFF" w:val="clear"/>
            <w:vAlign w:val="center"/>
          </w:tcPr>
          <w:p>
            <w:pPr>
              <w:pStyle w:val="TableContents"/>
              <w:spacing w:before="0" w:after="283"/>
              <w:rPr>
                <w:sz w:val="4"/>
                <w:szCs w:val="4"/>
              </w:rPr>
            </w:pPr>
            <w:r>
              <w:rPr>
                <w:sz w:val="4"/>
                <w:szCs w:val="4"/>
              </w:rPr>
            </w:r>
          </w:p>
        </w:tc>
        <w:tc>
          <w:tcPr>
            <w:tcW w:w="95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554</w:t>
            </w:r>
          </w:p>
        </w:tc>
      </w:tr>
      <w:tr>
        <w:trPr/>
        <w:tc>
          <w:tcPr>
            <w:tcW w:w="229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Consolidation of TRI Holdings, LLC</w:t>
            </w:r>
          </w:p>
        </w:tc>
        <w:tc>
          <w:tcPr>
            <w:tcW w:w="109"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(1,505)</w:t>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(1,505)</w:t>
            </w:r>
          </w:p>
        </w:tc>
      </w:tr>
      <w:tr>
        <w:trPr/>
        <w:tc>
          <w:tcPr>
            <w:tcW w:w="22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Restricted stock forfeitures</w:t>
            </w:r>
          </w:p>
        </w:tc>
        <w:tc>
          <w:tcPr>
            <w:tcW w:w="109" w:type="dxa"/>
            <w:tcBorders/>
            <w:shd w:fill="CCEEFF" w:val="clear"/>
            <w:vAlign w:val="center"/>
          </w:tcPr>
          <w:p>
            <w:pPr>
              <w:pStyle w:val="TableContents"/>
              <w:spacing w:before="0" w:after="283"/>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7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6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8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356" w:type="dxa"/>
            <w:tcBorders/>
            <w:shd w:fill="CCEEFF" w:val="clear"/>
            <w:vAlign w:val="center"/>
          </w:tcPr>
          <w:p>
            <w:pPr>
              <w:pStyle w:val="TableContents"/>
              <w:spacing w:before="0" w:after="283"/>
              <w:rPr>
                <w:sz w:val="4"/>
                <w:szCs w:val="4"/>
              </w:rPr>
            </w:pPr>
            <w:r>
              <w:rPr>
                <w:sz w:val="4"/>
                <w:szCs w:val="4"/>
              </w:rPr>
            </w:r>
          </w:p>
        </w:tc>
        <w:tc>
          <w:tcPr>
            <w:tcW w:w="815"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shd w:fill="CCEEFF" w:val="clear"/>
            <w:vAlign w:val="center"/>
          </w:tcPr>
          <w:p>
            <w:pPr>
              <w:pStyle w:val="TableContents"/>
              <w:spacing w:before="0" w:after="283"/>
              <w:rPr>
                <w:sz w:val="4"/>
                <w:szCs w:val="4"/>
              </w:rPr>
            </w:pPr>
            <w:r>
              <w:rPr>
                <w:sz w:val="4"/>
                <w:szCs w:val="4"/>
              </w:rPr>
            </w:r>
          </w:p>
        </w:tc>
        <w:tc>
          <w:tcPr>
            <w:tcW w:w="969"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44" w:type="dxa"/>
            <w:tcBorders/>
            <w:shd w:fill="CCEEFF" w:val="clear"/>
            <w:vAlign w:val="center"/>
          </w:tcPr>
          <w:p>
            <w:pPr>
              <w:pStyle w:val="TableContents"/>
              <w:spacing w:before="0" w:after="283"/>
              <w:rPr>
                <w:sz w:val="4"/>
                <w:szCs w:val="4"/>
              </w:rPr>
            </w:pPr>
            <w:r>
              <w:rPr>
                <w:sz w:val="4"/>
                <w:szCs w:val="4"/>
              </w:rPr>
            </w:r>
          </w:p>
        </w:tc>
        <w:tc>
          <w:tcPr>
            <w:tcW w:w="957"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229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499</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499</w:t>
            </w:r>
          </w:p>
        </w:tc>
      </w:tr>
      <w:tr>
        <w:trPr/>
        <w:tc>
          <w:tcPr>
            <w:tcW w:w="2296" w:type="dxa"/>
            <w:tcBorders/>
            <w:shd w:fill="CCEEFF" w:val="clear"/>
            <w:vAlign w:val="center"/>
          </w:tcPr>
          <w:p>
            <w:pPr>
              <w:pStyle w:val="TableContents"/>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Restricted stock surrendered </w:t>
            </w:r>
          </w:p>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taxes</w:t>
            </w:r>
          </w:p>
        </w:tc>
        <w:tc>
          <w:tcPr>
            <w:tcW w:w="109" w:type="dxa"/>
            <w:tcBorders/>
            <w:shd w:fill="CCEEFF" w:val="clear"/>
            <w:vAlign w:val="center"/>
          </w:tcPr>
          <w:p>
            <w:pPr>
              <w:pStyle w:val="TableContents"/>
              <w:spacing w:before="0" w:after="283"/>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7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8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356" w:type="dxa"/>
            <w:tcBorders/>
            <w:shd w:fill="CCEEFF" w:val="clear"/>
            <w:vAlign w:val="center"/>
          </w:tcPr>
          <w:p>
            <w:pPr>
              <w:pStyle w:val="TableContents"/>
              <w:spacing w:before="0" w:after="283"/>
              <w:rPr>
                <w:sz w:val="4"/>
                <w:szCs w:val="4"/>
              </w:rPr>
            </w:pPr>
            <w:r>
              <w:rPr>
                <w:sz w:val="4"/>
                <w:szCs w:val="4"/>
              </w:rPr>
            </w:r>
          </w:p>
        </w:tc>
        <w:tc>
          <w:tcPr>
            <w:tcW w:w="815"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shd w:fill="CCEEFF" w:val="clear"/>
            <w:vAlign w:val="center"/>
          </w:tcPr>
          <w:p>
            <w:pPr>
              <w:pStyle w:val="TableContents"/>
              <w:spacing w:before="0" w:after="283"/>
              <w:rPr>
                <w:sz w:val="4"/>
                <w:szCs w:val="4"/>
              </w:rPr>
            </w:pPr>
            <w:r>
              <w:rPr>
                <w:sz w:val="4"/>
                <w:szCs w:val="4"/>
              </w:rPr>
            </w:r>
          </w:p>
        </w:tc>
        <w:tc>
          <w:tcPr>
            <w:tcW w:w="969"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44" w:type="dxa"/>
            <w:tcBorders/>
            <w:shd w:fill="CCEEFF" w:val="clear"/>
            <w:vAlign w:val="center"/>
          </w:tcPr>
          <w:p>
            <w:pPr>
              <w:pStyle w:val="TableContents"/>
              <w:spacing w:before="0" w:after="283"/>
              <w:rPr>
                <w:sz w:val="4"/>
                <w:szCs w:val="4"/>
              </w:rPr>
            </w:pPr>
            <w:r>
              <w:rPr>
                <w:sz w:val="4"/>
                <w:szCs w:val="4"/>
              </w:rPr>
            </w:r>
          </w:p>
        </w:tc>
        <w:tc>
          <w:tcPr>
            <w:tcW w:w="95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(315)</w:t>
            </w:r>
          </w:p>
        </w:tc>
      </w:tr>
      <w:tr>
        <w:trPr/>
        <w:tc>
          <w:tcPr>
            <w:tcW w:w="229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188</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188</w:t>
            </w:r>
          </w:p>
        </w:tc>
      </w:tr>
      <w:tr>
        <w:trPr/>
        <w:tc>
          <w:tcPr>
            <w:tcW w:w="22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income</w:t>
            </w:r>
          </w:p>
        </w:tc>
        <w:tc>
          <w:tcPr>
            <w:tcW w:w="109" w:type="dxa"/>
            <w:tcBorders/>
            <w:shd w:fill="CCEEFF" w:val="clear"/>
            <w:vAlign w:val="center"/>
          </w:tcPr>
          <w:p>
            <w:pPr>
              <w:pStyle w:val="TableContents"/>
              <w:spacing w:before="0" w:after="283"/>
              <w:rPr>
                <w:sz w:val="4"/>
                <w:szCs w:val="4"/>
              </w:rPr>
            </w:pPr>
            <w:r>
              <w:rPr>
                <w:sz w:val="4"/>
                <w:szCs w:val="4"/>
              </w:rPr>
            </w:r>
          </w:p>
        </w:tc>
        <w:tc>
          <w:tcPr>
            <w:tcW w:w="67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7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76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7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18,921</w:t>
            </w:r>
          </w:p>
        </w:tc>
        <w:tc>
          <w:tcPr>
            <w:tcW w:w="109" w:type="dxa"/>
            <w:tcBorders/>
            <w:shd w:fill="CCEEFF" w:val="clear"/>
            <w:vAlign w:val="center"/>
          </w:tcPr>
          <w:p>
            <w:pPr>
              <w:pStyle w:val="TableContents"/>
              <w:spacing w:before="0" w:after="283"/>
              <w:rPr>
                <w:sz w:val="4"/>
                <w:szCs w:val="4"/>
              </w:rPr>
            </w:pPr>
            <w:r>
              <w:rPr>
                <w:sz w:val="4"/>
                <w:szCs w:val="4"/>
              </w:rPr>
            </w:r>
          </w:p>
        </w:tc>
        <w:tc>
          <w:tcPr>
            <w:tcW w:w="35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15"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96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(422)</w:t>
            </w:r>
          </w:p>
        </w:tc>
        <w:tc>
          <w:tcPr>
            <w:tcW w:w="109" w:type="dxa"/>
            <w:tcBorders/>
            <w:shd w:fill="CCEEFF" w:val="clear"/>
            <w:vAlign w:val="center"/>
          </w:tcPr>
          <w:p>
            <w:pPr>
              <w:pStyle w:val="TableContents"/>
              <w:spacing w:before="0" w:after="283"/>
              <w:rPr>
                <w:sz w:val="4"/>
                <w:szCs w:val="4"/>
              </w:rPr>
            </w:pPr>
            <w:r>
              <w:rPr>
                <w:sz w:val="4"/>
                <w:szCs w:val="4"/>
              </w:rPr>
            </w:r>
          </w:p>
        </w:tc>
        <w:tc>
          <w:tcPr>
            <w:tcW w:w="244"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95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18,499</w:t>
            </w:r>
          </w:p>
        </w:tc>
      </w:tr>
      <w:tr>
        <w:trPr/>
        <w:tc>
          <w:tcPr>
            <w:tcW w:w="229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Balance at February 2, 2020</w:t>
            </w:r>
          </w:p>
        </w:tc>
        <w:tc>
          <w:tcPr>
            <w:tcW w:w="109" w:type="dxa"/>
            <w:tcBorders/>
            <w:shd w:fill="auto" w:val="clear"/>
            <w:vAlign w:val="center"/>
          </w:tcPr>
          <w:p>
            <w:pPr>
              <w:pStyle w:val="TableContents"/>
              <w:spacing w:before="0" w:after="283"/>
              <w:rPr>
                <w:sz w:val="4"/>
                <w:szCs w:val="4"/>
              </w:rPr>
            </w:pPr>
            <w:r>
              <w:rPr>
                <w:sz w:val="4"/>
                <w:szCs w:val="4"/>
              </w:rPr>
            </w:r>
          </w:p>
        </w:tc>
        <w:tc>
          <w:tcPr>
            <w:tcW w:w="676" w:type="dxa"/>
            <w:tcBorders>
              <w:top w:val="single" w:sz="8"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32,536</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6" w:type="dxa"/>
            <w:tcBorders>
              <w:top w:val="single" w:sz="8"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90,902</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66" w:type="dxa"/>
            <w:tcBorders>
              <w:top w:val="single" w:sz="8"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(407)</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81" w:type="dxa"/>
            <w:tcBorders>
              <w:top w:val="single" w:sz="8"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87,589</w:t>
            </w:r>
          </w:p>
        </w:tc>
        <w:tc>
          <w:tcPr>
            <w:tcW w:w="109" w:type="dxa"/>
            <w:tcBorders/>
            <w:shd w:fill="auto" w:val="clear"/>
            <w:vAlign w:val="center"/>
          </w:tcPr>
          <w:p>
            <w:pPr>
              <w:pStyle w:val="TableContents"/>
              <w:spacing w:before="0" w:after="283"/>
              <w:rPr>
                <w:sz w:val="4"/>
                <w:szCs w:val="4"/>
              </w:rPr>
            </w:pPr>
            <w:r>
              <w:rPr>
                <w:sz w:val="4"/>
                <w:szCs w:val="4"/>
              </w:rPr>
            </w:r>
          </w:p>
        </w:tc>
        <w:tc>
          <w:tcPr>
            <w:tcW w:w="356" w:type="dxa"/>
            <w:tcBorders>
              <w:top w:val="single" w:sz="8"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15" w:type="dxa"/>
            <w:tcBorders>
              <w:top w:val="single" w:sz="8"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188</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top w:val="single" w:sz="8"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69" w:type="dxa"/>
            <w:tcBorders>
              <w:top w:val="single" w:sz="8"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(2,166)</w:t>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top w:val="single" w:sz="8"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57" w:type="dxa"/>
            <w:tcBorders>
              <w:top w:val="single" w:sz="8"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176,106</w:t>
            </w:r>
          </w:p>
        </w:tc>
      </w:tr>
      <w:tr>
        <w:trPr/>
        <w:tc>
          <w:tcPr>
            <w:tcW w:w="22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Issuance of common stock</w:t>
            </w:r>
          </w:p>
        </w:tc>
        <w:tc>
          <w:tcPr>
            <w:tcW w:w="109" w:type="dxa"/>
            <w:tcBorders/>
            <w:shd w:fill="CCEEFF" w:val="clear"/>
            <w:vAlign w:val="center"/>
          </w:tcPr>
          <w:p>
            <w:pPr>
              <w:pStyle w:val="TableContents"/>
              <w:spacing w:before="0" w:after="283"/>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6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8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356" w:type="dxa"/>
            <w:tcBorders/>
            <w:shd w:fill="CCEEFF" w:val="clear"/>
            <w:vAlign w:val="center"/>
          </w:tcPr>
          <w:p>
            <w:pPr>
              <w:pStyle w:val="TableContents"/>
              <w:spacing w:before="0" w:after="283"/>
              <w:rPr>
                <w:sz w:val="4"/>
                <w:szCs w:val="4"/>
              </w:rPr>
            </w:pPr>
            <w:r>
              <w:rPr>
                <w:sz w:val="4"/>
                <w:szCs w:val="4"/>
              </w:rPr>
            </w:r>
          </w:p>
        </w:tc>
        <w:tc>
          <w:tcPr>
            <w:tcW w:w="815"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shd w:fill="CCEEFF" w:val="clear"/>
            <w:vAlign w:val="center"/>
          </w:tcPr>
          <w:p>
            <w:pPr>
              <w:pStyle w:val="TableContents"/>
              <w:spacing w:before="0" w:after="283"/>
              <w:rPr>
                <w:sz w:val="4"/>
                <w:szCs w:val="4"/>
              </w:rPr>
            </w:pPr>
            <w:r>
              <w:rPr>
                <w:sz w:val="4"/>
                <w:szCs w:val="4"/>
              </w:rPr>
            </w:r>
          </w:p>
        </w:tc>
        <w:tc>
          <w:tcPr>
            <w:tcW w:w="969"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44" w:type="dxa"/>
            <w:tcBorders/>
            <w:shd w:fill="CCEEFF" w:val="clear"/>
            <w:vAlign w:val="center"/>
          </w:tcPr>
          <w:p>
            <w:pPr>
              <w:pStyle w:val="TableContents"/>
              <w:spacing w:before="0" w:after="283"/>
              <w:rPr>
                <w:sz w:val="4"/>
                <w:szCs w:val="4"/>
              </w:rPr>
            </w:pPr>
            <w:r>
              <w:rPr>
                <w:sz w:val="4"/>
                <w:szCs w:val="4"/>
              </w:rPr>
            </w:r>
          </w:p>
        </w:tc>
        <w:tc>
          <w:tcPr>
            <w:tcW w:w="95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515</w:t>
            </w:r>
          </w:p>
        </w:tc>
      </w:tr>
      <w:tr>
        <w:trPr/>
        <w:tc>
          <w:tcPr>
            <w:tcW w:w="229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1,458</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1,458</w:t>
            </w:r>
          </w:p>
        </w:tc>
      </w:tr>
      <w:tr>
        <w:trPr/>
        <w:tc>
          <w:tcPr>
            <w:tcW w:w="22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Restricted stock forfeitures</w:t>
            </w:r>
          </w:p>
        </w:tc>
        <w:tc>
          <w:tcPr>
            <w:tcW w:w="109" w:type="dxa"/>
            <w:tcBorders/>
            <w:shd w:fill="CCEEFF" w:val="clear"/>
            <w:vAlign w:val="center"/>
          </w:tcPr>
          <w:p>
            <w:pPr>
              <w:pStyle w:val="TableContents"/>
              <w:spacing w:before="0" w:after="283"/>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7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6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8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356" w:type="dxa"/>
            <w:tcBorders/>
            <w:shd w:fill="CCEEFF" w:val="clear"/>
            <w:vAlign w:val="center"/>
          </w:tcPr>
          <w:p>
            <w:pPr>
              <w:pStyle w:val="TableContents"/>
              <w:spacing w:before="0" w:after="283"/>
              <w:rPr>
                <w:sz w:val="4"/>
                <w:szCs w:val="4"/>
              </w:rPr>
            </w:pPr>
            <w:r>
              <w:rPr>
                <w:sz w:val="4"/>
                <w:szCs w:val="4"/>
              </w:rPr>
            </w:r>
          </w:p>
        </w:tc>
        <w:tc>
          <w:tcPr>
            <w:tcW w:w="815"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shd w:fill="CCEEFF" w:val="clear"/>
            <w:vAlign w:val="center"/>
          </w:tcPr>
          <w:p>
            <w:pPr>
              <w:pStyle w:val="TableContents"/>
              <w:spacing w:before="0" w:after="283"/>
              <w:rPr>
                <w:sz w:val="4"/>
                <w:szCs w:val="4"/>
              </w:rPr>
            </w:pPr>
            <w:r>
              <w:rPr>
                <w:sz w:val="4"/>
                <w:szCs w:val="4"/>
              </w:rPr>
            </w:r>
          </w:p>
        </w:tc>
        <w:tc>
          <w:tcPr>
            <w:tcW w:w="969"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44" w:type="dxa"/>
            <w:tcBorders/>
            <w:shd w:fill="CCEEFF" w:val="clear"/>
            <w:vAlign w:val="center"/>
          </w:tcPr>
          <w:p>
            <w:pPr>
              <w:pStyle w:val="TableContents"/>
              <w:spacing w:before="0" w:after="283"/>
              <w:rPr>
                <w:sz w:val="4"/>
                <w:szCs w:val="4"/>
              </w:rPr>
            </w:pPr>
            <w:r>
              <w:rPr>
                <w:sz w:val="4"/>
                <w:szCs w:val="4"/>
              </w:rPr>
            </w:r>
          </w:p>
        </w:tc>
        <w:tc>
          <w:tcPr>
            <w:tcW w:w="957"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2296" w:type="dxa"/>
            <w:tcBorders/>
            <w:shd w:fill="auto" w:val="clear"/>
            <w:vAlign w:val="center"/>
          </w:tcPr>
          <w:p>
            <w:pPr>
              <w:pStyle w:val="TableContents"/>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Restricted stock surrendered </w:t>
            </w:r>
          </w:p>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taxes</w:t>
            </w:r>
          </w:p>
        </w:tc>
        <w:tc>
          <w:tcPr>
            <w:tcW w:w="109"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(221)</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(221)</w:t>
            </w:r>
          </w:p>
        </w:tc>
      </w:tr>
      <w:tr>
        <w:trPr/>
        <w:tc>
          <w:tcPr>
            <w:tcW w:w="22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comprehensive loss</w:t>
            </w:r>
          </w:p>
        </w:tc>
        <w:tc>
          <w:tcPr>
            <w:tcW w:w="109" w:type="dxa"/>
            <w:tcBorders/>
            <w:shd w:fill="CCEEFF" w:val="clear"/>
            <w:vAlign w:val="center"/>
          </w:tcPr>
          <w:p>
            <w:pPr>
              <w:pStyle w:val="TableContents"/>
              <w:spacing w:before="0" w:after="283"/>
              <w:rPr>
                <w:sz w:val="4"/>
                <w:szCs w:val="4"/>
              </w:rPr>
            </w:pPr>
            <w:r>
              <w:rPr>
                <w:sz w:val="4"/>
                <w:szCs w:val="4"/>
              </w:rPr>
            </w:r>
          </w:p>
        </w:tc>
        <w:tc>
          <w:tcPr>
            <w:tcW w:w="67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7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6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8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356" w:type="dxa"/>
            <w:tcBorders/>
            <w:shd w:fill="CCEEFF" w:val="clear"/>
            <w:vAlign w:val="center"/>
          </w:tcPr>
          <w:p>
            <w:pPr>
              <w:pStyle w:val="TableContents"/>
              <w:spacing w:before="0" w:after="283"/>
              <w:rPr>
                <w:sz w:val="4"/>
                <w:szCs w:val="4"/>
              </w:rPr>
            </w:pPr>
            <w:r>
              <w:rPr>
                <w:sz w:val="4"/>
                <w:szCs w:val="4"/>
              </w:rPr>
            </w:r>
          </w:p>
        </w:tc>
        <w:tc>
          <w:tcPr>
            <w:tcW w:w="81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(140)</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shd w:fill="CCEEFF" w:val="clear"/>
            <w:vAlign w:val="center"/>
          </w:tcPr>
          <w:p>
            <w:pPr>
              <w:pStyle w:val="TableContents"/>
              <w:spacing w:before="0" w:after="283"/>
              <w:rPr>
                <w:sz w:val="4"/>
                <w:szCs w:val="4"/>
              </w:rPr>
            </w:pPr>
            <w:r>
              <w:rPr>
                <w:sz w:val="4"/>
                <w:szCs w:val="4"/>
              </w:rPr>
            </w:r>
          </w:p>
        </w:tc>
        <w:tc>
          <w:tcPr>
            <w:tcW w:w="969"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44" w:type="dxa"/>
            <w:tcBorders/>
            <w:shd w:fill="CCEEFF" w:val="clear"/>
            <w:vAlign w:val="center"/>
          </w:tcPr>
          <w:p>
            <w:pPr>
              <w:pStyle w:val="TableContents"/>
              <w:spacing w:before="0" w:after="283"/>
              <w:rPr>
                <w:sz w:val="4"/>
                <w:szCs w:val="4"/>
              </w:rPr>
            </w:pPr>
            <w:r>
              <w:rPr>
                <w:sz w:val="4"/>
                <w:szCs w:val="4"/>
              </w:rPr>
            </w:r>
          </w:p>
        </w:tc>
        <w:tc>
          <w:tcPr>
            <w:tcW w:w="95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(140)</w:t>
            </w:r>
          </w:p>
        </w:tc>
      </w:tr>
      <w:tr>
        <w:trPr/>
        <w:tc>
          <w:tcPr>
            <w:tcW w:w="229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676" w:type="dxa"/>
            <w:tcBorders>
              <w:bottom w:val="single" w:sz="8" w:space="0" w:color="000000"/>
            </w:tcBorders>
            <w:shd w:fill="auto"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76" w:type="dxa"/>
            <w:tcBorders>
              <w:bottom w:val="single" w:sz="8" w:space="0" w:color="000000"/>
            </w:tcBorders>
            <w:shd w:fill="auto"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66" w:type="dxa"/>
            <w:tcBorders>
              <w:bottom w:val="single" w:sz="8" w:space="0" w:color="000000"/>
            </w:tcBorders>
            <w:shd w:fill="auto"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8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13,577</w:t>
            </w:r>
          </w:p>
        </w:tc>
        <w:tc>
          <w:tcPr>
            <w:tcW w:w="109" w:type="dxa"/>
            <w:tcBorders/>
            <w:shd w:fill="auto" w:val="clear"/>
            <w:vAlign w:val="center"/>
          </w:tcPr>
          <w:p>
            <w:pPr>
              <w:pStyle w:val="TableContents"/>
              <w:spacing w:before="0" w:after="283"/>
              <w:rPr>
                <w:sz w:val="4"/>
                <w:szCs w:val="4"/>
              </w:rPr>
            </w:pPr>
            <w:r>
              <w:rPr>
                <w:sz w:val="4"/>
                <w:szCs w:val="4"/>
              </w:rPr>
            </w:r>
          </w:p>
        </w:tc>
        <w:tc>
          <w:tcPr>
            <w:tcW w:w="35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5" w:type="dxa"/>
            <w:tcBorders>
              <w:bottom w:val="single" w:sz="8" w:space="0" w:color="000000"/>
            </w:tcBorders>
            <w:shd w:fill="auto"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69"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(197)</w:t>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57"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13,380</w:t>
            </w:r>
          </w:p>
        </w:tc>
      </w:tr>
      <w:tr>
        <w:trPr/>
        <w:tc>
          <w:tcPr>
            <w:tcW w:w="22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Balance at January 31, 2021</w:t>
            </w:r>
          </w:p>
        </w:tc>
        <w:tc>
          <w:tcPr>
            <w:tcW w:w="109" w:type="dxa"/>
            <w:tcBorders/>
            <w:shd w:fill="CCEEFF" w:val="clear"/>
            <w:vAlign w:val="center"/>
          </w:tcPr>
          <w:p>
            <w:pPr>
              <w:pStyle w:val="TableContents"/>
              <w:spacing w:before="0" w:after="283"/>
              <w:rPr>
                <w:sz w:val="4"/>
                <w:szCs w:val="4"/>
              </w:rPr>
            </w:pPr>
            <w:r>
              <w:rPr>
                <w:sz w:val="4"/>
                <w:szCs w:val="4"/>
              </w:rPr>
            </w:r>
          </w:p>
        </w:tc>
        <w:tc>
          <w:tcPr>
            <w:tcW w:w="67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32,841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92,875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6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(628)</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101,166</w:t>
            </w:r>
          </w:p>
        </w:tc>
        <w:tc>
          <w:tcPr>
            <w:tcW w:w="109" w:type="dxa"/>
            <w:tcBorders/>
            <w:shd w:fill="CCEEFF" w:val="clear"/>
            <w:vAlign w:val="center"/>
          </w:tcPr>
          <w:p>
            <w:pPr>
              <w:pStyle w:val="TableContents"/>
              <w:spacing w:before="0" w:after="283"/>
              <w:rPr>
                <w:sz w:val="4"/>
                <w:szCs w:val="4"/>
              </w:rPr>
            </w:pPr>
            <w:r>
              <w:rPr>
                <w:sz w:val="4"/>
                <w:szCs w:val="4"/>
              </w:rPr>
            </w:r>
          </w:p>
        </w:tc>
        <w:tc>
          <w:tcPr>
            <w:tcW w:w="35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1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6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(2,363)</w:t>
            </w:r>
          </w:p>
        </w:tc>
        <w:tc>
          <w:tcPr>
            <w:tcW w:w="109" w:type="dxa"/>
            <w:tcBorders/>
            <w:shd w:fill="CCEEFF" w:val="clear"/>
            <w:vAlign w:val="center"/>
          </w:tcPr>
          <w:p>
            <w:pPr>
              <w:pStyle w:val="TableContents"/>
              <w:spacing w:before="0" w:after="283"/>
              <w:rPr>
                <w:sz w:val="4"/>
                <w:szCs w:val="4"/>
              </w:rPr>
            </w:pPr>
            <w:r>
              <w:rPr>
                <w:sz w:val="4"/>
                <w:szCs w:val="4"/>
              </w:rPr>
            </w:r>
          </w:p>
        </w:tc>
        <w:tc>
          <w:tcPr>
            <w:tcW w:w="24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5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191,098</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these consolidated financial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46</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DULUTH HOLDINGS INC.</w:t>
      </w:r>
    </w:p>
    <w:p>
      <w:pPr>
        <w:pStyle w:val="TextBody"/>
        <w:bidi w:val="0"/>
        <w:spacing w:lineRule="auto" w:line="259"/>
        <w:rPr>
          <w:rFonts w:ascii="Times New Roman;serif" w:hAnsi="Times New Roman;serif"/>
          <w:b/>
          <w:i w:val="false"/>
          <w:caps w:val="false"/>
          <w:smallCaps w:val="false"/>
          <w:color w:val="000000"/>
          <w:sz w:val="20"/>
        </w:rPr>
      </w:pPr>
      <w:bookmarkStart w:id="22" w:name="ConsolidatedStmntofCashFlows"/>
      <w:bookmarkEnd w:id="22"/>
      <w:r>
        <w:rPr>
          <w:rFonts w:ascii="Times New Roman;serif" w:hAnsi="Times New Roman;serif"/>
          <w:b/>
          <w:i w:val="false"/>
          <w:caps w:val="false"/>
          <w:smallCaps w:val="false"/>
          <w:color w:val="000000"/>
          <w:sz w:val="20"/>
        </w:rPr>
        <w:t>Consolidated Statements of Cash Flows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(Amounts in thousands)</w:t>
      </w:r>
    </w:p>
    <w:tbl>
      <w:tblPr>
        <w:tblW w:w="8409" w:type="dxa"/>
        <w:jc w:val="left"/>
        <w:tblInd w:w="0" w:type="dxa"/>
        <w:tblCellMar>
          <w:top w:w="0" w:type="dxa"/>
          <w:left w:w="0" w:type="dxa"/>
          <w:bottom w:w="0" w:type="dxa"/>
          <w:right w:w="0" w:type="dxa"/>
        </w:tblCellMar>
      </w:tblPr>
      <w:tblGrid>
        <w:gridCol w:w="5371"/>
        <w:gridCol w:w="109"/>
        <w:gridCol w:w="264"/>
        <w:gridCol w:w="1131"/>
        <w:gridCol w:w="109"/>
        <w:gridCol w:w="260"/>
        <w:gridCol w:w="1165"/>
      </w:tblGrid>
      <w:tr>
        <w:trPr/>
        <w:tc>
          <w:tcPr>
            <w:tcW w:w="537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64" w:type="dxa"/>
            <w:tcBorders/>
            <w:shd w:fill="FFFFFF" w:val="clear"/>
            <w:vAlign w:val="center"/>
          </w:tcPr>
          <w:p>
            <w:pPr>
              <w:pStyle w:val="TableContents"/>
              <w:spacing w:before="0" w:after="283"/>
              <w:rPr>
                <w:sz w:val="4"/>
                <w:szCs w:val="4"/>
              </w:rPr>
            </w:pPr>
            <w:r>
              <w:rPr>
                <w:sz w:val="4"/>
                <w:szCs w:val="4"/>
              </w:rPr>
            </w:r>
          </w:p>
        </w:tc>
        <w:tc>
          <w:tcPr>
            <w:tcW w:w="113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60" w:type="dxa"/>
            <w:tcBorders/>
            <w:shd w:fill="FFFFFF" w:val="clear"/>
            <w:vAlign w:val="center"/>
          </w:tcPr>
          <w:p>
            <w:pPr>
              <w:pStyle w:val="TableContents"/>
              <w:spacing w:before="0" w:after="283"/>
              <w:rPr>
                <w:sz w:val="4"/>
                <w:szCs w:val="4"/>
              </w:rPr>
            </w:pPr>
            <w:r>
              <w:rPr>
                <w:sz w:val="4"/>
                <w:szCs w:val="4"/>
              </w:rPr>
            </w:r>
          </w:p>
        </w:tc>
        <w:tc>
          <w:tcPr>
            <w:tcW w:w="1165" w:type="dxa"/>
            <w:tcBorders/>
            <w:shd w:fill="FFFFFF" w:val="clear"/>
            <w:vAlign w:val="center"/>
          </w:tcPr>
          <w:p>
            <w:pPr>
              <w:pStyle w:val="TableContents"/>
              <w:spacing w:before="0" w:after="283"/>
              <w:rPr>
                <w:sz w:val="4"/>
                <w:szCs w:val="4"/>
              </w:rPr>
            </w:pPr>
            <w:r>
              <w:rPr>
                <w:sz w:val="4"/>
                <w:szCs w:val="4"/>
              </w:rPr>
            </w:r>
          </w:p>
        </w:tc>
      </w:tr>
      <w:tr>
        <w:trPr/>
        <w:tc>
          <w:tcPr>
            <w:tcW w:w="537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64" w:type="dxa"/>
            <w:tcBorders/>
            <w:shd w:fill="FFFFFF" w:val="clear"/>
            <w:vAlign w:val="center"/>
          </w:tcPr>
          <w:p>
            <w:pPr>
              <w:pStyle w:val="TableContents"/>
              <w:spacing w:before="0" w:after="283"/>
              <w:rPr>
                <w:sz w:val="4"/>
                <w:szCs w:val="4"/>
              </w:rPr>
            </w:pPr>
            <w:r>
              <w:rPr>
                <w:sz w:val="4"/>
                <w:szCs w:val="4"/>
              </w:rPr>
            </w:r>
          </w:p>
        </w:tc>
        <w:tc>
          <w:tcPr>
            <w:tcW w:w="113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60" w:type="dxa"/>
            <w:tcBorders/>
            <w:shd w:fill="FFFFFF" w:val="clear"/>
            <w:vAlign w:val="center"/>
          </w:tcPr>
          <w:p>
            <w:pPr>
              <w:pStyle w:val="TableContents"/>
              <w:spacing w:before="0" w:after="283"/>
              <w:rPr>
                <w:sz w:val="4"/>
                <w:szCs w:val="4"/>
              </w:rPr>
            </w:pPr>
            <w:r>
              <w:rPr>
                <w:sz w:val="4"/>
                <w:szCs w:val="4"/>
              </w:rPr>
            </w:r>
          </w:p>
        </w:tc>
        <w:tc>
          <w:tcPr>
            <w:tcW w:w="1165" w:type="dxa"/>
            <w:tcBorders/>
            <w:shd w:fill="FFFFFF" w:val="clear"/>
            <w:vAlign w:val="center"/>
          </w:tcPr>
          <w:p>
            <w:pPr>
              <w:pStyle w:val="TableContents"/>
              <w:spacing w:before="0" w:after="283"/>
              <w:rPr>
                <w:sz w:val="4"/>
                <w:szCs w:val="4"/>
              </w:rPr>
            </w:pPr>
            <w:r>
              <w:rPr>
                <w:sz w:val="4"/>
                <w:szCs w:val="4"/>
              </w:rPr>
            </w:r>
          </w:p>
        </w:tc>
      </w:tr>
      <w:tr>
        <w:trPr/>
        <w:tc>
          <w:tcPr>
            <w:tcW w:w="537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929"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Fiscal Year Ended</w:t>
            </w:r>
          </w:p>
        </w:tc>
      </w:tr>
      <w:tr>
        <w:trPr/>
        <w:tc>
          <w:tcPr>
            <w:tcW w:w="537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39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January 31, 2021</w:t>
            </w:r>
          </w:p>
        </w:tc>
        <w:tc>
          <w:tcPr>
            <w:tcW w:w="109" w:type="dxa"/>
            <w:tcBorders/>
            <w:shd w:fill="FFFFFF" w:val="clear"/>
            <w:vAlign w:val="center"/>
          </w:tcPr>
          <w:p>
            <w:pPr>
              <w:pStyle w:val="TableContents"/>
              <w:spacing w:before="0" w:after="283"/>
              <w:rPr>
                <w:sz w:val="4"/>
                <w:szCs w:val="4"/>
              </w:rPr>
            </w:pPr>
            <w:r>
              <w:rPr>
                <w:sz w:val="4"/>
                <w:szCs w:val="4"/>
              </w:rPr>
            </w:r>
          </w:p>
        </w:tc>
        <w:tc>
          <w:tcPr>
            <w:tcW w:w="142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February 2, 2020</w:t>
            </w:r>
          </w:p>
        </w:tc>
      </w:tr>
      <w:tr>
        <w:trPr/>
        <w:tc>
          <w:tcPr>
            <w:tcW w:w="537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Cash flows from operating activities:</w:t>
            </w:r>
          </w:p>
        </w:tc>
        <w:tc>
          <w:tcPr>
            <w:tcW w:w="109" w:type="dxa"/>
            <w:tcBorders/>
            <w:shd w:fill="CCEEFF" w:val="clear"/>
            <w:vAlign w:val="center"/>
          </w:tcPr>
          <w:p>
            <w:pPr>
              <w:pStyle w:val="TableContents"/>
              <w:spacing w:before="0" w:after="283"/>
              <w:rPr>
                <w:sz w:val="4"/>
                <w:szCs w:val="4"/>
              </w:rPr>
            </w:pPr>
            <w:r>
              <w:rPr>
                <w:sz w:val="4"/>
                <w:szCs w:val="4"/>
              </w:rPr>
            </w:r>
          </w:p>
        </w:tc>
        <w:tc>
          <w:tcPr>
            <w:tcW w:w="264"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13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60"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165"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r>
      <w:tr>
        <w:trPr/>
        <w:tc>
          <w:tcPr>
            <w:tcW w:w="53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3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13,380</w:t>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65"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18,499</w:t>
            </w:r>
          </w:p>
        </w:tc>
      </w:tr>
      <w:tr>
        <w:trPr/>
        <w:tc>
          <w:tcPr>
            <w:tcW w:w="5371"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 xml:space="preserve">Adjustments to reconcile net income to net cash provided </w:t>
              <w:br/>
              <w:t>‎</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by operating activities:</w:t>
            </w:r>
          </w:p>
        </w:tc>
        <w:tc>
          <w:tcPr>
            <w:tcW w:w="109" w:type="dxa"/>
            <w:tcBorders/>
            <w:shd w:fill="CCEEFF" w:val="clear"/>
            <w:vAlign w:val="center"/>
          </w:tcPr>
          <w:p>
            <w:pPr>
              <w:pStyle w:val="TableContents"/>
              <w:spacing w:before="0" w:after="283"/>
              <w:rPr>
                <w:sz w:val="4"/>
                <w:szCs w:val="4"/>
              </w:rPr>
            </w:pPr>
            <w:r>
              <w:rPr>
                <w:sz w:val="4"/>
                <w:szCs w:val="4"/>
              </w:rPr>
            </w:r>
          </w:p>
        </w:tc>
        <w:tc>
          <w:tcPr>
            <w:tcW w:w="264" w:type="dxa"/>
            <w:tcBorders/>
            <w:shd w:fill="CCEEFF" w:val="clear"/>
            <w:vAlign w:val="center"/>
          </w:tcPr>
          <w:p>
            <w:pPr>
              <w:pStyle w:val="TableContents"/>
              <w:spacing w:before="0" w:after="283"/>
              <w:rPr>
                <w:sz w:val="4"/>
                <w:szCs w:val="4"/>
              </w:rPr>
            </w:pPr>
            <w:r>
              <w:rPr>
                <w:sz w:val="4"/>
                <w:szCs w:val="4"/>
              </w:rPr>
            </w:r>
          </w:p>
        </w:tc>
        <w:tc>
          <w:tcPr>
            <w:tcW w:w="113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60" w:type="dxa"/>
            <w:tcBorders/>
            <w:shd w:fill="CCEEFF" w:val="clear"/>
            <w:vAlign w:val="center"/>
          </w:tcPr>
          <w:p>
            <w:pPr>
              <w:pStyle w:val="TableContents"/>
              <w:spacing w:before="0" w:after="283"/>
              <w:rPr>
                <w:sz w:val="4"/>
                <w:szCs w:val="4"/>
              </w:rPr>
            </w:pPr>
            <w:r>
              <w:rPr>
                <w:sz w:val="4"/>
                <w:szCs w:val="4"/>
              </w:rPr>
            </w:r>
          </w:p>
        </w:tc>
        <w:tc>
          <w:tcPr>
            <w:tcW w:w="1165" w:type="dxa"/>
            <w:tcBorders/>
            <w:shd w:fill="CCEEFF" w:val="clear"/>
            <w:vAlign w:val="center"/>
          </w:tcPr>
          <w:p>
            <w:pPr>
              <w:pStyle w:val="TableContents"/>
              <w:spacing w:before="0" w:after="283"/>
              <w:rPr>
                <w:sz w:val="4"/>
                <w:szCs w:val="4"/>
              </w:rPr>
            </w:pPr>
            <w:r>
              <w:rPr>
                <w:sz w:val="4"/>
                <w:szCs w:val="4"/>
              </w:rPr>
            </w:r>
          </w:p>
        </w:tc>
      </w:tr>
      <w:tr>
        <w:trPr/>
        <w:tc>
          <w:tcPr>
            <w:tcW w:w="53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28,520</w:t>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22,083</w:t>
            </w:r>
          </w:p>
        </w:tc>
      </w:tr>
      <w:tr>
        <w:trPr/>
        <w:tc>
          <w:tcPr>
            <w:tcW w:w="53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Stock-based compensation</w:t>
            </w:r>
          </w:p>
        </w:tc>
        <w:tc>
          <w:tcPr>
            <w:tcW w:w="109" w:type="dxa"/>
            <w:tcBorders/>
            <w:shd w:fill="CCEEFF" w:val="clear"/>
            <w:vAlign w:val="center"/>
          </w:tcPr>
          <w:p>
            <w:pPr>
              <w:pStyle w:val="TableContents"/>
              <w:spacing w:before="0" w:after="283"/>
              <w:rPr>
                <w:sz w:val="4"/>
                <w:szCs w:val="4"/>
              </w:rPr>
            </w:pPr>
            <w:r>
              <w:rPr>
                <w:sz w:val="4"/>
                <w:szCs w:val="4"/>
              </w:rPr>
            </w:r>
          </w:p>
        </w:tc>
        <w:tc>
          <w:tcPr>
            <w:tcW w:w="264" w:type="dxa"/>
            <w:tcBorders/>
            <w:shd w:fill="CCEEFF" w:val="clear"/>
            <w:vAlign w:val="center"/>
          </w:tcPr>
          <w:p>
            <w:pPr>
              <w:pStyle w:val="TableContents"/>
              <w:spacing w:before="0" w:after="283"/>
              <w:rPr>
                <w:sz w:val="4"/>
                <w:szCs w:val="4"/>
              </w:rPr>
            </w:pPr>
            <w:r>
              <w:rPr>
                <w:sz w:val="4"/>
                <w:szCs w:val="4"/>
              </w:rPr>
            </w:r>
          </w:p>
        </w:tc>
        <w:tc>
          <w:tcPr>
            <w:tcW w:w="11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1,629</w:t>
            </w:r>
          </w:p>
        </w:tc>
        <w:tc>
          <w:tcPr>
            <w:tcW w:w="109" w:type="dxa"/>
            <w:tcBorders/>
            <w:shd w:fill="CCEEFF" w:val="clear"/>
            <w:vAlign w:val="center"/>
          </w:tcPr>
          <w:p>
            <w:pPr>
              <w:pStyle w:val="TableContents"/>
              <w:spacing w:before="0" w:after="283"/>
              <w:rPr>
                <w:sz w:val="4"/>
                <w:szCs w:val="4"/>
              </w:rPr>
            </w:pPr>
            <w:r>
              <w:rPr>
                <w:sz w:val="4"/>
                <w:szCs w:val="4"/>
              </w:rPr>
            </w:r>
          </w:p>
        </w:tc>
        <w:tc>
          <w:tcPr>
            <w:tcW w:w="260" w:type="dxa"/>
            <w:tcBorders/>
            <w:shd w:fill="CCEEFF" w:val="clear"/>
            <w:vAlign w:val="center"/>
          </w:tcPr>
          <w:p>
            <w:pPr>
              <w:pStyle w:val="TableContents"/>
              <w:spacing w:before="0" w:after="283"/>
              <w:rPr>
                <w:sz w:val="4"/>
                <w:szCs w:val="4"/>
              </w:rPr>
            </w:pPr>
            <w:r>
              <w:rPr>
                <w:sz w:val="4"/>
                <w:szCs w:val="4"/>
              </w:rPr>
            </w:r>
          </w:p>
        </w:tc>
        <w:tc>
          <w:tcPr>
            <w:tcW w:w="11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647</w:t>
            </w:r>
          </w:p>
        </w:tc>
      </w:tr>
      <w:tr>
        <w:trPr/>
        <w:tc>
          <w:tcPr>
            <w:tcW w:w="53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income taxes</w:t>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(255)</w:t>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(1,151)</w:t>
            </w:r>
          </w:p>
        </w:tc>
      </w:tr>
      <w:tr>
        <w:trPr/>
        <w:tc>
          <w:tcPr>
            <w:tcW w:w="53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on disposal of property and equipment</w:t>
            </w:r>
          </w:p>
        </w:tc>
        <w:tc>
          <w:tcPr>
            <w:tcW w:w="109" w:type="dxa"/>
            <w:tcBorders/>
            <w:shd w:fill="CCEEFF" w:val="clear"/>
            <w:vAlign w:val="center"/>
          </w:tcPr>
          <w:p>
            <w:pPr>
              <w:pStyle w:val="TableContents"/>
              <w:spacing w:before="0" w:after="283"/>
              <w:rPr>
                <w:sz w:val="4"/>
                <w:szCs w:val="4"/>
              </w:rPr>
            </w:pPr>
            <w:r>
              <w:rPr>
                <w:sz w:val="4"/>
                <w:szCs w:val="4"/>
              </w:rPr>
            </w:r>
          </w:p>
        </w:tc>
        <w:tc>
          <w:tcPr>
            <w:tcW w:w="264" w:type="dxa"/>
            <w:tcBorders/>
            <w:shd w:fill="CCEEFF" w:val="clear"/>
            <w:vAlign w:val="center"/>
          </w:tcPr>
          <w:p>
            <w:pPr>
              <w:pStyle w:val="TableContents"/>
              <w:spacing w:before="0" w:after="283"/>
              <w:rPr>
                <w:sz w:val="4"/>
                <w:szCs w:val="4"/>
              </w:rPr>
            </w:pPr>
            <w:r>
              <w:rPr>
                <w:sz w:val="4"/>
                <w:szCs w:val="4"/>
              </w:rPr>
            </w:r>
          </w:p>
        </w:tc>
        <w:tc>
          <w:tcPr>
            <w:tcW w:w="11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324</w:t>
            </w:r>
          </w:p>
        </w:tc>
        <w:tc>
          <w:tcPr>
            <w:tcW w:w="109" w:type="dxa"/>
            <w:tcBorders/>
            <w:shd w:fill="CCEEFF" w:val="clear"/>
            <w:vAlign w:val="center"/>
          </w:tcPr>
          <w:p>
            <w:pPr>
              <w:pStyle w:val="TableContents"/>
              <w:spacing w:before="0" w:after="283"/>
              <w:rPr>
                <w:sz w:val="4"/>
                <w:szCs w:val="4"/>
              </w:rPr>
            </w:pPr>
            <w:r>
              <w:rPr>
                <w:sz w:val="4"/>
                <w:szCs w:val="4"/>
              </w:rPr>
            </w:r>
          </w:p>
        </w:tc>
        <w:tc>
          <w:tcPr>
            <w:tcW w:w="260" w:type="dxa"/>
            <w:tcBorders/>
            <w:shd w:fill="CCEEFF" w:val="clear"/>
            <w:vAlign w:val="center"/>
          </w:tcPr>
          <w:p>
            <w:pPr>
              <w:pStyle w:val="TableContents"/>
              <w:spacing w:before="0" w:after="283"/>
              <w:rPr>
                <w:sz w:val="4"/>
                <w:szCs w:val="4"/>
              </w:rPr>
            </w:pPr>
            <w:r>
              <w:rPr>
                <w:sz w:val="4"/>
                <w:szCs w:val="4"/>
              </w:rPr>
            </w:r>
          </w:p>
        </w:tc>
        <w:tc>
          <w:tcPr>
            <w:tcW w:w="1165"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53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Changes in operating assets and liabilities:</w:t>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r>
      <w:tr>
        <w:trPr/>
        <w:tc>
          <w:tcPr>
            <w:tcW w:w="53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Receivables</w:t>
            </w:r>
          </w:p>
        </w:tc>
        <w:tc>
          <w:tcPr>
            <w:tcW w:w="109" w:type="dxa"/>
            <w:tcBorders/>
            <w:shd w:fill="CCEEFF" w:val="clear"/>
            <w:vAlign w:val="center"/>
          </w:tcPr>
          <w:p>
            <w:pPr>
              <w:pStyle w:val="TableContents"/>
              <w:spacing w:before="0" w:after="283"/>
              <w:rPr>
                <w:sz w:val="4"/>
                <w:szCs w:val="4"/>
              </w:rPr>
            </w:pPr>
            <w:r>
              <w:rPr>
                <w:sz w:val="4"/>
                <w:szCs w:val="4"/>
              </w:rPr>
            </w:r>
          </w:p>
        </w:tc>
        <w:tc>
          <w:tcPr>
            <w:tcW w:w="264" w:type="dxa"/>
            <w:tcBorders/>
            <w:shd w:fill="CCEEFF" w:val="clear"/>
            <w:vAlign w:val="center"/>
          </w:tcPr>
          <w:p>
            <w:pPr>
              <w:pStyle w:val="TableContents"/>
              <w:spacing w:before="0" w:after="283"/>
              <w:rPr>
                <w:sz w:val="4"/>
                <w:szCs w:val="4"/>
              </w:rPr>
            </w:pPr>
            <w:r>
              <w:rPr>
                <w:sz w:val="4"/>
                <w:szCs w:val="4"/>
              </w:rPr>
            </w:r>
          </w:p>
        </w:tc>
        <w:tc>
          <w:tcPr>
            <w:tcW w:w="11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(1,350)</w:t>
            </w:r>
          </w:p>
        </w:tc>
        <w:tc>
          <w:tcPr>
            <w:tcW w:w="109" w:type="dxa"/>
            <w:tcBorders/>
            <w:shd w:fill="CCEEFF" w:val="clear"/>
            <w:vAlign w:val="center"/>
          </w:tcPr>
          <w:p>
            <w:pPr>
              <w:pStyle w:val="TableContents"/>
              <w:spacing w:before="0" w:after="283"/>
              <w:rPr>
                <w:sz w:val="4"/>
                <w:szCs w:val="4"/>
              </w:rPr>
            </w:pPr>
            <w:r>
              <w:rPr>
                <w:sz w:val="4"/>
                <w:szCs w:val="4"/>
              </w:rPr>
            </w:r>
          </w:p>
        </w:tc>
        <w:tc>
          <w:tcPr>
            <w:tcW w:w="260" w:type="dxa"/>
            <w:tcBorders/>
            <w:shd w:fill="CCEEFF" w:val="clear"/>
            <w:vAlign w:val="center"/>
          </w:tcPr>
          <w:p>
            <w:pPr>
              <w:pStyle w:val="TableContents"/>
              <w:spacing w:before="0" w:after="283"/>
              <w:rPr>
                <w:sz w:val="4"/>
                <w:szCs w:val="4"/>
              </w:rPr>
            </w:pPr>
            <w:r>
              <w:rPr>
                <w:sz w:val="4"/>
                <w:szCs w:val="4"/>
              </w:rPr>
            </w:r>
          </w:p>
        </w:tc>
        <w:tc>
          <w:tcPr>
            <w:tcW w:w="11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877</w:t>
            </w:r>
          </w:p>
        </w:tc>
      </w:tr>
      <w:tr>
        <w:trPr/>
        <w:tc>
          <w:tcPr>
            <w:tcW w:w="53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taxes receivable</w:t>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2,292</w:t>
            </w:r>
          </w:p>
        </w:tc>
      </w:tr>
      <w:tr>
        <w:trPr/>
        <w:tc>
          <w:tcPr>
            <w:tcW w:w="53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Inventory</w:t>
            </w:r>
          </w:p>
        </w:tc>
        <w:tc>
          <w:tcPr>
            <w:tcW w:w="109" w:type="dxa"/>
            <w:tcBorders/>
            <w:shd w:fill="CCEEFF" w:val="clear"/>
            <w:vAlign w:val="center"/>
          </w:tcPr>
          <w:p>
            <w:pPr>
              <w:pStyle w:val="TableContents"/>
              <w:spacing w:before="0" w:after="283"/>
              <w:rPr>
                <w:sz w:val="4"/>
                <w:szCs w:val="4"/>
              </w:rPr>
            </w:pPr>
            <w:r>
              <w:rPr>
                <w:sz w:val="4"/>
                <w:szCs w:val="4"/>
              </w:rPr>
            </w:r>
          </w:p>
        </w:tc>
        <w:tc>
          <w:tcPr>
            <w:tcW w:w="264" w:type="dxa"/>
            <w:tcBorders/>
            <w:shd w:fill="CCEEFF" w:val="clear"/>
            <w:vAlign w:val="center"/>
          </w:tcPr>
          <w:p>
            <w:pPr>
              <w:pStyle w:val="TableContents"/>
              <w:spacing w:before="0" w:after="283"/>
              <w:rPr>
                <w:sz w:val="4"/>
                <w:szCs w:val="4"/>
              </w:rPr>
            </w:pPr>
            <w:r>
              <w:rPr>
                <w:sz w:val="4"/>
                <w:szCs w:val="4"/>
              </w:rPr>
            </w:r>
          </w:p>
        </w:tc>
        <w:tc>
          <w:tcPr>
            <w:tcW w:w="11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(1,203)</w:t>
            </w:r>
          </w:p>
        </w:tc>
        <w:tc>
          <w:tcPr>
            <w:tcW w:w="109" w:type="dxa"/>
            <w:tcBorders/>
            <w:shd w:fill="CCEEFF" w:val="clear"/>
            <w:vAlign w:val="center"/>
          </w:tcPr>
          <w:p>
            <w:pPr>
              <w:pStyle w:val="TableContents"/>
              <w:spacing w:before="0" w:after="283"/>
              <w:rPr>
                <w:sz w:val="4"/>
                <w:szCs w:val="4"/>
              </w:rPr>
            </w:pPr>
            <w:r>
              <w:rPr>
                <w:sz w:val="4"/>
                <w:szCs w:val="4"/>
              </w:rPr>
            </w:r>
          </w:p>
        </w:tc>
        <w:tc>
          <w:tcPr>
            <w:tcW w:w="260" w:type="dxa"/>
            <w:tcBorders/>
            <w:shd w:fill="CCEEFF" w:val="clear"/>
            <w:vAlign w:val="center"/>
          </w:tcPr>
          <w:p>
            <w:pPr>
              <w:pStyle w:val="TableContents"/>
              <w:spacing w:before="0" w:after="283"/>
              <w:rPr>
                <w:sz w:val="4"/>
                <w:szCs w:val="4"/>
              </w:rPr>
            </w:pPr>
            <w:r>
              <w:rPr>
                <w:sz w:val="4"/>
                <w:szCs w:val="4"/>
              </w:rPr>
            </w:r>
          </w:p>
        </w:tc>
        <w:tc>
          <w:tcPr>
            <w:tcW w:w="11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(50,164)</w:t>
            </w:r>
          </w:p>
        </w:tc>
      </w:tr>
      <w:tr>
        <w:trPr/>
        <w:tc>
          <w:tcPr>
            <w:tcW w:w="53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Prepaid expense &amp; other assets</w:t>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2,615</w:t>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5,429</w:t>
            </w:r>
          </w:p>
        </w:tc>
      </w:tr>
      <w:tr>
        <w:trPr/>
        <w:tc>
          <w:tcPr>
            <w:tcW w:w="53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Software hosting implementation costs, net</w:t>
            </w:r>
          </w:p>
        </w:tc>
        <w:tc>
          <w:tcPr>
            <w:tcW w:w="109" w:type="dxa"/>
            <w:tcBorders/>
            <w:shd w:fill="CCEEFF" w:val="clear"/>
            <w:vAlign w:val="center"/>
          </w:tcPr>
          <w:p>
            <w:pPr>
              <w:pStyle w:val="TableContents"/>
              <w:spacing w:before="0" w:after="283"/>
              <w:rPr>
                <w:sz w:val="4"/>
                <w:szCs w:val="4"/>
              </w:rPr>
            </w:pPr>
            <w:r>
              <w:rPr>
                <w:sz w:val="4"/>
                <w:szCs w:val="4"/>
              </w:rPr>
            </w:r>
          </w:p>
        </w:tc>
        <w:tc>
          <w:tcPr>
            <w:tcW w:w="264" w:type="dxa"/>
            <w:tcBorders/>
            <w:shd w:fill="CCEEFF" w:val="clear"/>
            <w:vAlign w:val="center"/>
          </w:tcPr>
          <w:p>
            <w:pPr>
              <w:pStyle w:val="TableContents"/>
              <w:spacing w:before="0" w:after="283"/>
              <w:rPr>
                <w:sz w:val="4"/>
                <w:szCs w:val="4"/>
              </w:rPr>
            </w:pPr>
            <w:r>
              <w:rPr>
                <w:sz w:val="4"/>
                <w:szCs w:val="4"/>
              </w:rPr>
            </w:r>
          </w:p>
        </w:tc>
        <w:tc>
          <w:tcPr>
            <w:tcW w:w="11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(4,089)</w:t>
            </w:r>
          </w:p>
        </w:tc>
        <w:tc>
          <w:tcPr>
            <w:tcW w:w="109" w:type="dxa"/>
            <w:tcBorders/>
            <w:shd w:fill="CCEEFF" w:val="clear"/>
            <w:vAlign w:val="center"/>
          </w:tcPr>
          <w:p>
            <w:pPr>
              <w:pStyle w:val="TableContents"/>
              <w:spacing w:before="0" w:after="283"/>
              <w:rPr>
                <w:sz w:val="4"/>
                <w:szCs w:val="4"/>
              </w:rPr>
            </w:pPr>
            <w:r>
              <w:rPr>
                <w:sz w:val="4"/>
                <w:szCs w:val="4"/>
              </w:rPr>
            </w:r>
          </w:p>
        </w:tc>
        <w:tc>
          <w:tcPr>
            <w:tcW w:w="260" w:type="dxa"/>
            <w:tcBorders/>
            <w:shd w:fill="CCEEFF" w:val="clear"/>
            <w:vAlign w:val="center"/>
          </w:tcPr>
          <w:p>
            <w:pPr>
              <w:pStyle w:val="TableContents"/>
              <w:spacing w:before="0" w:after="283"/>
              <w:rPr>
                <w:sz w:val="4"/>
                <w:szCs w:val="4"/>
              </w:rPr>
            </w:pPr>
            <w:r>
              <w:rPr>
                <w:sz w:val="4"/>
                <w:szCs w:val="4"/>
              </w:rPr>
            </w:r>
          </w:p>
        </w:tc>
        <w:tc>
          <w:tcPr>
            <w:tcW w:w="1165"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53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catalog costs</w:t>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167</w:t>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1,322</w:t>
            </w:r>
          </w:p>
        </w:tc>
      </w:tr>
      <w:tr>
        <w:trPr/>
        <w:tc>
          <w:tcPr>
            <w:tcW w:w="53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Trade accounts payable</w:t>
            </w:r>
          </w:p>
        </w:tc>
        <w:tc>
          <w:tcPr>
            <w:tcW w:w="109" w:type="dxa"/>
            <w:tcBorders/>
            <w:shd w:fill="CCEEFF" w:val="clear"/>
            <w:vAlign w:val="center"/>
          </w:tcPr>
          <w:p>
            <w:pPr>
              <w:pStyle w:val="TableContents"/>
              <w:spacing w:before="0" w:after="283"/>
              <w:rPr>
                <w:sz w:val="4"/>
                <w:szCs w:val="4"/>
              </w:rPr>
            </w:pPr>
            <w:r>
              <w:rPr>
                <w:sz w:val="4"/>
                <w:szCs w:val="4"/>
              </w:rPr>
            </w:r>
          </w:p>
        </w:tc>
        <w:tc>
          <w:tcPr>
            <w:tcW w:w="264" w:type="dxa"/>
            <w:tcBorders/>
            <w:shd w:fill="CCEEFF" w:val="clear"/>
            <w:vAlign w:val="center"/>
          </w:tcPr>
          <w:p>
            <w:pPr>
              <w:pStyle w:val="TableContents"/>
              <w:spacing w:before="0" w:after="283"/>
              <w:rPr>
                <w:sz w:val="4"/>
                <w:szCs w:val="4"/>
              </w:rPr>
            </w:pPr>
            <w:r>
              <w:rPr>
                <w:sz w:val="4"/>
                <w:szCs w:val="4"/>
              </w:rPr>
            </w:r>
          </w:p>
        </w:tc>
        <w:tc>
          <w:tcPr>
            <w:tcW w:w="11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(1,464)</w:t>
            </w:r>
          </w:p>
        </w:tc>
        <w:tc>
          <w:tcPr>
            <w:tcW w:w="109" w:type="dxa"/>
            <w:tcBorders/>
            <w:shd w:fill="CCEEFF" w:val="clear"/>
            <w:vAlign w:val="center"/>
          </w:tcPr>
          <w:p>
            <w:pPr>
              <w:pStyle w:val="TableContents"/>
              <w:spacing w:before="0" w:after="283"/>
              <w:rPr>
                <w:sz w:val="4"/>
                <w:szCs w:val="4"/>
              </w:rPr>
            </w:pPr>
            <w:r>
              <w:rPr>
                <w:sz w:val="4"/>
                <w:szCs w:val="4"/>
              </w:rPr>
            </w:r>
          </w:p>
        </w:tc>
        <w:tc>
          <w:tcPr>
            <w:tcW w:w="260" w:type="dxa"/>
            <w:tcBorders/>
            <w:shd w:fill="CCEEFF" w:val="clear"/>
            <w:vAlign w:val="center"/>
          </w:tcPr>
          <w:p>
            <w:pPr>
              <w:pStyle w:val="TableContents"/>
              <w:spacing w:before="0" w:after="283"/>
              <w:rPr>
                <w:sz w:val="4"/>
                <w:szCs w:val="4"/>
              </w:rPr>
            </w:pPr>
            <w:r>
              <w:rPr>
                <w:sz w:val="4"/>
                <w:szCs w:val="4"/>
              </w:rPr>
            </w:r>
          </w:p>
        </w:tc>
        <w:tc>
          <w:tcPr>
            <w:tcW w:w="11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7,564</w:t>
            </w:r>
          </w:p>
        </w:tc>
      </w:tr>
      <w:tr>
        <w:trPr/>
        <w:tc>
          <w:tcPr>
            <w:tcW w:w="53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taxes payable</w:t>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4,152</w:t>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3,209</w:t>
            </w:r>
          </w:p>
        </w:tc>
      </w:tr>
      <w:tr>
        <w:trPr/>
        <w:tc>
          <w:tcPr>
            <w:tcW w:w="53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Accrued expenses and deferred rent obligations</w:t>
            </w:r>
          </w:p>
        </w:tc>
        <w:tc>
          <w:tcPr>
            <w:tcW w:w="109" w:type="dxa"/>
            <w:tcBorders/>
            <w:shd w:fill="CCEEFF" w:val="clear"/>
            <w:vAlign w:val="center"/>
          </w:tcPr>
          <w:p>
            <w:pPr>
              <w:pStyle w:val="TableContents"/>
              <w:spacing w:before="0" w:after="283"/>
              <w:rPr>
                <w:sz w:val="4"/>
                <w:szCs w:val="4"/>
              </w:rPr>
            </w:pPr>
            <w:r>
              <w:rPr>
                <w:sz w:val="4"/>
                <w:szCs w:val="4"/>
              </w:rPr>
            </w:r>
          </w:p>
        </w:tc>
        <w:tc>
          <w:tcPr>
            <w:tcW w:w="264" w:type="dxa"/>
            <w:tcBorders/>
            <w:shd w:fill="CCEEFF" w:val="clear"/>
            <w:vAlign w:val="center"/>
          </w:tcPr>
          <w:p>
            <w:pPr>
              <w:pStyle w:val="TableContents"/>
              <w:spacing w:before="0" w:after="283"/>
              <w:rPr>
                <w:sz w:val="4"/>
                <w:szCs w:val="4"/>
              </w:rPr>
            </w:pPr>
            <w:r>
              <w:rPr>
                <w:sz w:val="4"/>
                <w:szCs w:val="4"/>
              </w:rPr>
            </w:r>
          </w:p>
        </w:tc>
        <w:tc>
          <w:tcPr>
            <w:tcW w:w="11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7,719</w:t>
            </w:r>
          </w:p>
        </w:tc>
        <w:tc>
          <w:tcPr>
            <w:tcW w:w="109" w:type="dxa"/>
            <w:tcBorders/>
            <w:shd w:fill="CCEEFF" w:val="clear"/>
            <w:vAlign w:val="center"/>
          </w:tcPr>
          <w:p>
            <w:pPr>
              <w:pStyle w:val="TableContents"/>
              <w:spacing w:before="0" w:after="283"/>
              <w:rPr>
                <w:sz w:val="4"/>
                <w:szCs w:val="4"/>
              </w:rPr>
            </w:pPr>
            <w:r>
              <w:rPr>
                <w:sz w:val="4"/>
                <w:szCs w:val="4"/>
              </w:rPr>
            </w:r>
          </w:p>
        </w:tc>
        <w:tc>
          <w:tcPr>
            <w:tcW w:w="260" w:type="dxa"/>
            <w:tcBorders/>
            <w:shd w:fill="CCEEFF" w:val="clear"/>
            <w:vAlign w:val="center"/>
          </w:tcPr>
          <w:p>
            <w:pPr>
              <w:pStyle w:val="TableContents"/>
              <w:spacing w:before="0" w:after="283"/>
              <w:rPr>
                <w:sz w:val="4"/>
                <w:szCs w:val="4"/>
              </w:rPr>
            </w:pPr>
            <w:r>
              <w:rPr>
                <w:sz w:val="4"/>
                <w:szCs w:val="4"/>
              </w:rPr>
            </w:r>
          </w:p>
        </w:tc>
        <w:tc>
          <w:tcPr>
            <w:tcW w:w="11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(2,260)</w:t>
            </w:r>
          </w:p>
        </w:tc>
      </w:tr>
      <w:tr>
        <w:trPr/>
        <w:tc>
          <w:tcPr>
            <w:tcW w:w="53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Noncash lease impacts</w:t>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3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606</w:t>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5" w:type="dxa"/>
            <w:tcBorders>
              <w:bottom w:val="single" w:sz="8" w:space="0" w:color="000000"/>
            </w:tcBorders>
            <w:shd w:fill="auto"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53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operating activities</w:t>
            </w:r>
          </w:p>
        </w:tc>
        <w:tc>
          <w:tcPr>
            <w:tcW w:w="109" w:type="dxa"/>
            <w:tcBorders/>
            <w:shd w:fill="CCEEFF" w:val="clear"/>
            <w:vAlign w:val="center"/>
          </w:tcPr>
          <w:p>
            <w:pPr>
              <w:pStyle w:val="TableContents"/>
              <w:spacing w:before="0" w:after="283"/>
              <w:rPr>
                <w:sz w:val="4"/>
                <w:szCs w:val="4"/>
              </w:rPr>
            </w:pPr>
            <w:r>
              <w:rPr>
                <w:sz w:val="4"/>
                <w:szCs w:val="4"/>
              </w:rPr>
            </w:r>
          </w:p>
        </w:tc>
        <w:tc>
          <w:tcPr>
            <w:tcW w:w="264"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13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50,751</w:t>
            </w:r>
          </w:p>
        </w:tc>
        <w:tc>
          <w:tcPr>
            <w:tcW w:w="109" w:type="dxa"/>
            <w:tcBorders/>
            <w:shd w:fill="CCEEFF" w:val="clear"/>
            <w:vAlign w:val="center"/>
          </w:tcPr>
          <w:p>
            <w:pPr>
              <w:pStyle w:val="TableContents"/>
              <w:spacing w:before="0" w:after="283"/>
              <w:rPr>
                <w:sz w:val="4"/>
                <w:szCs w:val="4"/>
              </w:rPr>
            </w:pPr>
            <w:r>
              <w:rPr>
                <w:sz w:val="4"/>
                <w:szCs w:val="4"/>
              </w:rPr>
            </w:r>
          </w:p>
        </w:tc>
        <w:tc>
          <w:tcPr>
            <w:tcW w:w="260"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16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8,347</w:t>
            </w:r>
          </w:p>
        </w:tc>
      </w:tr>
      <w:tr>
        <w:trPr/>
        <w:tc>
          <w:tcPr>
            <w:tcW w:w="5371" w:type="dxa"/>
            <w:tcBorders/>
            <w:shd w:fill="auto"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Cash flows from investing activities:</w:t>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131"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165"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r>
      <w:tr>
        <w:trPr/>
        <w:tc>
          <w:tcPr>
            <w:tcW w:w="53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Purchases of property and equipment</w:t>
            </w:r>
          </w:p>
        </w:tc>
        <w:tc>
          <w:tcPr>
            <w:tcW w:w="109" w:type="dxa"/>
            <w:tcBorders/>
            <w:shd w:fill="CCEEFF" w:val="clear"/>
            <w:vAlign w:val="center"/>
          </w:tcPr>
          <w:p>
            <w:pPr>
              <w:pStyle w:val="TableContents"/>
              <w:spacing w:before="0" w:after="283"/>
              <w:rPr>
                <w:sz w:val="4"/>
                <w:szCs w:val="4"/>
              </w:rPr>
            </w:pPr>
            <w:r>
              <w:rPr>
                <w:sz w:val="4"/>
                <w:szCs w:val="4"/>
              </w:rPr>
            </w:r>
          </w:p>
        </w:tc>
        <w:tc>
          <w:tcPr>
            <w:tcW w:w="264" w:type="dxa"/>
            <w:tcBorders/>
            <w:shd w:fill="CCEEFF" w:val="clear"/>
            <w:vAlign w:val="center"/>
          </w:tcPr>
          <w:p>
            <w:pPr>
              <w:pStyle w:val="TableContents"/>
              <w:spacing w:before="0" w:after="283"/>
              <w:rPr>
                <w:sz w:val="4"/>
                <w:szCs w:val="4"/>
              </w:rPr>
            </w:pPr>
            <w:r>
              <w:rPr>
                <w:sz w:val="4"/>
                <w:szCs w:val="4"/>
              </w:rPr>
            </w:r>
          </w:p>
        </w:tc>
        <w:tc>
          <w:tcPr>
            <w:tcW w:w="11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(11,743)</w:t>
            </w:r>
          </w:p>
        </w:tc>
        <w:tc>
          <w:tcPr>
            <w:tcW w:w="109" w:type="dxa"/>
            <w:tcBorders/>
            <w:shd w:fill="CCEEFF" w:val="clear"/>
            <w:vAlign w:val="center"/>
          </w:tcPr>
          <w:p>
            <w:pPr>
              <w:pStyle w:val="TableContents"/>
              <w:spacing w:before="0" w:after="283"/>
              <w:rPr>
                <w:sz w:val="4"/>
                <w:szCs w:val="4"/>
              </w:rPr>
            </w:pPr>
            <w:r>
              <w:rPr>
                <w:sz w:val="4"/>
                <w:szCs w:val="4"/>
              </w:rPr>
            </w:r>
          </w:p>
        </w:tc>
        <w:tc>
          <w:tcPr>
            <w:tcW w:w="260" w:type="dxa"/>
            <w:tcBorders/>
            <w:shd w:fill="CCEEFF" w:val="clear"/>
            <w:vAlign w:val="center"/>
          </w:tcPr>
          <w:p>
            <w:pPr>
              <w:pStyle w:val="TableContents"/>
              <w:spacing w:before="0" w:after="283"/>
              <w:rPr>
                <w:sz w:val="4"/>
                <w:szCs w:val="4"/>
              </w:rPr>
            </w:pPr>
            <w:r>
              <w:rPr>
                <w:sz w:val="4"/>
                <w:szCs w:val="4"/>
              </w:rPr>
            </w:r>
          </w:p>
        </w:tc>
        <w:tc>
          <w:tcPr>
            <w:tcW w:w="11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(24,435)</w:t>
            </w:r>
          </w:p>
        </w:tc>
      </w:tr>
      <w:tr>
        <w:trPr/>
        <w:tc>
          <w:tcPr>
            <w:tcW w:w="53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Capital contributions towards build-to-suit stores</w:t>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(520)</w:t>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(6,354)</w:t>
            </w:r>
          </w:p>
        </w:tc>
      </w:tr>
      <w:tr>
        <w:trPr/>
        <w:tc>
          <w:tcPr>
            <w:tcW w:w="53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Principal receipts from available-for-sale security </w:t>
            </w:r>
          </w:p>
        </w:tc>
        <w:tc>
          <w:tcPr>
            <w:tcW w:w="109" w:type="dxa"/>
            <w:tcBorders/>
            <w:shd w:fill="CCEEFF" w:val="clear"/>
            <w:vAlign w:val="center"/>
          </w:tcPr>
          <w:p>
            <w:pPr>
              <w:pStyle w:val="TableContents"/>
              <w:spacing w:before="0" w:after="283"/>
              <w:rPr>
                <w:sz w:val="4"/>
                <w:szCs w:val="4"/>
              </w:rPr>
            </w:pPr>
            <w:r>
              <w:rPr>
                <w:sz w:val="4"/>
                <w:szCs w:val="4"/>
              </w:rPr>
            </w:r>
          </w:p>
        </w:tc>
        <w:tc>
          <w:tcPr>
            <w:tcW w:w="264" w:type="dxa"/>
            <w:tcBorders/>
            <w:shd w:fill="CCEEFF" w:val="clear"/>
            <w:vAlign w:val="center"/>
          </w:tcPr>
          <w:p>
            <w:pPr>
              <w:pStyle w:val="TableContents"/>
              <w:spacing w:before="0" w:after="283"/>
              <w:rPr>
                <w:sz w:val="4"/>
                <w:szCs w:val="4"/>
              </w:rPr>
            </w:pPr>
            <w:r>
              <w:rPr>
                <w:sz w:val="4"/>
                <w:szCs w:val="4"/>
              </w:rPr>
            </w:r>
          </w:p>
        </w:tc>
        <w:tc>
          <w:tcPr>
            <w:tcW w:w="11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131</w:t>
            </w:r>
          </w:p>
        </w:tc>
        <w:tc>
          <w:tcPr>
            <w:tcW w:w="109" w:type="dxa"/>
            <w:tcBorders/>
            <w:shd w:fill="CCEEFF" w:val="clear"/>
            <w:vAlign w:val="center"/>
          </w:tcPr>
          <w:p>
            <w:pPr>
              <w:pStyle w:val="TableContents"/>
              <w:spacing w:before="0" w:after="283"/>
              <w:rPr>
                <w:sz w:val="4"/>
                <w:szCs w:val="4"/>
              </w:rPr>
            </w:pPr>
            <w:r>
              <w:rPr>
                <w:sz w:val="4"/>
                <w:szCs w:val="4"/>
              </w:rPr>
            </w:r>
          </w:p>
        </w:tc>
        <w:tc>
          <w:tcPr>
            <w:tcW w:w="260" w:type="dxa"/>
            <w:tcBorders/>
            <w:shd w:fill="CCEEFF" w:val="clear"/>
            <w:vAlign w:val="center"/>
          </w:tcPr>
          <w:p>
            <w:pPr>
              <w:pStyle w:val="TableContents"/>
              <w:spacing w:before="0" w:after="283"/>
              <w:rPr>
                <w:sz w:val="4"/>
                <w:szCs w:val="4"/>
              </w:rPr>
            </w:pPr>
            <w:r>
              <w:rPr>
                <w:sz w:val="4"/>
                <w:szCs w:val="4"/>
              </w:rPr>
            </w:r>
          </w:p>
        </w:tc>
        <w:tc>
          <w:tcPr>
            <w:tcW w:w="11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117</w:t>
            </w:r>
          </w:p>
        </w:tc>
      </w:tr>
      <w:tr>
        <w:trPr/>
        <w:tc>
          <w:tcPr>
            <w:tcW w:w="53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Change in other assets</w:t>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tc>
      </w:tr>
      <w:tr>
        <w:trPr/>
        <w:tc>
          <w:tcPr>
            <w:tcW w:w="53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used in investing activities</w:t>
            </w:r>
          </w:p>
        </w:tc>
        <w:tc>
          <w:tcPr>
            <w:tcW w:w="109" w:type="dxa"/>
            <w:tcBorders/>
            <w:shd w:fill="CCEEFF" w:val="clear"/>
            <w:vAlign w:val="center"/>
          </w:tcPr>
          <w:p>
            <w:pPr>
              <w:pStyle w:val="TableContents"/>
              <w:spacing w:before="0" w:after="283"/>
              <w:rPr>
                <w:sz w:val="4"/>
                <w:szCs w:val="4"/>
              </w:rPr>
            </w:pPr>
            <w:r>
              <w:rPr>
                <w:sz w:val="4"/>
                <w:szCs w:val="4"/>
              </w:rPr>
            </w:r>
          </w:p>
        </w:tc>
        <w:tc>
          <w:tcPr>
            <w:tcW w:w="264"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13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(12,132)</w:t>
            </w:r>
          </w:p>
        </w:tc>
        <w:tc>
          <w:tcPr>
            <w:tcW w:w="109" w:type="dxa"/>
            <w:tcBorders/>
            <w:shd w:fill="CCEEFF" w:val="clear"/>
            <w:vAlign w:val="center"/>
          </w:tcPr>
          <w:p>
            <w:pPr>
              <w:pStyle w:val="TableContents"/>
              <w:spacing w:before="0" w:after="283"/>
              <w:rPr>
                <w:sz w:val="4"/>
                <w:szCs w:val="4"/>
              </w:rPr>
            </w:pPr>
            <w:r>
              <w:rPr>
                <w:sz w:val="4"/>
                <w:szCs w:val="4"/>
              </w:rPr>
            </w:r>
          </w:p>
        </w:tc>
        <w:tc>
          <w:tcPr>
            <w:tcW w:w="260"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16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(30,687)</w:t>
            </w:r>
          </w:p>
        </w:tc>
      </w:tr>
      <w:tr>
        <w:trPr/>
        <w:tc>
          <w:tcPr>
            <w:tcW w:w="5371" w:type="dxa"/>
            <w:tcBorders/>
            <w:shd w:fill="auto"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Cash flows from financing activities:</w:t>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131"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165"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r>
      <w:tr>
        <w:trPr/>
        <w:tc>
          <w:tcPr>
            <w:tcW w:w="53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Proceeds from line of credit</w:t>
            </w:r>
          </w:p>
        </w:tc>
        <w:tc>
          <w:tcPr>
            <w:tcW w:w="109" w:type="dxa"/>
            <w:tcBorders/>
            <w:shd w:fill="CCEEFF" w:val="clear"/>
            <w:vAlign w:val="center"/>
          </w:tcPr>
          <w:p>
            <w:pPr>
              <w:pStyle w:val="TableContents"/>
              <w:spacing w:before="0" w:after="283"/>
              <w:rPr>
                <w:sz w:val="4"/>
                <w:szCs w:val="4"/>
              </w:rPr>
            </w:pPr>
            <w:r>
              <w:rPr>
                <w:sz w:val="4"/>
                <w:szCs w:val="4"/>
              </w:rPr>
            </w:r>
          </w:p>
        </w:tc>
        <w:tc>
          <w:tcPr>
            <w:tcW w:w="264" w:type="dxa"/>
            <w:tcBorders/>
            <w:shd w:fill="CCEEFF" w:val="clear"/>
            <w:vAlign w:val="center"/>
          </w:tcPr>
          <w:p>
            <w:pPr>
              <w:pStyle w:val="TableContents"/>
              <w:spacing w:before="0" w:after="283"/>
              <w:rPr>
                <w:sz w:val="4"/>
                <w:szCs w:val="4"/>
              </w:rPr>
            </w:pPr>
            <w:r>
              <w:rPr>
                <w:sz w:val="4"/>
                <w:szCs w:val="4"/>
              </w:rPr>
            </w:r>
          </w:p>
        </w:tc>
        <w:tc>
          <w:tcPr>
            <w:tcW w:w="11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95,388</w:t>
            </w:r>
          </w:p>
        </w:tc>
        <w:tc>
          <w:tcPr>
            <w:tcW w:w="109" w:type="dxa"/>
            <w:tcBorders/>
            <w:shd w:fill="CCEEFF" w:val="clear"/>
            <w:vAlign w:val="center"/>
          </w:tcPr>
          <w:p>
            <w:pPr>
              <w:pStyle w:val="TableContents"/>
              <w:spacing w:before="0" w:after="283"/>
              <w:rPr>
                <w:sz w:val="4"/>
                <w:szCs w:val="4"/>
              </w:rPr>
            </w:pPr>
            <w:r>
              <w:rPr>
                <w:sz w:val="4"/>
                <w:szCs w:val="4"/>
              </w:rPr>
            </w:r>
          </w:p>
        </w:tc>
        <w:tc>
          <w:tcPr>
            <w:tcW w:w="260" w:type="dxa"/>
            <w:tcBorders/>
            <w:shd w:fill="CCEEFF" w:val="clear"/>
            <w:vAlign w:val="center"/>
          </w:tcPr>
          <w:p>
            <w:pPr>
              <w:pStyle w:val="TableContents"/>
              <w:spacing w:before="0" w:after="283"/>
              <w:rPr>
                <w:sz w:val="4"/>
                <w:szCs w:val="4"/>
              </w:rPr>
            </w:pPr>
            <w:r>
              <w:rPr>
                <w:sz w:val="4"/>
                <w:szCs w:val="4"/>
              </w:rPr>
            </w:r>
          </w:p>
        </w:tc>
        <w:tc>
          <w:tcPr>
            <w:tcW w:w="11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271,754</w:t>
            </w:r>
          </w:p>
        </w:tc>
      </w:tr>
      <w:tr>
        <w:trPr/>
        <w:tc>
          <w:tcPr>
            <w:tcW w:w="53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Payments on line of credit</w:t>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(114,720)</w:t>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(268,965)</w:t>
            </w:r>
          </w:p>
        </w:tc>
      </w:tr>
      <w:tr>
        <w:trPr/>
        <w:tc>
          <w:tcPr>
            <w:tcW w:w="53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Proceeds from delayed draw term loan</w:t>
            </w:r>
          </w:p>
        </w:tc>
        <w:tc>
          <w:tcPr>
            <w:tcW w:w="109" w:type="dxa"/>
            <w:tcBorders/>
            <w:shd w:fill="CCEEFF" w:val="clear"/>
            <w:vAlign w:val="center"/>
          </w:tcPr>
          <w:p>
            <w:pPr>
              <w:pStyle w:val="TableContents"/>
              <w:spacing w:before="0" w:after="283"/>
              <w:rPr>
                <w:sz w:val="4"/>
                <w:szCs w:val="4"/>
              </w:rPr>
            </w:pPr>
            <w:r>
              <w:rPr>
                <w:sz w:val="4"/>
                <w:szCs w:val="4"/>
              </w:rPr>
            </w:r>
          </w:p>
        </w:tc>
        <w:tc>
          <w:tcPr>
            <w:tcW w:w="264" w:type="dxa"/>
            <w:tcBorders/>
            <w:shd w:fill="CCEEFF" w:val="clear"/>
            <w:vAlign w:val="center"/>
          </w:tcPr>
          <w:p>
            <w:pPr>
              <w:pStyle w:val="TableContents"/>
              <w:spacing w:before="0" w:after="283"/>
              <w:rPr>
                <w:sz w:val="4"/>
                <w:szCs w:val="4"/>
              </w:rPr>
            </w:pPr>
            <w:r>
              <w:rPr>
                <w:sz w:val="4"/>
                <w:szCs w:val="4"/>
              </w:rPr>
            </w:r>
          </w:p>
        </w:tc>
        <w:tc>
          <w:tcPr>
            <w:tcW w:w="11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30,000</w:t>
            </w:r>
          </w:p>
        </w:tc>
        <w:tc>
          <w:tcPr>
            <w:tcW w:w="109" w:type="dxa"/>
            <w:tcBorders/>
            <w:shd w:fill="CCEEFF" w:val="clear"/>
            <w:vAlign w:val="center"/>
          </w:tcPr>
          <w:p>
            <w:pPr>
              <w:pStyle w:val="TableContents"/>
              <w:spacing w:before="0" w:after="283"/>
              <w:rPr>
                <w:sz w:val="4"/>
                <w:szCs w:val="4"/>
              </w:rPr>
            </w:pPr>
            <w:r>
              <w:rPr>
                <w:sz w:val="4"/>
                <w:szCs w:val="4"/>
              </w:rPr>
            </w:r>
          </w:p>
        </w:tc>
        <w:tc>
          <w:tcPr>
            <w:tcW w:w="260" w:type="dxa"/>
            <w:tcBorders/>
            <w:shd w:fill="CCEEFF" w:val="clear"/>
            <w:vAlign w:val="center"/>
          </w:tcPr>
          <w:p>
            <w:pPr>
              <w:pStyle w:val="TableContents"/>
              <w:spacing w:before="0" w:after="283"/>
              <w:rPr>
                <w:sz w:val="4"/>
                <w:szCs w:val="4"/>
              </w:rPr>
            </w:pPr>
            <w:r>
              <w:rPr>
                <w:sz w:val="4"/>
                <w:szCs w:val="4"/>
              </w:rPr>
            </w:r>
          </w:p>
        </w:tc>
        <w:tc>
          <w:tcPr>
            <w:tcW w:w="11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20,000</w:t>
            </w:r>
          </w:p>
        </w:tc>
      </w:tr>
      <w:tr>
        <w:trPr/>
        <w:tc>
          <w:tcPr>
            <w:tcW w:w="53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Payments on delayed draw term loan</w:t>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(1,750)</w:t>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53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Payments on TRI long term debt</w:t>
            </w:r>
          </w:p>
        </w:tc>
        <w:tc>
          <w:tcPr>
            <w:tcW w:w="109" w:type="dxa"/>
            <w:tcBorders/>
            <w:shd w:fill="CCEEFF" w:val="clear"/>
            <w:vAlign w:val="center"/>
          </w:tcPr>
          <w:p>
            <w:pPr>
              <w:pStyle w:val="TableContents"/>
              <w:spacing w:before="0" w:after="283"/>
              <w:rPr>
                <w:sz w:val="4"/>
                <w:szCs w:val="4"/>
              </w:rPr>
            </w:pPr>
            <w:r>
              <w:rPr>
                <w:sz w:val="4"/>
                <w:szCs w:val="4"/>
              </w:rPr>
            </w:r>
          </w:p>
        </w:tc>
        <w:tc>
          <w:tcPr>
            <w:tcW w:w="264" w:type="dxa"/>
            <w:tcBorders/>
            <w:shd w:fill="CCEEFF" w:val="clear"/>
            <w:vAlign w:val="center"/>
          </w:tcPr>
          <w:p>
            <w:pPr>
              <w:pStyle w:val="TableContents"/>
              <w:spacing w:before="0" w:after="283"/>
              <w:rPr>
                <w:sz w:val="4"/>
                <w:szCs w:val="4"/>
              </w:rPr>
            </w:pPr>
            <w:r>
              <w:rPr>
                <w:sz w:val="4"/>
                <w:szCs w:val="4"/>
              </w:rPr>
            </w:r>
          </w:p>
        </w:tc>
        <w:tc>
          <w:tcPr>
            <w:tcW w:w="11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(483)</w:t>
            </w:r>
          </w:p>
        </w:tc>
        <w:tc>
          <w:tcPr>
            <w:tcW w:w="109" w:type="dxa"/>
            <w:tcBorders/>
            <w:shd w:fill="CCEEFF" w:val="clear"/>
            <w:vAlign w:val="center"/>
          </w:tcPr>
          <w:p>
            <w:pPr>
              <w:pStyle w:val="TableContents"/>
              <w:spacing w:before="0" w:after="283"/>
              <w:rPr>
                <w:sz w:val="4"/>
                <w:szCs w:val="4"/>
              </w:rPr>
            </w:pPr>
            <w:r>
              <w:rPr>
                <w:sz w:val="4"/>
                <w:szCs w:val="4"/>
              </w:rPr>
            </w:r>
          </w:p>
        </w:tc>
        <w:tc>
          <w:tcPr>
            <w:tcW w:w="260" w:type="dxa"/>
            <w:tcBorders/>
            <w:shd w:fill="CCEEFF" w:val="clear"/>
            <w:vAlign w:val="center"/>
          </w:tcPr>
          <w:p>
            <w:pPr>
              <w:pStyle w:val="TableContents"/>
              <w:spacing w:before="0" w:after="283"/>
              <w:rPr>
                <w:sz w:val="4"/>
                <w:szCs w:val="4"/>
              </w:rPr>
            </w:pPr>
            <w:r>
              <w:rPr>
                <w:sz w:val="4"/>
                <w:szCs w:val="4"/>
              </w:rPr>
            </w:r>
          </w:p>
        </w:tc>
        <w:tc>
          <w:tcPr>
            <w:tcW w:w="11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(495)</w:t>
            </w:r>
          </w:p>
        </w:tc>
      </w:tr>
      <w:tr>
        <w:trPr/>
        <w:tc>
          <w:tcPr>
            <w:tcW w:w="53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Payments on finance lease obligations</w:t>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(1,958)</w:t>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(891)</w:t>
            </w:r>
          </w:p>
        </w:tc>
      </w:tr>
      <w:tr>
        <w:trPr/>
        <w:tc>
          <w:tcPr>
            <w:tcW w:w="53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Shares withheld for tax payments on vested restricted stock</w:t>
            </w:r>
          </w:p>
        </w:tc>
        <w:tc>
          <w:tcPr>
            <w:tcW w:w="109" w:type="dxa"/>
            <w:tcBorders/>
            <w:shd w:fill="CCEEFF" w:val="clear"/>
            <w:vAlign w:val="center"/>
          </w:tcPr>
          <w:p>
            <w:pPr>
              <w:pStyle w:val="TableContents"/>
              <w:spacing w:before="0" w:after="283"/>
              <w:rPr>
                <w:sz w:val="4"/>
                <w:szCs w:val="4"/>
              </w:rPr>
            </w:pPr>
            <w:r>
              <w:rPr>
                <w:sz w:val="4"/>
                <w:szCs w:val="4"/>
              </w:rPr>
            </w:r>
          </w:p>
        </w:tc>
        <w:tc>
          <w:tcPr>
            <w:tcW w:w="264" w:type="dxa"/>
            <w:tcBorders/>
            <w:shd w:fill="CCEEFF" w:val="clear"/>
            <w:vAlign w:val="center"/>
          </w:tcPr>
          <w:p>
            <w:pPr>
              <w:pStyle w:val="TableContents"/>
              <w:spacing w:before="0" w:after="283"/>
              <w:rPr>
                <w:sz w:val="4"/>
                <w:szCs w:val="4"/>
              </w:rPr>
            </w:pPr>
            <w:r>
              <w:rPr>
                <w:sz w:val="4"/>
                <w:szCs w:val="4"/>
              </w:rPr>
            </w:r>
          </w:p>
        </w:tc>
        <w:tc>
          <w:tcPr>
            <w:tcW w:w="11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(221)</w:t>
            </w:r>
          </w:p>
        </w:tc>
        <w:tc>
          <w:tcPr>
            <w:tcW w:w="109" w:type="dxa"/>
            <w:tcBorders/>
            <w:shd w:fill="CCEEFF" w:val="clear"/>
            <w:vAlign w:val="center"/>
          </w:tcPr>
          <w:p>
            <w:pPr>
              <w:pStyle w:val="TableContents"/>
              <w:spacing w:before="0" w:after="283"/>
              <w:rPr>
                <w:sz w:val="4"/>
                <w:szCs w:val="4"/>
              </w:rPr>
            </w:pPr>
            <w:r>
              <w:rPr>
                <w:sz w:val="4"/>
                <w:szCs w:val="4"/>
              </w:rPr>
            </w:r>
          </w:p>
        </w:tc>
        <w:tc>
          <w:tcPr>
            <w:tcW w:w="260" w:type="dxa"/>
            <w:tcBorders/>
            <w:shd w:fill="CCEEFF" w:val="clear"/>
            <w:vAlign w:val="center"/>
          </w:tcPr>
          <w:p>
            <w:pPr>
              <w:pStyle w:val="TableContents"/>
              <w:spacing w:before="0" w:after="283"/>
              <w:rPr>
                <w:sz w:val="4"/>
                <w:szCs w:val="4"/>
              </w:rPr>
            </w:pPr>
            <w:r>
              <w:rPr>
                <w:sz w:val="4"/>
                <w:szCs w:val="4"/>
              </w:rPr>
            </w:r>
          </w:p>
        </w:tc>
        <w:tc>
          <w:tcPr>
            <w:tcW w:w="11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(315)</w:t>
            </w:r>
          </w:p>
        </w:tc>
      </w:tr>
      <w:tr>
        <w:trPr/>
        <w:tc>
          <w:tcPr>
            <w:tcW w:w="53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w:t>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3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106</w:t>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65"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407</w:t>
            </w:r>
          </w:p>
        </w:tc>
      </w:tr>
      <w:tr>
        <w:trPr/>
        <w:tc>
          <w:tcPr>
            <w:tcW w:w="53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financing activities</w:t>
            </w:r>
          </w:p>
        </w:tc>
        <w:tc>
          <w:tcPr>
            <w:tcW w:w="109" w:type="dxa"/>
            <w:tcBorders/>
            <w:shd w:fill="CCEEFF" w:val="clear"/>
            <w:vAlign w:val="center"/>
          </w:tcPr>
          <w:p>
            <w:pPr>
              <w:pStyle w:val="TableContents"/>
              <w:spacing w:before="0" w:after="283"/>
              <w:rPr>
                <w:sz w:val="4"/>
                <w:szCs w:val="4"/>
              </w:rPr>
            </w:pPr>
            <w:r>
              <w:rPr>
                <w:sz w:val="4"/>
                <w:szCs w:val="4"/>
              </w:rPr>
            </w:r>
          </w:p>
        </w:tc>
        <w:tc>
          <w:tcPr>
            <w:tcW w:w="264"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13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6,362</w:t>
            </w:r>
          </w:p>
        </w:tc>
        <w:tc>
          <w:tcPr>
            <w:tcW w:w="109" w:type="dxa"/>
            <w:tcBorders/>
            <w:shd w:fill="CCEEFF" w:val="clear"/>
            <w:vAlign w:val="center"/>
          </w:tcPr>
          <w:p>
            <w:pPr>
              <w:pStyle w:val="TableContents"/>
              <w:spacing w:before="0" w:after="283"/>
              <w:rPr>
                <w:sz w:val="4"/>
                <w:szCs w:val="4"/>
              </w:rPr>
            </w:pPr>
            <w:r>
              <w:rPr>
                <w:sz w:val="4"/>
                <w:szCs w:val="4"/>
              </w:rPr>
            </w:r>
          </w:p>
        </w:tc>
        <w:tc>
          <w:tcPr>
            <w:tcW w:w="260"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16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21,495</w:t>
            </w:r>
          </w:p>
        </w:tc>
      </w:tr>
      <w:tr>
        <w:trPr/>
        <w:tc>
          <w:tcPr>
            <w:tcW w:w="53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Increase (decrease) in cash, cash equivalents and restricted cash </w:t>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131" w:type="dxa"/>
            <w:tcBorders>
              <w:top w:val="single" w:sz="8"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44,981</w:t>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165" w:type="dxa"/>
            <w:tcBorders>
              <w:top w:val="single" w:sz="8"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(845)</w:t>
            </w:r>
          </w:p>
        </w:tc>
      </w:tr>
      <w:tr>
        <w:trPr/>
        <w:tc>
          <w:tcPr>
            <w:tcW w:w="53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cash equivalents and restricted cash at beginning of period</w:t>
            </w:r>
          </w:p>
        </w:tc>
        <w:tc>
          <w:tcPr>
            <w:tcW w:w="109" w:type="dxa"/>
            <w:tcBorders/>
            <w:shd w:fill="CCEEFF" w:val="clear"/>
            <w:vAlign w:val="center"/>
          </w:tcPr>
          <w:p>
            <w:pPr>
              <w:pStyle w:val="TableContents"/>
              <w:spacing w:before="0" w:after="283"/>
              <w:rPr>
                <w:sz w:val="4"/>
                <w:szCs w:val="4"/>
              </w:rPr>
            </w:pPr>
            <w:r>
              <w:rPr>
                <w:sz w:val="4"/>
                <w:szCs w:val="4"/>
              </w:rPr>
            </w:r>
          </w:p>
        </w:tc>
        <w:tc>
          <w:tcPr>
            <w:tcW w:w="264"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13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2,240</w:t>
            </w:r>
          </w:p>
        </w:tc>
        <w:tc>
          <w:tcPr>
            <w:tcW w:w="109" w:type="dxa"/>
            <w:tcBorders/>
            <w:shd w:fill="CCEEFF" w:val="clear"/>
            <w:vAlign w:val="center"/>
          </w:tcPr>
          <w:p>
            <w:pPr>
              <w:pStyle w:val="TableContents"/>
              <w:spacing w:before="0" w:after="283"/>
              <w:rPr>
                <w:sz w:val="4"/>
                <w:szCs w:val="4"/>
              </w:rPr>
            </w:pPr>
            <w:r>
              <w:rPr>
                <w:sz w:val="4"/>
                <w:szCs w:val="4"/>
              </w:rPr>
            </w:r>
          </w:p>
        </w:tc>
        <w:tc>
          <w:tcPr>
            <w:tcW w:w="260"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16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3,085</w:t>
            </w:r>
          </w:p>
        </w:tc>
      </w:tr>
      <w:tr>
        <w:trPr/>
        <w:tc>
          <w:tcPr>
            <w:tcW w:w="53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cash equivalents and restricted cash at end of period</w:t>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3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47,221</w:t>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65"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2,240</w:t>
            </w:r>
          </w:p>
        </w:tc>
      </w:tr>
      <w:tr>
        <w:trPr/>
        <w:tc>
          <w:tcPr>
            <w:tcW w:w="537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Supplemental disclosure of cash flow information:</w:t>
            </w:r>
          </w:p>
        </w:tc>
        <w:tc>
          <w:tcPr>
            <w:tcW w:w="109" w:type="dxa"/>
            <w:tcBorders/>
            <w:shd w:fill="CCEEFF" w:val="clear"/>
            <w:vAlign w:val="center"/>
          </w:tcPr>
          <w:p>
            <w:pPr>
              <w:pStyle w:val="TableContents"/>
              <w:spacing w:before="0" w:after="283"/>
              <w:rPr>
                <w:sz w:val="4"/>
                <w:szCs w:val="4"/>
              </w:rPr>
            </w:pPr>
            <w:r>
              <w:rPr>
                <w:sz w:val="4"/>
                <w:szCs w:val="4"/>
              </w:rPr>
            </w:r>
          </w:p>
        </w:tc>
        <w:tc>
          <w:tcPr>
            <w:tcW w:w="264"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131"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60"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165"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r>
      <w:tr>
        <w:trPr/>
        <w:tc>
          <w:tcPr>
            <w:tcW w:w="53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paid</w:t>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3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6,435</w:t>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65"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4,565</w:t>
            </w:r>
          </w:p>
        </w:tc>
      </w:tr>
      <w:tr>
        <w:trPr/>
        <w:tc>
          <w:tcPr>
            <w:tcW w:w="53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taxes paid</w:t>
            </w:r>
          </w:p>
        </w:tc>
        <w:tc>
          <w:tcPr>
            <w:tcW w:w="109" w:type="dxa"/>
            <w:tcBorders/>
            <w:shd w:fill="CCEEFF" w:val="clear"/>
            <w:vAlign w:val="center"/>
          </w:tcPr>
          <w:p>
            <w:pPr>
              <w:pStyle w:val="TableContents"/>
              <w:spacing w:before="0" w:after="283"/>
              <w:rPr>
                <w:sz w:val="4"/>
                <w:szCs w:val="4"/>
              </w:rPr>
            </w:pPr>
            <w:r>
              <w:rPr>
                <w:sz w:val="4"/>
                <w:szCs w:val="4"/>
              </w:rPr>
            </w:r>
          </w:p>
        </w:tc>
        <w:tc>
          <w:tcPr>
            <w:tcW w:w="26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830</w:t>
            </w:r>
          </w:p>
        </w:tc>
        <w:tc>
          <w:tcPr>
            <w:tcW w:w="109" w:type="dxa"/>
            <w:tcBorders/>
            <w:shd w:fill="CCEEFF" w:val="clear"/>
            <w:vAlign w:val="center"/>
          </w:tcPr>
          <w:p>
            <w:pPr>
              <w:pStyle w:val="TableContents"/>
              <w:spacing w:before="0" w:after="283"/>
              <w:rPr>
                <w:sz w:val="4"/>
                <w:szCs w:val="4"/>
              </w:rPr>
            </w:pPr>
            <w:r>
              <w:rPr>
                <w:sz w:val="4"/>
                <w:szCs w:val="4"/>
              </w:rPr>
            </w:r>
          </w:p>
        </w:tc>
        <w:tc>
          <w:tcPr>
            <w:tcW w:w="26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562</w:t>
            </w:r>
          </w:p>
        </w:tc>
      </w:tr>
      <w:tr>
        <w:trPr/>
        <w:tc>
          <w:tcPr>
            <w:tcW w:w="5371" w:type="dxa"/>
            <w:tcBorders/>
            <w:shd w:fill="auto"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Supplemental disclosure of non-cash information:</w:t>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r>
      <w:tr>
        <w:trPr/>
        <w:tc>
          <w:tcPr>
            <w:tcW w:w="53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Unpaid liability to acquire property and equipment</w:t>
            </w:r>
          </w:p>
        </w:tc>
        <w:tc>
          <w:tcPr>
            <w:tcW w:w="109" w:type="dxa"/>
            <w:tcBorders/>
            <w:shd w:fill="CCEEFF" w:val="clear"/>
            <w:vAlign w:val="center"/>
          </w:tcPr>
          <w:p>
            <w:pPr>
              <w:pStyle w:val="TableContents"/>
              <w:spacing w:before="0" w:after="283"/>
              <w:rPr>
                <w:sz w:val="4"/>
                <w:szCs w:val="4"/>
              </w:rPr>
            </w:pPr>
            <w:r>
              <w:rPr>
                <w:sz w:val="4"/>
                <w:szCs w:val="4"/>
              </w:rPr>
            </w:r>
          </w:p>
        </w:tc>
        <w:tc>
          <w:tcPr>
            <w:tcW w:w="26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962</w:t>
            </w:r>
          </w:p>
        </w:tc>
        <w:tc>
          <w:tcPr>
            <w:tcW w:w="109" w:type="dxa"/>
            <w:tcBorders/>
            <w:shd w:fill="CCEEFF" w:val="clear"/>
            <w:vAlign w:val="center"/>
          </w:tcPr>
          <w:p>
            <w:pPr>
              <w:pStyle w:val="TableContents"/>
              <w:spacing w:before="0" w:after="283"/>
              <w:rPr>
                <w:sz w:val="4"/>
                <w:szCs w:val="4"/>
              </w:rPr>
            </w:pPr>
            <w:r>
              <w:rPr>
                <w:sz w:val="4"/>
                <w:szCs w:val="4"/>
              </w:rPr>
            </w:r>
          </w:p>
        </w:tc>
        <w:tc>
          <w:tcPr>
            <w:tcW w:w="26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1,414</w:t>
            </w:r>
          </w:p>
        </w:tc>
      </w:tr>
    </w:tbl>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accompanying notes are an integral part of these consolidated financial statements.</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47</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DULUTH HOLDINGS INC.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1.  </w:t>
      </w:r>
      <w:bookmarkStart w:id="23" w:name="NotesToCFS"/>
      <w:bookmarkEnd w:id="23"/>
      <w:r>
        <w:rPr>
          <w:rFonts w:ascii="Times New Roman;serif" w:hAnsi="Times New Roman;serif"/>
          <w:b/>
          <w:i w:val="false"/>
          <w:caps w:val="false"/>
          <w:smallCaps w:val="false"/>
          <w:sz w:val="20"/>
        </w:rPr>
        <w:t>NATURE OF OPERATIONS AND BASIS OF PRESENTATION</w:t>
      </w:r>
    </w:p>
    <w:p>
      <w:pPr>
        <w:pStyle w:val="TextBody"/>
        <w:bidi w:val="0"/>
        <w:spacing w:lineRule="auto" w:line="259"/>
        <w:rPr>
          <w:rFonts w:ascii="Times New Roman;serif" w:hAnsi="Times New Roman;serif"/>
          <w:b/>
          <w:i/>
          <w:sz w:val="20"/>
        </w:rPr>
      </w:pPr>
      <w:r>
        <w:rPr>
          <w:rFonts w:ascii="Times New Roman;serif" w:hAnsi="Times New Roman;serif"/>
          <w:b/>
          <w:i/>
          <w:sz w:val="20"/>
        </w:rPr>
        <w:t>Nature of Operations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Duluth Holdings Inc. (“Duluth Trading” or the “Company”), a Wisconsin corporation, is a lifestyle brand of men’s and women’s casual wear, workwear and accessories sold primarily through the Company’s own omnichannel platform. The Company’s products are marketed under the Duluth Trading Company brand, with the majority of products being exclusively developed and sold as Duluth Trading branded merchandise.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has historically identified two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operating segments, direct and retail. The direct segment, consisting of the Company’s website and catalogs, offers products nationwide. In 2010, the Company initiated its omnichannel platform with the opening of its first store. Since then, Duluth Trading has expanded its retail presence, and as of January 31, 2021, the Company operated 62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retail stores and three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outlet stores. The Company identifies its operating segments according to how its business activities are managed and evaluated. The Company continues to grow its omnichannel distribution network which allows the consumer to interact with the Company through a consistent customer experience whether on the Company website or at Company stores. As the Company expands its distribution network, and in conjunction with assessing the similar nature of products sold, production process, distribution process, target customers and economic characteristics between the two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segments, the Company determined that the historical structure of separate reporting segments for direct and retail was no longer representative. Therefore, as of February 3, 2020, the Company updated its segment reporting to one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reportable external segment, consistent with the Company’s omnichannel business approach. The Company’s revenues generated outside the United States were insignificant.</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has two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classes of authorized common stock: Class A common stock and Class B common stock. The rights of holders of Class A common stock and Class B common stock are identical, except for voting and conversion rights. Each share of Class A common stock is entitled to ten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votes per share and is convertible at any time into one share of Class B common stock. Each share of Class B common stock is entitled to one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vote per share.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 Company’s Class B common stock trades on the NASDAQ Global Select Market under the symbol “DLTH.”</w:t>
      </w:r>
    </w:p>
    <w:p>
      <w:pPr>
        <w:pStyle w:val="TextBody"/>
        <w:bidi w:val="0"/>
        <w:spacing w:lineRule="auto" w:line="259"/>
        <w:rPr>
          <w:rFonts w:ascii="Times New Roman;serif" w:hAnsi="Times New Roman;serif"/>
          <w:b/>
          <w:i/>
          <w:sz w:val="20"/>
        </w:rPr>
      </w:pPr>
      <w:r>
        <w:rPr>
          <w:rFonts w:ascii="Times New Roman;serif" w:hAnsi="Times New Roman;serif"/>
          <w:b/>
          <w:i/>
          <w:sz w:val="20"/>
        </w:rPr>
        <w:t>Basis of Presentation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consolidated financial statements are prepared in accordance with U.S. Generally Accepted Accounting Principles (“U.S. GAAP”). All significant intercompany balances and transactions have been eliminated in consolidation.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fiscal year ends on the Sunday nearest to January 31 of the following year. Fiscal 2020 and Fiscal 2019 ended on January 31, 2021 and February 2, 2020, respectively. Fiscal 2020 and Fiscal 2019 were a 52-week period.</w:t>
      </w:r>
    </w:p>
    <w:p>
      <w:pPr>
        <w:pStyle w:val="TextBody"/>
        <w:bidi w:val="0"/>
        <w:spacing w:lineRule="auto" w:line="259"/>
        <w:rPr>
          <w:rFonts w:ascii="Times New Roman;serif" w:hAnsi="Times New Roman;serif"/>
          <w:b/>
          <w:i/>
          <w:sz w:val="20"/>
        </w:rPr>
      </w:pPr>
      <w:r>
        <w:rPr>
          <w:rFonts w:ascii="Times New Roman;serif" w:hAnsi="Times New Roman;serif"/>
          <w:b/>
          <w:i/>
          <w:sz w:val="20"/>
        </w:rPr>
        <w:t>COVID-19</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March 2020, a novel strain of coronavirus (“COVID-19”) was declared a global pandemic by the World Health Organization. This pandemic has negatively affected the U.S. and global economies, disrupted global supply chains and financial markets, led to significant travel and transportation restrictions, including mandatory business closures and orders to shelter in place. The Company’s business operations and financial performance for the year ended January 31, 2021 were impacted by COVID-19. These impacts are discussed within these notes to the consolidated financial statements.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ultimate impact of COVID-19 on our operational and financial performance still depends on future developments outside of our control. Given the uncertainty, we cannot reasonably estimate the continued impact on our business and whether that impact will be different than what we have already experienced.</w:t>
      </w:r>
    </w:p>
    <w:p>
      <w:pPr>
        <w:pStyle w:val="TextBody"/>
        <w:bidi w:val="0"/>
        <w:spacing w:lineRule="auto" w:line="259"/>
        <w:rPr>
          <w:rFonts w:ascii="Times New Roman;serif" w:hAnsi="Times New Roman;serif"/>
          <w:b/>
          <w:i/>
          <w:sz w:val="20"/>
        </w:rPr>
      </w:pPr>
      <w:r>
        <w:rPr>
          <w:rFonts w:ascii="Times New Roman;serif" w:hAnsi="Times New Roman;serif"/>
          <w:b/>
          <w:i/>
          <w:sz w:val="20"/>
        </w:rPr>
        <w:t>Seasonality of Business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Company’s business is affected by the pattern of seasonality common to most retail apparel businesses. Historically, the Company has recognized a significant portion of its revenue and operating profit in the fourth fiscal quarter of each year as a result of increased sales during the holiday season.</w:t>
      </w:r>
      <w:r>
        <w:rPr>
          <w:rFonts w:ascii="Times New Roman;serif" w:hAnsi="Times New Roman;serif"/>
          <w:caps w:val="false"/>
          <w:smallCaps w:val="false"/>
          <w:sz w:val="20"/>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48</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DULUTH HOLDINGS INC.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color w:val="000000"/>
          <w:sz w:val="20"/>
        </w:rPr>
        <w:t>2.  </w:t>
      </w:r>
      <w:r>
        <w:rPr>
          <w:rFonts w:ascii="Times New Roman;serif" w:hAnsi="Times New Roman;serif"/>
          <w:b/>
          <w:i w:val="false"/>
          <w:caps/>
          <w:color w:val="000000"/>
          <w:sz w:val="20"/>
        </w:rPr>
        <w:t>SUMMARY OF SIGNIFICANT ACCOUNTING POLICIES</w:t>
      </w:r>
    </w:p>
    <w:p>
      <w:pPr>
        <w:pStyle w:val="TextBody"/>
        <w:bidi w:val="0"/>
        <w:spacing w:lineRule="auto" w:line="259"/>
        <w:rPr>
          <w:rFonts w:ascii="Times New Roman;serif" w:hAnsi="Times New Roman;serif"/>
          <w:b/>
          <w:i/>
          <w:sz w:val="20"/>
        </w:rPr>
      </w:pPr>
      <w:r>
        <w:rPr>
          <w:rFonts w:ascii="Times New Roman;serif" w:hAnsi="Times New Roman;serif"/>
          <w:b/>
          <w:i/>
          <w:sz w:val="20"/>
        </w:rPr>
        <w:t>Principles of Consolidation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consolidated financial statements consist of the accounts of Duluth Holdings Inc. and TRI Holdings, LLC (“TRI”) as a variable interest entity. See Note 6 “Variable Interest Entities” for further information.</w:t>
      </w:r>
    </w:p>
    <w:p>
      <w:pPr>
        <w:pStyle w:val="TextBody"/>
        <w:bidi w:val="0"/>
        <w:spacing w:lineRule="auto" w:line="259"/>
        <w:rPr>
          <w:rFonts w:ascii="Times New Roman;serif" w:hAnsi="Times New Roman;serif"/>
          <w:b/>
          <w:i/>
          <w:sz w:val="20"/>
        </w:rPr>
      </w:pPr>
      <w:r>
        <w:rPr>
          <w:rFonts w:ascii="Times New Roman;serif" w:hAnsi="Times New Roman;serif"/>
          <w:b/>
          <w:i/>
          <w:sz w:val="20"/>
        </w:rPr>
        <w:t>Use of Estimates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lineRule="auto" w:line="259"/>
        <w:rPr>
          <w:rFonts w:ascii="Times New Roman;serif" w:hAnsi="Times New Roman;serif"/>
          <w:b/>
          <w:i/>
          <w:sz w:val="20"/>
        </w:rPr>
      </w:pPr>
      <w:r>
        <w:rPr>
          <w:rFonts w:ascii="Times New Roman;serif" w:hAnsi="Times New Roman;serif"/>
          <w:b/>
          <w:i/>
          <w:sz w:val="20"/>
        </w:rPr>
        <w:t>Revenue Recognition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The Company’s revenue primarily consists of the sale of apparel, footwear and hard goods. Revenue for merchandise that is shipped to our customers from our distribution centers and stores is recognized upon shipment following customer payment, which is when the customer obtains control of the product and has the ability to direct the use of the product, including, among other options, the ability to redirect the product to a different shipping destination. Store revenue is recognized at the point of sale. The Company provides the customer the right of return on the product and revenue is adjusted based on an estimate of the expected returns based on historical rates as well as events that may cause changes to historical rates. See Note 5 “Accrued Expense and Other Liabilities” for the Company’s product returns reserve. Shipping and processing revenue generated from customer orders are included as a component of net sales and shipping and processing expense, including handling expense, is included as a component of selling, general and administrative expenses. Sales tax collected from customers and remitted to taxing authorities is excluded from revenue and is included in accrued expenses. </w:t>
      </w:r>
      <w:r>
        <w:rPr>
          <w:rFonts w:ascii="Times New Roman;serif" w:hAnsi="Times New Roman;serif"/>
          <w:b w:val="false"/>
          <w:i w:val="false"/>
          <w:caps w:val="false"/>
          <w:smallCaps w:val="false"/>
          <w:sz w:val="20"/>
        </w:rPr>
        <w:t>A liability is recognized at the time a gift card is sold, and revenue is recognized at the time the gift card is redeemed for merchandise. See Note 8 “Revenue” for further information.</w:t>
      </w:r>
    </w:p>
    <w:p>
      <w:pPr>
        <w:pStyle w:val="TextBody"/>
        <w:bidi w:val="0"/>
        <w:spacing w:lineRule="auto" w:line="259"/>
        <w:rPr>
          <w:rFonts w:ascii="Times New Roman;serif" w:hAnsi="Times New Roman;serif"/>
          <w:b/>
          <w:i/>
          <w:sz w:val="20"/>
        </w:rPr>
      </w:pPr>
      <w:r>
        <w:rPr>
          <w:rFonts w:ascii="Times New Roman;serif" w:hAnsi="Times New Roman;serif"/>
          <w:b/>
          <w:i/>
          <w:sz w:val="20"/>
        </w:rPr>
        <w:t>Cost of Goods Sold and Selling, General and Administrative Expenses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illustrates the primary costs classified in cost of goods sold and selling, general and administrative expenses:</w:t>
      </w:r>
    </w:p>
    <w:tbl>
      <w:tblPr>
        <w:tblW w:w="10205" w:type="dxa"/>
        <w:jc w:val="left"/>
        <w:tblInd w:w="0" w:type="dxa"/>
        <w:tblCellMar>
          <w:top w:w="0" w:type="dxa"/>
          <w:left w:w="0" w:type="dxa"/>
          <w:bottom w:w="0" w:type="dxa"/>
          <w:right w:w="0" w:type="dxa"/>
        </w:tblCellMar>
      </w:tblPr>
      <w:tblGrid>
        <w:gridCol w:w="196"/>
        <w:gridCol w:w="3361"/>
        <w:gridCol w:w="109"/>
        <w:gridCol w:w="181"/>
        <w:gridCol w:w="6358"/>
      </w:tblGrid>
      <w:tr>
        <w:trPr/>
        <w:tc>
          <w:tcPr>
            <w:tcW w:w="196" w:type="dxa"/>
            <w:tcBorders/>
            <w:shd w:fill="FFFFFF" w:val="clear"/>
            <w:vAlign w:val="center"/>
          </w:tcPr>
          <w:p>
            <w:pPr>
              <w:pStyle w:val="TableContents"/>
              <w:spacing w:before="0" w:after="283"/>
              <w:rPr>
                <w:sz w:val="4"/>
                <w:szCs w:val="4"/>
              </w:rPr>
            </w:pPr>
            <w:r>
              <w:rPr>
                <w:sz w:val="4"/>
                <w:szCs w:val="4"/>
              </w:rPr>
            </w:r>
          </w:p>
        </w:tc>
        <w:tc>
          <w:tcPr>
            <w:tcW w:w="336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1" w:type="dxa"/>
            <w:tcBorders/>
            <w:shd w:fill="FFFFFF" w:val="clear"/>
            <w:vAlign w:val="center"/>
          </w:tcPr>
          <w:p>
            <w:pPr>
              <w:pStyle w:val="TableContents"/>
              <w:spacing w:before="0" w:after="283"/>
              <w:rPr>
                <w:sz w:val="4"/>
                <w:szCs w:val="4"/>
              </w:rPr>
            </w:pPr>
            <w:r>
              <w:rPr>
                <w:sz w:val="4"/>
                <w:szCs w:val="4"/>
              </w:rPr>
            </w:r>
          </w:p>
        </w:tc>
        <w:tc>
          <w:tcPr>
            <w:tcW w:w="6358" w:type="dxa"/>
            <w:tcBorders/>
            <w:shd w:fill="FFFFFF" w:val="clear"/>
            <w:vAlign w:val="center"/>
          </w:tcPr>
          <w:p>
            <w:pPr>
              <w:pStyle w:val="TableContents"/>
              <w:spacing w:before="0" w:after="283"/>
              <w:rPr>
                <w:sz w:val="4"/>
                <w:szCs w:val="4"/>
              </w:rPr>
            </w:pPr>
            <w:r>
              <w:rPr>
                <w:sz w:val="4"/>
                <w:szCs w:val="4"/>
              </w:rPr>
            </w:r>
          </w:p>
        </w:tc>
      </w:tr>
      <w:tr>
        <w:trPr/>
        <w:tc>
          <w:tcPr>
            <w:tcW w:w="3557"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Cost of Goods Sold</w:t>
            </w:r>
          </w:p>
        </w:tc>
        <w:tc>
          <w:tcPr>
            <w:tcW w:w="109" w:type="dxa"/>
            <w:tcBorders/>
            <w:shd w:fill="FFFFFF" w:val="clear"/>
            <w:vAlign w:val="center"/>
          </w:tcPr>
          <w:p>
            <w:pPr>
              <w:pStyle w:val="TableContents"/>
              <w:spacing w:before="0" w:after="283"/>
              <w:rPr>
                <w:sz w:val="4"/>
                <w:szCs w:val="4"/>
              </w:rPr>
            </w:pPr>
            <w:r>
              <w:rPr>
                <w:sz w:val="4"/>
                <w:szCs w:val="4"/>
              </w:rPr>
            </w:r>
          </w:p>
        </w:tc>
        <w:tc>
          <w:tcPr>
            <w:tcW w:w="6539"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Selling, General and Administrative Expenses</w:t>
            </w:r>
          </w:p>
        </w:tc>
      </w:tr>
      <w:tr>
        <w:trPr/>
        <w:tc>
          <w:tcPr>
            <w:tcW w:w="196" w:type="dxa"/>
            <w:tcBorders>
              <w:top w:val="single" w:sz="8" w:space="0" w:color="000000"/>
            </w:tcBorders>
            <w:shd w:fill="CCEEFF" w:val="clear"/>
            <w:tcMar>
              <w:top w:w="28" w:type="dxa"/>
            </w:tcMar>
            <w:vAlign w:val="center"/>
          </w:tcPr>
          <w:p>
            <w:pPr>
              <w:pStyle w:val="TableContents"/>
              <w:bidi w:val="0"/>
              <w:spacing w:lineRule="auto" w:line="259" w:before="0" w:after="283"/>
              <w:rPr>
                <w:rFonts w:ascii="Symbol" w:hAnsi="Symbol"/>
                <w:b w:val="false"/>
                <w:i w:val="false"/>
                <w:caps w:val="false"/>
                <w:smallCaps w:val="false"/>
                <w:sz w:val="16"/>
              </w:rPr>
            </w:pPr>
            <w:r>
              <w:rPr>
                <w:rFonts w:ascii="Symbol" w:hAnsi="Symbol"/>
                <w:b w:val="false"/>
                <w:i w:val="false"/>
                <w:caps w:val="false"/>
                <w:smallCaps w:val="false"/>
                <w:sz w:val="16"/>
              </w:rPr>
              <w:t>·</w:t>
            </w:r>
          </w:p>
        </w:tc>
        <w:tc>
          <w:tcPr>
            <w:tcW w:w="336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 cost of purchased merchandise</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rPr>
                <w:rFonts w:ascii="Symbol" w:hAnsi="Symbol"/>
                <w:b w:val="false"/>
                <w:i w:val="false"/>
                <w:caps w:val="false"/>
                <w:smallCaps w:val="false"/>
                <w:sz w:val="16"/>
              </w:rPr>
            </w:pPr>
            <w:r>
              <w:rPr>
                <w:rFonts w:ascii="Symbol" w:hAnsi="Symbol"/>
                <w:b w:val="false"/>
                <w:i w:val="false"/>
                <w:caps w:val="false"/>
                <w:smallCaps w:val="false"/>
                <w:sz w:val="16"/>
              </w:rPr>
              <w:t>·</w:t>
            </w:r>
          </w:p>
        </w:tc>
        <w:tc>
          <w:tcPr>
            <w:tcW w:w="635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Payroll and payroll-related expenses</w:t>
            </w:r>
          </w:p>
        </w:tc>
      </w:tr>
      <w:tr>
        <w:trPr/>
        <w:tc>
          <w:tcPr>
            <w:tcW w:w="196" w:type="dxa"/>
            <w:tcBorders/>
            <w:shd w:fill="auto" w:val="clear"/>
            <w:vAlign w:val="center"/>
          </w:tcPr>
          <w:p>
            <w:pPr>
              <w:pStyle w:val="TableContents"/>
              <w:bidi w:val="0"/>
              <w:spacing w:lineRule="auto" w:line="259" w:before="0" w:after="283"/>
              <w:rPr>
                <w:rFonts w:ascii="Symbol" w:hAnsi="Symbol"/>
                <w:b w:val="false"/>
                <w:i w:val="false"/>
                <w:caps w:val="false"/>
                <w:smallCaps w:val="false"/>
                <w:sz w:val="16"/>
              </w:rPr>
            </w:pPr>
            <w:r>
              <w:rPr>
                <w:rFonts w:ascii="Symbol" w:hAnsi="Symbol"/>
                <w:b w:val="false"/>
                <w:i w:val="false"/>
                <w:caps w:val="false"/>
                <w:smallCaps w:val="false"/>
                <w:sz w:val="16"/>
              </w:rPr>
              <w:t>·</w:t>
            </w:r>
          </w:p>
        </w:tc>
        <w:tc>
          <w:tcPr>
            <w:tcW w:w="336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Inventory shrinkage and inventory adjustments due to obsolescence</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bidi w:val="0"/>
              <w:spacing w:lineRule="auto" w:line="259" w:before="0" w:after="283"/>
              <w:rPr>
                <w:rFonts w:ascii="Symbol" w:hAnsi="Symbol"/>
                <w:b w:val="false"/>
                <w:i w:val="false"/>
                <w:caps w:val="false"/>
                <w:smallCaps w:val="false"/>
                <w:sz w:val="16"/>
              </w:rPr>
            </w:pPr>
            <w:r>
              <w:rPr>
                <w:rFonts w:ascii="Symbol" w:hAnsi="Symbol"/>
                <w:b w:val="false"/>
                <w:i w:val="false"/>
                <w:caps w:val="false"/>
                <w:smallCaps w:val="false"/>
                <w:sz w:val="16"/>
              </w:rPr>
              <w:t>·</w:t>
            </w:r>
          </w:p>
        </w:tc>
        <w:tc>
          <w:tcPr>
            <w:tcW w:w="6358"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Third party logistics ("3PL")</w:t>
            </w:r>
          </w:p>
        </w:tc>
      </w:tr>
      <w:tr>
        <w:trPr/>
        <w:tc>
          <w:tcPr>
            <w:tcW w:w="196" w:type="dxa"/>
            <w:tcBorders/>
            <w:shd w:fill="CCEEFF" w:val="clear"/>
            <w:vAlign w:val="center"/>
          </w:tcPr>
          <w:p>
            <w:pPr>
              <w:pStyle w:val="TableContents"/>
              <w:bidi w:val="0"/>
              <w:spacing w:lineRule="auto" w:line="259" w:before="0" w:after="283"/>
              <w:rPr>
                <w:rFonts w:ascii="Symbol" w:hAnsi="Symbol"/>
                <w:b w:val="false"/>
                <w:i w:val="false"/>
                <w:caps w:val="false"/>
                <w:smallCaps w:val="false"/>
                <w:sz w:val="16"/>
              </w:rPr>
            </w:pPr>
            <w:r>
              <w:rPr>
                <w:rFonts w:ascii="Symbol" w:hAnsi="Symbol"/>
                <w:b w:val="false"/>
                <w:i w:val="false"/>
                <w:caps w:val="false"/>
                <w:smallCaps w:val="false"/>
                <w:sz w:val="16"/>
              </w:rPr>
              <w:t>·</w:t>
            </w:r>
          </w:p>
        </w:tc>
        <w:tc>
          <w:tcPr>
            <w:tcW w:w="33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Inbound freight</w:t>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rPr>
                <w:rFonts w:ascii="Symbol" w:hAnsi="Symbol"/>
                <w:b w:val="false"/>
                <w:i w:val="false"/>
                <w:caps w:val="false"/>
                <w:smallCaps w:val="false"/>
                <w:sz w:val="16"/>
              </w:rPr>
            </w:pPr>
            <w:r>
              <w:rPr>
                <w:rFonts w:ascii="Symbol" w:hAnsi="Symbol"/>
                <w:b w:val="false"/>
                <w:i w:val="false"/>
                <w:caps w:val="false"/>
                <w:smallCaps w:val="false"/>
                <w:sz w:val="16"/>
              </w:rPr>
              <w:t>·</w:t>
            </w:r>
          </w:p>
        </w:tc>
        <w:tc>
          <w:tcPr>
            <w:tcW w:w="635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Occupancy expenses related to stores and operations at the Company&amp;apos;s headquarters, including utilities</w:t>
            </w:r>
          </w:p>
        </w:tc>
      </w:tr>
      <w:tr>
        <w:trPr/>
        <w:tc>
          <w:tcPr>
            <w:tcW w:w="196" w:type="dxa"/>
            <w:tcBorders/>
            <w:shd w:fill="auto" w:val="clear"/>
            <w:vAlign w:val="center"/>
          </w:tcPr>
          <w:p>
            <w:pPr>
              <w:pStyle w:val="TableContents"/>
              <w:bidi w:val="0"/>
              <w:spacing w:lineRule="auto" w:line="259" w:before="0" w:after="283"/>
              <w:rPr>
                <w:rFonts w:ascii="Symbol" w:hAnsi="Symbol"/>
                <w:b w:val="false"/>
                <w:i w:val="false"/>
                <w:caps w:val="false"/>
                <w:smallCaps w:val="false"/>
                <w:sz w:val="16"/>
              </w:rPr>
            </w:pPr>
            <w:r>
              <w:rPr>
                <w:rFonts w:ascii="Symbol" w:hAnsi="Symbol"/>
                <w:b w:val="false"/>
                <w:i w:val="false"/>
                <w:caps w:val="false"/>
                <w:smallCaps w:val="false"/>
                <w:sz w:val="16"/>
              </w:rPr>
              <w:t>·</w:t>
            </w:r>
          </w:p>
        </w:tc>
        <w:tc>
          <w:tcPr>
            <w:tcW w:w="336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Freight from the Company&amp;apos;s distribution centers to its stores</w:t>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bidi w:val="0"/>
              <w:spacing w:lineRule="auto" w:line="259" w:before="0" w:after="283"/>
              <w:rPr>
                <w:rFonts w:ascii="Symbol" w:hAnsi="Symbol"/>
                <w:b w:val="false"/>
                <w:i w:val="false"/>
                <w:caps w:val="false"/>
                <w:smallCaps w:val="false"/>
                <w:sz w:val="16"/>
              </w:rPr>
            </w:pPr>
            <w:r>
              <w:rPr>
                <w:rFonts w:ascii="Symbol" w:hAnsi="Symbol"/>
                <w:b w:val="false"/>
                <w:i w:val="false"/>
                <w:caps w:val="false"/>
                <w:smallCaps w:val="false"/>
                <w:sz w:val="16"/>
              </w:rPr>
              <w:t>·</w:t>
            </w:r>
          </w:p>
        </w:tc>
        <w:tc>
          <w:tcPr>
            <w:tcW w:w="6358"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Depreciation and amortization</w:t>
            </w:r>
          </w:p>
        </w:tc>
      </w:tr>
      <w:tr>
        <w:trPr/>
        <w:tc>
          <w:tcPr>
            <w:tcW w:w="196" w:type="dxa"/>
            <w:tcBorders/>
            <w:shd w:fill="CCEEFF" w:val="clear"/>
            <w:vAlign w:val="center"/>
          </w:tcPr>
          <w:p>
            <w:pPr>
              <w:pStyle w:val="TableContents"/>
              <w:spacing w:before="0" w:after="283"/>
              <w:rPr>
                <w:sz w:val="4"/>
                <w:szCs w:val="4"/>
              </w:rPr>
            </w:pPr>
            <w:r>
              <w:rPr>
                <w:sz w:val="4"/>
                <w:szCs w:val="4"/>
              </w:rPr>
            </w:r>
          </w:p>
        </w:tc>
        <w:tc>
          <w:tcPr>
            <w:tcW w:w="336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rPr>
                <w:rFonts w:ascii="Symbol" w:hAnsi="Symbol"/>
                <w:b w:val="false"/>
                <w:i w:val="false"/>
                <w:caps w:val="false"/>
                <w:smallCaps w:val="false"/>
                <w:sz w:val="16"/>
              </w:rPr>
            </w:pPr>
            <w:r>
              <w:rPr>
                <w:rFonts w:ascii="Symbol" w:hAnsi="Symbol"/>
                <w:b w:val="false"/>
                <w:i w:val="false"/>
                <w:caps w:val="false"/>
                <w:smallCaps w:val="false"/>
                <w:sz w:val="16"/>
              </w:rPr>
              <w:t>·</w:t>
            </w:r>
          </w:p>
        </w:tc>
        <w:tc>
          <w:tcPr>
            <w:tcW w:w="635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Advertising expenses including: television, digital and social media advertising; catalog production and mailing; and print advertising costs</w:t>
            </w:r>
          </w:p>
        </w:tc>
      </w:tr>
      <w:tr>
        <w:trPr/>
        <w:tc>
          <w:tcPr>
            <w:tcW w:w="196" w:type="dxa"/>
            <w:tcBorders/>
            <w:shd w:fill="auto" w:val="clear"/>
            <w:vAlign w:val="center"/>
          </w:tcPr>
          <w:p>
            <w:pPr>
              <w:pStyle w:val="TableContents"/>
              <w:spacing w:before="0" w:after="283"/>
              <w:rPr>
                <w:sz w:val="4"/>
                <w:szCs w:val="4"/>
              </w:rPr>
            </w:pPr>
            <w:r>
              <w:rPr>
                <w:sz w:val="4"/>
                <w:szCs w:val="4"/>
              </w:rPr>
            </w:r>
          </w:p>
        </w:tc>
        <w:tc>
          <w:tcPr>
            <w:tcW w:w="3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bidi w:val="0"/>
              <w:spacing w:lineRule="auto" w:line="259" w:before="0" w:after="283"/>
              <w:rPr>
                <w:rFonts w:ascii="Symbol" w:hAnsi="Symbol"/>
                <w:b w:val="false"/>
                <w:i w:val="false"/>
                <w:caps w:val="false"/>
                <w:smallCaps w:val="false"/>
                <w:sz w:val="16"/>
              </w:rPr>
            </w:pPr>
            <w:r>
              <w:rPr>
                <w:rFonts w:ascii="Symbol" w:hAnsi="Symbol"/>
                <w:b w:val="false"/>
                <w:i w:val="false"/>
                <w:caps w:val="false"/>
                <w:smallCaps w:val="false"/>
                <w:sz w:val="16"/>
              </w:rPr>
              <w:t>·</w:t>
            </w:r>
          </w:p>
        </w:tc>
        <w:tc>
          <w:tcPr>
            <w:tcW w:w="6358"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Freight associated with shipping product to customers</w:t>
            </w:r>
          </w:p>
        </w:tc>
      </w:tr>
      <w:tr>
        <w:trPr/>
        <w:tc>
          <w:tcPr>
            <w:tcW w:w="196" w:type="dxa"/>
            <w:tcBorders/>
            <w:shd w:fill="CCEEFF" w:val="clear"/>
            <w:vAlign w:val="center"/>
          </w:tcPr>
          <w:p>
            <w:pPr>
              <w:pStyle w:val="TableContents"/>
              <w:spacing w:before="0" w:after="283"/>
              <w:rPr>
                <w:sz w:val="4"/>
                <w:szCs w:val="4"/>
              </w:rPr>
            </w:pPr>
            <w:r>
              <w:rPr>
                <w:sz w:val="4"/>
                <w:szCs w:val="4"/>
              </w:rPr>
            </w:r>
          </w:p>
        </w:tc>
        <w:tc>
          <w:tcPr>
            <w:tcW w:w="336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81" w:type="dxa"/>
            <w:tcBorders/>
            <w:shd w:fill="CCEEFF" w:val="clear"/>
            <w:vAlign w:val="center"/>
          </w:tcPr>
          <w:p>
            <w:pPr>
              <w:pStyle w:val="TableContents"/>
              <w:bidi w:val="0"/>
              <w:spacing w:lineRule="auto" w:line="259" w:before="0" w:after="283"/>
              <w:rPr>
                <w:rFonts w:ascii="Symbol" w:hAnsi="Symbol"/>
                <w:b w:val="false"/>
                <w:i w:val="false"/>
                <w:caps w:val="false"/>
                <w:smallCaps w:val="false"/>
                <w:sz w:val="16"/>
              </w:rPr>
            </w:pPr>
            <w:r>
              <w:rPr>
                <w:rFonts w:ascii="Symbol" w:hAnsi="Symbol"/>
                <w:b w:val="false"/>
                <w:i w:val="false"/>
                <w:caps w:val="false"/>
                <w:smallCaps w:val="false"/>
                <w:sz w:val="16"/>
              </w:rPr>
              <w:t>·</w:t>
            </w:r>
          </w:p>
        </w:tc>
        <w:tc>
          <w:tcPr>
            <w:tcW w:w="635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Consulting and professional fees</w:t>
            </w:r>
          </w:p>
        </w:tc>
      </w:tr>
    </w:tbl>
    <w:p>
      <w:pPr>
        <w:pStyle w:val="TextBody"/>
        <w:bidi w:val="0"/>
        <w:spacing w:lineRule="auto" w:line="259"/>
        <w:rPr>
          <w:rFonts w:ascii="Times New Roman;serif" w:hAnsi="Times New Roman;serif"/>
          <w:b/>
          <w:i/>
          <w:sz w:val="20"/>
        </w:rPr>
      </w:pPr>
      <w:r>
        <w:rPr>
          <w:rFonts w:ascii="Times New Roman;serif" w:hAnsi="Times New Roman;serif"/>
          <w:b/>
          <w:i/>
          <w:sz w:val="20"/>
        </w:rPr>
        <w:t>Advertising and Catalog Expenses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non-direct response advertising primarily consists of billboards, web marketing programs, social media and radio and television advertisements, which are expensed as they are incurred. The Company’s direct-response advertising consists of producing, printing and mailing catalogs, which are expensed upon receipt by customers.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Advertising and Catalog expenses were $72.4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$93.9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for fiscal 2020 and fiscal 2019, respectively.</w:t>
      </w:r>
    </w:p>
    <w:p>
      <w:pPr>
        <w:pStyle w:val="TextBody"/>
        <w:bidi w:val="0"/>
        <w:spacing w:lineRule="auto" w:line="259"/>
        <w:rPr>
          <w:rFonts w:ascii="Times New Roman;serif" w:hAnsi="Times New Roman;serif"/>
          <w:sz w:val="20"/>
        </w:rPr>
      </w:pPr>
      <w:r>
        <w:rPr>
          <w:rFonts w:ascii="Times New Roman;serif" w:hAnsi="Times New Roman;serif"/>
          <w:b/>
          <w:i/>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49</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DULUTH HOLDINGS INC.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w:t>
      </w:r>
    </w:p>
    <w:p>
      <w:pPr>
        <w:pStyle w:val="TextBody"/>
        <w:bidi w:val="0"/>
        <w:spacing w:lineRule="auto" w:line="259"/>
        <w:rPr>
          <w:rFonts w:ascii="Times New Roman;serif" w:hAnsi="Times New Roman;serif"/>
          <w:b/>
          <w:i/>
          <w:sz w:val="20"/>
        </w:rPr>
      </w:pPr>
      <w:r>
        <w:rPr>
          <w:rFonts w:ascii="Times New Roman;serif" w:hAnsi="Times New Roman;serif"/>
          <w:b/>
          <w:i/>
          <w:sz w:val="20"/>
        </w:rPr>
        <w:t>Shipping and Processing</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Shipping and processing revenue generated from customer orders has been classified as a component of net sales. Shipping and processing expense, including handling expense, has been classified as a component of selling, general and administrative expenses. Shipping and handling expenses increased in fiscal 2020 due to the shift to online shopping, as well as additional surcharges during our peak holiday season resulting from the strained distribution network. The Company incurred shipping and processing expenses of $46.9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$31.3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for fiscal 2020 and fiscal 2019, respectively.</w:t>
      </w:r>
    </w:p>
    <w:p>
      <w:pPr>
        <w:pStyle w:val="TextBody"/>
        <w:bidi w:val="0"/>
        <w:spacing w:lineRule="auto" w:line="259"/>
        <w:rPr>
          <w:rFonts w:ascii="Times New Roman;serif" w:hAnsi="Times New Roman;serif"/>
          <w:b/>
          <w:i/>
          <w:sz w:val="20"/>
        </w:rPr>
      </w:pPr>
      <w:r>
        <w:rPr>
          <w:rFonts w:ascii="Times New Roman;serif" w:hAnsi="Times New Roman;serif"/>
          <w:b/>
          <w:i/>
          <w:sz w:val="20"/>
        </w:rPr>
        <w:t>Income Taxes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The Company accounts for income taxes and related accounts using the liability method in accordance with ASC Topic 740, </w:t>
      </w:r>
      <w:r>
        <w:rPr>
          <w:rFonts w:ascii="Times New Roman;serif" w:hAnsi="Times New Roman;serif"/>
          <w:b w:val="false"/>
          <w:i/>
          <w:sz w:val="20"/>
        </w:rPr>
        <w:t xml:space="preserve">Income Taxes </w:t>
      </w:r>
      <w:r>
        <w:rPr>
          <w:rFonts w:ascii="Times New Roman;serif" w:hAnsi="Times New Roman;serif"/>
          <w:b w:val="false"/>
          <w:i w:val="false"/>
          <w:caps w:val="false"/>
          <w:smallCaps w:val="false"/>
          <w:sz w:val="20"/>
        </w:rPr>
        <w:t>(“ASC 740”). Under ASC 740, the Company accrues income taxes payable or refundable and recognizes deferred tax assets and liabilities based on differences between U.S. GAAP and tax bases of assets and liabilities. The Company measures deferred tax assets and liabilities using enacted tax rates in effect for the years in which the differences are expected to reverse, and recognizes the effect of a change in enacted rates in the period of enactment. A valuation allowance is established if it is more likely than not that some portion or all of the deferred income tax asset will not be realized.</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0"/>
        </w:rPr>
        <w:t>The Company establishes assets and liabilities for uncertain tax positions taken or expected to be taken in income tax returns, using a more-likely-than-not recognition threshold. The Company recognizes penalties and interest related to uncertain tax positions as income tax expense.</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0"/>
        </w:rPr>
        <w:t>See Note 9 “Income Taxes,” of these Notes to Consolidated Financial Statements for further discussion.</w:t>
      </w:r>
    </w:p>
    <w:p>
      <w:pPr>
        <w:pStyle w:val="TextBody"/>
        <w:bidi w:val="0"/>
        <w:spacing w:lineRule="auto" w:line="259"/>
        <w:rPr>
          <w:rFonts w:ascii="Times New Roman;serif" w:hAnsi="Times New Roman;serif"/>
          <w:b/>
          <w:i/>
          <w:sz w:val="20"/>
        </w:rPr>
      </w:pPr>
      <w:r>
        <w:rPr>
          <w:rFonts w:ascii="Times New Roman;serif" w:hAnsi="Times New Roman;serif"/>
          <w:b/>
          <w:i/>
          <w:sz w:val="20"/>
        </w:rPr>
        <w:t>Concentrations of Credit Risk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Financial instruments that potentially subject the Company to concentrations of credit risk consist principally of cash deposits. At various times during the year, the Company has certain cash balances deposited in financial institutions in excess of federally insured limits. The Company has not experienced any losses in such accounts and management believes it is not exposed to any significant credit risk.</w:t>
      </w:r>
    </w:p>
    <w:p>
      <w:pPr>
        <w:pStyle w:val="TextBody"/>
        <w:bidi w:val="0"/>
        <w:spacing w:lineRule="auto" w:line="259"/>
        <w:rPr>
          <w:rFonts w:ascii="Times New Roman;serif" w:hAnsi="Times New Roman;serif"/>
          <w:b/>
          <w:i/>
          <w:color w:val="000000"/>
          <w:sz w:val="20"/>
          <w:highlight w:val="white"/>
        </w:rPr>
      </w:pPr>
      <w:r>
        <w:rPr>
          <w:rFonts w:ascii="Times New Roman;serif" w:hAnsi="Times New Roman;serif"/>
          <w:b/>
          <w:i/>
          <w:color w:val="000000"/>
          <w:sz w:val="20"/>
          <w:highlight w:val="white"/>
        </w:rPr>
        <w:t>Restricted Cash and Reconciliation of cash and cash equivalents and restricted cash to the statement of cash flows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restricted cash is held in escrow accounts and is used to pay a portion of the construction loans entered into by third party landlords (the “Landlords”) in connection with the Company’s retail store leases. The restricted cash is disbursed based on the escrow agreements entered into by and among the Landlords, the Company and the escrow agent. There was no restricted cash held in escrow accounts as of January 31, 2021.</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considers short-term investments with original maturities of three months or less when purchased to be cash equivalents. Amounts receivable from credit card issuers are typically converted to cash within 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days of the original sales transaction and are considered to be cash equivalents.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provides a reconciliation of cash and cash equivalents and restricted cash reported within the Consolidated Balance Sheet that sum to the total of the same such amounts shown in the Consolidated Statement of Cash Flows.</w:t>
      </w:r>
    </w:p>
    <w:tbl>
      <w:tblPr>
        <w:tblW w:w="8109" w:type="dxa"/>
        <w:jc w:val="left"/>
        <w:tblInd w:w="0" w:type="dxa"/>
        <w:tblCellMar>
          <w:top w:w="0" w:type="dxa"/>
          <w:left w:w="0" w:type="dxa"/>
          <w:bottom w:w="0" w:type="dxa"/>
          <w:right w:w="0" w:type="dxa"/>
        </w:tblCellMar>
      </w:tblPr>
      <w:tblGrid>
        <w:gridCol w:w="5071"/>
        <w:gridCol w:w="109"/>
        <w:gridCol w:w="331"/>
        <w:gridCol w:w="1064"/>
        <w:gridCol w:w="109"/>
        <w:gridCol w:w="363"/>
        <w:gridCol w:w="1062"/>
      </w:tblGrid>
      <w:tr>
        <w:trPr/>
        <w:tc>
          <w:tcPr>
            <w:tcW w:w="507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31" w:type="dxa"/>
            <w:tcBorders/>
            <w:shd w:fill="FFFFFF" w:val="clear"/>
            <w:vAlign w:val="center"/>
          </w:tcPr>
          <w:p>
            <w:pPr>
              <w:pStyle w:val="TableContents"/>
              <w:spacing w:before="0" w:after="283"/>
              <w:rPr>
                <w:sz w:val="4"/>
                <w:szCs w:val="4"/>
              </w:rPr>
            </w:pPr>
            <w:r>
              <w:rPr>
                <w:sz w:val="4"/>
                <w:szCs w:val="4"/>
              </w:rPr>
            </w:r>
          </w:p>
        </w:tc>
        <w:tc>
          <w:tcPr>
            <w:tcW w:w="106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63" w:type="dxa"/>
            <w:tcBorders/>
            <w:shd w:fill="FFFFFF" w:val="clear"/>
            <w:vAlign w:val="center"/>
          </w:tcPr>
          <w:p>
            <w:pPr>
              <w:pStyle w:val="TableContents"/>
              <w:spacing w:before="0" w:after="283"/>
              <w:rPr>
                <w:sz w:val="4"/>
                <w:szCs w:val="4"/>
              </w:rPr>
            </w:pPr>
            <w:r>
              <w:rPr>
                <w:sz w:val="4"/>
                <w:szCs w:val="4"/>
              </w:rPr>
            </w:r>
          </w:p>
        </w:tc>
        <w:tc>
          <w:tcPr>
            <w:tcW w:w="1062" w:type="dxa"/>
            <w:tcBorders/>
            <w:shd w:fill="FFFFFF" w:val="clear"/>
            <w:vAlign w:val="center"/>
          </w:tcPr>
          <w:p>
            <w:pPr>
              <w:pStyle w:val="TableContents"/>
              <w:spacing w:before="0" w:after="283"/>
              <w:rPr>
                <w:sz w:val="4"/>
                <w:szCs w:val="4"/>
              </w:rPr>
            </w:pPr>
            <w:r>
              <w:rPr>
                <w:sz w:val="4"/>
                <w:szCs w:val="4"/>
              </w:rPr>
            </w:r>
          </w:p>
        </w:tc>
      </w:tr>
      <w:tr>
        <w:trPr/>
        <w:tc>
          <w:tcPr>
            <w:tcW w:w="507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39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January 31, 2021</w:t>
            </w:r>
          </w:p>
        </w:tc>
        <w:tc>
          <w:tcPr>
            <w:tcW w:w="109" w:type="dxa"/>
            <w:tcBorders/>
            <w:shd w:fill="FFFFFF" w:val="clear"/>
            <w:vAlign w:val="center"/>
          </w:tcPr>
          <w:p>
            <w:pPr>
              <w:pStyle w:val="TableContents"/>
              <w:spacing w:before="0" w:after="283"/>
              <w:rPr>
                <w:sz w:val="4"/>
                <w:szCs w:val="4"/>
              </w:rPr>
            </w:pPr>
            <w:r>
              <w:rPr>
                <w:sz w:val="4"/>
                <w:szCs w:val="4"/>
              </w:rPr>
            </w:r>
          </w:p>
        </w:tc>
        <w:tc>
          <w:tcPr>
            <w:tcW w:w="142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February 2, 2020</w:t>
            </w:r>
          </w:p>
        </w:tc>
      </w:tr>
      <w:tr>
        <w:trPr/>
        <w:tc>
          <w:tcPr>
            <w:tcW w:w="5071" w:type="dxa"/>
            <w:tcBorders/>
            <w:shd w:fill="FFFFFF" w:val="clear"/>
            <w:vAlign w:val="center"/>
          </w:tcPr>
          <w:p>
            <w:pPr>
              <w:pStyle w:val="TableContents"/>
              <w:bidi w:val="0"/>
              <w:spacing w:lineRule="auto" w:line="259" w:before="0" w:after="283"/>
              <w:rPr>
                <w:rFonts w:ascii="Times New Roman;serif" w:hAnsi="Times New Roman;serif"/>
                <w:b w:val="false"/>
                <w:i/>
                <w:sz w:val="16"/>
              </w:rPr>
            </w:pPr>
            <w:r>
              <w:rPr>
                <w:rFonts w:ascii="Times New Roman;serif" w:hAnsi="Times New Roman;serif"/>
                <w:b w:val="false"/>
                <w:i/>
                <w:sz w:val="16"/>
              </w:rPr>
              <w:t>(in thousands)</w:t>
            </w:r>
          </w:p>
        </w:tc>
        <w:tc>
          <w:tcPr>
            <w:tcW w:w="109" w:type="dxa"/>
            <w:tcBorders/>
            <w:shd w:fill="FFFFFF" w:val="clear"/>
            <w:vAlign w:val="center"/>
          </w:tcPr>
          <w:p>
            <w:pPr>
              <w:pStyle w:val="TableContents"/>
              <w:spacing w:before="0" w:after="283"/>
              <w:rPr>
                <w:sz w:val="4"/>
                <w:szCs w:val="4"/>
              </w:rPr>
            </w:pPr>
            <w:r>
              <w:rPr>
                <w:sz w:val="4"/>
                <w:szCs w:val="4"/>
              </w:rPr>
            </w:r>
          </w:p>
        </w:tc>
        <w:tc>
          <w:tcPr>
            <w:tcW w:w="33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64"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63"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62"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50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and cash equivalents</w:t>
            </w:r>
          </w:p>
        </w:tc>
        <w:tc>
          <w:tcPr>
            <w:tcW w:w="109" w:type="dxa"/>
            <w:tcBorders/>
            <w:shd w:fill="CCEEFF" w:val="clear"/>
            <w:vAlign w:val="center"/>
          </w:tcPr>
          <w:p>
            <w:pPr>
              <w:pStyle w:val="TableContents"/>
              <w:spacing w:before="0" w:after="283"/>
              <w:rPr>
                <w:sz w:val="4"/>
                <w:szCs w:val="4"/>
              </w:rPr>
            </w:pPr>
            <w:r>
              <w:rPr>
                <w:sz w:val="4"/>
                <w:szCs w:val="4"/>
              </w:rPr>
            </w:r>
          </w:p>
        </w:tc>
        <w:tc>
          <w:tcPr>
            <w:tcW w:w="3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47,221</w:t>
            </w:r>
          </w:p>
        </w:tc>
        <w:tc>
          <w:tcPr>
            <w:tcW w:w="109" w:type="dxa"/>
            <w:tcBorders/>
            <w:shd w:fill="CCEEFF" w:val="clear"/>
            <w:vAlign w:val="center"/>
          </w:tcPr>
          <w:p>
            <w:pPr>
              <w:pStyle w:val="TableContents"/>
              <w:spacing w:before="0" w:after="283"/>
              <w:rPr>
                <w:sz w:val="4"/>
                <w:szCs w:val="4"/>
              </w:rPr>
            </w:pPr>
            <w:r>
              <w:rPr>
                <w:sz w:val="4"/>
                <w:szCs w:val="4"/>
              </w:rPr>
            </w:r>
          </w:p>
        </w:tc>
        <w:tc>
          <w:tcPr>
            <w:tcW w:w="3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2,189</w:t>
            </w:r>
          </w:p>
        </w:tc>
      </w:tr>
      <w:tr>
        <w:trPr/>
        <w:tc>
          <w:tcPr>
            <w:tcW w:w="50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Restricted Cash</w:t>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64"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36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62"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w:t>
            </w:r>
          </w:p>
        </w:tc>
      </w:tr>
      <w:tr>
        <w:trPr/>
        <w:tc>
          <w:tcPr>
            <w:tcW w:w="5071"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 xml:space="preserve">Total cash, cash equivalents and restricted cash shown in the </w:t>
              <w:br/>
              <w: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consolidated statement of cash flows</w:t>
            </w:r>
          </w:p>
        </w:tc>
        <w:tc>
          <w:tcPr>
            <w:tcW w:w="109" w:type="dxa"/>
            <w:tcBorders/>
            <w:shd w:fill="CCEEFF" w:val="clear"/>
            <w:vAlign w:val="center"/>
          </w:tcPr>
          <w:p>
            <w:pPr>
              <w:pStyle w:val="TableContents"/>
              <w:spacing w:before="0" w:after="283"/>
              <w:rPr>
                <w:sz w:val="4"/>
                <w:szCs w:val="4"/>
              </w:rPr>
            </w:pPr>
            <w:r>
              <w:rPr>
                <w:sz w:val="4"/>
                <w:szCs w:val="4"/>
              </w:rPr>
            </w:r>
          </w:p>
        </w:tc>
        <w:tc>
          <w:tcPr>
            <w:tcW w:w="33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47,221</w:t>
            </w:r>
          </w:p>
        </w:tc>
        <w:tc>
          <w:tcPr>
            <w:tcW w:w="109" w:type="dxa"/>
            <w:tcBorders/>
            <w:shd w:fill="CCEEFF" w:val="clear"/>
            <w:vAlign w:val="center"/>
          </w:tcPr>
          <w:p>
            <w:pPr>
              <w:pStyle w:val="TableContents"/>
              <w:spacing w:before="0" w:after="283"/>
              <w:rPr>
                <w:sz w:val="4"/>
                <w:szCs w:val="4"/>
              </w:rPr>
            </w:pPr>
            <w:r>
              <w:rPr>
                <w:sz w:val="4"/>
                <w:szCs w:val="4"/>
              </w:rPr>
            </w:r>
          </w:p>
        </w:tc>
        <w:tc>
          <w:tcPr>
            <w:tcW w:w="36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2,240</w:t>
            </w:r>
          </w:p>
        </w:tc>
      </w:tr>
    </w:tbl>
    <w:p>
      <w:pPr>
        <w:pStyle w:val="TextBody"/>
        <w:bidi w:val="0"/>
        <w:spacing w:lineRule="auto" w:line="259"/>
        <w:rPr>
          <w:rFonts w:ascii="Times New Roman;serif" w:hAnsi="Times New Roman;serif"/>
          <w:b/>
          <w:i/>
          <w:sz w:val="20"/>
        </w:rPr>
      </w:pPr>
      <w:r>
        <w:rPr>
          <w:rFonts w:ascii="Times New Roman;serif" w:hAnsi="Times New Roman;serif"/>
          <w:b/>
          <w:i/>
          <w:sz w:val="20"/>
        </w:rPr>
        <w:t>Significant Suppliers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principal supplier of inventory accounted for 60% and 54% of total inventory expenditures in fiscal 2020 and fiscal 2019, respectively. The Company also had a second supplier that accounted for 10% and 12% of total inventory expenditures in fiscal 2020 and fiscal 2019, respectively.</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50</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DULUTH HOLDINGS INC.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w:t>
      </w:r>
    </w:p>
    <w:p>
      <w:pPr>
        <w:pStyle w:val="TextBody"/>
        <w:bidi w:val="0"/>
        <w:spacing w:lineRule="auto" w:line="259"/>
        <w:rPr>
          <w:rFonts w:ascii="Times New Roman;serif" w:hAnsi="Times New Roman;serif"/>
          <w:b/>
          <w:i/>
          <w:sz w:val="20"/>
        </w:rPr>
      </w:pPr>
      <w:r>
        <w:rPr>
          <w:rFonts w:ascii="Times New Roman;serif" w:hAnsi="Times New Roman;serif"/>
          <w:b/>
          <w:i/>
          <w:sz w:val="20"/>
        </w:rPr>
        <w:t>Inventories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Inventory consists of finished goods stated at the lower of cost or net realizable value, with cost determined using the first-in, first-out valuation method. The Company records an inventory reserve for the anticipated loss associated with selling inventories below cost. Inventory reserve for excess and obsolete items was $1.6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$1.8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as of January 31, 2021 and February 2, 2020, respectively.</w:t>
      </w:r>
    </w:p>
    <w:p>
      <w:pPr>
        <w:pStyle w:val="TextBody"/>
        <w:bidi w:val="0"/>
        <w:spacing w:lineRule="auto" w:line="259"/>
        <w:rPr>
          <w:rFonts w:ascii="Times New Roman;serif" w:hAnsi="Times New Roman;serif"/>
          <w:b/>
          <w:i/>
          <w:sz w:val="20"/>
        </w:rPr>
      </w:pPr>
      <w:r>
        <w:rPr>
          <w:rFonts w:ascii="Times New Roman;serif" w:hAnsi="Times New Roman;serif"/>
          <w:b/>
          <w:i/>
          <w:sz w:val="20"/>
        </w:rPr>
        <w:t>Property and Equipment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Property and equipment consist of the following:</w:t>
      </w:r>
    </w:p>
    <w:tbl>
      <w:tblPr>
        <w:tblW w:w="6729" w:type="dxa"/>
        <w:jc w:val="left"/>
        <w:tblInd w:w="0" w:type="dxa"/>
        <w:tblCellMar>
          <w:top w:w="0" w:type="dxa"/>
          <w:left w:w="0" w:type="dxa"/>
          <w:bottom w:w="0" w:type="dxa"/>
          <w:right w:w="0" w:type="dxa"/>
        </w:tblCellMar>
      </w:tblPr>
      <w:tblGrid>
        <w:gridCol w:w="3691"/>
        <w:gridCol w:w="109"/>
        <w:gridCol w:w="292"/>
        <w:gridCol w:w="1103"/>
        <w:gridCol w:w="109"/>
        <w:gridCol w:w="286"/>
        <w:gridCol w:w="1139"/>
      </w:tblGrid>
      <w:tr>
        <w:trPr/>
        <w:tc>
          <w:tcPr>
            <w:tcW w:w="36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92" w:type="dxa"/>
            <w:tcBorders/>
            <w:shd w:fill="FFFFFF" w:val="clear"/>
            <w:vAlign w:val="center"/>
          </w:tcPr>
          <w:p>
            <w:pPr>
              <w:pStyle w:val="TableContents"/>
              <w:spacing w:before="0" w:after="283"/>
              <w:rPr>
                <w:sz w:val="4"/>
                <w:szCs w:val="4"/>
              </w:rPr>
            </w:pPr>
            <w:r>
              <w:rPr>
                <w:sz w:val="4"/>
                <w:szCs w:val="4"/>
              </w:rPr>
            </w:r>
          </w:p>
        </w:tc>
        <w:tc>
          <w:tcPr>
            <w:tcW w:w="110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86" w:type="dxa"/>
            <w:tcBorders/>
            <w:shd w:fill="FFFFFF" w:val="clear"/>
            <w:vAlign w:val="center"/>
          </w:tcPr>
          <w:p>
            <w:pPr>
              <w:pStyle w:val="TableContents"/>
              <w:spacing w:before="0" w:after="283"/>
              <w:rPr>
                <w:sz w:val="4"/>
                <w:szCs w:val="4"/>
              </w:rPr>
            </w:pPr>
            <w:r>
              <w:rPr>
                <w:sz w:val="4"/>
                <w:szCs w:val="4"/>
              </w:rPr>
            </w:r>
          </w:p>
        </w:tc>
        <w:tc>
          <w:tcPr>
            <w:tcW w:w="1139" w:type="dxa"/>
            <w:tcBorders/>
            <w:shd w:fill="FFFFFF" w:val="clear"/>
            <w:vAlign w:val="center"/>
          </w:tcPr>
          <w:p>
            <w:pPr>
              <w:pStyle w:val="TableContents"/>
              <w:spacing w:before="0" w:after="283"/>
              <w:rPr>
                <w:sz w:val="4"/>
                <w:szCs w:val="4"/>
              </w:rPr>
            </w:pPr>
            <w:r>
              <w:rPr>
                <w:sz w:val="4"/>
                <w:szCs w:val="4"/>
              </w:rPr>
            </w:r>
          </w:p>
        </w:tc>
      </w:tr>
      <w:tr>
        <w:trPr/>
        <w:tc>
          <w:tcPr>
            <w:tcW w:w="36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92" w:type="dxa"/>
            <w:tcBorders/>
            <w:shd w:fill="FFFFFF" w:val="clear"/>
            <w:vAlign w:val="center"/>
          </w:tcPr>
          <w:p>
            <w:pPr>
              <w:pStyle w:val="TableContents"/>
              <w:spacing w:before="0" w:after="283"/>
              <w:rPr>
                <w:sz w:val="4"/>
                <w:szCs w:val="4"/>
              </w:rPr>
            </w:pPr>
            <w:r>
              <w:rPr>
                <w:sz w:val="4"/>
                <w:szCs w:val="4"/>
              </w:rPr>
            </w:r>
          </w:p>
        </w:tc>
        <w:tc>
          <w:tcPr>
            <w:tcW w:w="110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86" w:type="dxa"/>
            <w:tcBorders/>
            <w:shd w:fill="FFFFFF" w:val="clear"/>
            <w:vAlign w:val="center"/>
          </w:tcPr>
          <w:p>
            <w:pPr>
              <w:pStyle w:val="TableContents"/>
              <w:spacing w:before="0" w:after="283"/>
              <w:rPr>
                <w:sz w:val="4"/>
                <w:szCs w:val="4"/>
              </w:rPr>
            </w:pPr>
            <w:r>
              <w:rPr>
                <w:sz w:val="4"/>
                <w:szCs w:val="4"/>
              </w:rPr>
            </w:r>
          </w:p>
        </w:tc>
        <w:tc>
          <w:tcPr>
            <w:tcW w:w="1139" w:type="dxa"/>
            <w:tcBorders/>
            <w:shd w:fill="FFFFFF" w:val="clear"/>
            <w:vAlign w:val="center"/>
          </w:tcPr>
          <w:p>
            <w:pPr>
              <w:pStyle w:val="TableContents"/>
              <w:spacing w:before="0" w:after="283"/>
              <w:rPr>
                <w:sz w:val="4"/>
                <w:szCs w:val="4"/>
              </w:rPr>
            </w:pPr>
            <w:r>
              <w:rPr>
                <w:sz w:val="4"/>
                <w:szCs w:val="4"/>
              </w:rPr>
            </w:r>
          </w:p>
        </w:tc>
      </w:tr>
      <w:tr>
        <w:trPr/>
        <w:tc>
          <w:tcPr>
            <w:tcW w:w="36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39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January 31, 2021</w:t>
            </w:r>
          </w:p>
        </w:tc>
        <w:tc>
          <w:tcPr>
            <w:tcW w:w="109" w:type="dxa"/>
            <w:tcBorders/>
            <w:shd w:fill="FFFFFF" w:val="clear"/>
            <w:vAlign w:val="center"/>
          </w:tcPr>
          <w:p>
            <w:pPr>
              <w:pStyle w:val="TableContents"/>
              <w:spacing w:before="0" w:after="283"/>
              <w:rPr>
                <w:sz w:val="4"/>
                <w:szCs w:val="4"/>
              </w:rPr>
            </w:pPr>
            <w:r>
              <w:rPr>
                <w:sz w:val="4"/>
                <w:szCs w:val="4"/>
              </w:rPr>
            </w:r>
          </w:p>
        </w:tc>
        <w:tc>
          <w:tcPr>
            <w:tcW w:w="142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February 2, 2020</w:t>
            </w:r>
          </w:p>
        </w:tc>
      </w:tr>
      <w:tr>
        <w:trPr/>
        <w:tc>
          <w:tcPr>
            <w:tcW w:w="3691" w:type="dxa"/>
            <w:tcBorders/>
            <w:shd w:fill="FFFFFF" w:val="clear"/>
            <w:vAlign w:val="center"/>
          </w:tcPr>
          <w:p>
            <w:pPr>
              <w:pStyle w:val="TableContents"/>
              <w:bidi w:val="0"/>
              <w:spacing w:lineRule="auto" w:line="259" w:before="0" w:after="283"/>
              <w:rPr>
                <w:rFonts w:ascii="Times New Roman;serif" w:hAnsi="Times New Roman;serif"/>
                <w:b w:val="false"/>
                <w:i/>
                <w:sz w:val="16"/>
              </w:rPr>
            </w:pPr>
            <w:r>
              <w:rPr>
                <w:rFonts w:ascii="Times New Roman;serif" w:hAnsi="Times New Roman;serif"/>
                <w:b w:val="false"/>
                <w:i/>
                <w:sz w:val="16"/>
              </w:rPr>
              <w:t>(in thousands)</w:t>
            </w:r>
          </w:p>
        </w:tc>
        <w:tc>
          <w:tcPr>
            <w:tcW w:w="109" w:type="dxa"/>
            <w:tcBorders/>
            <w:shd w:fill="FFFFFF" w:val="clear"/>
            <w:vAlign w:val="center"/>
          </w:tcPr>
          <w:p>
            <w:pPr>
              <w:pStyle w:val="TableContents"/>
              <w:spacing w:before="0" w:after="283"/>
              <w:rPr>
                <w:sz w:val="4"/>
                <w:szCs w:val="4"/>
              </w:rPr>
            </w:pPr>
            <w:r>
              <w:rPr>
                <w:sz w:val="4"/>
                <w:szCs w:val="4"/>
              </w:rPr>
            </w:r>
          </w:p>
        </w:tc>
        <w:tc>
          <w:tcPr>
            <w:tcW w:w="292"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03"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8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3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3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Land and land improvements</w:t>
            </w:r>
          </w:p>
        </w:tc>
        <w:tc>
          <w:tcPr>
            <w:tcW w:w="109" w:type="dxa"/>
            <w:tcBorders/>
            <w:shd w:fill="CCEEFF" w:val="clear"/>
            <w:vAlign w:val="center"/>
          </w:tcPr>
          <w:p>
            <w:pPr>
              <w:pStyle w:val="TableContents"/>
              <w:spacing w:before="0" w:after="283"/>
              <w:rPr>
                <w:sz w:val="4"/>
                <w:szCs w:val="4"/>
              </w:rPr>
            </w:pPr>
            <w:r>
              <w:rPr>
                <w:sz w:val="4"/>
                <w:szCs w:val="4"/>
              </w:rPr>
            </w:r>
          </w:p>
        </w:tc>
        <w:tc>
          <w:tcPr>
            <w:tcW w:w="29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4,486</w:t>
            </w:r>
          </w:p>
        </w:tc>
        <w:tc>
          <w:tcPr>
            <w:tcW w:w="109" w:type="dxa"/>
            <w:tcBorders/>
            <w:shd w:fill="CCEEFF" w:val="clear"/>
            <w:vAlign w:val="center"/>
          </w:tcPr>
          <w:p>
            <w:pPr>
              <w:pStyle w:val="TableContents"/>
              <w:spacing w:before="0" w:after="283"/>
              <w:rPr>
                <w:sz w:val="4"/>
                <w:szCs w:val="4"/>
              </w:rPr>
            </w:pPr>
            <w:r>
              <w:rPr>
                <w:sz w:val="4"/>
                <w:szCs w:val="4"/>
              </w:rPr>
            </w:r>
          </w:p>
        </w:tc>
        <w:tc>
          <w:tcPr>
            <w:tcW w:w="2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3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4,486</w:t>
            </w:r>
          </w:p>
        </w:tc>
      </w:tr>
      <w:tr>
        <w:trPr/>
        <w:tc>
          <w:tcPr>
            <w:tcW w:w="369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Leasehold improvements</w:t>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47,451</w:t>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42,784</w:t>
            </w:r>
          </w:p>
        </w:tc>
      </w:tr>
      <w:tr>
        <w:trPr/>
        <w:tc>
          <w:tcPr>
            <w:tcW w:w="3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Buildings</w:t>
            </w:r>
          </w:p>
        </w:tc>
        <w:tc>
          <w:tcPr>
            <w:tcW w:w="109" w:type="dxa"/>
            <w:tcBorders/>
            <w:shd w:fill="CCEEFF" w:val="clear"/>
            <w:vAlign w:val="center"/>
          </w:tcPr>
          <w:p>
            <w:pPr>
              <w:pStyle w:val="TableContents"/>
              <w:spacing w:before="0" w:after="283"/>
              <w:rPr>
                <w:sz w:val="4"/>
                <w:szCs w:val="4"/>
              </w:rPr>
            </w:pPr>
            <w:r>
              <w:rPr>
                <w:sz w:val="4"/>
                <w:szCs w:val="4"/>
              </w:rPr>
            </w:r>
          </w:p>
        </w:tc>
        <w:tc>
          <w:tcPr>
            <w:tcW w:w="292" w:type="dxa"/>
            <w:tcBorders/>
            <w:shd w:fill="CCEEFF" w:val="clear"/>
            <w:vAlign w:val="center"/>
          </w:tcPr>
          <w:p>
            <w:pPr>
              <w:pStyle w:val="TableContents"/>
              <w:spacing w:before="0" w:after="283"/>
              <w:rPr>
                <w:sz w:val="4"/>
                <w:szCs w:val="4"/>
              </w:rPr>
            </w:pPr>
            <w:r>
              <w:rPr>
                <w:sz w:val="4"/>
                <w:szCs w:val="4"/>
              </w:rPr>
            </w:r>
          </w:p>
        </w:tc>
        <w:tc>
          <w:tcPr>
            <w:tcW w:w="110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35,344</w:t>
            </w:r>
          </w:p>
        </w:tc>
        <w:tc>
          <w:tcPr>
            <w:tcW w:w="109" w:type="dxa"/>
            <w:tcBorders/>
            <w:shd w:fill="CCEEFF" w:val="clear"/>
            <w:vAlign w:val="center"/>
          </w:tcPr>
          <w:p>
            <w:pPr>
              <w:pStyle w:val="TableContents"/>
              <w:spacing w:before="0" w:after="283"/>
              <w:rPr>
                <w:sz w:val="4"/>
                <w:szCs w:val="4"/>
              </w:rPr>
            </w:pPr>
            <w:r>
              <w:rPr>
                <w:sz w:val="4"/>
                <w:szCs w:val="4"/>
              </w:rPr>
            </w:r>
          </w:p>
        </w:tc>
        <w:tc>
          <w:tcPr>
            <w:tcW w:w="286" w:type="dxa"/>
            <w:tcBorders/>
            <w:shd w:fill="CCEEFF" w:val="clear"/>
            <w:vAlign w:val="center"/>
          </w:tcPr>
          <w:p>
            <w:pPr>
              <w:pStyle w:val="TableContents"/>
              <w:spacing w:before="0" w:after="283"/>
              <w:rPr>
                <w:sz w:val="4"/>
                <w:szCs w:val="4"/>
              </w:rPr>
            </w:pPr>
            <w:r>
              <w:rPr>
                <w:sz w:val="4"/>
                <w:szCs w:val="4"/>
              </w:rPr>
            </w:r>
          </w:p>
        </w:tc>
        <w:tc>
          <w:tcPr>
            <w:tcW w:w="113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35,905</w:t>
            </w:r>
          </w:p>
        </w:tc>
      </w:tr>
      <w:tr>
        <w:trPr/>
        <w:tc>
          <w:tcPr>
            <w:tcW w:w="369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Vehicles</w:t>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161</w:t>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161</w:t>
            </w:r>
          </w:p>
        </w:tc>
      </w:tr>
      <w:tr>
        <w:trPr/>
        <w:tc>
          <w:tcPr>
            <w:tcW w:w="3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Warehouse equipment</w:t>
            </w:r>
          </w:p>
        </w:tc>
        <w:tc>
          <w:tcPr>
            <w:tcW w:w="109" w:type="dxa"/>
            <w:tcBorders/>
            <w:shd w:fill="CCEEFF" w:val="clear"/>
            <w:vAlign w:val="center"/>
          </w:tcPr>
          <w:p>
            <w:pPr>
              <w:pStyle w:val="TableContents"/>
              <w:spacing w:before="0" w:after="283"/>
              <w:rPr>
                <w:sz w:val="4"/>
                <w:szCs w:val="4"/>
              </w:rPr>
            </w:pPr>
            <w:r>
              <w:rPr>
                <w:sz w:val="4"/>
                <w:szCs w:val="4"/>
              </w:rPr>
            </w:r>
          </w:p>
        </w:tc>
        <w:tc>
          <w:tcPr>
            <w:tcW w:w="292" w:type="dxa"/>
            <w:tcBorders/>
            <w:shd w:fill="CCEEFF" w:val="clear"/>
            <w:vAlign w:val="center"/>
          </w:tcPr>
          <w:p>
            <w:pPr>
              <w:pStyle w:val="TableContents"/>
              <w:spacing w:before="0" w:after="283"/>
              <w:rPr>
                <w:sz w:val="4"/>
                <w:szCs w:val="4"/>
              </w:rPr>
            </w:pPr>
            <w:r>
              <w:rPr>
                <w:sz w:val="4"/>
                <w:szCs w:val="4"/>
              </w:rPr>
            </w:r>
          </w:p>
        </w:tc>
        <w:tc>
          <w:tcPr>
            <w:tcW w:w="110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14,685</w:t>
            </w:r>
          </w:p>
        </w:tc>
        <w:tc>
          <w:tcPr>
            <w:tcW w:w="109" w:type="dxa"/>
            <w:tcBorders/>
            <w:shd w:fill="CCEEFF" w:val="clear"/>
            <w:vAlign w:val="center"/>
          </w:tcPr>
          <w:p>
            <w:pPr>
              <w:pStyle w:val="TableContents"/>
              <w:spacing w:before="0" w:after="283"/>
              <w:rPr>
                <w:sz w:val="4"/>
                <w:szCs w:val="4"/>
              </w:rPr>
            </w:pPr>
            <w:r>
              <w:rPr>
                <w:sz w:val="4"/>
                <w:szCs w:val="4"/>
              </w:rPr>
            </w:r>
          </w:p>
        </w:tc>
        <w:tc>
          <w:tcPr>
            <w:tcW w:w="286" w:type="dxa"/>
            <w:tcBorders/>
            <w:shd w:fill="CCEEFF" w:val="clear"/>
            <w:vAlign w:val="center"/>
          </w:tcPr>
          <w:p>
            <w:pPr>
              <w:pStyle w:val="TableContents"/>
              <w:spacing w:before="0" w:after="283"/>
              <w:rPr>
                <w:sz w:val="4"/>
                <w:szCs w:val="4"/>
              </w:rPr>
            </w:pPr>
            <w:r>
              <w:rPr>
                <w:sz w:val="4"/>
                <w:szCs w:val="4"/>
              </w:rPr>
            </w:r>
          </w:p>
        </w:tc>
        <w:tc>
          <w:tcPr>
            <w:tcW w:w="113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14,379</w:t>
            </w:r>
          </w:p>
        </w:tc>
      </w:tr>
      <w:tr>
        <w:trPr/>
        <w:tc>
          <w:tcPr>
            <w:tcW w:w="369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Office equipment and furniture</w:t>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52,614</w:t>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49,756</w:t>
            </w:r>
          </w:p>
        </w:tc>
      </w:tr>
      <w:tr>
        <w:trPr/>
        <w:tc>
          <w:tcPr>
            <w:tcW w:w="3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Computer equipment</w:t>
            </w:r>
          </w:p>
        </w:tc>
        <w:tc>
          <w:tcPr>
            <w:tcW w:w="109" w:type="dxa"/>
            <w:tcBorders/>
            <w:shd w:fill="CCEEFF" w:val="clear"/>
            <w:vAlign w:val="center"/>
          </w:tcPr>
          <w:p>
            <w:pPr>
              <w:pStyle w:val="TableContents"/>
              <w:spacing w:before="0" w:after="283"/>
              <w:rPr>
                <w:sz w:val="4"/>
                <w:szCs w:val="4"/>
              </w:rPr>
            </w:pPr>
            <w:r>
              <w:rPr>
                <w:sz w:val="4"/>
                <w:szCs w:val="4"/>
              </w:rPr>
            </w:r>
          </w:p>
        </w:tc>
        <w:tc>
          <w:tcPr>
            <w:tcW w:w="292" w:type="dxa"/>
            <w:tcBorders/>
            <w:shd w:fill="CCEEFF" w:val="clear"/>
            <w:vAlign w:val="center"/>
          </w:tcPr>
          <w:p>
            <w:pPr>
              <w:pStyle w:val="TableContents"/>
              <w:spacing w:before="0" w:after="283"/>
              <w:rPr>
                <w:sz w:val="4"/>
                <w:szCs w:val="4"/>
              </w:rPr>
            </w:pPr>
            <w:r>
              <w:rPr>
                <w:sz w:val="4"/>
                <w:szCs w:val="4"/>
              </w:rPr>
            </w:r>
          </w:p>
        </w:tc>
        <w:tc>
          <w:tcPr>
            <w:tcW w:w="110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9,861</w:t>
            </w:r>
          </w:p>
        </w:tc>
        <w:tc>
          <w:tcPr>
            <w:tcW w:w="109" w:type="dxa"/>
            <w:tcBorders/>
            <w:shd w:fill="CCEEFF" w:val="clear"/>
            <w:vAlign w:val="center"/>
          </w:tcPr>
          <w:p>
            <w:pPr>
              <w:pStyle w:val="TableContents"/>
              <w:spacing w:before="0" w:after="283"/>
              <w:rPr>
                <w:sz w:val="4"/>
                <w:szCs w:val="4"/>
              </w:rPr>
            </w:pPr>
            <w:r>
              <w:rPr>
                <w:sz w:val="4"/>
                <w:szCs w:val="4"/>
              </w:rPr>
            </w:r>
          </w:p>
        </w:tc>
        <w:tc>
          <w:tcPr>
            <w:tcW w:w="286" w:type="dxa"/>
            <w:tcBorders/>
            <w:shd w:fill="CCEEFF" w:val="clear"/>
            <w:vAlign w:val="center"/>
          </w:tcPr>
          <w:p>
            <w:pPr>
              <w:pStyle w:val="TableContents"/>
              <w:spacing w:before="0" w:after="283"/>
              <w:rPr>
                <w:sz w:val="4"/>
                <w:szCs w:val="4"/>
              </w:rPr>
            </w:pPr>
            <w:r>
              <w:rPr>
                <w:sz w:val="4"/>
                <w:szCs w:val="4"/>
              </w:rPr>
            </w:r>
          </w:p>
        </w:tc>
        <w:tc>
          <w:tcPr>
            <w:tcW w:w="113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8,135</w:t>
            </w:r>
          </w:p>
        </w:tc>
      </w:tr>
      <w:tr>
        <w:trPr/>
        <w:tc>
          <w:tcPr>
            <w:tcW w:w="369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Software</w:t>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3"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34,003</w:t>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39"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31,500</w:t>
            </w:r>
          </w:p>
        </w:tc>
      </w:tr>
      <w:tr>
        <w:trPr/>
        <w:tc>
          <w:tcPr>
            <w:tcW w:w="369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10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198,605</w:t>
            </w:r>
          </w:p>
        </w:tc>
        <w:tc>
          <w:tcPr>
            <w:tcW w:w="109" w:type="dxa"/>
            <w:tcBorders/>
            <w:shd w:fill="CCEEFF" w:val="clear"/>
            <w:vAlign w:val="center"/>
          </w:tcPr>
          <w:p>
            <w:pPr>
              <w:pStyle w:val="TableContents"/>
              <w:spacing w:before="0" w:after="283"/>
              <w:rPr>
                <w:sz w:val="4"/>
                <w:szCs w:val="4"/>
              </w:rPr>
            </w:pPr>
            <w:r>
              <w:rPr>
                <w:sz w:val="4"/>
                <w:szCs w:val="4"/>
              </w:rPr>
            </w:r>
          </w:p>
        </w:tc>
        <w:tc>
          <w:tcPr>
            <w:tcW w:w="28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13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187,106</w:t>
            </w:r>
          </w:p>
        </w:tc>
      </w:tr>
      <w:tr>
        <w:trPr/>
        <w:tc>
          <w:tcPr>
            <w:tcW w:w="369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Accumulated 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3"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(75,958)</w:t>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39"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(53,255)</w:t>
            </w:r>
          </w:p>
        </w:tc>
      </w:tr>
      <w:tr>
        <w:trPr/>
        <w:tc>
          <w:tcPr>
            <w:tcW w:w="369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10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122,647</w:t>
            </w:r>
          </w:p>
        </w:tc>
        <w:tc>
          <w:tcPr>
            <w:tcW w:w="109" w:type="dxa"/>
            <w:tcBorders/>
            <w:shd w:fill="CCEEFF" w:val="clear"/>
            <w:vAlign w:val="center"/>
          </w:tcPr>
          <w:p>
            <w:pPr>
              <w:pStyle w:val="TableContents"/>
              <w:spacing w:before="0" w:after="283"/>
              <w:rPr>
                <w:sz w:val="4"/>
                <w:szCs w:val="4"/>
              </w:rPr>
            </w:pPr>
            <w:r>
              <w:rPr>
                <w:sz w:val="4"/>
                <w:szCs w:val="4"/>
              </w:rPr>
            </w:r>
          </w:p>
        </w:tc>
        <w:tc>
          <w:tcPr>
            <w:tcW w:w="28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13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133,851</w:t>
            </w:r>
          </w:p>
        </w:tc>
      </w:tr>
      <w:tr>
        <w:trPr/>
        <w:tc>
          <w:tcPr>
            <w:tcW w:w="369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Construction in progress</w:t>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3"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1,590</w:t>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39"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3,220</w:t>
            </w:r>
          </w:p>
        </w:tc>
      </w:tr>
      <w:tr>
        <w:trPr/>
        <w:tc>
          <w:tcPr>
            <w:tcW w:w="3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Property and equipment, net</w:t>
            </w:r>
          </w:p>
        </w:tc>
        <w:tc>
          <w:tcPr>
            <w:tcW w:w="109" w:type="dxa"/>
            <w:tcBorders/>
            <w:shd w:fill="CCEEFF" w:val="clear"/>
            <w:vAlign w:val="center"/>
          </w:tcPr>
          <w:p>
            <w:pPr>
              <w:pStyle w:val="TableContents"/>
              <w:spacing w:before="0" w:after="283"/>
              <w:rPr>
                <w:sz w:val="4"/>
                <w:szCs w:val="4"/>
              </w:rPr>
            </w:pPr>
            <w:r>
              <w:rPr>
                <w:sz w:val="4"/>
                <w:szCs w:val="4"/>
              </w:rPr>
            </w:r>
          </w:p>
        </w:tc>
        <w:tc>
          <w:tcPr>
            <w:tcW w:w="29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124,237</w:t>
            </w:r>
          </w:p>
        </w:tc>
        <w:tc>
          <w:tcPr>
            <w:tcW w:w="109" w:type="dxa"/>
            <w:tcBorders/>
            <w:shd w:fill="CCEEFF" w:val="clear"/>
            <w:vAlign w:val="center"/>
          </w:tcPr>
          <w:p>
            <w:pPr>
              <w:pStyle w:val="TableContents"/>
              <w:spacing w:before="0" w:after="283"/>
              <w:rPr>
                <w:sz w:val="4"/>
                <w:szCs w:val="4"/>
              </w:rPr>
            </w:pPr>
            <w:r>
              <w:rPr>
                <w:sz w:val="4"/>
                <w:szCs w:val="4"/>
              </w:rPr>
            </w:r>
          </w:p>
        </w:tc>
        <w:tc>
          <w:tcPr>
            <w:tcW w:w="28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3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137,071</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recorded depreciation expense of $24.2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$19.2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for fiscal 2020 and fiscal 2019, respectively. The Company expenses as incurred all routine repair and maintenance costs that do not extend the estimated useful life of the asset.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Property and equipment are carried at cost and are generally depreciated using the straight-line method over the estimated useful lives. Leasehold improvements are depreciated over the shorter of the lease term or estimated useful life. Depreciable lives by major classification are as follows:</w:t>
      </w:r>
    </w:p>
    <w:tbl>
      <w:tblPr>
        <w:tblW w:w="3578" w:type="dxa"/>
        <w:jc w:val="left"/>
        <w:tblInd w:w="0" w:type="dxa"/>
        <w:tblCellMar>
          <w:top w:w="0" w:type="dxa"/>
          <w:left w:w="0" w:type="dxa"/>
          <w:bottom w:w="0" w:type="dxa"/>
          <w:right w:w="0" w:type="dxa"/>
        </w:tblCellMar>
      </w:tblPr>
      <w:tblGrid>
        <w:gridCol w:w="2626"/>
        <w:gridCol w:w="109"/>
        <w:gridCol w:w="316"/>
        <w:gridCol w:w="166"/>
        <w:gridCol w:w="361"/>
      </w:tblGrid>
      <w:tr>
        <w:trPr/>
        <w:tc>
          <w:tcPr>
            <w:tcW w:w="26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16" w:type="dxa"/>
            <w:tcBorders/>
            <w:shd w:fill="FFFFFF" w:val="clear"/>
            <w:vAlign w:val="center"/>
          </w:tcPr>
          <w:p>
            <w:pPr>
              <w:pStyle w:val="TableContents"/>
              <w:spacing w:before="0" w:after="283"/>
              <w:rPr>
                <w:sz w:val="4"/>
                <w:szCs w:val="4"/>
              </w:rPr>
            </w:pPr>
            <w:r>
              <w:rPr>
                <w:sz w:val="4"/>
                <w:szCs w:val="4"/>
              </w:rPr>
            </w:r>
          </w:p>
        </w:tc>
        <w:tc>
          <w:tcPr>
            <w:tcW w:w="166" w:type="dxa"/>
            <w:tcBorders/>
            <w:shd w:fill="FFFFFF" w:val="clear"/>
            <w:vAlign w:val="center"/>
          </w:tcPr>
          <w:p>
            <w:pPr>
              <w:pStyle w:val="TableContents"/>
              <w:spacing w:before="0" w:after="283"/>
              <w:rPr>
                <w:sz w:val="4"/>
                <w:szCs w:val="4"/>
              </w:rPr>
            </w:pPr>
            <w:r>
              <w:rPr>
                <w:sz w:val="4"/>
                <w:szCs w:val="4"/>
              </w:rPr>
            </w:r>
          </w:p>
        </w:tc>
        <w:tc>
          <w:tcPr>
            <w:tcW w:w="361" w:type="dxa"/>
            <w:tcBorders/>
            <w:shd w:fill="FFFFFF" w:val="clear"/>
            <w:vAlign w:val="center"/>
          </w:tcPr>
          <w:p>
            <w:pPr>
              <w:pStyle w:val="TableContents"/>
              <w:spacing w:before="0" w:after="283"/>
              <w:rPr>
                <w:sz w:val="4"/>
                <w:szCs w:val="4"/>
              </w:rPr>
            </w:pPr>
            <w:r>
              <w:rPr>
                <w:sz w:val="4"/>
                <w:szCs w:val="4"/>
              </w:rPr>
            </w:r>
          </w:p>
        </w:tc>
      </w:tr>
      <w:tr>
        <w:trPr/>
        <w:tc>
          <w:tcPr>
            <w:tcW w:w="26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843" w:type="dxa"/>
            <w:gridSpan w:val="3"/>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Years</w:t>
            </w:r>
          </w:p>
        </w:tc>
      </w:tr>
      <w:tr>
        <w:trPr/>
        <w:tc>
          <w:tcPr>
            <w:tcW w:w="26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Land improvements</w:t>
            </w:r>
          </w:p>
        </w:tc>
        <w:tc>
          <w:tcPr>
            <w:tcW w:w="109" w:type="dxa"/>
            <w:tcBorders/>
            <w:shd w:fill="CCEEFF" w:val="clear"/>
            <w:vAlign w:val="center"/>
          </w:tcPr>
          <w:p>
            <w:pPr>
              <w:pStyle w:val="TableContents"/>
              <w:spacing w:before="0" w:after="283"/>
              <w:rPr>
                <w:sz w:val="4"/>
                <w:szCs w:val="4"/>
              </w:rPr>
            </w:pPr>
            <w:r>
              <w:rPr>
                <w:sz w:val="4"/>
                <w:szCs w:val="4"/>
              </w:rPr>
            </w:r>
          </w:p>
        </w:tc>
        <w:tc>
          <w:tcPr>
            <w:tcW w:w="31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tc>
        <w:tc>
          <w:tcPr>
            <w:tcW w:w="16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6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w:t>
            </w:r>
          </w:p>
        </w:tc>
      </w:tr>
      <w:tr>
        <w:trPr/>
        <w:tc>
          <w:tcPr>
            <w:tcW w:w="262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Leasehold improvements</w:t>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c>
          <w:tcPr>
            <w:tcW w:w="16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6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tc>
      </w:tr>
      <w:tr>
        <w:trPr/>
        <w:tc>
          <w:tcPr>
            <w:tcW w:w="26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Buildings</w:t>
            </w:r>
          </w:p>
        </w:tc>
        <w:tc>
          <w:tcPr>
            <w:tcW w:w="109" w:type="dxa"/>
            <w:tcBorders/>
            <w:shd w:fill="CCEEFF" w:val="clear"/>
            <w:vAlign w:val="center"/>
          </w:tcPr>
          <w:p>
            <w:pPr>
              <w:pStyle w:val="TableContents"/>
              <w:spacing w:before="0" w:after="283"/>
              <w:rPr>
                <w:sz w:val="4"/>
                <w:szCs w:val="4"/>
              </w:rPr>
            </w:pPr>
            <w:r>
              <w:rPr>
                <w:sz w:val="4"/>
                <w:szCs w:val="4"/>
              </w:rPr>
            </w:r>
          </w:p>
        </w:tc>
        <w:tc>
          <w:tcPr>
            <w:tcW w:w="316" w:type="dxa"/>
            <w:tcBorders/>
            <w:shd w:fill="CCEEFF" w:val="clear"/>
            <w:vAlign w:val="center"/>
          </w:tcPr>
          <w:p>
            <w:pPr>
              <w:pStyle w:val="TableContents"/>
              <w:spacing w:before="0" w:after="283"/>
              <w:rPr>
                <w:sz w:val="4"/>
                <w:szCs w:val="4"/>
              </w:rPr>
            </w:pPr>
            <w:r>
              <w:rPr>
                <w:sz w:val="4"/>
                <w:szCs w:val="4"/>
              </w:rPr>
            </w:r>
          </w:p>
        </w:tc>
        <w:tc>
          <w:tcPr>
            <w:tcW w:w="166" w:type="dxa"/>
            <w:tcBorders/>
            <w:shd w:fill="CCEEFF" w:val="clear"/>
            <w:vAlign w:val="center"/>
          </w:tcPr>
          <w:p>
            <w:pPr>
              <w:pStyle w:val="TableContents"/>
              <w:spacing w:before="0" w:after="283"/>
              <w:rPr>
                <w:sz w:val="4"/>
                <w:szCs w:val="4"/>
              </w:rPr>
            </w:pPr>
            <w:r>
              <w:rPr>
                <w:sz w:val="4"/>
                <w:szCs w:val="4"/>
              </w:rPr>
            </w:r>
          </w:p>
        </w:tc>
        <w:tc>
          <w:tcPr>
            <w:tcW w:w="3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w:t>
            </w:r>
          </w:p>
        </w:tc>
      </w:tr>
      <w:tr>
        <w:trPr/>
        <w:tc>
          <w:tcPr>
            <w:tcW w:w="262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Vehicles</w:t>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tc>
        <w:tc>
          <w:tcPr>
            <w:tcW w:w="16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6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tc>
      </w:tr>
      <w:tr>
        <w:trPr/>
        <w:tc>
          <w:tcPr>
            <w:tcW w:w="26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Warehouse equipment</w:t>
            </w:r>
          </w:p>
        </w:tc>
        <w:tc>
          <w:tcPr>
            <w:tcW w:w="109" w:type="dxa"/>
            <w:tcBorders/>
            <w:shd w:fill="CCEEFF" w:val="clear"/>
            <w:vAlign w:val="center"/>
          </w:tcPr>
          <w:p>
            <w:pPr>
              <w:pStyle w:val="TableContents"/>
              <w:spacing w:before="0" w:after="283"/>
              <w:rPr>
                <w:sz w:val="4"/>
                <w:szCs w:val="4"/>
              </w:rPr>
            </w:pPr>
            <w:r>
              <w:rPr>
                <w:sz w:val="4"/>
                <w:szCs w:val="4"/>
              </w:rPr>
            </w:r>
          </w:p>
        </w:tc>
        <w:tc>
          <w:tcPr>
            <w:tcW w:w="3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tc>
        <w:tc>
          <w:tcPr>
            <w:tcW w:w="1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tc>
      </w:tr>
      <w:tr>
        <w:trPr/>
        <w:tc>
          <w:tcPr>
            <w:tcW w:w="262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Office equipment and furniture</w:t>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tc>
        <w:tc>
          <w:tcPr>
            <w:tcW w:w="16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6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tc>
      </w:tr>
      <w:tr>
        <w:trPr/>
        <w:tc>
          <w:tcPr>
            <w:tcW w:w="26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Computer equipment</w:t>
            </w:r>
          </w:p>
        </w:tc>
        <w:tc>
          <w:tcPr>
            <w:tcW w:w="109" w:type="dxa"/>
            <w:tcBorders/>
            <w:shd w:fill="CCEEFF" w:val="clear"/>
            <w:vAlign w:val="center"/>
          </w:tcPr>
          <w:p>
            <w:pPr>
              <w:pStyle w:val="TableContents"/>
              <w:spacing w:before="0" w:after="283"/>
              <w:rPr>
                <w:sz w:val="4"/>
                <w:szCs w:val="4"/>
              </w:rPr>
            </w:pPr>
            <w:r>
              <w:rPr>
                <w:sz w:val="4"/>
                <w:szCs w:val="4"/>
              </w:rPr>
            </w:r>
          </w:p>
        </w:tc>
        <w:tc>
          <w:tcPr>
            <w:tcW w:w="3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c>
          <w:tcPr>
            <w:tcW w:w="1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tc>
      </w:tr>
      <w:tr>
        <w:trPr/>
        <w:tc>
          <w:tcPr>
            <w:tcW w:w="262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Software</w:t>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c>
          <w:tcPr>
            <w:tcW w:w="16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6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tc>
      </w:tr>
    </w:tbl>
    <w:p>
      <w:pPr>
        <w:pStyle w:val="TextBody"/>
        <w:bidi w:val="0"/>
        <w:spacing w:lineRule="auto" w:line="259"/>
        <w:rPr>
          <w:rFonts w:ascii="Times New Roman;serif" w:hAnsi="Times New Roman;serif"/>
          <w:sz w:val="20"/>
        </w:rPr>
      </w:pPr>
      <w:r>
        <w:rPr>
          <w:rFonts w:ascii="Times New Roman;serif" w:hAnsi="Times New Roman;serif"/>
          <w:b/>
          <w:i/>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51</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DULUTH HOLDINGS INC.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w:t>
      </w:r>
    </w:p>
    <w:p>
      <w:pPr>
        <w:pStyle w:val="TextBody"/>
        <w:bidi w:val="0"/>
        <w:spacing w:lineRule="auto" w:line="259"/>
        <w:rPr>
          <w:rFonts w:ascii="Times New Roman;serif" w:hAnsi="Times New Roman;serif"/>
          <w:b/>
          <w:i/>
          <w:sz w:val="20"/>
        </w:rPr>
      </w:pPr>
      <w:r>
        <w:rPr>
          <w:rFonts w:ascii="Times New Roman;serif" w:hAnsi="Times New Roman;serif"/>
          <w:b/>
          <w:i/>
          <w:sz w:val="20"/>
        </w:rPr>
        <w:t>Prepaid Expenses and Other Assets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Prepaid expenses and other assets consist of the following:</w:t>
      </w:r>
    </w:p>
    <w:tbl>
      <w:tblPr>
        <w:tblW w:w="7299" w:type="dxa"/>
        <w:jc w:val="left"/>
        <w:tblInd w:w="0" w:type="dxa"/>
        <w:tblCellMar>
          <w:top w:w="0" w:type="dxa"/>
          <w:left w:w="0" w:type="dxa"/>
          <w:bottom w:w="0" w:type="dxa"/>
          <w:right w:w="0" w:type="dxa"/>
        </w:tblCellMar>
      </w:tblPr>
      <w:tblGrid>
        <w:gridCol w:w="4261"/>
        <w:gridCol w:w="109"/>
        <w:gridCol w:w="331"/>
        <w:gridCol w:w="1064"/>
        <w:gridCol w:w="109"/>
        <w:gridCol w:w="363"/>
        <w:gridCol w:w="1062"/>
      </w:tblGrid>
      <w:tr>
        <w:trPr/>
        <w:tc>
          <w:tcPr>
            <w:tcW w:w="426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31" w:type="dxa"/>
            <w:tcBorders/>
            <w:shd w:fill="FFFFFF" w:val="clear"/>
            <w:vAlign w:val="center"/>
          </w:tcPr>
          <w:p>
            <w:pPr>
              <w:pStyle w:val="TableContents"/>
              <w:spacing w:before="0" w:after="283"/>
              <w:rPr>
                <w:sz w:val="4"/>
                <w:szCs w:val="4"/>
              </w:rPr>
            </w:pPr>
            <w:r>
              <w:rPr>
                <w:sz w:val="4"/>
                <w:szCs w:val="4"/>
              </w:rPr>
            </w:r>
          </w:p>
        </w:tc>
        <w:tc>
          <w:tcPr>
            <w:tcW w:w="106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63" w:type="dxa"/>
            <w:tcBorders/>
            <w:shd w:fill="FFFFFF" w:val="clear"/>
            <w:vAlign w:val="center"/>
          </w:tcPr>
          <w:p>
            <w:pPr>
              <w:pStyle w:val="TableContents"/>
              <w:spacing w:before="0" w:after="283"/>
              <w:rPr>
                <w:sz w:val="4"/>
                <w:szCs w:val="4"/>
              </w:rPr>
            </w:pPr>
            <w:r>
              <w:rPr>
                <w:sz w:val="4"/>
                <w:szCs w:val="4"/>
              </w:rPr>
            </w:r>
          </w:p>
        </w:tc>
        <w:tc>
          <w:tcPr>
            <w:tcW w:w="1062" w:type="dxa"/>
            <w:tcBorders/>
            <w:shd w:fill="FFFFFF" w:val="clear"/>
            <w:vAlign w:val="center"/>
          </w:tcPr>
          <w:p>
            <w:pPr>
              <w:pStyle w:val="TableContents"/>
              <w:spacing w:before="0" w:after="283"/>
              <w:rPr>
                <w:sz w:val="4"/>
                <w:szCs w:val="4"/>
              </w:rPr>
            </w:pPr>
            <w:r>
              <w:rPr>
                <w:sz w:val="4"/>
                <w:szCs w:val="4"/>
              </w:rPr>
            </w:r>
          </w:p>
        </w:tc>
      </w:tr>
      <w:tr>
        <w:trPr/>
        <w:tc>
          <w:tcPr>
            <w:tcW w:w="426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39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January 31, 2021</w:t>
            </w:r>
          </w:p>
        </w:tc>
        <w:tc>
          <w:tcPr>
            <w:tcW w:w="109" w:type="dxa"/>
            <w:tcBorders/>
            <w:shd w:fill="FFFFFF" w:val="clear"/>
            <w:vAlign w:val="center"/>
          </w:tcPr>
          <w:p>
            <w:pPr>
              <w:pStyle w:val="TableContents"/>
              <w:spacing w:before="0" w:after="283"/>
              <w:rPr>
                <w:sz w:val="4"/>
                <w:szCs w:val="4"/>
              </w:rPr>
            </w:pPr>
            <w:r>
              <w:rPr>
                <w:sz w:val="4"/>
                <w:szCs w:val="4"/>
              </w:rPr>
            </w:r>
          </w:p>
        </w:tc>
        <w:tc>
          <w:tcPr>
            <w:tcW w:w="142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February 2, 2020</w:t>
            </w:r>
          </w:p>
        </w:tc>
      </w:tr>
      <w:tr>
        <w:trPr/>
        <w:tc>
          <w:tcPr>
            <w:tcW w:w="4261" w:type="dxa"/>
            <w:tcBorders/>
            <w:shd w:fill="FFFFFF" w:val="clear"/>
            <w:vAlign w:val="center"/>
          </w:tcPr>
          <w:p>
            <w:pPr>
              <w:pStyle w:val="TableContents"/>
              <w:bidi w:val="0"/>
              <w:spacing w:lineRule="auto" w:line="259" w:before="0" w:after="283"/>
              <w:rPr>
                <w:rFonts w:ascii="Times New Roman;serif" w:hAnsi="Times New Roman;serif"/>
                <w:b w:val="false"/>
                <w:i/>
                <w:sz w:val="16"/>
              </w:rPr>
            </w:pPr>
            <w:r>
              <w:rPr>
                <w:rFonts w:ascii="Times New Roman;serif" w:hAnsi="Times New Roman;serif"/>
                <w:b w:val="false"/>
                <w:i/>
                <w:sz w:val="16"/>
              </w:rPr>
              <w:t>(in thousands)</w:t>
            </w:r>
          </w:p>
        </w:tc>
        <w:tc>
          <w:tcPr>
            <w:tcW w:w="109" w:type="dxa"/>
            <w:tcBorders/>
            <w:shd w:fill="FFFFFF" w:val="clear"/>
            <w:vAlign w:val="center"/>
          </w:tcPr>
          <w:p>
            <w:pPr>
              <w:pStyle w:val="TableContents"/>
              <w:spacing w:before="0" w:after="283"/>
              <w:rPr>
                <w:sz w:val="4"/>
                <w:szCs w:val="4"/>
              </w:rPr>
            </w:pPr>
            <w:r>
              <w:rPr>
                <w:sz w:val="4"/>
                <w:szCs w:val="4"/>
              </w:rPr>
            </w:r>
          </w:p>
        </w:tc>
        <w:tc>
          <w:tcPr>
            <w:tcW w:w="33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64"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63"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62"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426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Prepaid expenses &amp; other current assets</w:t>
            </w:r>
          </w:p>
        </w:tc>
        <w:tc>
          <w:tcPr>
            <w:tcW w:w="109" w:type="dxa"/>
            <w:tcBorders/>
            <w:shd w:fill="CCEEFF" w:val="clear"/>
            <w:vAlign w:val="center"/>
          </w:tcPr>
          <w:p>
            <w:pPr>
              <w:pStyle w:val="TableContents"/>
              <w:spacing w:before="0" w:after="283"/>
              <w:rPr>
                <w:sz w:val="4"/>
                <w:szCs w:val="4"/>
              </w:rPr>
            </w:pPr>
            <w:r>
              <w:rPr>
                <w:sz w:val="4"/>
                <w:szCs w:val="4"/>
              </w:rPr>
            </w:r>
          </w:p>
        </w:tc>
        <w:tc>
          <w:tcPr>
            <w:tcW w:w="331" w:type="dxa"/>
            <w:tcBorders/>
            <w:shd w:fill="CCEEFF" w:val="clear"/>
            <w:vAlign w:val="center"/>
          </w:tcPr>
          <w:p>
            <w:pPr>
              <w:pStyle w:val="TableContents"/>
              <w:spacing w:before="0" w:after="283"/>
              <w:rPr>
                <w:sz w:val="4"/>
                <w:szCs w:val="4"/>
              </w:rPr>
            </w:pPr>
            <w:r>
              <w:rPr>
                <w:sz w:val="4"/>
                <w:szCs w:val="4"/>
              </w:rPr>
            </w:r>
          </w:p>
        </w:tc>
        <w:tc>
          <w:tcPr>
            <w:tcW w:w="1064"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363" w:type="dxa"/>
            <w:tcBorders/>
            <w:shd w:fill="CCEEFF" w:val="clear"/>
            <w:vAlign w:val="center"/>
          </w:tcPr>
          <w:p>
            <w:pPr>
              <w:pStyle w:val="TableContents"/>
              <w:spacing w:before="0" w:after="283"/>
              <w:rPr>
                <w:sz w:val="4"/>
                <w:szCs w:val="4"/>
              </w:rPr>
            </w:pPr>
            <w:r>
              <w:rPr>
                <w:sz w:val="4"/>
                <w:szCs w:val="4"/>
              </w:rPr>
            </w:r>
          </w:p>
        </w:tc>
        <w:tc>
          <w:tcPr>
            <w:tcW w:w="1062" w:type="dxa"/>
            <w:tcBorders/>
            <w:shd w:fill="CCEEFF" w:val="clear"/>
            <w:vAlign w:val="center"/>
          </w:tcPr>
          <w:p>
            <w:pPr>
              <w:pStyle w:val="TableContents"/>
              <w:spacing w:before="0" w:after="283"/>
              <w:rPr>
                <w:sz w:val="4"/>
                <w:szCs w:val="4"/>
              </w:rPr>
            </w:pPr>
            <w:r>
              <w:rPr>
                <w:sz w:val="4"/>
                <w:szCs w:val="4"/>
              </w:rPr>
            </w:r>
          </w:p>
        </w:tc>
      </w:tr>
      <w:tr>
        <w:trPr/>
        <w:tc>
          <w:tcPr>
            <w:tcW w:w="426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Pending returns inventory, net</w:t>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4"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2,490</w:t>
            </w:r>
          </w:p>
        </w:tc>
        <w:tc>
          <w:tcPr>
            <w:tcW w:w="109"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2"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1,932</w:t>
            </w:r>
          </w:p>
        </w:tc>
      </w:tr>
      <w:tr>
        <w:trPr/>
        <w:tc>
          <w:tcPr>
            <w:tcW w:w="42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 software hosting implementation costs, net</w:t>
            </w:r>
          </w:p>
        </w:tc>
        <w:tc>
          <w:tcPr>
            <w:tcW w:w="109" w:type="dxa"/>
            <w:tcBorders/>
            <w:shd w:fill="CCEEFF" w:val="clear"/>
            <w:vAlign w:val="center"/>
          </w:tcPr>
          <w:p>
            <w:pPr>
              <w:pStyle w:val="TableContents"/>
              <w:spacing w:before="0" w:after="283"/>
              <w:rPr>
                <w:sz w:val="4"/>
                <w:szCs w:val="4"/>
              </w:rPr>
            </w:pPr>
            <w:r>
              <w:rPr>
                <w:sz w:val="4"/>
                <w:szCs w:val="4"/>
              </w:rPr>
            </w:r>
          </w:p>
        </w:tc>
        <w:tc>
          <w:tcPr>
            <w:tcW w:w="331" w:type="dxa"/>
            <w:tcBorders/>
            <w:shd w:fill="CCEEFF" w:val="clear"/>
            <w:vAlign w:val="center"/>
          </w:tcPr>
          <w:p>
            <w:pPr>
              <w:pStyle w:val="TableContents"/>
              <w:spacing w:before="0" w:after="283"/>
              <w:rPr>
                <w:sz w:val="4"/>
                <w:szCs w:val="4"/>
              </w:rPr>
            </w:pPr>
            <w:r>
              <w:rPr>
                <w:sz w:val="4"/>
                <w:szCs w:val="4"/>
              </w:rPr>
            </w:r>
          </w:p>
        </w:tc>
        <w:tc>
          <w:tcPr>
            <w:tcW w:w="106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1,149</w:t>
            </w:r>
          </w:p>
        </w:tc>
        <w:tc>
          <w:tcPr>
            <w:tcW w:w="109" w:type="dxa"/>
            <w:tcBorders/>
            <w:shd w:fill="CCEEFF" w:val="clear"/>
            <w:vAlign w:val="center"/>
          </w:tcPr>
          <w:p>
            <w:pPr>
              <w:pStyle w:val="TableContents"/>
              <w:spacing w:before="0" w:after="283"/>
              <w:rPr>
                <w:sz w:val="4"/>
                <w:szCs w:val="4"/>
              </w:rPr>
            </w:pPr>
            <w:r>
              <w:rPr>
                <w:sz w:val="4"/>
                <w:szCs w:val="4"/>
              </w:rPr>
            </w:r>
          </w:p>
        </w:tc>
        <w:tc>
          <w:tcPr>
            <w:tcW w:w="363" w:type="dxa"/>
            <w:tcBorders/>
            <w:shd w:fill="CCEEFF" w:val="clear"/>
            <w:vAlign w:val="center"/>
          </w:tcPr>
          <w:p>
            <w:pPr>
              <w:pStyle w:val="TableContents"/>
              <w:spacing w:before="0" w:after="283"/>
              <w:rPr>
                <w:sz w:val="4"/>
                <w:szCs w:val="4"/>
              </w:rPr>
            </w:pPr>
            <w:r>
              <w:rPr>
                <w:sz w:val="4"/>
                <w:szCs w:val="4"/>
              </w:rPr>
            </w:r>
          </w:p>
        </w:tc>
        <w:tc>
          <w:tcPr>
            <w:tcW w:w="1062"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426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prepaid expenses</w:t>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64"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6,564</w:t>
            </w:r>
          </w:p>
        </w:tc>
        <w:tc>
          <w:tcPr>
            <w:tcW w:w="109" w:type="dxa"/>
            <w:tcBorders/>
            <w:shd w:fill="auto" w:val="clear"/>
            <w:vAlign w:val="center"/>
          </w:tcPr>
          <w:p>
            <w:pPr>
              <w:pStyle w:val="TableContents"/>
              <w:spacing w:before="0" w:after="283"/>
              <w:rPr>
                <w:sz w:val="4"/>
                <w:szCs w:val="4"/>
              </w:rPr>
            </w:pPr>
            <w:r>
              <w:rPr>
                <w:sz w:val="4"/>
                <w:szCs w:val="4"/>
              </w:rPr>
            </w:r>
          </w:p>
        </w:tc>
        <w:tc>
          <w:tcPr>
            <w:tcW w:w="36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62"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7,571</w:t>
            </w:r>
          </w:p>
        </w:tc>
      </w:tr>
      <w:tr>
        <w:trPr/>
        <w:tc>
          <w:tcPr>
            <w:tcW w:w="42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Prepaid expenses &amp; other current assets</w:t>
            </w:r>
          </w:p>
        </w:tc>
        <w:tc>
          <w:tcPr>
            <w:tcW w:w="109" w:type="dxa"/>
            <w:tcBorders/>
            <w:shd w:fill="CCEEFF" w:val="clear"/>
            <w:vAlign w:val="center"/>
          </w:tcPr>
          <w:p>
            <w:pPr>
              <w:pStyle w:val="TableContents"/>
              <w:spacing w:before="0" w:after="283"/>
              <w:rPr>
                <w:sz w:val="4"/>
                <w:szCs w:val="4"/>
              </w:rPr>
            </w:pPr>
            <w:r>
              <w:rPr>
                <w:sz w:val="4"/>
                <w:szCs w:val="4"/>
              </w:rPr>
            </w:r>
          </w:p>
        </w:tc>
        <w:tc>
          <w:tcPr>
            <w:tcW w:w="33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10,203</w:t>
            </w:r>
          </w:p>
        </w:tc>
        <w:tc>
          <w:tcPr>
            <w:tcW w:w="109" w:type="dxa"/>
            <w:tcBorders/>
            <w:shd w:fill="CCEEFF" w:val="clear"/>
            <w:vAlign w:val="center"/>
          </w:tcPr>
          <w:p>
            <w:pPr>
              <w:pStyle w:val="TableContents"/>
              <w:spacing w:before="0" w:after="283"/>
              <w:rPr>
                <w:sz w:val="4"/>
                <w:szCs w:val="4"/>
              </w:rPr>
            </w:pPr>
            <w:r>
              <w:rPr>
                <w:sz w:val="4"/>
                <w:szCs w:val="4"/>
              </w:rPr>
            </w:r>
          </w:p>
        </w:tc>
        <w:tc>
          <w:tcPr>
            <w:tcW w:w="36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9,503</w:t>
            </w:r>
          </w:p>
        </w:tc>
      </w:tr>
      <w:tr>
        <w:trPr/>
        <w:tc>
          <w:tcPr>
            <w:tcW w:w="4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64"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3"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62"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r>
      <w:tr>
        <w:trPr/>
        <w:tc>
          <w:tcPr>
            <w:tcW w:w="426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Other assets, net</w:t>
            </w:r>
          </w:p>
        </w:tc>
        <w:tc>
          <w:tcPr>
            <w:tcW w:w="109" w:type="dxa"/>
            <w:tcBorders/>
            <w:shd w:fill="CCEEFF" w:val="clear"/>
            <w:vAlign w:val="center"/>
          </w:tcPr>
          <w:p>
            <w:pPr>
              <w:pStyle w:val="TableContents"/>
              <w:spacing w:before="0" w:after="283"/>
              <w:rPr>
                <w:sz w:val="4"/>
                <w:szCs w:val="4"/>
              </w:rPr>
            </w:pPr>
            <w:r>
              <w:rPr>
                <w:sz w:val="4"/>
                <w:szCs w:val="4"/>
              </w:rPr>
            </w:r>
          </w:p>
        </w:tc>
        <w:tc>
          <w:tcPr>
            <w:tcW w:w="331" w:type="dxa"/>
            <w:tcBorders/>
            <w:shd w:fill="CCEEFF" w:val="clear"/>
            <w:vAlign w:val="center"/>
          </w:tcPr>
          <w:p>
            <w:pPr>
              <w:pStyle w:val="TableContents"/>
              <w:spacing w:before="0" w:after="283"/>
              <w:rPr>
                <w:sz w:val="4"/>
                <w:szCs w:val="4"/>
              </w:rPr>
            </w:pPr>
            <w:r>
              <w:rPr>
                <w:sz w:val="4"/>
                <w:szCs w:val="4"/>
              </w:rPr>
            </w:r>
          </w:p>
        </w:tc>
        <w:tc>
          <w:tcPr>
            <w:tcW w:w="1064"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363" w:type="dxa"/>
            <w:tcBorders/>
            <w:shd w:fill="CCEEFF" w:val="clear"/>
            <w:vAlign w:val="center"/>
          </w:tcPr>
          <w:p>
            <w:pPr>
              <w:pStyle w:val="TableContents"/>
              <w:spacing w:before="0" w:after="283"/>
              <w:rPr>
                <w:sz w:val="4"/>
                <w:szCs w:val="4"/>
              </w:rPr>
            </w:pPr>
            <w:r>
              <w:rPr>
                <w:sz w:val="4"/>
                <w:szCs w:val="4"/>
              </w:rPr>
            </w:r>
          </w:p>
        </w:tc>
        <w:tc>
          <w:tcPr>
            <w:tcW w:w="1062" w:type="dxa"/>
            <w:tcBorders/>
            <w:shd w:fill="CCEEFF" w:val="clear"/>
            <w:vAlign w:val="center"/>
          </w:tcPr>
          <w:p>
            <w:pPr>
              <w:pStyle w:val="TableContents"/>
              <w:spacing w:before="0" w:after="283"/>
              <w:rPr>
                <w:sz w:val="4"/>
                <w:szCs w:val="4"/>
              </w:rPr>
            </w:pPr>
            <w:r>
              <w:rPr>
                <w:sz w:val="4"/>
                <w:szCs w:val="4"/>
              </w:rPr>
            </w:r>
          </w:p>
        </w:tc>
      </w:tr>
      <w:tr>
        <w:trPr/>
        <w:tc>
          <w:tcPr>
            <w:tcW w:w="426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Goodwill</w:t>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4"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402</w:t>
            </w:r>
          </w:p>
        </w:tc>
        <w:tc>
          <w:tcPr>
            <w:tcW w:w="109"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2"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402</w:t>
            </w:r>
          </w:p>
        </w:tc>
      </w:tr>
      <w:tr>
        <w:trPr/>
        <w:tc>
          <w:tcPr>
            <w:tcW w:w="42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Intangible assets, net</w:t>
            </w:r>
          </w:p>
        </w:tc>
        <w:tc>
          <w:tcPr>
            <w:tcW w:w="109" w:type="dxa"/>
            <w:tcBorders/>
            <w:shd w:fill="CCEEFF" w:val="clear"/>
            <w:vAlign w:val="center"/>
          </w:tcPr>
          <w:p>
            <w:pPr>
              <w:pStyle w:val="TableContents"/>
              <w:spacing w:before="0" w:after="283"/>
              <w:rPr>
                <w:sz w:val="4"/>
                <w:szCs w:val="4"/>
              </w:rPr>
            </w:pPr>
            <w:r>
              <w:rPr>
                <w:sz w:val="4"/>
                <w:szCs w:val="4"/>
              </w:rPr>
            </w:r>
          </w:p>
        </w:tc>
        <w:tc>
          <w:tcPr>
            <w:tcW w:w="331" w:type="dxa"/>
            <w:tcBorders/>
            <w:shd w:fill="CCEEFF" w:val="clear"/>
            <w:vAlign w:val="center"/>
          </w:tcPr>
          <w:p>
            <w:pPr>
              <w:pStyle w:val="TableContents"/>
              <w:spacing w:before="0" w:after="283"/>
              <w:rPr>
                <w:sz w:val="4"/>
                <w:szCs w:val="4"/>
              </w:rPr>
            </w:pPr>
            <w:r>
              <w:rPr>
                <w:sz w:val="4"/>
                <w:szCs w:val="4"/>
              </w:rPr>
            </w:r>
          </w:p>
        </w:tc>
        <w:tc>
          <w:tcPr>
            <w:tcW w:w="106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264</w:t>
            </w:r>
          </w:p>
        </w:tc>
        <w:tc>
          <w:tcPr>
            <w:tcW w:w="109" w:type="dxa"/>
            <w:tcBorders/>
            <w:shd w:fill="CCEEFF" w:val="clear"/>
            <w:vAlign w:val="center"/>
          </w:tcPr>
          <w:p>
            <w:pPr>
              <w:pStyle w:val="TableContents"/>
              <w:spacing w:before="0" w:after="283"/>
              <w:rPr>
                <w:sz w:val="4"/>
                <w:szCs w:val="4"/>
              </w:rPr>
            </w:pPr>
            <w:r>
              <w:rPr>
                <w:sz w:val="4"/>
                <w:szCs w:val="4"/>
              </w:rPr>
            </w:r>
          </w:p>
        </w:tc>
        <w:tc>
          <w:tcPr>
            <w:tcW w:w="363" w:type="dxa"/>
            <w:tcBorders/>
            <w:shd w:fill="CCEEFF" w:val="clear"/>
            <w:vAlign w:val="center"/>
          </w:tcPr>
          <w:p>
            <w:pPr>
              <w:pStyle w:val="TableContents"/>
              <w:spacing w:before="0" w:after="283"/>
              <w:rPr>
                <w:sz w:val="4"/>
                <w:szCs w:val="4"/>
              </w:rPr>
            </w:pPr>
            <w:r>
              <w:rPr>
                <w:sz w:val="4"/>
                <w:szCs w:val="4"/>
              </w:rPr>
            </w:r>
          </w:p>
        </w:tc>
        <w:tc>
          <w:tcPr>
            <w:tcW w:w="106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283</w:t>
            </w:r>
          </w:p>
        </w:tc>
      </w:tr>
      <w:tr>
        <w:trPr/>
        <w:tc>
          <w:tcPr>
            <w:tcW w:w="426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Non-current software hosting implementation costs</w:t>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2,755</w:t>
            </w:r>
          </w:p>
        </w:tc>
        <w:tc>
          <w:tcPr>
            <w:tcW w:w="109"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42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assets, net</w:t>
            </w:r>
          </w:p>
        </w:tc>
        <w:tc>
          <w:tcPr>
            <w:tcW w:w="109" w:type="dxa"/>
            <w:tcBorders/>
            <w:shd w:fill="CCEEFF" w:val="clear"/>
            <w:vAlign w:val="center"/>
          </w:tcPr>
          <w:p>
            <w:pPr>
              <w:pStyle w:val="TableContents"/>
              <w:spacing w:before="0" w:after="283"/>
              <w:rPr>
                <w:sz w:val="4"/>
                <w:szCs w:val="4"/>
              </w:rPr>
            </w:pPr>
            <w:r>
              <w:rPr>
                <w:sz w:val="4"/>
                <w:szCs w:val="4"/>
              </w:rPr>
            </w:r>
          </w:p>
        </w:tc>
        <w:tc>
          <w:tcPr>
            <w:tcW w:w="33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6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540</w:t>
            </w:r>
          </w:p>
        </w:tc>
        <w:tc>
          <w:tcPr>
            <w:tcW w:w="109" w:type="dxa"/>
            <w:tcBorders/>
            <w:shd w:fill="CCEEFF" w:val="clear"/>
            <w:vAlign w:val="center"/>
          </w:tcPr>
          <w:p>
            <w:pPr>
              <w:pStyle w:val="TableContents"/>
              <w:spacing w:before="0" w:after="283"/>
              <w:rPr>
                <w:sz w:val="4"/>
                <w:szCs w:val="4"/>
              </w:rPr>
            </w:pPr>
            <w:r>
              <w:rPr>
                <w:sz w:val="4"/>
                <w:szCs w:val="4"/>
              </w:rPr>
            </w:r>
          </w:p>
        </w:tc>
        <w:tc>
          <w:tcPr>
            <w:tcW w:w="363"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6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511</w:t>
            </w:r>
          </w:p>
        </w:tc>
      </w:tr>
      <w:tr>
        <w:trPr/>
        <w:tc>
          <w:tcPr>
            <w:tcW w:w="426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assets, net</w:t>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4"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3,961</w:t>
            </w:r>
          </w:p>
        </w:tc>
        <w:tc>
          <w:tcPr>
            <w:tcW w:w="109" w:type="dxa"/>
            <w:tcBorders/>
            <w:shd w:fill="auto" w:val="clear"/>
            <w:vAlign w:val="center"/>
          </w:tcPr>
          <w:p>
            <w:pPr>
              <w:pStyle w:val="TableContents"/>
              <w:spacing w:before="0" w:after="283"/>
              <w:rPr>
                <w:sz w:val="4"/>
                <w:szCs w:val="4"/>
              </w:rPr>
            </w:pPr>
            <w:r>
              <w:rPr>
                <w:sz w:val="4"/>
                <w:szCs w:val="4"/>
              </w:rPr>
            </w:r>
          </w:p>
        </w:tc>
        <w:tc>
          <w:tcPr>
            <w:tcW w:w="363"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2"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1,196</w:t>
            </w:r>
          </w:p>
        </w:tc>
      </w:tr>
    </w:tbl>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Software Hosting Implementation Costs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Software hosting implementation costs includes costs of implementation activities of certain cloud computing arrangements in accordance with Accounting Standards Update No. 2018-15, </w:t>
      </w:r>
      <w:r>
        <w:rPr>
          <w:rFonts w:ascii="Times New Roman;serif" w:hAnsi="Times New Roman;serif"/>
          <w:b w:val="false"/>
          <w:i/>
          <w:sz w:val="20"/>
        </w:rPr>
        <w:t>Intangibles – Goodwill and Other – Internal-Use Software (Subtopic 350-40)</w:t>
      </w:r>
      <w:r>
        <w:rPr>
          <w:rFonts w:ascii="Times New Roman;serif" w:hAnsi="Times New Roman;serif"/>
          <w:b w:val="false"/>
          <w:i w:val="false"/>
          <w:caps w:val="false"/>
          <w:smallCaps w:val="false"/>
          <w:sz w:val="20"/>
        </w:rPr>
        <w:t>. Amortization expense and accumulated amortization was $0.2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for fiscal 2020. See Note 13 “Recent Accounting Pronouncements” for more information.</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Goodwill</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Goodwill represents the excess of purchase price over the fair value of net assets acquired. ASC Topic 350, </w:t>
      </w:r>
      <w:r>
        <w:rPr>
          <w:rFonts w:ascii="Times New Roman;serif" w:hAnsi="Times New Roman;serif"/>
          <w:b w:val="false"/>
          <w:i/>
          <w:sz w:val="20"/>
        </w:rPr>
        <w:t>Intangibles-Goodwill and Other</w:t>
      </w:r>
      <w:r>
        <w:rPr>
          <w:rFonts w:ascii="Times New Roman;serif" w:hAnsi="Times New Roman;serif"/>
          <w:b w:val="false"/>
          <w:i w:val="false"/>
          <w:caps w:val="false"/>
          <w:smallCaps w:val="false"/>
          <w:sz w:val="20"/>
        </w:rPr>
        <w:t>, requires that goodwill be tested for impairment annually, or more often if an event or circumstance indicates that an impairment loss may have been incurred. The Company’s management uses its judgment in assessing whether goodwill may have become impaired between annual impairment tests. Indicators such as unexpected adverse business conditions, economic factors, competitive activities, loss of key personnel and acts by governments may signal that an asset has become impaired.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determined that the effects of COVID-19 may represent indicators of asset impairment, and as a result performed an interim qualitative assessment for the Company’s goodwill at May 3, 2020. The Company determined that it was more likely than not that the fair value was greater than its carrying value and no impairment loss had been incurred. There were no triggering events subsequent to the quarter ended May 3, 2020 and through the year ended January 31, 2021.</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Management performed its annual qualitative assessment of goodwill as of December 31, 2020 and 2019 and determined that it was more likely than not that the fair value of the Company was greater than its carrying amount; as such, no further evaluation of goodwill was deemed necessary.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impairment was recognized for the years ended January 31, 2021 or February 2, 2020.</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Intangible Assets and Other Assets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Intangible assets and other assets include loan origination fees and trade names which are amortized over their estimated useful lives ranging from three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fifteen years. Other assets also include security deposits required by certain of the Company’s lease agreements and prepaid expenses. Amortization expense was $0.2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for fiscal 2020 and $0.1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for fiscal 2019. Accumulated amortization was $0.7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$0.5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as of January 31, 2021 and February 2, 2020, respectively.</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52</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DULUTH HOLDINGS INC.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Scheduled future amortization of amortizable other assets are as follows as of January 31, 2021:</w:t>
      </w:r>
    </w:p>
    <w:tbl>
      <w:tblPr>
        <w:tblW w:w="1912" w:type="dxa"/>
        <w:jc w:val="left"/>
        <w:tblInd w:w="0" w:type="dxa"/>
        <w:tblCellMar>
          <w:top w:w="0" w:type="dxa"/>
          <w:left w:w="0" w:type="dxa"/>
          <w:bottom w:w="0" w:type="dxa"/>
          <w:right w:w="0" w:type="dxa"/>
        </w:tblCellMar>
      </w:tblPr>
      <w:tblGrid>
        <w:gridCol w:w="1126"/>
        <w:gridCol w:w="109"/>
        <w:gridCol w:w="211"/>
        <w:gridCol w:w="466"/>
      </w:tblGrid>
      <w:tr>
        <w:trPr/>
        <w:tc>
          <w:tcPr>
            <w:tcW w:w="11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466" w:type="dxa"/>
            <w:tcBorders/>
            <w:shd w:fill="FFFFFF" w:val="clear"/>
            <w:vAlign w:val="center"/>
          </w:tcPr>
          <w:p>
            <w:pPr>
              <w:pStyle w:val="TableContents"/>
              <w:spacing w:before="0" w:after="283"/>
              <w:rPr>
                <w:sz w:val="4"/>
                <w:szCs w:val="4"/>
              </w:rPr>
            </w:pPr>
            <w:r>
              <w:rPr>
                <w:sz w:val="4"/>
                <w:szCs w:val="4"/>
              </w:rPr>
            </w:r>
          </w:p>
        </w:tc>
      </w:tr>
      <w:tr>
        <w:trPr/>
        <w:tc>
          <w:tcPr>
            <w:tcW w:w="11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466" w:type="dxa"/>
            <w:tcBorders/>
            <w:shd w:fill="FFFFFF" w:val="clear"/>
            <w:vAlign w:val="center"/>
          </w:tcPr>
          <w:p>
            <w:pPr>
              <w:pStyle w:val="TableContents"/>
              <w:spacing w:before="0" w:after="283"/>
              <w:rPr>
                <w:sz w:val="4"/>
                <w:szCs w:val="4"/>
              </w:rPr>
            </w:pPr>
            <w:r>
              <w:rPr>
                <w:sz w:val="4"/>
                <w:szCs w:val="4"/>
              </w:rPr>
            </w:r>
          </w:p>
        </w:tc>
      </w:tr>
      <w:tr>
        <w:trPr/>
        <w:tc>
          <w:tcPr>
            <w:tcW w:w="112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Fiscal year</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466" w:type="dxa"/>
            <w:tcBorders/>
            <w:shd w:fill="FFFFFF" w:val="clear"/>
            <w:vAlign w:val="center"/>
          </w:tcPr>
          <w:p>
            <w:pPr>
              <w:pStyle w:val="TableContents"/>
              <w:spacing w:before="0" w:after="283"/>
              <w:rPr>
                <w:sz w:val="4"/>
                <w:szCs w:val="4"/>
              </w:rPr>
            </w:pPr>
            <w:r>
              <w:rPr>
                <w:sz w:val="4"/>
                <w:szCs w:val="4"/>
              </w:rPr>
            </w:r>
          </w:p>
        </w:tc>
      </w:tr>
      <w:tr>
        <w:trPr/>
        <w:tc>
          <w:tcPr>
            <w:tcW w:w="1126" w:type="dxa"/>
            <w:tcBorders>
              <w:top w:val="single" w:sz="8" w:space="0" w:color="000000"/>
            </w:tcBorders>
            <w:shd w:fill="FFFFFF" w:val="clear"/>
            <w:tcMar>
              <w:top w:w="28" w:type="dxa"/>
            </w:tcMar>
            <w:vAlign w:val="center"/>
          </w:tcPr>
          <w:p>
            <w:pPr>
              <w:pStyle w:val="TableContents"/>
              <w:bidi w:val="0"/>
              <w:spacing w:lineRule="auto" w:line="259" w:before="0" w:after="283"/>
              <w:rPr>
                <w:rFonts w:ascii="Times New Roman;serif" w:hAnsi="Times New Roman;serif"/>
                <w:b w:val="false"/>
                <w:i/>
                <w:sz w:val="16"/>
              </w:rPr>
            </w:pPr>
            <w:r>
              <w:rPr>
                <w:rFonts w:ascii="Times New Roman;serif" w:hAnsi="Times New Roman;serif"/>
                <w:b w:val="false"/>
                <w:i/>
                <w:sz w:val="16"/>
              </w:rPr>
              <w:t>(in thousands)</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466" w:type="dxa"/>
            <w:tcBorders/>
            <w:shd w:fill="FFFFFF" w:val="clear"/>
            <w:vAlign w:val="center"/>
          </w:tcPr>
          <w:p>
            <w:pPr>
              <w:pStyle w:val="TableContents"/>
              <w:spacing w:before="0" w:after="283"/>
              <w:rPr>
                <w:sz w:val="4"/>
                <w:szCs w:val="4"/>
              </w:rPr>
            </w:pPr>
            <w:r>
              <w:rPr>
                <w:sz w:val="4"/>
                <w:szCs w:val="4"/>
              </w:rPr>
            </w:r>
          </w:p>
        </w:tc>
      </w:tr>
      <w:tr>
        <w:trPr/>
        <w:tc>
          <w:tcPr>
            <w:tcW w:w="11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4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210</w:t>
            </w:r>
          </w:p>
        </w:tc>
      </w:tr>
      <w:tr>
        <w:trPr/>
        <w:tc>
          <w:tcPr>
            <w:tcW w:w="112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193</w:t>
            </w:r>
          </w:p>
        </w:tc>
      </w:tr>
      <w:tr>
        <w:trPr/>
        <w:tc>
          <w:tcPr>
            <w:tcW w:w="11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2023</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4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71</w:t>
            </w:r>
          </w:p>
        </w:tc>
      </w:tr>
      <w:tr>
        <w:trPr/>
        <w:tc>
          <w:tcPr>
            <w:tcW w:w="112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2024</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w:t>
            </w:r>
          </w:p>
        </w:tc>
      </w:tr>
      <w:tr>
        <w:trPr/>
        <w:tc>
          <w:tcPr>
            <w:tcW w:w="11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4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tc>
      </w:tr>
      <w:tr>
        <w:trPr/>
        <w:tc>
          <w:tcPr>
            <w:tcW w:w="112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Thereafter</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466"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w:t>
            </w:r>
          </w:p>
        </w:tc>
      </w:tr>
      <w:tr>
        <w:trPr/>
        <w:tc>
          <w:tcPr>
            <w:tcW w:w="112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46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537</w:t>
            </w:r>
          </w:p>
        </w:tc>
      </w:tr>
    </w:tbl>
    <w:p>
      <w:pPr>
        <w:pStyle w:val="TextBody"/>
        <w:bidi w:val="0"/>
        <w:spacing w:lineRule="auto" w:line="259"/>
        <w:rPr>
          <w:rFonts w:ascii="Times New Roman;serif" w:hAnsi="Times New Roman;serif"/>
          <w:b/>
          <w:i/>
          <w:sz w:val="20"/>
        </w:rPr>
      </w:pPr>
      <w:r>
        <w:rPr>
          <w:rFonts w:ascii="Times New Roman;serif" w:hAnsi="Times New Roman;serif"/>
          <w:b/>
          <w:i/>
          <w:sz w:val="20"/>
        </w:rPr>
        <w:t>Impairment of Long-Lived Assets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long-lived assets are reviewed for impairment during the fourth quarter, or whenever events or changes in circumstances indicate that the carrying amount may not be recoverable. If the sum of the expected undiscounted cash flows is less than the carrying value of the related asset or group of assets, a loss is recognized for the difference between the fair value and the carrying value of the asset or group of assets. Such analyses necessarily involve judgment.</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determined that the effects of COVID-19 may represent indicators of asset impairment, and as a result, performed an interim impairment assessment at May 3, 2020. In the first fiscal quarter of 2020, the Company performed undiscounted cash flow analyses on certain long-lived assets, including retail stores at the individual store level and determined that the estimated undiscounted future cash flows exceeded the net carrying values. There were no triggering events subsequent to the quarter ended May 3, 2020 and through the year ended January 31, 2021. Consequently, there were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long-lived asset impairment charges recorded for fiscal 2020.</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fiscal 2019, management did not identify any events or changes in circumstances that indicated the potential impairment of long-lived assets.</w:t>
      </w:r>
    </w:p>
    <w:p>
      <w:pPr>
        <w:pStyle w:val="TextBody"/>
        <w:bidi w:val="0"/>
        <w:spacing w:lineRule="auto" w:line="259"/>
        <w:rPr>
          <w:rFonts w:ascii="Times New Roman;serif" w:hAnsi="Times New Roman;serif"/>
          <w:b/>
          <w:i/>
          <w:sz w:val="20"/>
        </w:rPr>
      </w:pPr>
      <w:r>
        <w:rPr>
          <w:rFonts w:ascii="Times New Roman;serif" w:hAnsi="Times New Roman;serif"/>
          <w:b/>
          <w:i/>
          <w:sz w:val="20"/>
        </w:rPr>
        <w:t>Store Pre-opening Costs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Store pre-opening costs are expensed as incurred and are included in selling, general and administrative expenses.</w:t>
      </w:r>
    </w:p>
    <w:p>
      <w:pPr>
        <w:pStyle w:val="TextBody"/>
        <w:bidi w:val="0"/>
        <w:spacing w:lineRule="auto" w:line="259"/>
        <w:rPr>
          <w:rFonts w:ascii="Times New Roman;serif" w:hAnsi="Times New Roman;serif"/>
          <w:b/>
          <w:i/>
          <w:sz w:val="20"/>
        </w:rPr>
      </w:pPr>
      <w:r>
        <w:rPr>
          <w:rFonts w:ascii="Times New Roman;serif" w:hAnsi="Times New Roman;serif"/>
          <w:b/>
          <w:i/>
          <w:sz w:val="20"/>
        </w:rPr>
        <w:t>Stock-Based Compensation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connection with the IPO, the Company adopted the 2015 Equity Incentive Plan of Duluth Holdings Inc. (“2015 Plan”), which provides compensation alternatives such as stock options, shares, restricted stock, restricted stock units, deferred stock and performance share units, using or based on the Company’s Class B common stock.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The Company accounts for its stock-based compensation plan in accordance with ASC Topic 718, </w:t>
      </w:r>
      <w:r>
        <w:rPr>
          <w:rFonts w:ascii="Times New Roman;serif" w:hAnsi="Times New Roman;serif"/>
          <w:b w:val="false"/>
          <w:i/>
          <w:sz w:val="20"/>
        </w:rPr>
        <w:t>Stock Compensation</w:t>
      </w:r>
      <w:r>
        <w:rPr>
          <w:rFonts w:ascii="Times New Roman;serif" w:hAnsi="Times New Roman;serif"/>
          <w:b w:val="false"/>
          <w:i w:val="false"/>
          <w:caps w:val="false"/>
          <w:smallCaps w:val="false"/>
          <w:sz w:val="20"/>
        </w:rPr>
        <w:t>, which requires the Company to measure all share-based payments at grant date fair value and recognize the cost over the requisite service period of the award. Restricted stock issued to board members generally vests over a period of one year. Restricted stock issued to key employees and executives typically vests over a period of three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five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based on the terms for each individual award. The fair value of the restricted stock is determined based on the market value of the Company’s Class B common stock on the grant date. Restricted stock forfeitures are recognized as incurred.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Total stock compensation expense associated with restricted stock recognized by the Company was $1.5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$0.5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for fiscal 2020 and fiscal 2019, respectively, and is included in selling, general and administrative expenses on the Consolidated Statements of Operations.</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53</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DULUTH HOLDINGS INC.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is a summary of the activity in the Company’s unvested restricted stock during the years ended January 31, 2021 and February 2, 2020:</w:t>
      </w:r>
    </w:p>
    <w:tbl>
      <w:tblPr>
        <w:tblW w:w="5350" w:type="dxa"/>
        <w:jc w:val="left"/>
        <w:tblInd w:w="0" w:type="dxa"/>
        <w:tblCellMar>
          <w:top w:w="0" w:type="dxa"/>
          <w:left w:w="0" w:type="dxa"/>
          <w:bottom w:w="0" w:type="dxa"/>
          <w:right w:w="0" w:type="dxa"/>
        </w:tblCellMar>
      </w:tblPr>
      <w:tblGrid>
        <w:gridCol w:w="2761"/>
        <w:gridCol w:w="109"/>
        <w:gridCol w:w="901"/>
        <w:gridCol w:w="109"/>
        <w:gridCol w:w="374"/>
        <w:gridCol w:w="1096"/>
      </w:tblGrid>
      <w:tr>
        <w:trPr/>
        <w:tc>
          <w:tcPr>
            <w:tcW w:w="276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90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74" w:type="dxa"/>
            <w:tcBorders/>
            <w:shd w:fill="FFFFFF" w:val="clear"/>
            <w:vAlign w:val="center"/>
          </w:tcPr>
          <w:p>
            <w:pPr>
              <w:pStyle w:val="TableContents"/>
              <w:spacing w:before="0" w:after="283"/>
              <w:rPr>
                <w:sz w:val="4"/>
                <w:szCs w:val="4"/>
              </w:rPr>
            </w:pPr>
            <w:r>
              <w:rPr>
                <w:sz w:val="4"/>
                <w:szCs w:val="4"/>
              </w:rPr>
            </w:r>
          </w:p>
        </w:tc>
        <w:tc>
          <w:tcPr>
            <w:tcW w:w="1096" w:type="dxa"/>
            <w:tcBorders/>
            <w:shd w:fill="FFFFFF" w:val="clear"/>
            <w:vAlign w:val="center"/>
          </w:tcPr>
          <w:p>
            <w:pPr>
              <w:pStyle w:val="TableContents"/>
              <w:spacing w:before="0" w:after="283"/>
              <w:rPr>
                <w:sz w:val="4"/>
                <w:szCs w:val="4"/>
              </w:rPr>
            </w:pPr>
            <w:r>
              <w:rPr>
                <w:sz w:val="4"/>
                <w:szCs w:val="4"/>
              </w:rPr>
            </w:r>
          </w:p>
        </w:tc>
      </w:tr>
      <w:tr>
        <w:trPr/>
        <w:tc>
          <w:tcPr>
            <w:tcW w:w="276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90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74" w:type="dxa"/>
            <w:tcBorders/>
            <w:shd w:fill="FFFFFF" w:val="clear"/>
            <w:vAlign w:val="center"/>
          </w:tcPr>
          <w:p>
            <w:pPr>
              <w:pStyle w:val="TableContents"/>
              <w:spacing w:before="0" w:after="283"/>
              <w:rPr>
                <w:sz w:val="4"/>
                <w:szCs w:val="4"/>
              </w:rPr>
            </w:pPr>
            <w:r>
              <w:rPr>
                <w:sz w:val="4"/>
                <w:szCs w:val="4"/>
              </w:rPr>
            </w:r>
          </w:p>
        </w:tc>
        <w:tc>
          <w:tcPr>
            <w:tcW w:w="1096" w:type="dxa"/>
            <w:tcBorders/>
            <w:shd w:fill="FFFFFF" w:val="clear"/>
            <w:vAlign w:val="center"/>
          </w:tcPr>
          <w:p>
            <w:pPr>
              <w:pStyle w:val="TableContents"/>
              <w:spacing w:before="0" w:after="283"/>
              <w:rPr>
                <w:sz w:val="4"/>
                <w:szCs w:val="4"/>
              </w:rPr>
            </w:pPr>
            <w:r>
              <w:rPr>
                <w:sz w:val="4"/>
                <w:szCs w:val="4"/>
              </w:rPr>
            </w:r>
          </w:p>
        </w:tc>
      </w:tr>
      <w:tr>
        <w:trPr/>
        <w:tc>
          <w:tcPr>
            <w:tcW w:w="276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90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47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Weighted average</w:t>
            </w:r>
          </w:p>
        </w:tc>
      </w:tr>
      <w:tr>
        <w:trPr/>
        <w:tc>
          <w:tcPr>
            <w:tcW w:w="276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90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47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grant date</w:t>
            </w:r>
          </w:p>
        </w:tc>
      </w:tr>
      <w:tr>
        <w:trPr/>
        <w:tc>
          <w:tcPr>
            <w:tcW w:w="276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90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47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fair value</w:t>
            </w:r>
          </w:p>
        </w:tc>
      </w:tr>
      <w:tr>
        <w:trPr/>
        <w:tc>
          <w:tcPr>
            <w:tcW w:w="276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901"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Shares</w:t>
            </w:r>
          </w:p>
        </w:tc>
        <w:tc>
          <w:tcPr>
            <w:tcW w:w="109" w:type="dxa"/>
            <w:tcBorders/>
            <w:shd w:fill="FFFFFF" w:val="clear"/>
            <w:vAlign w:val="center"/>
          </w:tcPr>
          <w:p>
            <w:pPr>
              <w:pStyle w:val="TableContents"/>
              <w:spacing w:before="0" w:after="283"/>
              <w:rPr>
                <w:sz w:val="4"/>
                <w:szCs w:val="4"/>
              </w:rPr>
            </w:pPr>
            <w:r>
              <w:rPr>
                <w:sz w:val="4"/>
                <w:szCs w:val="4"/>
              </w:rPr>
            </w:r>
          </w:p>
        </w:tc>
        <w:tc>
          <w:tcPr>
            <w:tcW w:w="147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per share</w:t>
            </w:r>
          </w:p>
        </w:tc>
      </w:tr>
      <w:tr>
        <w:trPr/>
        <w:tc>
          <w:tcPr>
            <w:tcW w:w="27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Outstanding at February 3, 2019</w:t>
            </w:r>
          </w:p>
        </w:tc>
        <w:tc>
          <w:tcPr>
            <w:tcW w:w="109" w:type="dxa"/>
            <w:tcBorders/>
            <w:shd w:fill="CCEEFF" w:val="clear"/>
            <w:vAlign w:val="center"/>
          </w:tcPr>
          <w:p>
            <w:pPr>
              <w:pStyle w:val="TableContents"/>
              <w:spacing w:before="0" w:after="283"/>
              <w:rPr>
                <w:sz w:val="4"/>
                <w:szCs w:val="4"/>
              </w:rPr>
            </w:pPr>
            <w:r>
              <w:rPr>
                <w:sz w:val="4"/>
                <w:szCs w:val="4"/>
              </w:rPr>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321,657</w:t>
            </w:r>
          </w:p>
        </w:tc>
        <w:tc>
          <w:tcPr>
            <w:tcW w:w="109" w:type="dxa"/>
            <w:tcBorders/>
            <w:shd w:fill="CCEEFF" w:val="clear"/>
            <w:vAlign w:val="center"/>
          </w:tcPr>
          <w:p>
            <w:pPr>
              <w:pStyle w:val="TableContents"/>
              <w:spacing w:before="0" w:after="283"/>
              <w:rPr>
                <w:sz w:val="4"/>
                <w:szCs w:val="4"/>
              </w:rPr>
            </w:pPr>
            <w:r>
              <w:rPr>
                <w:sz w:val="4"/>
                <w:szCs w:val="4"/>
              </w:rPr>
            </w:r>
          </w:p>
        </w:tc>
        <w:tc>
          <w:tcPr>
            <w:tcW w:w="374"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14.29</w:t>
            </w:r>
          </w:p>
        </w:tc>
      </w:tr>
      <w:tr>
        <w:trPr/>
        <w:tc>
          <w:tcPr>
            <w:tcW w:w="276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Granted</w:t>
            </w:r>
          </w:p>
        </w:tc>
        <w:tc>
          <w:tcPr>
            <w:tcW w:w="109"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165,730</w:t>
            </w:r>
          </w:p>
        </w:tc>
        <w:tc>
          <w:tcPr>
            <w:tcW w:w="109"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17.67</w:t>
            </w:r>
          </w:p>
        </w:tc>
      </w:tr>
      <w:tr>
        <w:trPr/>
        <w:tc>
          <w:tcPr>
            <w:tcW w:w="27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Vested</w:t>
            </w:r>
          </w:p>
        </w:tc>
        <w:tc>
          <w:tcPr>
            <w:tcW w:w="109" w:type="dxa"/>
            <w:tcBorders/>
            <w:shd w:fill="CCEEFF" w:val="clear"/>
            <w:vAlign w:val="center"/>
          </w:tcPr>
          <w:p>
            <w:pPr>
              <w:pStyle w:val="TableContents"/>
              <w:spacing w:before="0" w:after="283"/>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(61,647)</w:t>
            </w:r>
          </w:p>
        </w:tc>
        <w:tc>
          <w:tcPr>
            <w:tcW w:w="109" w:type="dxa"/>
            <w:tcBorders/>
            <w:shd w:fill="CCEEFF" w:val="clear"/>
            <w:vAlign w:val="center"/>
          </w:tcPr>
          <w:p>
            <w:pPr>
              <w:pStyle w:val="TableContents"/>
              <w:spacing w:before="0" w:after="283"/>
              <w:rPr>
                <w:sz w:val="4"/>
                <w:szCs w:val="4"/>
              </w:rPr>
            </w:pPr>
            <w:r>
              <w:rPr>
                <w:sz w:val="4"/>
                <w:szCs w:val="4"/>
              </w:rPr>
            </w:r>
          </w:p>
        </w:tc>
        <w:tc>
          <w:tcPr>
            <w:tcW w:w="374" w:type="dxa"/>
            <w:tcBorders/>
            <w:shd w:fill="CCEEFF" w:val="clear"/>
            <w:vAlign w:val="center"/>
          </w:tcPr>
          <w:p>
            <w:pPr>
              <w:pStyle w:val="TableContents"/>
              <w:spacing w:before="0" w:after="283"/>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18.90</w:t>
            </w:r>
          </w:p>
        </w:tc>
      </w:tr>
      <w:tr>
        <w:trPr/>
        <w:tc>
          <w:tcPr>
            <w:tcW w:w="276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Forfeited</w:t>
            </w:r>
          </w:p>
        </w:tc>
        <w:tc>
          <w:tcPr>
            <w:tcW w:w="109" w:type="dxa"/>
            <w:tcBorders/>
            <w:shd w:fill="auto" w:val="clear"/>
            <w:vAlign w:val="center"/>
          </w:tcPr>
          <w:p>
            <w:pPr>
              <w:pStyle w:val="TableContents"/>
              <w:spacing w:before="0" w:after="283"/>
              <w:rPr>
                <w:sz w:val="4"/>
                <w:szCs w:val="4"/>
              </w:rPr>
            </w:pPr>
            <w:r>
              <w:rPr>
                <w:sz w:val="4"/>
                <w:szCs w:val="4"/>
              </w:rPr>
            </w:r>
          </w:p>
        </w:tc>
        <w:tc>
          <w:tcPr>
            <w:tcW w:w="90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(233,646)</w:t>
            </w:r>
          </w:p>
        </w:tc>
        <w:tc>
          <w:tcPr>
            <w:tcW w:w="109" w:type="dxa"/>
            <w:tcBorders/>
            <w:shd w:fill="auto" w:val="clear"/>
            <w:vAlign w:val="center"/>
          </w:tcPr>
          <w:p>
            <w:pPr>
              <w:pStyle w:val="TableContents"/>
              <w:spacing w:before="0" w:after="283"/>
              <w:rPr>
                <w:sz w:val="4"/>
                <w:szCs w:val="4"/>
              </w:rPr>
            </w:pPr>
            <w:r>
              <w:rPr>
                <w:sz w:val="4"/>
                <w:szCs w:val="4"/>
              </w:rPr>
            </w:r>
          </w:p>
        </w:tc>
        <w:tc>
          <w:tcPr>
            <w:tcW w:w="37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96"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12.65</w:t>
            </w:r>
          </w:p>
        </w:tc>
      </w:tr>
      <w:tr>
        <w:trPr/>
        <w:tc>
          <w:tcPr>
            <w:tcW w:w="27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Outstanding at February 2, 2020</w:t>
            </w:r>
          </w:p>
        </w:tc>
        <w:tc>
          <w:tcPr>
            <w:tcW w:w="109" w:type="dxa"/>
            <w:tcBorders/>
            <w:shd w:fill="CCEEFF" w:val="clear"/>
            <w:vAlign w:val="center"/>
          </w:tcPr>
          <w:p>
            <w:pPr>
              <w:pStyle w:val="TableContents"/>
              <w:spacing w:before="0" w:after="283"/>
              <w:rPr>
                <w:sz w:val="4"/>
                <w:szCs w:val="4"/>
              </w:rPr>
            </w:pPr>
            <w:r>
              <w:rPr>
                <w:sz w:val="4"/>
                <w:szCs w:val="4"/>
              </w:rPr>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192,094</w:t>
            </w:r>
          </w:p>
        </w:tc>
        <w:tc>
          <w:tcPr>
            <w:tcW w:w="109" w:type="dxa"/>
            <w:tcBorders/>
            <w:shd w:fill="CCEEFF" w:val="clear"/>
            <w:vAlign w:val="center"/>
          </w:tcPr>
          <w:p>
            <w:pPr>
              <w:pStyle w:val="TableContents"/>
              <w:spacing w:before="0" w:after="283"/>
              <w:rPr>
                <w:sz w:val="4"/>
                <w:szCs w:val="4"/>
              </w:rPr>
            </w:pPr>
            <w:r>
              <w:rPr>
                <w:sz w:val="4"/>
                <w:szCs w:val="4"/>
              </w:rPr>
            </w:r>
          </w:p>
        </w:tc>
        <w:tc>
          <w:tcPr>
            <w:tcW w:w="374"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17.71</w:t>
            </w:r>
          </w:p>
        </w:tc>
      </w:tr>
      <w:tr>
        <w:trPr/>
        <w:tc>
          <w:tcPr>
            <w:tcW w:w="276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Granted</w:t>
            </w:r>
          </w:p>
        </w:tc>
        <w:tc>
          <w:tcPr>
            <w:tcW w:w="109"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283,063</w:t>
            </w:r>
          </w:p>
        </w:tc>
        <w:tc>
          <w:tcPr>
            <w:tcW w:w="109"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7.13</w:t>
            </w:r>
          </w:p>
        </w:tc>
      </w:tr>
      <w:tr>
        <w:trPr/>
        <w:tc>
          <w:tcPr>
            <w:tcW w:w="27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Vested</w:t>
            </w:r>
          </w:p>
        </w:tc>
        <w:tc>
          <w:tcPr>
            <w:tcW w:w="109" w:type="dxa"/>
            <w:tcBorders/>
            <w:shd w:fill="CCEEFF" w:val="clear"/>
            <w:vAlign w:val="center"/>
          </w:tcPr>
          <w:p>
            <w:pPr>
              <w:pStyle w:val="TableContents"/>
              <w:spacing w:before="0" w:after="283"/>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(120,592)</w:t>
            </w:r>
          </w:p>
        </w:tc>
        <w:tc>
          <w:tcPr>
            <w:tcW w:w="109" w:type="dxa"/>
            <w:tcBorders/>
            <w:shd w:fill="CCEEFF" w:val="clear"/>
            <w:vAlign w:val="center"/>
          </w:tcPr>
          <w:p>
            <w:pPr>
              <w:pStyle w:val="TableContents"/>
              <w:spacing w:before="0" w:after="283"/>
              <w:rPr>
                <w:sz w:val="4"/>
                <w:szCs w:val="4"/>
              </w:rPr>
            </w:pPr>
            <w:r>
              <w:rPr>
                <w:sz w:val="4"/>
                <w:szCs w:val="4"/>
              </w:rPr>
            </w:r>
          </w:p>
        </w:tc>
        <w:tc>
          <w:tcPr>
            <w:tcW w:w="374" w:type="dxa"/>
            <w:tcBorders/>
            <w:shd w:fill="CCEEFF" w:val="clear"/>
            <w:vAlign w:val="center"/>
          </w:tcPr>
          <w:p>
            <w:pPr>
              <w:pStyle w:val="TableContents"/>
              <w:spacing w:before="0" w:after="283"/>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16.21</w:t>
            </w:r>
          </w:p>
        </w:tc>
      </w:tr>
      <w:tr>
        <w:trPr/>
        <w:tc>
          <w:tcPr>
            <w:tcW w:w="276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Forfeited</w:t>
            </w:r>
          </w:p>
        </w:tc>
        <w:tc>
          <w:tcPr>
            <w:tcW w:w="109" w:type="dxa"/>
            <w:tcBorders/>
            <w:shd w:fill="auto" w:val="clear"/>
            <w:vAlign w:val="center"/>
          </w:tcPr>
          <w:p>
            <w:pPr>
              <w:pStyle w:val="TableContents"/>
              <w:spacing w:before="0" w:after="283"/>
              <w:rPr>
                <w:sz w:val="4"/>
                <w:szCs w:val="4"/>
              </w:rPr>
            </w:pPr>
            <w:r>
              <w:rPr>
                <w:sz w:val="4"/>
                <w:szCs w:val="4"/>
              </w:rPr>
            </w:r>
          </w:p>
        </w:tc>
        <w:tc>
          <w:tcPr>
            <w:tcW w:w="90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(16,326)</w:t>
            </w:r>
          </w:p>
        </w:tc>
        <w:tc>
          <w:tcPr>
            <w:tcW w:w="109" w:type="dxa"/>
            <w:tcBorders/>
            <w:shd w:fill="auto" w:val="clear"/>
            <w:vAlign w:val="center"/>
          </w:tcPr>
          <w:p>
            <w:pPr>
              <w:pStyle w:val="TableContents"/>
              <w:spacing w:before="0" w:after="283"/>
              <w:rPr>
                <w:sz w:val="4"/>
                <w:szCs w:val="4"/>
              </w:rPr>
            </w:pPr>
            <w:r>
              <w:rPr>
                <w:sz w:val="4"/>
                <w:szCs w:val="4"/>
              </w:rPr>
            </w:r>
          </w:p>
        </w:tc>
        <w:tc>
          <w:tcPr>
            <w:tcW w:w="37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96"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10.42</w:t>
            </w:r>
          </w:p>
        </w:tc>
      </w:tr>
      <w:tr>
        <w:trPr/>
        <w:tc>
          <w:tcPr>
            <w:tcW w:w="27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Outstanding at January 31, 2021</w:t>
            </w:r>
          </w:p>
        </w:tc>
        <w:tc>
          <w:tcPr>
            <w:tcW w:w="109" w:type="dxa"/>
            <w:tcBorders/>
            <w:shd w:fill="CCEEFF" w:val="clear"/>
            <w:vAlign w:val="center"/>
          </w:tcPr>
          <w:p>
            <w:pPr>
              <w:pStyle w:val="TableContents"/>
              <w:spacing w:before="0" w:after="283"/>
              <w:rPr>
                <w:sz w:val="4"/>
                <w:szCs w:val="4"/>
              </w:rPr>
            </w:pPr>
            <w:r>
              <w:rPr>
                <w:sz w:val="4"/>
                <w:szCs w:val="4"/>
              </w:rPr>
            </w:r>
          </w:p>
        </w:tc>
        <w:tc>
          <w:tcPr>
            <w:tcW w:w="90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338,239</w:t>
            </w:r>
          </w:p>
        </w:tc>
        <w:tc>
          <w:tcPr>
            <w:tcW w:w="109" w:type="dxa"/>
            <w:tcBorders/>
            <w:shd w:fill="CCEEFF" w:val="clear"/>
            <w:vAlign w:val="center"/>
          </w:tcPr>
          <w:p>
            <w:pPr>
              <w:pStyle w:val="TableContents"/>
              <w:spacing w:before="0" w:after="283"/>
              <w:rPr>
                <w:sz w:val="4"/>
                <w:szCs w:val="4"/>
              </w:rPr>
            </w:pPr>
            <w:r>
              <w:rPr>
                <w:sz w:val="4"/>
                <w:szCs w:val="4"/>
              </w:rPr>
            </w:r>
          </w:p>
        </w:tc>
        <w:tc>
          <w:tcPr>
            <w:tcW w:w="37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9.74</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At January 31, 2021, the Company had unrecognized compensation expense of $2.2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related to the restricted stock awards, which is expected to be recognized over a weighted average period of 2.4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w:t>
      </w:r>
    </w:p>
    <w:p>
      <w:pPr>
        <w:pStyle w:val="TextBody"/>
        <w:bidi w:val="0"/>
        <w:spacing w:lineRule="auto" w:line="259"/>
        <w:rPr>
          <w:rFonts w:ascii="Times New Roman;serif" w:hAnsi="Times New Roman;serif"/>
          <w:b/>
          <w:i/>
          <w:sz w:val="20"/>
        </w:rPr>
      </w:pPr>
      <w:r>
        <w:rPr>
          <w:rFonts w:ascii="Times New Roman;serif" w:hAnsi="Times New Roman;serif"/>
          <w:b/>
          <w:i/>
          <w:sz w:val="20"/>
        </w:rPr>
        <w:t>Treasury Stock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Treasury stock consists of shares withheld in lieu of tax payments when restricted stock vests using the treasury cost method and is classified in the Consolidated Balance Sheets as a reduction to shareholders’ equity.</w:t>
      </w:r>
    </w:p>
    <w:p>
      <w:pPr>
        <w:pStyle w:val="TextBody"/>
        <w:bidi w:val="0"/>
        <w:spacing w:lineRule="auto" w:line="259"/>
        <w:rPr>
          <w:rFonts w:ascii="Times New Roman;serif" w:hAnsi="Times New Roman;serif"/>
          <w:b/>
          <w:i/>
          <w:sz w:val="20"/>
        </w:rPr>
      </w:pPr>
      <w:r>
        <w:rPr>
          <w:rFonts w:ascii="Times New Roman;serif" w:hAnsi="Times New Roman;serif"/>
          <w:b/>
          <w:i/>
          <w:sz w:val="20"/>
        </w:rPr>
        <w:t>Taxes Collected from Customers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presents all non-income government-assessed taxes (sales, use and value-added taxes) collected from its customers and remitted to governmental agencies on a net basis (excluded from revenue) in its consolidated financial statements.</w:t>
      </w:r>
    </w:p>
    <w:p>
      <w:pPr>
        <w:pStyle w:val="TextBody"/>
        <w:bidi w:val="0"/>
        <w:spacing w:lineRule="auto" w:line="259"/>
        <w:rPr>
          <w:rFonts w:ascii="Times New Roman;serif" w:hAnsi="Times New Roman;serif"/>
          <w:b/>
          <w:i/>
          <w:sz w:val="20"/>
        </w:rPr>
      </w:pPr>
      <w:r>
        <w:rPr>
          <w:rFonts w:ascii="Times New Roman;serif" w:hAnsi="Times New Roman;serif"/>
          <w:b/>
          <w:i/>
          <w:sz w:val="20"/>
        </w:rPr>
        <w:t>Other Comprehensive Income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comprehensive income or loss represents the change in equity from non-shareholder or non-member transactions, which is not included in the statements of earnings but is reported as a separate component of shareholders’ equity. For fiscal 2020 and fiscal 2019, other comprehensive income consists of changes in unrealized gains and losses on available-for-sale securities, net of taxes.</w:t>
      </w:r>
    </w:p>
    <w:p>
      <w:pPr>
        <w:pStyle w:val="TextBody"/>
        <w:bidi w:val="0"/>
        <w:spacing w:lineRule="auto" w:line="259"/>
        <w:rPr>
          <w:rFonts w:ascii="Times New Roman;serif" w:hAnsi="Times New Roman;serif"/>
          <w:b/>
          <w:i/>
          <w:sz w:val="20"/>
        </w:rPr>
      </w:pPr>
      <w:r>
        <w:rPr>
          <w:rFonts w:ascii="Times New Roman;serif" w:hAnsi="Times New Roman;serif"/>
          <w:b/>
          <w:i/>
          <w:sz w:val="20"/>
        </w:rPr>
        <w:t>Fair Value Measurements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ASC Topic 820, </w:t>
      </w:r>
      <w:r>
        <w:rPr>
          <w:rFonts w:ascii="Times New Roman;serif" w:hAnsi="Times New Roman;serif"/>
          <w:b w:val="false"/>
          <w:i/>
          <w:sz w:val="20"/>
        </w:rPr>
        <w:t xml:space="preserve">Fair Value Measurements and Disclosures </w:t>
      </w:r>
      <w:r>
        <w:rPr>
          <w:rFonts w:ascii="Times New Roman;serif" w:hAnsi="Times New Roman;serif"/>
          <w:b w:val="false"/>
          <w:i w:val="false"/>
          <w:caps w:val="false"/>
          <w:smallCaps w:val="false"/>
          <w:sz w:val="20"/>
        </w:rPr>
        <w:t>(“ASC 820”)</w:t>
      </w:r>
      <w:r>
        <w:rPr>
          <w:rFonts w:ascii="Times New Roman;serif" w:hAnsi="Times New Roman;serif"/>
          <w:b w:val="false"/>
          <w:i/>
          <w:sz w:val="20"/>
        </w:rPr>
        <w:t xml:space="preserve">, </w:t>
      </w:r>
      <w:r>
        <w:rPr>
          <w:rFonts w:ascii="Times New Roman;serif" w:hAnsi="Times New Roman;serif"/>
          <w:b w:val="false"/>
          <w:i w:val="false"/>
          <w:caps w:val="false"/>
          <w:smallCaps w:val="false"/>
          <w:sz w:val="20"/>
        </w:rPr>
        <w:t>defines fair value as the price that would be received to sell an asset, or paid to transfer a liability, in an orderly transaction between market participants at the measurement date (i.e., an exit price). The exit price is based on the amount that the holder of the asset or liability would receive or need to pay in an actual transaction (or in a hypothetical transaction if an actual transaction does not exist) at the measurement date. ASC 820 describes a fair value hierarchy based on three levels of inputs that may be used to measure fair value, of which the first two are considered observable and the last unobservable, as follows: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Level 1 – Quoted prices in active markets for identical assets or liabilities.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Level 3 – Unobservable inputs that are supported by little or no market activity and that are significant to the fair value of the assets or liabilities.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54</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DULUTH HOLDINGS INC.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fair value of the Company’s available-for-sale security was valued based on a discounted cash flow method (Level 3), which incorporates the U.S. Treasury yield curve, credit information and an estimate of future cash flows. During fiscal 2020, certain changes in the inputs did impact the fair value of the available-for-sale security. The calculated fair value is based on estimates that are subjective in nature and involve uncertainties and matters of significant judgement and, therefore, cannot be determined with precision. Changes in assumptions could significantly affect the estimates.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amortized cost and fair value of the Company’s available-for-sale security and the corresponding amount of gross unrealized gains and losses recognized in accumulated other comprehensive income are as follows.</w:t>
      </w:r>
    </w:p>
    <w:tbl>
      <w:tblPr>
        <w:tblW w:w="5539" w:type="dxa"/>
        <w:jc w:val="left"/>
        <w:tblInd w:w="0" w:type="dxa"/>
        <w:tblCellMar>
          <w:top w:w="0" w:type="dxa"/>
          <w:left w:w="0" w:type="dxa"/>
          <w:bottom w:w="0" w:type="dxa"/>
          <w:right w:w="0" w:type="dxa"/>
        </w:tblCellMar>
      </w:tblPr>
      <w:tblGrid>
        <w:gridCol w:w="1486"/>
        <w:gridCol w:w="109"/>
        <w:gridCol w:w="247"/>
        <w:gridCol w:w="668"/>
        <w:gridCol w:w="109"/>
        <w:gridCol w:w="354"/>
        <w:gridCol w:w="532"/>
        <w:gridCol w:w="109"/>
        <w:gridCol w:w="522"/>
        <w:gridCol w:w="364"/>
        <w:gridCol w:w="109"/>
        <w:gridCol w:w="237"/>
        <w:gridCol w:w="693"/>
      </w:tblGrid>
      <w:tr>
        <w:trPr/>
        <w:tc>
          <w:tcPr>
            <w:tcW w:w="148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47" w:type="dxa"/>
            <w:tcBorders/>
            <w:shd w:fill="FFFFFF" w:val="clear"/>
            <w:vAlign w:val="center"/>
          </w:tcPr>
          <w:p>
            <w:pPr>
              <w:pStyle w:val="TableContents"/>
              <w:spacing w:before="0" w:after="283"/>
              <w:rPr>
                <w:sz w:val="4"/>
                <w:szCs w:val="4"/>
              </w:rPr>
            </w:pPr>
            <w:r>
              <w:rPr>
                <w:sz w:val="4"/>
                <w:szCs w:val="4"/>
              </w:rPr>
            </w:r>
          </w:p>
        </w:tc>
        <w:tc>
          <w:tcPr>
            <w:tcW w:w="66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54" w:type="dxa"/>
            <w:tcBorders/>
            <w:shd w:fill="FFFFFF" w:val="clear"/>
            <w:vAlign w:val="center"/>
          </w:tcPr>
          <w:p>
            <w:pPr>
              <w:pStyle w:val="TableContents"/>
              <w:spacing w:before="0" w:after="283"/>
              <w:rPr>
                <w:sz w:val="4"/>
                <w:szCs w:val="4"/>
              </w:rPr>
            </w:pPr>
            <w:r>
              <w:rPr>
                <w:sz w:val="4"/>
                <w:szCs w:val="4"/>
              </w:rPr>
            </w:r>
          </w:p>
        </w:tc>
        <w:tc>
          <w:tcPr>
            <w:tcW w:w="532"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522" w:type="dxa"/>
            <w:tcBorders/>
            <w:shd w:fill="FFFFFF" w:val="clear"/>
            <w:vAlign w:val="center"/>
          </w:tcPr>
          <w:p>
            <w:pPr>
              <w:pStyle w:val="TableContents"/>
              <w:spacing w:before="0" w:after="283"/>
              <w:rPr>
                <w:sz w:val="4"/>
                <w:szCs w:val="4"/>
              </w:rPr>
            </w:pPr>
            <w:r>
              <w:rPr>
                <w:sz w:val="4"/>
                <w:szCs w:val="4"/>
              </w:rPr>
            </w:r>
          </w:p>
        </w:tc>
        <w:tc>
          <w:tcPr>
            <w:tcW w:w="36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37" w:type="dxa"/>
            <w:tcBorders/>
            <w:shd w:fill="FFFFFF" w:val="clear"/>
            <w:vAlign w:val="center"/>
          </w:tcPr>
          <w:p>
            <w:pPr>
              <w:pStyle w:val="TableContents"/>
              <w:spacing w:before="0" w:after="283"/>
              <w:rPr>
                <w:sz w:val="4"/>
                <w:szCs w:val="4"/>
              </w:rPr>
            </w:pPr>
            <w:r>
              <w:rPr>
                <w:sz w:val="4"/>
                <w:szCs w:val="4"/>
              </w:rPr>
            </w:r>
          </w:p>
        </w:tc>
        <w:tc>
          <w:tcPr>
            <w:tcW w:w="693" w:type="dxa"/>
            <w:tcBorders/>
            <w:shd w:fill="FFFFFF" w:val="clear"/>
            <w:vAlign w:val="center"/>
          </w:tcPr>
          <w:p>
            <w:pPr>
              <w:pStyle w:val="TableContents"/>
              <w:spacing w:before="0" w:after="283"/>
              <w:rPr>
                <w:sz w:val="4"/>
                <w:szCs w:val="4"/>
              </w:rPr>
            </w:pPr>
            <w:r>
              <w:rPr>
                <w:sz w:val="4"/>
                <w:szCs w:val="4"/>
              </w:rPr>
            </w:r>
          </w:p>
        </w:tc>
      </w:tr>
      <w:tr>
        <w:trPr/>
        <w:tc>
          <w:tcPr>
            <w:tcW w:w="148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944" w:type="dxa"/>
            <w:gridSpan w:val="11"/>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January 31, 2021</w:t>
            </w:r>
          </w:p>
        </w:tc>
      </w:tr>
      <w:tr>
        <w:trPr/>
        <w:tc>
          <w:tcPr>
            <w:tcW w:w="148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915" w:type="dxa"/>
            <w:gridSpan w:val="2"/>
            <w:tcBorders>
              <w:top w:val="single" w:sz="8" w:space="0" w:color="000000"/>
            </w:tcBorders>
            <w:shd w:fill="FFFF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Cost or</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FFFF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Gross</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FFFF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Gross</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930" w:type="dxa"/>
            <w:gridSpan w:val="2"/>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148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915"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Amortized </w:t>
            </w:r>
          </w:p>
        </w:tc>
        <w:tc>
          <w:tcPr>
            <w:tcW w:w="109" w:type="dxa"/>
            <w:tcBorders/>
            <w:shd w:fill="FFFFFF" w:val="clear"/>
            <w:vAlign w:val="center"/>
          </w:tcPr>
          <w:p>
            <w:pPr>
              <w:pStyle w:val="TableContents"/>
              <w:spacing w:before="0" w:after="283"/>
              <w:rPr>
                <w:sz w:val="4"/>
                <w:szCs w:val="4"/>
              </w:rPr>
            </w:pPr>
            <w:r>
              <w:rPr>
                <w:sz w:val="4"/>
                <w:szCs w:val="4"/>
              </w:rPr>
            </w:r>
          </w:p>
        </w:tc>
        <w:tc>
          <w:tcPr>
            <w:tcW w:w="886"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Unrealized</w:t>
            </w:r>
          </w:p>
        </w:tc>
        <w:tc>
          <w:tcPr>
            <w:tcW w:w="109" w:type="dxa"/>
            <w:tcBorders/>
            <w:shd w:fill="FFFFFF" w:val="clear"/>
            <w:vAlign w:val="center"/>
          </w:tcPr>
          <w:p>
            <w:pPr>
              <w:pStyle w:val="TableContents"/>
              <w:spacing w:before="0" w:after="283"/>
              <w:rPr>
                <w:sz w:val="4"/>
                <w:szCs w:val="4"/>
              </w:rPr>
            </w:pPr>
            <w:r>
              <w:rPr>
                <w:sz w:val="4"/>
                <w:szCs w:val="4"/>
              </w:rPr>
            </w:r>
          </w:p>
        </w:tc>
        <w:tc>
          <w:tcPr>
            <w:tcW w:w="886"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Unrealized</w:t>
            </w:r>
          </w:p>
        </w:tc>
        <w:tc>
          <w:tcPr>
            <w:tcW w:w="109" w:type="dxa"/>
            <w:tcBorders/>
            <w:shd w:fill="FFFFFF" w:val="clear"/>
            <w:vAlign w:val="center"/>
          </w:tcPr>
          <w:p>
            <w:pPr>
              <w:pStyle w:val="TableContents"/>
              <w:spacing w:before="0" w:after="283"/>
              <w:rPr>
                <w:sz w:val="4"/>
                <w:szCs w:val="4"/>
              </w:rPr>
            </w:pPr>
            <w:r>
              <w:rPr>
                <w:sz w:val="4"/>
                <w:szCs w:val="4"/>
              </w:rPr>
            </w:r>
          </w:p>
        </w:tc>
        <w:tc>
          <w:tcPr>
            <w:tcW w:w="93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Estimated</w:t>
            </w:r>
          </w:p>
        </w:tc>
      </w:tr>
      <w:tr>
        <w:trPr/>
        <w:tc>
          <w:tcPr>
            <w:tcW w:w="148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91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Cost </w:t>
            </w:r>
          </w:p>
        </w:tc>
        <w:tc>
          <w:tcPr>
            <w:tcW w:w="109" w:type="dxa"/>
            <w:tcBorders/>
            <w:shd w:fill="FFFFFF" w:val="clear"/>
            <w:vAlign w:val="center"/>
          </w:tcPr>
          <w:p>
            <w:pPr>
              <w:pStyle w:val="TableContents"/>
              <w:spacing w:before="0" w:after="283"/>
              <w:rPr>
                <w:sz w:val="4"/>
                <w:szCs w:val="4"/>
              </w:rPr>
            </w:pPr>
            <w:r>
              <w:rPr>
                <w:sz w:val="4"/>
                <w:szCs w:val="4"/>
              </w:rPr>
            </w:r>
          </w:p>
        </w:tc>
        <w:tc>
          <w:tcPr>
            <w:tcW w:w="886"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Gains</w:t>
            </w:r>
          </w:p>
        </w:tc>
        <w:tc>
          <w:tcPr>
            <w:tcW w:w="109" w:type="dxa"/>
            <w:tcBorders/>
            <w:shd w:fill="FFFFFF" w:val="clear"/>
            <w:vAlign w:val="center"/>
          </w:tcPr>
          <w:p>
            <w:pPr>
              <w:pStyle w:val="TableContents"/>
              <w:spacing w:before="0" w:after="283"/>
              <w:rPr>
                <w:sz w:val="4"/>
                <w:szCs w:val="4"/>
              </w:rPr>
            </w:pPr>
            <w:r>
              <w:rPr>
                <w:sz w:val="4"/>
                <w:szCs w:val="4"/>
              </w:rPr>
            </w:r>
          </w:p>
        </w:tc>
        <w:tc>
          <w:tcPr>
            <w:tcW w:w="886"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Losses</w:t>
            </w:r>
          </w:p>
        </w:tc>
        <w:tc>
          <w:tcPr>
            <w:tcW w:w="109" w:type="dxa"/>
            <w:tcBorders/>
            <w:shd w:fill="FFFFFF" w:val="clear"/>
            <w:vAlign w:val="center"/>
          </w:tcPr>
          <w:p>
            <w:pPr>
              <w:pStyle w:val="TableContents"/>
              <w:spacing w:before="0" w:after="283"/>
              <w:rPr>
                <w:sz w:val="4"/>
                <w:szCs w:val="4"/>
              </w:rPr>
            </w:pPr>
            <w:r>
              <w:rPr>
                <w:sz w:val="4"/>
                <w:szCs w:val="4"/>
              </w:rPr>
            </w:r>
          </w:p>
        </w:tc>
        <w:tc>
          <w:tcPr>
            <w:tcW w:w="93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Fair Value</w:t>
            </w:r>
          </w:p>
        </w:tc>
      </w:tr>
      <w:tr>
        <w:trPr/>
        <w:tc>
          <w:tcPr>
            <w:tcW w:w="1486" w:type="dxa"/>
            <w:tcBorders/>
            <w:shd w:fill="FFFFFF" w:val="clear"/>
            <w:vAlign w:val="center"/>
          </w:tcPr>
          <w:p>
            <w:pPr>
              <w:pStyle w:val="TableContents"/>
              <w:bidi w:val="0"/>
              <w:spacing w:lineRule="auto" w:line="259" w:before="0" w:after="283"/>
              <w:rPr>
                <w:rFonts w:ascii="Times New Roman;serif" w:hAnsi="Times New Roman;serif"/>
                <w:b w:val="false"/>
                <w:i/>
                <w:sz w:val="16"/>
              </w:rPr>
            </w:pPr>
            <w:r>
              <w:rPr>
                <w:rFonts w:ascii="Times New Roman;serif" w:hAnsi="Times New Roman;serif"/>
                <w:b w:val="false"/>
                <w:i/>
                <w:sz w:val="16"/>
              </w:rPr>
              <w:t>(in thousands)</w:t>
            </w:r>
          </w:p>
        </w:tc>
        <w:tc>
          <w:tcPr>
            <w:tcW w:w="109" w:type="dxa"/>
            <w:tcBorders/>
            <w:shd w:fill="FFFFFF" w:val="clear"/>
            <w:vAlign w:val="center"/>
          </w:tcPr>
          <w:p>
            <w:pPr>
              <w:pStyle w:val="TableContents"/>
              <w:spacing w:before="0" w:after="283"/>
              <w:rPr>
                <w:sz w:val="4"/>
                <w:szCs w:val="4"/>
              </w:rPr>
            </w:pPr>
            <w:r>
              <w:rPr>
                <w:sz w:val="4"/>
                <w:szCs w:val="4"/>
              </w:rPr>
            </w:r>
          </w:p>
        </w:tc>
        <w:tc>
          <w:tcPr>
            <w:tcW w:w="247"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668"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54"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532"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522"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364"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37"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693"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1486" w:type="dxa"/>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Level 3 security:</w:t>
            </w:r>
          </w:p>
        </w:tc>
        <w:tc>
          <w:tcPr>
            <w:tcW w:w="109" w:type="dxa"/>
            <w:tcBorders/>
            <w:shd w:fill="FFFFFF" w:val="clear"/>
            <w:vAlign w:val="center"/>
          </w:tcPr>
          <w:p>
            <w:pPr>
              <w:pStyle w:val="TableContents"/>
              <w:spacing w:before="0" w:after="283"/>
              <w:rPr>
                <w:sz w:val="4"/>
                <w:szCs w:val="4"/>
              </w:rPr>
            </w:pPr>
            <w:r>
              <w:rPr>
                <w:sz w:val="4"/>
                <w:szCs w:val="4"/>
              </w:rPr>
            </w:r>
          </w:p>
        </w:tc>
        <w:tc>
          <w:tcPr>
            <w:tcW w:w="247" w:type="dxa"/>
            <w:tcBorders/>
            <w:shd w:fill="FFFFFF" w:val="clear"/>
            <w:vAlign w:val="center"/>
          </w:tcPr>
          <w:p>
            <w:pPr>
              <w:pStyle w:val="TableContents"/>
              <w:spacing w:before="0" w:after="283"/>
              <w:rPr>
                <w:sz w:val="4"/>
                <w:szCs w:val="4"/>
              </w:rPr>
            </w:pPr>
            <w:r>
              <w:rPr>
                <w:sz w:val="4"/>
                <w:szCs w:val="4"/>
              </w:rPr>
            </w:r>
          </w:p>
        </w:tc>
        <w:tc>
          <w:tcPr>
            <w:tcW w:w="66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54" w:type="dxa"/>
            <w:tcBorders/>
            <w:shd w:fill="FFFFFF" w:val="clear"/>
            <w:vAlign w:val="center"/>
          </w:tcPr>
          <w:p>
            <w:pPr>
              <w:pStyle w:val="TableContents"/>
              <w:spacing w:before="0" w:after="283"/>
              <w:rPr>
                <w:sz w:val="4"/>
                <w:szCs w:val="4"/>
              </w:rPr>
            </w:pPr>
            <w:r>
              <w:rPr>
                <w:sz w:val="4"/>
                <w:szCs w:val="4"/>
              </w:rPr>
            </w:r>
          </w:p>
        </w:tc>
        <w:tc>
          <w:tcPr>
            <w:tcW w:w="532"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522" w:type="dxa"/>
            <w:tcBorders/>
            <w:shd w:fill="FFFFFF" w:val="clear"/>
            <w:vAlign w:val="center"/>
          </w:tcPr>
          <w:p>
            <w:pPr>
              <w:pStyle w:val="TableContents"/>
              <w:spacing w:before="0" w:after="283"/>
              <w:rPr>
                <w:sz w:val="4"/>
                <w:szCs w:val="4"/>
              </w:rPr>
            </w:pPr>
            <w:r>
              <w:rPr>
                <w:sz w:val="4"/>
                <w:szCs w:val="4"/>
              </w:rPr>
            </w:r>
          </w:p>
        </w:tc>
        <w:tc>
          <w:tcPr>
            <w:tcW w:w="36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37" w:type="dxa"/>
            <w:tcBorders/>
            <w:shd w:fill="FFFFFF" w:val="clear"/>
            <w:vAlign w:val="center"/>
          </w:tcPr>
          <w:p>
            <w:pPr>
              <w:pStyle w:val="TableContents"/>
              <w:spacing w:before="0" w:after="283"/>
              <w:rPr>
                <w:sz w:val="4"/>
                <w:szCs w:val="4"/>
              </w:rPr>
            </w:pPr>
            <w:r>
              <w:rPr>
                <w:sz w:val="4"/>
                <w:szCs w:val="4"/>
              </w:rPr>
            </w:r>
          </w:p>
        </w:tc>
        <w:tc>
          <w:tcPr>
            <w:tcW w:w="693" w:type="dxa"/>
            <w:tcBorders/>
            <w:shd w:fill="FFFFFF" w:val="clear"/>
            <w:vAlign w:val="center"/>
          </w:tcPr>
          <w:p>
            <w:pPr>
              <w:pStyle w:val="TableContents"/>
              <w:spacing w:before="0" w:after="283"/>
              <w:rPr>
                <w:sz w:val="4"/>
                <w:szCs w:val="4"/>
              </w:rPr>
            </w:pPr>
            <w:r>
              <w:rPr>
                <w:sz w:val="4"/>
                <w:szCs w:val="4"/>
              </w:rPr>
            </w:r>
          </w:p>
        </w:tc>
      </w:tr>
      <w:tr>
        <w:trPr/>
        <w:tc>
          <w:tcPr>
            <w:tcW w:w="14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Corporate trust</w:t>
            </w:r>
          </w:p>
        </w:tc>
        <w:tc>
          <w:tcPr>
            <w:tcW w:w="109" w:type="dxa"/>
            <w:tcBorders/>
            <w:shd w:fill="CCEEFF" w:val="clear"/>
            <w:vAlign w:val="center"/>
          </w:tcPr>
          <w:p>
            <w:pPr>
              <w:pStyle w:val="TableContents"/>
              <w:spacing w:before="0" w:after="283"/>
              <w:rPr>
                <w:sz w:val="4"/>
                <w:szCs w:val="4"/>
              </w:rPr>
            </w:pPr>
            <w:r>
              <w:rPr>
                <w:sz w:val="4"/>
                <w:szCs w:val="4"/>
              </w:rPr>
            </w:r>
          </w:p>
        </w:tc>
        <w:tc>
          <w:tcPr>
            <w:tcW w:w="24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6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6,047</w:t>
            </w:r>
          </w:p>
        </w:tc>
        <w:tc>
          <w:tcPr>
            <w:tcW w:w="109" w:type="dxa"/>
            <w:tcBorders/>
            <w:shd w:fill="CCEEFF" w:val="clear"/>
            <w:vAlign w:val="center"/>
          </w:tcPr>
          <w:p>
            <w:pPr>
              <w:pStyle w:val="TableContents"/>
              <w:spacing w:before="0" w:after="283"/>
              <w:rPr>
                <w:sz w:val="4"/>
                <w:szCs w:val="4"/>
              </w:rPr>
            </w:pPr>
            <w:r>
              <w:rPr>
                <w:sz w:val="4"/>
                <w:szCs w:val="4"/>
              </w:rPr>
            </w:r>
          </w:p>
        </w:tc>
        <w:tc>
          <w:tcPr>
            <w:tcW w:w="35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3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w:t>
            </w:r>
          </w:p>
        </w:tc>
        <w:tc>
          <w:tcPr>
            <w:tcW w:w="109" w:type="dxa"/>
            <w:tcBorders/>
            <w:shd w:fill="CCEEFF" w:val="clear"/>
            <w:vAlign w:val="center"/>
          </w:tcPr>
          <w:p>
            <w:pPr>
              <w:pStyle w:val="TableContents"/>
              <w:spacing w:before="0" w:after="283"/>
              <w:rPr>
                <w:sz w:val="4"/>
                <w:szCs w:val="4"/>
              </w:rPr>
            </w:pPr>
            <w:r>
              <w:rPr>
                <w:sz w:val="4"/>
                <w:szCs w:val="4"/>
              </w:rPr>
            </w:r>
          </w:p>
        </w:tc>
        <w:tc>
          <w:tcPr>
            <w:tcW w:w="52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64" w:type="dxa"/>
            <w:tcBorders/>
            <w:shd w:fill="CCEEFF" w:val="clear"/>
            <w:vAlign w:val="center"/>
          </w:tcPr>
          <w:p>
            <w:pPr>
              <w:pStyle w:val="TableContents"/>
              <w:bidi w:val="0"/>
              <w:spacing w:lineRule="auto" w:line="259" w:before="0" w:after="283"/>
              <w:rPr>
                <w:caps w:val="false"/>
                <w:smallCaps w:val="false"/>
              </w:rPr>
            </w:pPr>
            <w:r>
              <w:rPr>
                <w:caps w:val="false"/>
                <w:smallCaps w:val="false"/>
              </w:rPr>
              <w:t> </w:t>
            </w:r>
          </w:p>
        </w:tc>
        <w:tc>
          <w:tcPr>
            <w:tcW w:w="109" w:type="dxa"/>
            <w:tcBorders/>
            <w:shd w:fill="CCEEFF" w:val="clear"/>
            <w:vAlign w:val="center"/>
          </w:tcPr>
          <w:p>
            <w:pPr>
              <w:pStyle w:val="TableContents"/>
              <w:spacing w:before="0" w:after="283"/>
              <w:rPr>
                <w:sz w:val="4"/>
                <w:szCs w:val="4"/>
              </w:rPr>
            </w:pPr>
            <w:r>
              <w:rPr>
                <w:sz w:val="4"/>
                <w:szCs w:val="4"/>
              </w:rPr>
            </w:r>
          </w:p>
        </w:tc>
        <w:tc>
          <w:tcPr>
            <w:tcW w:w="23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9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6,111</w:t>
            </w:r>
          </w:p>
        </w:tc>
      </w:tr>
    </w:tbl>
    <w:tbl>
      <w:tblPr>
        <w:tblW w:w="5539" w:type="dxa"/>
        <w:jc w:val="left"/>
        <w:tblInd w:w="0" w:type="dxa"/>
        <w:tblCellMar>
          <w:top w:w="0" w:type="dxa"/>
          <w:left w:w="0" w:type="dxa"/>
          <w:bottom w:w="0" w:type="dxa"/>
          <w:right w:w="0" w:type="dxa"/>
        </w:tblCellMar>
      </w:tblPr>
      <w:tblGrid>
        <w:gridCol w:w="1486"/>
        <w:gridCol w:w="109"/>
        <w:gridCol w:w="247"/>
        <w:gridCol w:w="668"/>
        <w:gridCol w:w="109"/>
        <w:gridCol w:w="295"/>
        <w:gridCol w:w="591"/>
        <w:gridCol w:w="109"/>
        <w:gridCol w:w="522"/>
        <w:gridCol w:w="364"/>
        <w:gridCol w:w="109"/>
        <w:gridCol w:w="237"/>
        <w:gridCol w:w="693"/>
      </w:tblGrid>
      <w:tr>
        <w:trPr/>
        <w:tc>
          <w:tcPr>
            <w:tcW w:w="148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47" w:type="dxa"/>
            <w:tcBorders/>
            <w:shd w:fill="FFFFFF" w:val="clear"/>
            <w:vAlign w:val="center"/>
          </w:tcPr>
          <w:p>
            <w:pPr>
              <w:pStyle w:val="TableContents"/>
              <w:spacing w:before="0" w:after="283"/>
              <w:rPr>
                <w:sz w:val="4"/>
                <w:szCs w:val="4"/>
              </w:rPr>
            </w:pPr>
            <w:r>
              <w:rPr>
                <w:sz w:val="4"/>
                <w:szCs w:val="4"/>
              </w:rPr>
            </w:r>
          </w:p>
        </w:tc>
        <w:tc>
          <w:tcPr>
            <w:tcW w:w="66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95" w:type="dxa"/>
            <w:tcBorders/>
            <w:shd w:fill="FFFFFF" w:val="clear"/>
            <w:vAlign w:val="center"/>
          </w:tcPr>
          <w:p>
            <w:pPr>
              <w:pStyle w:val="TableContents"/>
              <w:spacing w:before="0" w:after="283"/>
              <w:rPr>
                <w:sz w:val="4"/>
                <w:szCs w:val="4"/>
              </w:rPr>
            </w:pPr>
            <w:r>
              <w:rPr>
                <w:sz w:val="4"/>
                <w:szCs w:val="4"/>
              </w:rPr>
            </w:r>
          </w:p>
        </w:tc>
        <w:tc>
          <w:tcPr>
            <w:tcW w:w="5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522" w:type="dxa"/>
            <w:tcBorders/>
            <w:shd w:fill="FFFFFF" w:val="clear"/>
            <w:vAlign w:val="center"/>
          </w:tcPr>
          <w:p>
            <w:pPr>
              <w:pStyle w:val="TableContents"/>
              <w:spacing w:before="0" w:after="283"/>
              <w:rPr>
                <w:sz w:val="4"/>
                <w:szCs w:val="4"/>
              </w:rPr>
            </w:pPr>
            <w:r>
              <w:rPr>
                <w:sz w:val="4"/>
                <w:szCs w:val="4"/>
              </w:rPr>
            </w:r>
          </w:p>
        </w:tc>
        <w:tc>
          <w:tcPr>
            <w:tcW w:w="36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37" w:type="dxa"/>
            <w:tcBorders/>
            <w:shd w:fill="FFFFFF" w:val="clear"/>
            <w:vAlign w:val="center"/>
          </w:tcPr>
          <w:p>
            <w:pPr>
              <w:pStyle w:val="TableContents"/>
              <w:spacing w:before="0" w:after="283"/>
              <w:rPr>
                <w:sz w:val="4"/>
                <w:szCs w:val="4"/>
              </w:rPr>
            </w:pPr>
            <w:r>
              <w:rPr>
                <w:sz w:val="4"/>
                <w:szCs w:val="4"/>
              </w:rPr>
            </w:r>
          </w:p>
        </w:tc>
        <w:tc>
          <w:tcPr>
            <w:tcW w:w="693" w:type="dxa"/>
            <w:tcBorders/>
            <w:shd w:fill="FFFFFF" w:val="clear"/>
            <w:vAlign w:val="center"/>
          </w:tcPr>
          <w:p>
            <w:pPr>
              <w:pStyle w:val="TableContents"/>
              <w:spacing w:before="0" w:after="283"/>
              <w:rPr>
                <w:sz w:val="4"/>
                <w:szCs w:val="4"/>
              </w:rPr>
            </w:pPr>
            <w:r>
              <w:rPr>
                <w:sz w:val="4"/>
                <w:szCs w:val="4"/>
              </w:rPr>
            </w:r>
          </w:p>
        </w:tc>
      </w:tr>
      <w:tr>
        <w:trPr/>
        <w:tc>
          <w:tcPr>
            <w:tcW w:w="148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944" w:type="dxa"/>
            <w:gridSpan w:val="11"/>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February 2, 2020</w:t>
            </w:r>
          </w:p>
        </w:tc>
      </w:tr>
      <w:tr>
        <w:trPr/>
        <w:tc>
          <w:tcPr>
            <w:tcW w:w="148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915" w:type="dxa"/>
            <w:gridSpan w:val="2"/>
            <w:tcBorders>
              <w:top w:val="single" w:sz="8" w:space="0" w:color="000000"/>
            </w:tcBorders>
            <w:shd w:fill="FFFF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Cost or</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FFFF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Gross</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FFFF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Gross</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930" w:type="dxa"/>
            <w:gridSpan w:val="2"/>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148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915"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Amortized </w:t>
            </w:r>
          </w:p>
        </w:tc>
        <w:tc>
          <w:tcPr>
            <w:tcW w:w="109" w:type="dxa"/>
            <w:tcBorders/>
            <w:shd w:fill="FFFFFF" w:val="clear"/>
            <w:vAlign w:val="center"/>
          </w:tcPr>
          <w:p>
            <w:pPr>
              <w:pStyle w:val="TableContents"/>
              <w:spacing w:before="0" w:after="283"/>
              <w:rPr>
                <w:sz w:val="4"/>
                <w:szCs w:val="4"/>
              </w:rPr>
            </w:pPr>
            <w:r>
              <w:rPr>
                <w:sz w:val="4"/>
                <w:szCs w:val="4"/>
              </w:rPr>
            </w:r>
          </w:p>
        </w:tc>
        <w:tc>
          <w:tcPr>
            <w:tcW w:w="886"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Unrealized</w:t>
            </w:r>
          </w:p>
        </w:tc>
        <w:tc>
          <w:tcPr>
            <w:tcW w:w="109" w:type="dxa"/>
            <w:tcBorders/>
            <w:shd w:fill="FFFFFF" w:val="clear"/>
            <w:vAlign w:val="center"/>
          </w:tcPr>
          <w:p>
            <w:pPr>
              <w:pStyle w:val="TableContents"/>
              <w:spacing w:before="0" w:after="283"/>
              <w:rPr>
                <w:sz w:val="4"/>
                <w:szCs w:val="4"/>
              </w:rPr>
            </w:pPr>
            <w:r>
              <w:rPr>
                <w:sz w:val="4"/>
                <w:szCs w:val="4"/>
              </w:rPr>
            </w:r>
          </w:p>
        </w:tc>
        <w:tc>
          <w:tcPr>
            <w:tcW w:w="886"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Unrealized</w:t>
            </w:r>
          </w:p>
        </w:tc>
        <w:tc>
          <w:tcPr>
            <w:tcW w:w="109" w:type="dxa"/>
            <w:tcBorders/>
            <w:shd w:fill="FFFFFF" w:val="clear"/>
            <w:vAlign w:val="center"/>
          </w:tcPr>
          <w:p>
            <w:pPr>
              <w:pStyle w:val="TableContents"/>
              <w:spacing w:before="0" w:after="283"/>
              <w:rPr>
                <w:sz w:val="4"/>
                <w:szCs w:val="4"/>
              </w:rPr>
            </w:pPr>
            <w:r>
              <w:rPr>
                <w:sz w:val="4"/>
                <w:szCs w:val="4"/>
              </w:rPr>
            </w:r>
          </w:p>
        </w:tc>
        <w:tc>
          <w:tcPr>
            <w:tcW w:w="93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Estimated</w:t>
            </w:r>
          </w:p>
        </w:tc>
      </w:tr>
      <w:tr>
        <w:trPr/>
        <w:tc>
          <w:tcPr>
            <w:tcW w:w="148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91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Cost </w:t>
            </w:r>
          </w:p>
        </w:tc>
        <w:tc>
          <w:tcPr>
            <w:tcW w:w="109" w:type="dxa"/>
            <w:tcBorders/>
            <w:shd w:fill="FFFFFF" w:val="clear"/>
            <w:vAlign w:val="center"/>
          </w:tcPr>
          <w:p>
            <w:pPr>
              <w:pStyle w:val="TableContents"/>
              <w:spacing w:before="0" w:after="283"/>
              <w:rPr>
                <w:sz w:val="4"/>
                <w:szCs w:val="4"/>
              </w:rPr>
            </w:pPr>
            <w:r>
              <w:rPr>
                <w:sz w:val="4"/>
                <w:szCs w:val="4"/>
              </w:rPr>
            </w:r>
          </w:p>
        </w:tc>
        <w:tc>
          <w:tcPr>
            <w:tcW w:w="886"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Gains</w:t>
            </w:r>
          </w:p>
        </w:tc>
        <w:tc>
          <w:tcPr>
            <w:tcW w:w="109" w:type="dxa"/>
            <w:tcBorders/>
            <w:shd w:fill="FFFFFF" w:val="clear"/>
            <w:vAlign w:val="center"/>
          </w:tcPr>
          <w:p>
            <w:pPr>
              <w:pStyle w:val="TableContents"/>
              <w:spacing w:before="0" w:after="283"/>
              <w:rPr>
                <w:sz w:val="4"/>
                <w:szCs w:val="4"/>
              </w:rPr>
            </w:pPr>
            <w:r>
              <w:rPr>
                <w:sz w:val="4"/>
                <w:szCs w:val="4"/>
              </w:rPr>
            </w:r>
          </w:p>
        </w:tc>
        <w:tc>
          <w:tcPr>
            <w:tcW w:w="886"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Losses</w:t>
            </w:r>
          </w:p>
        </w:tc>
        <w:tc>
          <w:tcPr>
            <w:tcW w:w="109" w:type="dxa"/>
            <w:tcBorders/>
            <w:shd w:fill="FFFFFF" w:val="clear"/>
            <w:vAlign w:val="center"/>
          </w:tcPr>
          <w:p>
            <w:pPr>
              <w:pStyle w:val="TableContents"/>
              <w:spacing w:before="0" w:after="283"/>
              <w:rPr>
                <w:sz w:val="4"/>
                <w:szCs w:val="4"/>
              </w:rPr>
            </w:pPr>
            <w:r>
              <w:rPr>
                <w:sz w:val="4"/>
                <w:szCs w:val="4"/>
              </w:rPr>
            </w:r>
          </w:p>
        </w:tc>
        <w:tc>
          <w:tcPr>
            <w:tcW w:w="93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Fair Value</w:t>
            </w:r>
          </w:p>
        </w:tc>
      </w:tr>
      <w:tr>
        <w:trPr/>
        <w:tc>
          <w:tcPr>
            <w:tcW w:w="1486" w:type="dxa"/>
            <w:tcBorders/>
            <w:shd w:fill="FFFFFF" w:val="clear"/>
            <w:vAlign w:val="center"/>
          </w:tcPr>
          <w:p>
            <w:pPr>
              <w:pStyle w:val="TableContents"/>
              <w:bidi w:val="0"/>
              <w:spacing w:lineRule="auto" w:line="259" w:before="0" w:after="283"/>
              <w:rPr>
                <w:rFonts w:ascii="Times New Roman;serif" w:hAnsi="Times New Roman;serif"/>
                <w:b w:val="false"/>
                <w:i/>
                <w:sz w:val="16"/>
              </w:rPr>
            </w:pPr>
            <w:r>
              <w:rPr>
                <w:rFonts w:ascii="Times New Roman;serif" w:hAnsi="Times New Roman;serif"/>
                <w:b w:val="false"/>
                <w:i/>
                <w:sz w:val="16"/>
              </w:rPr>
              <w:t>(in thousands)</w:t>
            </w:r>
          </w:p>
        </w:tc>
        <w:tc>
          <w:tcPr>
            <w:tcW w:w="109" w:type="dxa"/>
            <w:tcBorders/>
            <w:shd w:fill="FFFFFF" w:val="clear"/>
            <w:vAlign w:val="center"/>
          </w:tcPr>
          <w:p>
            <w:pPr>
              <w:pStyle w:val="TableContents"/>
              <w:spacing w:before="0" w:after="283"/>
              <w:rPr>
                <w:sz w:val="4"/>
                <w:szCs w:val="4"/>
              </w:rPr>
            </w:pPr>
            <w:r>
              <w:rPr>
                <w:sz w:val="4"/>
                <w:szCs w:val="4"/>
              </w:rPr>
            </w:r>
          </w:p>
        </w:tc>
        <w:tc>
          <w:tcPr>
            <w:tcW w:w="247"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668"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95"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59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522"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364"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37"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693"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1486" w:type="dxa"/>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Level 3 security:</w:t>
            </w:r>
          </w:p>
        </w:tc>
        <w:tc>
          <w:tcPr>
            <w:tcW w:w="109" w:type="dxa"/>
            <w:tcBorders/>
            <w:shd w:fill="FFFFFF" w:val="clear"/>
            <w:vAlign w:val="center"/>
          </w:tcPr>
          <w:p>
            <w:pPr>
              <w:pStyle w:val="TableContents"/>
              <w:spacing w:before="0" w:after="283"/>
              <w:rPr>
                <w:sz w:val="4"/>
                <w:szCs w:val="4"/>
              </w:rPr>
            </w:pPr>
            <w:r>
              <w:rPr>
                <w:sz w:val="4"/>
                <w:szCs w:val="4"/>
              </w:rPr>
            </w:r>
          </w:p>
        </w:tc>
        <w:tc>
          <w:tcPr>
            <w:tcW w:w="247" w:type="dxa"/>
            <w:tcBorders/>
            <w:shd w:fill="FFFFFF" w:val="clear"/>
            <w:vAlign w:val="center"/>
          </w:tcPr>
          <w:p>
            <w:pPr>
              <w:pStyle w:val="TableContents"/>
              <w:spacing w:before="0" w:after="283"/>
              <w:rPr>
                <w:sz w:val="4"/>
                <w:szCs w:val="4"/>
              </w:rPr>
            </w:pPr>
            <w:r>
              <w:rPr>
                <w:sz w:val="4"/>
                <w:szCs w:val="4"/>
              </w:rPr>
            </w:r>
          </w:p>
        </w:tc>
        <w:tc>
          <w:tcPr>
            <w:tcW w:w="66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95" w:type="dxa"/>
            <w:tcBorders/>
            <w:shd w:fill="FFFFFF" w:val="clear"/>
            <w:vAlign w:val="center"/>
          </w:tcPr>
          <w:p>
            <w:pPr>
              <w:pStyle w:val="TableContents"/>
              <w:spacing w:before="0" w:after="283"/>
              <w:rPr>
                <w:sz w:val="4"/>
                <w:szCs w:val="4"/>
              </w:rPr>
            </w:pPr>
            <w:r>
              <w:rPr>
                <w:sz w:val="4"/>
                <w:szCs w:val="4"/>
              </w:rPr>
            </w:r>
          </w:p>
        </w:tc>
        <w:tc>
          <w:tcPr>
            <w:tcW w:w="59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522" w:type="dxa"/>
            <w:tcBorders/>
            <w:shd w:fill="FFFFFF" w:val="clear"/>
            <w:vAlign w:val="center"/>
          </w:tcPr>
          <w:p>
            <w:pPr>
              <w:pStyle w:val="TableContents"/>
              <w:spacing w:before="0" w:after="283"/>
              <w:rPr>
                <w:sz w:val="4"/>
                <w:szCs w:val="4"/>
              </w:rPr>
            </w:pPr>
            <w:r>
              <w:rPr>
                <w:sz w:val="4"/>
                <w:szCs w:val="4"/>
              </w:rPr>
            </w:r>
          </w:p>
        </w:tc>
        <w:tc>
          <w:tcPr>
            <w:tcW w:w="36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37" w:type="dxa"/>
            <w:tcBorders/>
            <w:shd w:fill="FFFFFF" w:val="clear"/>
            <w:vAlign w:val="center"/>
          </w:tcPr>
          <w:p>
            <w:pPr>
              <w:pStyle w:val="TableContents"/>
              <w:spacing w:before="0" w:after="283"/>
              <w:rPr>
                <w:sz w:val="4"/>
                <w:szCs w:val="4"/>
              </w:rPr>
            </w:pPr>
            <w:r>
              <w:rPr>
                <w:sz w:val="4"/>
                <w:szCs w:val="4"/>
              </w:rPr>
            </w:r>
          </w:p>
        </w:tc>
        <w:tc>
          <w:tcPr>
            <w:tcW w:w="693" w:type="dxa"/>
            <w:tcBorders/>
            <w:shd w:fill="FFFFFF" w:val="clear"/>
            <w:vAlign w:val="center"/>
          </w:tcPr>
          <w:p>
            <w:pPr>
              <w:pStyle w:val="TableContents"/>
              <w:spacing w:before="0" w:after="283"/>
              <w:rPr>
                <w:sz w:val="4"/>
                <w:szCs w:val="4"/>
              </w:rPr>
            </w:pPr>
            <w:r>
              <w:rPr>
                <w:sz w:val="4"/>
                <w:szCs w:val="4"/>
              </w:rPr>
            </w:r>
          </w:p>
        </w:tc>
      </w:tr>
      <w:tr>
        <w:trPr/>
        <w:tc>
          <w:tcPr>
            <w:tcW w:w="14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Corporate trust</w:t>
            </w:r>
          </w:p>
        </w:tc>
        <w:tc>
          <w:tcPr>
            <w:tcW w:w="109" w:type="dxa"/>
            <w:tcBorders/>
            <w:shd w:fill="CCEEFF" w:val="clear"/>
            <w:vAlign w:val="center"/>
          </w:tcPr>
          <w:p>
            <w:pPr>
              <w:pStyle w:val="TableContents"/>
              <w:spacing w:before="0" w:after="283"/>
              <w:rPr>
                <w:sz w:val="4"/>
                <w:szCs w:val="4"/>
              </w:rPr>
            </w:pPr>
            <w:r>
              <w:rPr>
                <w:sz w:val="4"/>
                <w:szCs w:val="4"/>
              </w:rPr>
            </w:r>
          </w:p>
        </w:tc>
        <w:tc>
          <w:tcPr>
            <w:tcW w:w="24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6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6,178</w:t>
            </w:r>
          </w:p>
        </w:tc>
        <w:tc>
          <w:tcPr>
            <w:tcW w:w="109" w:type="dxa"/>
            <w:tcBorders/>
            <w:shd w:fill="CCEEFF" w:val="clear"/>
            <w:vAlign w:val="center"/>
          </w:tcPr>
          <w:p>
            <w:pPr>
              <w:pStyle w:val="TableContents"/>
              <w:spacing w:before="0" w:after="283"/>
              <w:rPr>
                <w:sz w:val="4"/>
                <w:szCs w:val="4"/>
              </w:rPr>
            </w:pPr>
            <w:r>
              <w:rPr>
                <w:sz w:val="4"/>
                <w:szCs w:val="4"/>
              </w:rPr>
            </w:r>
          </w:p>
        </w:tc>
        <w:tc>
          <w:tcPr>
            <w:tcW w:w="2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254</w:t>
            </w:r>
          </w:p>
        </w:tc>
        <w:tc>
          <w:tcPr>
            <w:tcW w:w="109" w:type="dxa"/>
            <w:tcBorders/>
            <w:shd w:fill="CCEEFF" w:val="clear"/>
            <w:vAlign w:val="center"/>
          </w:tcPr>
          <w:p>
            <w:pPr>
              <w:pStyle w:val="TableContents"/>
              <w:spacing w:before="0" w:after="283"/>
              <w:rPr>
                <w:sz w:val="4"/>
                <w:szCs w:val="4"/>
              </w:rPr>
            </w:pPr>
            <w:r>
              <w:rPr>
                <w:sz w:val="4"/>
                <w:szCs w:val="4"/>
              </w:rPr>
            </w:r>
          </w:p>
        </w:tc>
        <w:tc>
          <w:tcPr>
            <w:tcW w:w="52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64" w:type="dxa"/>
            <w:tcBorders/>
            <w:shd w:fill="CCEEFF" w:val="clear"/>
            <w:vAlign w:val="center"/>
          </w:tcPr>
          <w:p>
            <w:pPr>
              <w:pStyle w:val="TableContents"/>
              <w:bidi w:val="0"/>
              <w:spacing w:lineRule="auto" w:line="259" w:before="0" w:after="283"/>
              <w:rPr>
                <w:caps w:val="false"/>
                <w:smallCaps w:val="false"/>
              </w:rPr>
            </w:pPr>
            <w:r>
              <w:rPr>
                <w:caps w:val="false"/>
                <w:smallCaps w:val="false"/>
              </w:rPr>
              <w:t> </w:t>
            </w:r>
          </w:p>
        </w:tc>
        <w:tc>
          <w:tcPr>
            <w:tcW w:w="109" w:type="dxa"/>
            <w:tcBorders/>
            <w:shd w:fill="CCEEFF" w:val="clear"/>
            <w:vAlign w:val="center"/>
          </w:tcPr>
          <w:p>
            <w:pPr>
              <w:pStyle w:val="TableContents"/>
              <w:spacing w:before="0" w:after="283"/>
              <w:rPr>
                <w:sz w:val="4"/>
                <w:szCs w:val="4"/>
              </w:rPr>
            </w:pPr>
            <w:r>
              <w:rPr>
                <w:sz w:val="4"/>
                <w:szCs w:val="4"/>
              </w:rPr>
            </w:r>
          </w:p>
        </w:tc>
        <w:tc>
          <w:tcPr>
            <w:tcW w:w="23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9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6,432</w:t>
            </w:r>
          </w:p>
        </w:tc>
      </w:tr>
    </w:tbl>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The Company does not intend to sell the available-for-sale-security in the near term and does not believe that it will be required to sell the security. The Company reviews its security on a quarterly basis to monitor its exposure to other-than-temporary impairment.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No</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other-than-temporary impairment was recorded in the Consolidated Statements of Operations in fiscal 2020 or fiscal 2019.</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presents the future receipts related to the Company’s available-for-sale security by contractual maturity as of January 31, 2021.</w:t>
      </w:r>
    </w:p>
    <w:tbl>
      <w:tblPr>
        <w:tblW w:w="4825" w:type="dxa"/>
        <w:jc w:val="left"/>
        <w:tblInd w:w="0" w:type="dxa"/>
        <w:tblCellMar>
          <w:top w:w="0" w:type="dxa"/>
          <w:left w:w="0" w:type="dxa"/>
          <w:bottom w:w="0" w:type="dxa"/>
          <w:right w:w="0" w:type="dxa"/>
        </w:tblCellMar>
      </w:tblPr>
      <w:tblGrid>
        <w:gridCol w:w="2806"/>
        <w:gridCol w:w="109"/>
        <w:gridCol w:w="235"/>
        <w:gridCol w:w="636"/>
        <w:gridCol w:w="109"/>
        <w:gridCol w:w="237"/>
        <w:gridCol w:w="693"/>
      </w:tblGrid>
      <w:tr>
        <w:trPr/>
        <w:tc>
          <w:tcPr>
            <w:tcW w:w="280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35" w:type="dxa"/>
            <w:tcBorders/>
            <w:shd w:fill="FFFFFF" w:val="clear"/>
            <w:vAlign w:val="center"/>
          </w:tcPr>
          <w:p>
            <w:pPr>
              <w:pStyle w:val="TableContents"/>
              <w:spacing w:before="0" w:after="283"/>
              <w:rPr>
                <w:sz w:val="4"/>
                <w:szCs w:val="4"/>
              </w:rPr>
            </w:pPr>
            <w:r>
              <w:rPr>
                <w:sz w:val="4"/>
                <w:szCs w:val="4"/>
              </w:rPr>
            </w:r>
          </w:p>
        </w:tc>
        <w:tc>
          <w:tcPr>
            <w:tcW w:w="6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37" w:type="dxa"/>
            <w:tcBorders/>
            <w:shd w:fill="FFFFFF" w:val="clear"/>
            <w:vAlign w:val="center"/>
          </w:tcPr>
          <w:p>
            <w:pPr>
              <w:pStyle w:val="TableContents"/>
              <w:spacing w:before="0" w:after="283"/>
              <w:rPr>
                <w:sz w:val="4"/>
                <w:szCs w:val="4"/>
              </w:rPr>
            </w:pPr>
            <w:r>
              <w:rPr>
                <w:sz w:val="4"/>
                <w:szCs w:val="4"/>
              </w:rPr>
            </w:r>
          </w:p>
        </w:tc>
        <w:tc>
          <w:tcPr>
            <w:tcW w:w="693" w:type="dxa"/>
            <w:tcBorders/>
            <w:shd w:fill="FFFFFF" w:val="clear"/>
            <w:vAlign w:val="center"/>
          </w:tcPr>
          <w:p>
            <w:pPr>
              <w:pStyle w:val="TableContents"/>
              <w:spacing w:before="0" w:after="283"/>
              <w:rPr>
                <w:sz w:val="4"/>
                <w:szCs w:val="4"/>
              </w:rPr>
            </w:pPr>
            <w:r>
              <w:rPr>
                <w:sz w:val="4"/>
                <w:szCs w:val="4"/>
              </w:rPr>
            </w:r>
          </w:p>
        </w:tc>
      </w:tr>
      <w:tr>
        <w:trPr/>
        <w:tc>
          <w:tcPr>
            <w:tcW w:w="280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87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Amortized</w:t>
            </w:r>
          </w:p>
        </w:tc>
        <w:tc>
          <w:tcPr>
            <w:tcW w:w="109" w:type="dxa"/>
            <w:tcBorders/>
            <w:shd w:fill="FFFFFF" w:val="clear"/>
            <w:vAlign w:val="center"/>
          </w:tcPr>
          <w:p>
            <w:pPr>
              <w:pStyle w:val="TableContents"/>
              <w:spacing w:before="0" w:after="283"/>
              <w:rPr>
                <w:sz w:val="4"/>
                <w:szCs w:val="4"/>
              </w:rPr>
            </w:pPr>
            <w:r>
              <w:rPr>
                <w:sz w:val="4"/>
                <w:szCs w:val="4"/>
              </w:rPr>
            </w:r>
          </w:p>
        </w:tc>
        <w:tc>
          <w:tcPr>
            <w:tcW w:w="93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Estimated </w:t>
            </w:r>
          </w:p>
        </w:tc>
      </w:tr>
      <w:tr>
        <w:trPr/>
        <w:tc>
          <w:tcPr>
            <w:tcW w:w="280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87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Cost</w:t>
            </w:r>
          </w:p>
        </w:tc>
        <w:tc>
          <w:tcPr>
            <w:tcW w:w="109" w:type="dxa"/>
            <w:tcBorders/>
            <w:shd w:fill="FFFFFF" w:val="clear"/>
            <w:vAlign w:val="center"/>
          </w:tcPr>
          <w:p>
            <w:pPr>
              <w:pStyle w:val="TableContents"/>
              <w:spacing w:before="0" w:after="283"/>
              <w:rPr>
                <w:sz w:val="4"/>
                <w:szCs w:val="4"/>
              </w:rPr>
            </w:pPr>
            <w:r>
              <w:rPr>
                <w:sz w:val="4"/>
                <w:szCs w:val="4"/>
              </w:rPr>
            </w:r>
          </w:p>
        </w:tc>
        <w:tc>
          <w:tcPr>
            <w:tcW w:w="93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Fair Value</w:t>
            </w:r>
          </w:p>
        </w:tc>
      </w:tr>
      <w:tr>
        <w:trPr/>
        <w:tc>
          <w:tcPr>
            <w:tcW w:w="2806" w:type="dxa"/>
            <w:tcBorders/>
            <w:shd w:fill="FFFFFF" w:val="clear"/>
            <w:vAlign w:val="center"/>
          </w:tcPr>
          <w:p>
            <w:pPr>
              <w:pStyle w:val="TableContents"/>
              <w:bidi w:val="0"/>
              <w:spacing w:lineRule="auto" w:line="259" w:before="0" w:after="283"/>
              <w:rPr>
                <w:rFonts w:ascii="Times New Roman;serif" w:hAnsi="Times New Roman;serif"/>
                <w:b w:val="false"/>
                <w:i/>
                <w:sz w:val="16"/>
              </w:rPr>
            </w:pPr>
            <w:r>
              <w:rPr>
                <w:rFonts w:ascii="Times New Roman;serif" w:hAnsi="Times New Roman;serif"/>
                <w:b w:val="false"/>
                <w:i/>
                <w:sz w:val="16"/>
              </w:rPr>
              <w:t>(in thousands)</w:t>
            </w:r>
          </w:p>
        </w:tc>
        <w:tc>
          <w:tcPr>
            <w:tcW w:w="109" w:type="dxa"/>
            <w:tcBorders/>
            <w:shd w:fill="FFFFFF" w:val="cle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930" w:type="dxa"/>
            <w:gridSpan w:val="2"/>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28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Within one year</w:t>
            </w:r>
          </w:p>
        </w:tc>
        <w:tc>
          <w:tcPr>
            <w:tcW w:w="109" w:type="dxa"/>
            <w:tcBorders/>
            <w:shd w:fill="CCEEFF" w:val="clear"/>
            <w:vAlign w:val="center"/>
          </w:tcPr>
          <w:p>
            <w:pPr>
              <w:pStyle w:val="TableContents"/>
              <w:spacing w:before="0" w:after="283"/>
              <w:rPr>
                <w:sz w:val="4"/>
                <w:szCs w:val="4"/>
              </w:rPr>
            </w:pPr>
            <w:r>
              <w:rPr>
                <w:sz w:val="4"/>
                <w:szCs w:val="4"/>
              </w:rPr>
            </w:r>
          </w:p>
        </w:tc>
        <w:tc>
          <w:tcPr>
            <w:tcW w:w="23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147</w:t>
            </w:r>
          </w:p>
        </w:tc>
        <w:tc>
          <w:tcPr>
            <w:tcW w:w="109" w:type="dxa"/>
            <w:tcBorders/>
            <w:shd w:fill="CCEEFF" w:val="clear"/>
            <w:vAlign w:val="center"/>
          </w:tcPr>
          <w:p>
            <w:pPr>
              <w:pStyle w:val="TableContents"/>
              <w:spacing w:before="0" w:after="283"/>
              <w:rPr>
                <w:sz w:val="4"/>
                <w:szCs w:val="4"/>
              </w:rPr>
            </w:pPr>
            <w:r>
              <w:rPr>
                <w:sz w:val="4"/>
                <w:szCs w:val="4"/>
              </w:rPr>
            </w:r>
          </w:p>
        </w:tc>
        <w:tc>
          <w:tcPr>
            <w:tcW w:w="23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9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150</w:t>
            </w:r>
          </w:p>
        </w:tc>
      </w:tr>
      <w:tr>
        <w:trPr/>
        <w:tc>
          <w:tcPr>
            <w:tcW w:w="280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After one year through five years</w:t>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1,004</w:t>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1,022</w:t>
            </w:r>
          </w:p>
        </w:tc>
      </w:tr>
      <w:tr>
        <w:trPr/>
        <w:tc>
          <w:tcPr>
            <w:tcW w:w="28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After five years through ten years</w:t>
            </w:r>
          </w:p>
        </w:tc>
        <w:tc>
          <w:tcPr>
            <w:tcW w:w="109" w:type="dxa"/>
            <w:tcBorders/>
            <w:shd w:fill="CCEEFF" w:val="clear"/>
            <w:vAlign w:val="center"/>
          </w:tcPr>
          <w:p>
            <w:pPr>
              <w:pStyle w:val="TableContents"/>
              <w:spacing w:before="0" w:after="283"/>
              <w:rPr>
                <w:sz w:val="4"/>
                <w:szCs w:val="4"/>
              </w:rPr>
            </w:pPr>
            <w:r>
              <w:rPr>
                <w:sz w:val="4"/>
                <w:szCs w:val="4"/>
              </w:rPr>
            </w:r>
          </w:p>
        </w:tc>
        <w:tc>
          <w:tcPr>
            <w:tcW w:w="235" w:type="dxa"/>
            <w:tcBorders/>
            <w:shd w:fill="CCEEFF" w:val="clear"/>
            <w:vAlign w:val="center"/>
          </w:tcPr>
          <w:p>
            <w:pPr>
              <w:pStyle w:val="TableContents"/>
              <w:spacing w:before="0" w:after="283"/>
              <w:rPr>
                <w:sz w:val="4"/>
                <w:szCs w:val="4"/>
              </w:rPr>
            </w:pPr>
            <w:r>
              <w:rPr>
                <w:sz w:val="4"/>
                <w:szCs w:val="4"/>
              </w:rPr>
            </w:r>
          </w:p>
        </w:tc>
        <w:tc>
          <w:tcPr>
            <w:tcW w:w="6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1,563</w:t>
            </w:r>
          </w:p>
        </w:tc>
        <w:tc>
          <w:tcPr>
            <w:tcW w:w="109" w:type="dxa"/>
            <w:tcBorders/>
            <w:shd w:fill="CCEEFF" w:val="clear"/>
            <w:vAlign w:val="center"/>
          </w:tcPr>
          <w:p>
            <w:pPr>
              <w:pStyle w:val="TableContents"/>
              <w:spacing w:before="0" w:after="283"/>
              <w:rPr>
                <w:sz w:val="4"/>
                <w:szCs w:val="4"/>
              </w:rPr>
            </w:pPr>
            <w:r>
              <w:rPr>
                <w:sz w:val="4"/>
                <w:szCs w:val="4"/>
              </w:rPr>
            </w:r>
          </w:p>
        </w:tc>
        <w:tc>
          <w:tcPr>
            <w:tcW w:w="237" w:type="dxa"/>
            <w:tcBorders/>
            <w:shd w:fill="CCEEFF" w:val="clear"/>
            <w:vAlign w:val="center"/>
          </w:tcPr>
          <w:p>
            <w:pPr>
              <w:pStyle w:val="TableContents"/>
              <w:spacing w:before="0" w:after="283"/>
              <w:rPr>
                <w:sz w:val="4"/>
                <w:szCs w:val="4"/>
              </w:rPr>
            </w:pPr>
            <w:r>
              <w:rPr>
                <w:sz w:val="4"/>
                <w:szCs w:val="4"/>
              </w:rPr>
            </w:r>
          </w:p>
        </w:tc>
        <w:tc>
          <w:tcPr>
            <w:tcW w:w="69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1,581</w:t>
            </w:r>
          </w:p>
        </w:tc>
      </w:tr>
      <w:tr>
        <w:trPr/>
        <w:tc>
          <w:tcPr>
            <w:tcW w:w="280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After ten years</w:t>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36"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3,333</w:t>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93"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3,358</w:t>
            </w:r>
          </w:p>
        </w:tc>
      </w:tr>
      <w:tr>
        <w:trPr/>
        <w:tc>
          <w:tcPr>
            <w:tcW w:w="28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w:t>
            </w:r>
          </w:p>
        </w:tc>
        <w:tc>
          <w:tcPr>
            <w:tcW w:w="109" w:type="dxa"/>
            <w:tcBorders/>
            <w:shd w:fill="CCEEFF" w:val="clear"/>
            <w:vAlign w:val="center"/>
          </w:tcPr>
          <w:p>
            <w:pPr>
              <w:pStyle w:val="TableContents"/>
              <w:spacing w:before="0" w:after="283"/>
              <w:rPr>
                <w:sz w:val="4"/>
                <w:szCs w:val="4"/>
              </w:rPr>
            </w:pPr>
            <w:r>
              <w:rPr>
                <w:sz w:val="4"/>
                <w:szCs w:val="4"/>
              </w:rPr>
            </w:r>
          </w:p>
        </w:tc>
        <w:tc>
          <w:tcPr>
            <w:tcW w:w="23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3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6,047</w:t>
            </w:r>
          </w:p>
        </w:tc>
        <w:tc>
          <w:tcPr>
            <w:tcW w:w="109" w:type="dxa"/>
            <w:tcBorders/>
            <w:shd w:fill="CCEEFF" w:val="clear"/>
            <w:vAlign w:val="center"/>
          </w:tcPr>
          <w:p>
            <w:pPr>
              <w:pStyle w:val="TableContents"/>
              <w:spacing w:before="0" w:after="283"/>
              <w:rPr>
                <w:sz w:val="4"/>
                <w:szCs w:val="4"/>
              </w:rPr>
            </w:pPr>
            <w:r>
              <w:rPr>
                <w:sz w:val="4"/>
                <w:szCs w:val="4"/>
              </w:rPr>
            </w:r>
          </w:p>
        </w:tc>
        <w:tc>
          <w:tcPr>
            <w:tcW w:w="23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9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6,111</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carrying values and fair values of other financial instruments in the Consolidated Balance Sheets are as follows:</w:t>
      </w:r>
    </w:p>
    <w:tbl>
      <w:tblPr>
        <w:tblW w:w="10060" w:type="dxa"/>
        <w:jc w:val="left"/>
        <w:tblInd w:w="0" w:type="dxa"/>
        <w:tblCellMar>
          <w:top w:w="0" w:type="dxa"/>
          <w:left w:w="0" w:type="dxa"/>
          <w:bottom w:w="0" w:type="dxa"/>
          <w:right w:w="0" w:type="dxa"/>
        </w:tblCellMar>
      </w:tblPr>
      <w:tblGrid>
        <w:gridCol w:w="4141"/>
        <w:gridCol w:w="109"/>
        <w:gridCol w:w="211"/>
        <w:gridCol w:w="1411"/>
        <w:gridCol w:w="109"/>
        <w:gridCol w:w="211"/>
        <w:gridCol w:w="886"/>
        <w:gridCol w:w="109"/>
        <w:gridCol w:w="211"/>
        <w:gridCol w:w="1411"/>
        <w:gridCol w:w="109"/>
        <w:gridCol w:w="211"/>
        <w:gridCol w:w="931"/>
      </w:tblGrid>
      <w:tr>
        <w:trPr/>
        <w:tc>
          <w:tcPr>
            <w:tcW w:w="414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141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8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141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931" w:type="dxa"/>
            <w:tcBorders/>
            <w:shd w:fill="FFFFFF" w:val="clear"/>
            <w:vAlign w:val="center"/>
          </w:tcPr>
          <w:p>
            <w:pPr>
              <w:pStyle w:val="TableContents"/>
              <w:spacing w:before="0" w:after="283"/>
              <w:rPr>
                <w:sz w:val="4"/>
                <w:szCs w:val="4"/>
              </w:rPr>
            </w:pPr>
            <w:r>
              <w:rPr>
                <w:sz w:val="4"/>
                <w:szCs w:val="4"/>
              </w:rPr>
            </w:r>
          </w:p>
        </w:tc>
      </w:tr>
      <w:tr>
        <w:trPr/>
        <w:tc>
          <w:tcPr>
            <w:tcW w:w="414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828"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January 31, 2021</w:t>
            </w:r>
          </w:p>
        </w:tc>
        <w:tc>
          <w:tcPr>
            <w:tcW w:w="109" w:type="dxa"/>
            <w:tcBorders/>
            <w:shd w:fill="FFFFFF" w:val="clear"/>
            <w:vAlign w:val="center"/>
          </w:tcPr>
          <w:p>
            <w:pPr>
              <w:pStyle w:val="TableContents"/>
              <w:spacing w:before="0" w:after="283"/>
              <w:rPr>
                <w:sz w:val="4"/>
                <w:szCs w:val="4"/>
              </w:rPr>
            </w:pPr>
            <w:r>
              <w:rPr>
                <w:sz w:val="4"/>
                <w:szCs w:val="4"/>
              </w:rPr>
            </w:r>
          </w:p>
        </w:tc>
        <w:tc>
          <w:tcPr>
            <w:tcW w:w="2873"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February 2, 2020</w:t>
            </w:r>
          </w:p>
        </w:tc>
      </w:tr>
      <w:tr>
        <w:trPr/>
        <w:tc>
          <w:tcPr>
            <w:tcW w:w="4141" w:type="dxa"/>
            <w:tcBorders/>
            <w:shd w:fill="FFFFFF" w:val="clear"/>
            <w:vAlign w:val="center"/>
          </w:tcPr>
          <w:p>
            <w:pPr>
              <w:pStyle w:val="TableContents"/>
              <w:bidi w:val="0"/>
              <w:spacing w:lineRule="auto" w:line="259" w:before="0" w:after="283"/>
              <w:rPr>
                <w:rFonts w:ascii="Times New Roman;serif" w:hAnsi="Times New Roman;serif"/>
                <w:b w:val="false"/>
                <w:i/>
                <w:sz w:val="16"/>
              </w:rPr>
            </w:pPr>
            <w:r>
              <w:rPr>
                <w:rFonts w:ascii="Times New Roman;serif" w:hAnsi="Times New Roman;serif"/>
                <w:b w:val="false"/>
                <w:i/>
                <w:sz w:val="16"/>
              </w:rPr>
              <w:t>(in thousands)</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28" w:type="dxa"/>
              <w:bottom w:w="28" w:type="dxa"/>
            </w:tcMar>
            <w:vAlign w:val="center"/>
          </w:tcPr>
          <w:p>
            <w:pPr>
              <w:pStyle w:val="TableContents"/>
              <w:spacing w:before="0" w:after="283"/>
              <w:rPr>
                <w:sz w:val="4"/>
                <w:szCs w:val="4"/>
              </w:rPr>
            </w:pPr>
            <w:r>
              <w:rPr>
                <w:sz w:val="4"/>
                <w:szCs w:val="4"/>
              </w:rPr>
            </w:r>
          </w:p>
        </w:tc>
        <w:tc>
          <w:tcPr>
            <w:tcW w:w="141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Carrying Amount</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28" w:type="dxa"/>
              <w:bottom w:w="28" w:type="dxa"/>
            </w:tcMar>
            <w:vAlign w:val="center"/>
          </w:tcPr>
          <w:p>
            <w:pPr>
              <w:pStyle w:val="TableContents"/>
              <w:spacing w:before="0" w:after="283"/>
              <w:rPr>
                <w:sz w:val="4"/>
                <w:szCs w:val="4"/>
              </w:rPr>
            </w:pPr>
            <w:r>
              <w:rPr>
                <w:sz w:val="4"/>
                <w:szCs w:val="4"/>
              </w:rPr>
            </w:r>
          </w:p>
        </w:tc>
        <w:tc>
          <w:tcPr>
            <w:tcW w:w="88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Fair Value</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28" w:type="dxa"/>
              <w:bottom w:w="28" w:type="dxa"/>
            </w:tcMar>
            <w:vAlign w:val="center"/>
          </w:tcPr>
          <w:p>
            <w:pPr>
              <w:pStyle w:val="TableContents"/>
              <w:spacing w:before="0" w:after="283"/>
              <w:rPr>
                <w:sz w:val="4"/>
                <w:szCs w:val="4"/>
              </w:rPr>
            </w:pPr>
            <w:r>
              <w:rPr>
                <w:sz w:val="4"/>
                <w:szCs w:val="4"/>
              </w:rPr>
            </w:r>
          </w:p>
        </w:tc>
        <w:tc>
          <w:tcPr>
            <w:tcW w:w="141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Carrying Amount</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28" w:type="dxa"/>
              <w:bottom w:w="28" w:type="dxa"/>
            </w:tcMar>
            <w:vAlign w:val="center"/>
          </w:tcPr>
          <w:p>
            <w:pPr>
              <w:pStyle w:val="TableContents"/>
              <w:spacing w:before="0" w:after="283"/>
              <w:rPr>
                <w:sz w:val="4"/>
                <w:szCs w:val="4"/>
              </w:rPr>
            </w:pPr>
            <w:r>
              <w:rPr>
                <w:sz w:val="4"/>
                <w:szCs w:val="4"/>
              </w:rPr>
            </w:r>
          </w:p>
        </w:tc>
        <w:tc>
          <w:tcPr>
            <w:tcW w:w="93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Fair Value</w:t>
            </w:r>
          </w:p>
        </w:tc>
      </w:tr>
      <w:tr>
        <w:trPr/>
        <w:tc>
          <w:tcPr>
            <w:tcW w:w="41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TRI Long-term debt, including short-term portion</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27,852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8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28,697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28,335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30,238</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The above long-term debt, including short-term portion is attributable to the consolidation of TRI in accordance with ASC Topic 810, </w:t>
      </w:r>
      <w:r>
        <w:rPr>
          <w:rFonts w:ascii="Times New Roman;serif" w:hAnsi="Times New Roman;serif"/>
          <w:b w:val="false"/>
          <w:i/>
          <w:sz w:val="20"/>
        </w:rPr>
        <w:t>Consolidation</w:t>
      </w:r>
      <w:r>
        <w:rPr>
          <w:rFonts w:ascii="Times New Roman;serif" w:hAnsi="Times New Roman;serif"/>
          <w:b w:val="false"/>
          <w:i w:val="false"/>
          <w:caps w:val="false"/>
          <w:smallCaps w:val="false"/>
          <w:sz w:val="20"/>
        </w:rPr>
        <w:t>. The fair value was also based on a discounted cash flow method (Level 3) based on credit information and an estimate of future cash flows.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January 31, 2021, and February 2, 2020, the carrying values of the long-term delayed draw term loan and long-term line of credit both approximated its fair value.</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55</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DULUTH HOLDINGS INC.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w:t>
      </w:r>
    </w:p>
    <w:p>
      <w:pPr>
        <w:pStyle w:val="TextBody"/>
        <w:bidi w:val="0"/>
        <w:spacing w:lineRule="auto" w:line="259"/>
        <w:rPr>
          <w:rFonts w:ascii="Times New Roman;serif" w:hAnsi="Times New Roman;serif"/>
          <w:b/>
          <w:i/>
          <w:sz w:val="20"/>
        </w:rPr>
      </w:pPr>
      <w:r>
        <w:rPr>
          <w:rFonts w:ascii="Times New Roman;serif" w:hAnsi="Times New Roman;serif"/>
          <w:b/>
          <w:i/>
          <w:sz w:val="20"/>
        </w:rPr>
        <w:t>Reclassifications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Certain reclassifications have been made to the 2019 financial statements in order to conform to the 2020 presentation. There were no changes to previously reported shareholders&amp;apos; equity or net income as a result of the reclassifications.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  LEASES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Based on the criteria set forth in ASC Topic 842, </w:t>
      </w:r>
      <w:r>
        <w:rPr>
          <w:rFonts w:ascii="Times New Roman;serif" w:hAnsi="Times New Roman;serif"/>
          <w:b w:val="false"/>
          <w:i/>
          <w:sz w:val="20"/>
        </w:rPr>
        <w:t xml:space="preserve">Leases </w:t>
      </w:r>
      <w:r>
        <w:rPr>
          <w:rFonts w:ascii="Times New Roman;serif" w:hAnsi="Times New Roman;serif"/>
          <w:b w:val="false"/>
          <w:i w:val="false"/>
          <w:caps w:val="false"/>
          <w:smallCaps w:val="false"/>
          <w:sz w:val="20"/>
        </w:rPr>
        <w:t>(“ASC 842”), the Company recognizes ROU assets and lease liabilities related to leases on the Company’s Consolidated Balance Sheets. The Company determines if an arrangement is, or contains, a lease at inception. ROU assets represent the right to use an underlying asset for the lease term and lease liabilities reflect the obligation to make lease payments arising from the lease. At any given time during the lease term, the lease liability represents the present value of the remaining lease payments and the ROU asset is measured at the amount of the lease liability, adjusted for pre-paid rent, unamortized initial direct costs and the remaining balance of lease incentives received. Both the lease ROU asset and liability are reduced to zero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at the end of the lease.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leases retail space under non-cancelable lease agreements, which expire on various dates through 2036. Substantially all of these arrangements are store leases. Store leases generally have initial lease terms ranging from five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fifteen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with renewal options and rent escalation provisions. At the commencement of a lease, the Company includes only the initial lease term as the option to extend is not reasonably certain. The Company does not record leases with a lease term of 12 months or less on the Company’s Consolidated Balance Sheets.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When calculating the lease liability on a discounted basis, the Company applies its estimated discount rate. The Company bases this discount rate on a collateralized interest rate as well as publicly available data for instruments with similar characteristics.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addition to rent payments, leases for retail space contain payments for real estate taxes, insurance costs, common area maintenance, and utilities that are not fixed. The Company accounts for these costs as variable payments and does not include such costs as a lease component.</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Due to the adverse impacts of COVID-19, the Company has negotiated rent deferral and payback periods with a number of the Company’s store landlords for the months of April and May 2020. Based on the guidance set forth in the Financial Accounting Standards Board (“FASB”) issued Staff Q&amp;A “Topic 842 and Topic 840: Accounting for Lease Concessions Related to the Effects of the COVID-19 Pandemic” the Company has accounted for these deferrals as if no changes to the lease contract were made and will not elect to apply the lease modification guidance under ASC 842. As of January 31, 2021 the Company has deferred rent of approximately $0.8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which was recorded within accrued expenses and other current liabilities and will be paid in accordance with the concession arrangements.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expense components of the Company’s leases reflected on the Company’s Consolidated Statement of Operations were as follows:</w:t>
      </w:r>
    </w:p>
    <w:tbl>
      <w:tblPr>
        <w:tblW w:w="9914" w:type="dxa"/>
        <w:jc w:val="left"/>
        <w:tblInd w:w="0" w:type="dxa"/>
        <w:tblCellMar>
          <w:top w:w="0" w:type="dxa"/>
          <w:left w:w="0" w:type="dxa"/>
          <w:bottom w:w="0" w:type="dxa"/>
          <w:right w:w="0" w:type="dxa"/>
        </w:tblCellMar>
      </w:tblPr>
      <w:tblGrid>
        <w:gridCol w:w="3046"/>
        <w:gridCol w:w="109"/>
        <w:gridCol w:w="3721"/>
        <w:gridCol w:w="109"/>
        <w:gridCol w:w="332"/>
        <w:gridCol w:w="1063"/>
        <w:gridCol w:w="109"/>
        <w:gridCol w:w="322"/>
        <w:gridCol w:w="1103"/>
      </w:tblGrid>
      <w:tr>
        <w:trPr/>
        <w:tc>
          <w:tcPr>
            <w:tcW w:w="30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72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32" w:type="dxa"/>
            <w:tcBorders/>
            <w:shd w:fill="FFFFFF" w:val="clear"/>
            <w:vAlign w:val="center"/>
          </w:tcPr>
          <w:p>
            <w:pPr>
              <w:pStyle w:val="TableContents"/>
              <w:spacing w:before="0" w:after="283"/>
              <w:rPr>
                <w:sz w:val="4"/>
                <w:szCs w:val="4"/>
              </w:rPr>
            </w:pPr>
            <w:r>
              <w:rPr>
                <w:sz w:val="4"/>
                <w:szCs w:val="4"/>
              </w:rPr>
            </w:r>
          </w:p>
        </w:tc>
        <w:tc>
          <w:tcPr>
            <w:tcW w:w="106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22" w:type="dxa"/>
            <w:tcBorders/>
            <w:shd w:fill="FFFFFF" w:val="clear"/>
            <w:vAlign w:val="center"/>
          </w:tcPr>
          <w:p>
            <w:pPr>
              <w:pStyle w:val="TableContents"/>
              <w:spacing w:before="0" w:after="283"/>
              <w:rPr>
                <w:sz w:val="4"/>
                <w:szCs w:val="4"/>
              </w:rPr>
            </w:pPr>
            <w:r>
              <w:rPr>
                <w:sz w:val="4"/>
                <w:szCs w:val="4"/>
              </w:rPr>
            </w:r>
          </w:p>
        </w:tc>
        <w:tc>
          <w:tcPr>
            <w:tcW w:w="1103" w:type="dxa"/>
            <w:tcBorders/>
            <w:shd w:fill="FFFFFF" w:val="clear"/>
            <w:vAlign w:val="center"/>
          </w:tcPr>
          <w:p>
            <w:pPr>
              <w:pStyle w:val="TableContents"/>
              <w:spacing w:before="0" w:after="283"/>
              <w:rPr>
                <w:sz w:val="4"/>
                <w:szCs w:val="4"/>
              </w:rPr>
            </w:pPr>
            <w:r>
              <w:rPr>
                <w:sz w:val="4"/>
                <w:szCs w:val="4"/>
              </w:rPr>
            </w:r>
          </w:p>
        </w:tc>
      </w:tr>
      <w:tr>
        <w:trPr/>
        <w:tc>
          <w:tcPr>
            <w:tcW w:w="30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721"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Consolidated Statement of Operations</w:t>
            </w:r>
          </w:p>
        </w:tc>
        <w:tc>
          <w:tcPr>
            <w:tcW w:w="109" w:type="dxa"/>
            <w:tcBorders/>
            <w:shd w:fill="FFFFFF" w:val="clear"/>
            <w:vAlign w:val="center"/>
          </w:tcPr>
          <w:p>
            <w:pPr>
              <w:pStyle w:val="TableContents"/>
              <w:spacing w:before="0" w:after="283"/>
              <w:rPr>
                <w:sz w:val="4"/>
                <w:szCs w:val="4"/>
              </w:rPr>
            </w:pPr>
            <w:r>
              <w:rPr>
                <w:sz w:val="4"/>
                <w:szCs w:val="4"/>
              </w:rPr>
            </w:r>
          </w:p>
        </w:tc>
        <w:tc>
          <w:tcPr>
            <w:tcW w:w="139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January 31, 2021</w:t>
            </w:r>
          </w:p>
        </w:tc>
        <w:tc>
          <w:tcPr>
            <w:tcW w:w="109" w:type="dxa"/>
            <w:tcBorders/>
            <w:shd w:fill="FFFFFF" w:val="clear"/>
            <w:vAlign w:val="center"/>
          </w:tcPr>
          <w:p>
            <w:pPr>
              <w:pStyle w:val="TableContents"/>
              <w:spacing w:before="0" w:after="283"/>
              <w:rPr>
                <w:sz w:val="4"/>
                <w:szCs w:val="4"/>
              </w:rPr>
            </w:pPr>
            <w:r>
              <w:rPr>
                <w:sz w:val="4"/>
                <w:szCs w:val="4"/>
              </w:rPr>
            </w:r>
          </w:p>
        </w:tc>
        <w:tc>
          <w:tcPr>
            <w:tcW w:w="142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February 2, 2020</w:t>
            </w:r>
          </w:p>
        </w:tc>
      </w:tr>
      <w:tr>
        <w:trPr/>
        <w:tc>
          <w:tcPr>
            <w:tcW w:w="3046" w:type="dxa"/>
            <w:tcBorders/>
            <w:shd w:fill="FFFFFF" w:val="clear"/>
            <w:vAlign w:val="center"/>
          </w:tcPr>
          <w:p>
            <w:pPr>
              <w:pStyle w:val="TableContents"/>
              <w:bidi w:val="0"/>
              <w:spacing w:lineRule="auto" w:line="259" w:before="0" w:after="283"/>
              <w:rPr>
                <w:rFonts w:ascii="Times New Roman;serif" w:hAnsi="Times New Roman;serif"/>
                <w:b w:val="false"/>
                <w:i/>
                <w:sz w:val="16"/>
              </w:rPr>
            </w:pPr>
            <w:r>
              <w:rPr>
                <w:rFonts w:ascii="Times New Roman;serif" w:hAnsi="Times New Roman;serif"/>
                <w:b w:val="false"/>
                <w:i/>
                <w:sz w:val="16"/>
              </w:rPr>
              <w:t>(in thousands)</w:t>
            </w:r>
          </w:p>
        </w:tc>
        <w:tc>
          <w:tcPr>
            <w:tcW w:w="109" w:type="dxa"/>
            <w:tcBorders/>
            <w:shd w:fill="FFFFFF" w:val="clear"/>
            <w:vAlign w:val="center"/>
          </w:tcPr>
          <w:p>
            <w:pPr>
              <w:pStyle w:val="TableContents"/>
              <w:spacing w:before="0" w:after="283"/>
              <w:rPr>
                <w:sz w:val="4"/>
                <w:szCs w:val="4"/>
              </w:rPr>
            </w:pPr>
            <w:r>
              <w:rPr>
                <w:sz w:val="4"/>
                <w:szCs w:val="4"/>
              </w:rPr>
            </w:r>
          </w:p>
        </w:tc>
        <w:tc>
          <w:tcPr>
            <w:tcW w:w="372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32"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63"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22"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03"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30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Finance lease</w:t>
            </w:r>
          </w:p>
        </w:tc>
        <w:tc>
          <w:tcPr>
            <w:tcW w:w="109" w:type="dxa"/>
            <w:tcBorders/>
            <w:shd w:fill="CCEEFF" w:val="clear"/>
            <w:vAlign w:val="center"/>
          </w:tcPr>
          <w:p>
            <w:pPr>
              <w:pStyle w:val="TableContents"/>
              <w:spacing w:before="0" w:after="283"/>
              <w:rPr>
                <w:sz w:val="4"/>
                <w:szCs w:val="4"/>
              </w:rPr>
            </w:pPr>
            <w:r>
              <w:rPr>
                <w:sz w:val="4"/>
                <w:szCs w:val="4"/>
              </w:rPr>
            </w:r>
          </w:p>
        </w:tc>
        <w:tc>
          <w:tcPr>
            <w:tcW w:w="372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332" w:type="dxa"/>
            <w:tcBorders/>
            <w:shd w:fill="CCEEFF" w:val="clear"/>
            <w:vAlign w:val="center"/>
          </w:tcPr>
          <w:p>
            <w:pPr>
              <w:pStyle w:val="TableContents"/>
              <w:spacing w:before="0" w:after="283"/>
              <w:rPr>
                <w:sz w:val="4"/>
                <w:szCs w:val="4"/>
              </w:rPr>
            </w:pPr>
            <w:r>
              <w:rPr>
                <w:sz w:val="4"/>
                <w:szCs w:val="4"/>
              </w:rPr>
            </w:r>
          </w:p>
        </w:tc>
        <w:tc>
          <w:tcPr>
            <w:tcW w:w="1063"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shd w:fill="CCEEFF" w:val="clear"/>
            <w:vAlign w:val="center"/>
          </w:tcPr>
          <w:p>
            <w:pPr>
              <w:pStyle w:val="TableContents"/>
              <w:spacing w:before="0" w:after="283"/>
              <w:rPr>
                <w:sz w:val="4"/>
                <w:szCs w:val="4"/>
              </w:rPr>
            </w:pPr>
            <w:r>
              <w:rPr>
                <w:sz w:val="4"/>
                <w:szCs w:val="4"/>
              </w:rPr>
            </w:r>
          </w:p>
        </w:tc>
        <w:tc>
          <w:tcPr>
            <w:tcW w:w="1103" w:type="dxa"/>
            <w:tcBorders/>
            <w:shd w:fill="CCEEFF" w:val="clear"/>
            <w:vAlign w:val="center"/>
          </w:tcPr>
          <w:p>
            <w:pPr>
              <w:pStyle w:val="TableContents"/>
              <w:spacing w:before="0" w:after="283"/>
              <w:rPr>
                <w:sz w:val="4"/>
                <w:szCs w:val="4"/>
              </w:rPr>
            </w:pPr>
            <w:r>
              <w:rPr>
                <w:sz w:val="4"/>
                <w:szCs w:val="4"/>
              </w:rPr>
            </w:r>
          </w:p>
        </w:tc>
      </w:tr>
      <w:tr>
        <w:trPr/>
        <w:tc>
          <w:tcPr>
            <w:tcW w:w="3046" w:type="dxa"/>
            <w:tcBorders/>
            <w:shd w:fill="auto"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Amortization of right-of-use</w:t>
              <w:br/>
              <w: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assets</w:t>
            </w:r>
          </w:p>
        </w:tc>
        <w:tc>
          <w:tcPr>
            <w:tcW w:w="109" w:type="dxa"/>
            <w:tcBorders/>
            <w:shd w:fill="auto" w:val="clear"/>
            <w:vAlign w:val="center"/>
          </w:tcPr>
          <w:p>
            <w:pPr>
              <w:pStyle w:val="TableContents"/>
              <w:spacing w:before="0" w:after="283"/>
              <w:rPr>
                <w:sz w:val="4"/>
                <w:szCs w:val="4"/>
              </w:rPr>
            </w:pPr>
            <w:r>
              <w:rPr>
                <w:sz w:val="4"/>
                <w:szCs w:val="4"/>
              </w:rPr>
            </w:r>
          </w:p>
        </w:tc>
        <w:tc>
          <w:tcPr>
            <w:tcW w:w="372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Selling, general and administrative expenses</w:t>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2,929</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1,362</w:t>
            </w:r>
          </w:p>
        </w:tc>
      </w:tr>
      <w:tr>
        <w:trPr/>
        <w:tc>
          <w:tcPr>
            <w:tcW w:w="30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on lease liabilities</w:t>
            </w:r>
          </w:p>
        </w:tc>
        <w:tc>
          <w:tcPr>
            <w:tcW w:w="109" w:type="dxa"/>
            <w:tcBorders/>
            <w:shd w:fill="CCEEFF" w:val="clear"/>
            <w:vAlign w:val="center"/>
          </w:tcPr>
          <w:p>
            <w:pPr>
              <w:pStyle w:val="TableContents"/>
              <w:spacing w:before="0" w:after="283"/>
              <w:rPr>
                <w:sz w:val="4"/>
                <w:szCs w:val="4"/>
              </w:rPr>
            </w:pPr>
            <w:r>
              <w:rPr>
                <w:sz w:val="4"/>
                <w:szCs w:val="4"/>
              </w:rPr>
            </w:r>
          </w:p>
        </w:tc>
        <w:tc>
          <w:tcPr>
            <w:tcW w:w="3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expense</w:t>
            </w:r>
          </w:p>
        </w:tc>
        <w:tc>
          <w:tcPr>
            <w:tcW w:w="109" w:type="dxa"/>
            <w:tcBorders/>
            <w:shd w:fill="CCEEFF" w:val="clear"/>
            <w:vAlign w:val="center"/>
          </w:tcPr>
          <w:p>
            <w:pPr>
              <w:pStyle w:val="TableContents"/>
              <w:spacing w:before="0" w:after="283"/>
              <w:rPr>
                <w:sz w:val="4"/>
                <w:szCs w:val="4"/>
              </w:rPr>
            </w:pPr>
            <w:r>
              <w:rPr>
                <w:sz w:val="4"/>
                <w:szCs w:val="4"/>
              </w:rPr>
            </w:r>
          </w:p>
        </w:tc>
        <w:tc>
          <w:tcPr>
            <w:tcW w:w="332"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6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1,858</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10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1,230</w:t>
            </w:r>
          </w:p>
        </w:tc>
      </w:tr>
      <w:tr>
        <w:trPr/>
        <w:tc>
          <w:tcPr>
            <w:tcW w:w="304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finance lease expense</w:t>
            </w:r>
          </w:p>
        </w:tc>
        <w:tc>
          <w:tcPr>
            <w:tcW w:w="109" w:type="dxa"/>
            <w:tcBorders/>
            <w:shd w:fill="auto" w:val="clear"/>
            <w:vAlign w:val="center"/>
          </w:tcPr>
          <w:p>
            <w:pPr>
              <w:pStyle w:val="TableContents"/>
              <w:spacing w:before="0" w:after="283"/>
              <w:rPr>
                <w:sz w:val="4"/>
                <w:szCs w:val="4"/>
              </w:rPr>
            </w:pPr>
            <w:r>
              <w:rPr>
                <w:sz w:val="4"/>
                <w:szCs w:val="4"/>
              </w:rPr>
            </w:r>
          </w:p>
        </w:tc>
        <w:tc>
          <w:tcPr>
            <w:tcW w:w="3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top w:val="single" w:sz="8"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3" w:type="dxa"/>
            <w:tcBorders>
              <w:top w:val="single" w:sz="8"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4,787</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top w:val="single" w:sz="8"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3" w:type="dxa"/>
            <w:tcBorders>
              <w:top w:val="single" w:sz="8"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2,592</w:t>
            </w:r>
          </w:p>
        </w:tc>
      </w:tr>
      <w:tr>
        <w:trPr/>
        <w:tc>
          <w:tcPr>
            <w:tcW w:w="30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expense</w:t>
            </w:r>
          </w:p>
        </w:tc>
        <w:tc>
          <w:tcPr>
            <w:tcW w:w="109" w:type="dxa"/>
            <w:tcBorders/>
            <w:shd w:fill="CCEEFF" w:val="clear"/>
            <w:vAlign w:val="center"/>
          </w:tcPr>
          <w:p>
            <w:pPr>
              <w:pStyle w:val="TableContents"/>
              <w:spacing w:before="0" w:after="283"/>
              <w:rPr>
                <w:sz w:val="4"/>
                <w:szCs w:val="4"/>
              </w:rPr>
            </w:pPr>
            <w:r>
              <w:rPr>
                <w:sz w:val="4"/>
                <w:szCs w:val="4"/>
              </w:rPr>
            </w:r>
          </w:p>
        </w:tc>
        <w:tc>
          <w:tcPr>
            <w:tcW w:w="3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Selling, general and administrative expenses</w:t>
            </w:r>
          </w:p>
        </w:tc>
        <w:tc>
          <w:tcPr>
            <w:tcW w:w="109" w:type="dxa"/>
            <w:tcBorders/>
            <w:shd w:fill="CCEEFF" w:val="clear"/>
            <w:vAlign w:val="center"/>
          </w:tcPr>
          <w:p>
            <w:pPr>
              <w:pStyle w:val="TableContents"/>
              <w:spacing w:before="0" w:after="283"/>
              <w:rPr>
                <w:sz w:val="4"/>
                <w:szCs w:val="4"/>
              </w:rPr>
            </w:pPr>
            <w:r>
              <w:rPr>
                <w:sz w:val="4"/>
                <w:szCs w:val="4"/>
              </w:rPr>
            </w:r>
          </w:p>
        </w:tc>
        <w:tc>
          <w:tcPr>
            <w:tcW w:w="33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16,141</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15,636</w:t>
            </w:r>
          </w:p>
        </w:tc>
      </w:tr>
      <w:tr>
        <w:trPr/>
        <w:tc>
          <w:tcPr>
            <w:tcW w:w="3046" w:type="dxa"/>
            <w:tcBorders/>
            <w:shd w:fill="auto" w:val="clear"/>
            <w:vAlign w:val="center"/>
          </w:tcPr>
          <w:p>
            <w:pPr>
              <w:pStyle w:val="TableContents"/>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Amortization of build-to-suit leases </w:t>
            </w:r>
          </w:p>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capital contribution</w:t>
            </w:r>
          </w:p>
        </w:tc>
        <w:tc>
          <w:tcPr>
            <w:tcW w:w="109" w:type="dxa"/>
            <w:tcBorders/>
            <w:shd w:fill="auto" w:val="clear"/>
            <w:vAlign w:val="center"/>
          </w:tcPr>
          <w:p>
            <w:pPr>
              <w:pStyle w:val="TableContents"/>
              <w:spacing w:before="0" w:after="283"/>
              <w:rPr>
                <w:sz w:val="4"/>
                <w:szCs w:val="4"/>
              </w:rPr>
            </w:pPr>
            <w:r>
              <w:rPr>
                <w:sz w:val="4"/>
                <w:szCs w:val="4"/>
              </w:rPr>
            </w:r>
          </w:p>
        </w:tc>
        <w:tc>
          <w:tcPr>
            <w:tcW w:w="372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Selling, general and administrative expenses</w:t>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1,309</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1,129</w:t>
            </w:r>
          </w:p>
        </w:tc>
      </w:tr>
      <w:tr>
        <w:trPr/>
        <w:tc>
          <w:tcPr>
            <w:tcW w:w="30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Variable lease expense</w:t>
            </w:r>
          </w:p>
        </w:tc>
        <w:tc>
          <w:tcPr>
            <w:tcW w:w="109" w:type="dxa"/>
            <w:tcBorders/>
            <w:shd w:fill="CCEEFF" w:val="clear"/>
            <w:vAlign w:val="center"/>
          </w:tcPr>
          <w:p>
            <w:pPr>
              <w:pStyle w:val="TableContents"/>
              <w:spacing w:before="0" w:after="283"/>
              <w:rPr>
                <w:sz w:val="4"/>
                <w:szCs w:val="4"/>
              </w:rPr>
            </w:pPr>
            <w:r>
              <w:rPr>
                <w:sz w:val="4"/>
                <w:szCs w:val="4"/>
              </w:rPr>
            </w:r>
          </w:p>
        </w:tc>
        <w:tc>
          <w:tcPr>
            <w:tcW w:w="3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Selling, general and administrative expenses</w:t>
            </w:r>
          </w:p>
        </w:tc>
        <w:tc>
          <w:tcPr>
            <w:tcW w:w="109" w:type="dxa"/>
            <w:tcBorders/>
            <w:shd w:fill="CCEEFF" w:val="clear"/>
            <w:vAlign w:val="center"/>
          </w:tcPr>
          <w:p>
            <w:pPr>
              <w:pStyle w:val="TableContents"/>
              <w:spacing w:before="0" w:after="283"/>
              <w:rPr>
                <w:sz w:val="4"/>
                <w:szCs w:val="4"/>
              </w:rPr>
            </w:pPr>
            <w:r>
              <w:rPr>
                <w:sz w:val="4"/>
                <w:szCs w:val="4"/>
              </w:rPr>
            </w:r>
          </w:p>
        </w:tc>
        <w:tc>
          <w:tcPr>
            <w:tcW w:w="332"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6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9,453</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10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7,347</w:t>
            </w:r>
          </w:p>
        </w:tc>
      </w:tr>
      <w:tr>
        <w:trPr/>
        <w:tc>
          <w:tcPr>
            <w:tcW w:w="304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lease expense</w:t>
            </w:r>
          </w:p>
        </w:tc>
        <w:tc>
          <w:tcPr>
            <w:tcW w:w="109" w:type="dxa"/>
            <w:tcBorders/>
            <w:shd w:fill="auto" w:val="clear"/>
            <w:vAlign w:val="center"/>
          </w:tcPr>
          <w:p>
            <w:pPr>
              <w:pStyle w:val="TableContents"/>
              <w:spacing w:before="0" w:after="283"/>
              <w:rPr>
                <w:sz w:val="4"/>
                <w:szCs w:val="4"/>
              </w:rPr>
            </w:pPr>
            <w:r>
              <w:rPr>
                <w:sz w:val="4"/>
                <w:szCs w:val="4"/>
              </w:rPr>
            </w:r>
          </w:p>
        </w:tc>
        <w:tc>
          <w:tcPr>
            <w:tcW w:w="3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3"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31,690</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3"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26,704</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br/>
        <w:t>‎</w:t>
      </w:r>
      <w:r>
        <w:rPr>
          <w:rFonts w:ascii="Times New Roman;serif" w:hAnsi="Times New Roman;serif"/>
          <w:caps w:val="false"/>
          <w:smallCaps w:val="false"/>
          <w:color w:val="000000"/>
          <w:sz w:val="20"/>
        </w:rPr>
        <w:t xml:space="preserve"> </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56</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DULUTH HOLDINGS INC.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information related to leases were as follows:</w:t>
      </w:r>
    </w:p>
    <w:tbl>
      <w:tblPr>
        <w:tblW w:w="9099" w:type="dxa"/>
        <w:jc w:val="left"/>
        <w:tblInd w:w="0" w:type="dxa"/>
        <w:tblCellMar>
          <w:top w:w="0" w:type="dxa"/>
          <w:left w:w="0" w:type="dxa"/>
          <w:bottom w:w="0" w:type="dxa"/>
          <w:right w:w="0" w:type="dxa"/>
        </w:tblCellMar>
      </w:tblPr>
      <w:tblGrid>
        <w:gridCol w:w="6061"/>
        <w:gridCol w:w="109"/>
        <w:gridCol w:w="332"/>
        <w:gridCol w:w="1063"/>
        <w:gridCol w:w="109"/>
        <w:gridCol w:w="322"/>
        <w:gridCol w:w="1103"/>
      </w:tblGrid>
      <w:tr>
        <w:trPr/>
        <w:tc>
          <w:tcPr>
            <w:tcW w:w="606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32" w:type="dxa"/>
            <w:tcBorders/>
            <w:shd w:fill="FFFFFF" w:val="clear"/>
            <w:vAlign w:val="center"/>
          </w:tcPr>
          <w:p>
            <w:pPr>
              <w:pStyle w:val="TableContents"/>
              <w:spacing w:before="0" w:after="283"/>
              <w:rPr>
                <w:sz w:val="4"/>
                <w:szCs w:val="4"/>
              </w:rPr>
            </w:pPr>
            <w:r>
              <w:rPr>
                <w:sz w:val="4"/>
                <w:szCs w:val="4"/>
              </w:rPr>
            </w:r>
          </w:p>
        </w:tc>
        <w:tc>
          <w:tcPr>
            <w:tcW w:w="106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22" w:type="dxa"/>
            <w:tcBorders/>
            <w:shd w:fill="FFFFFF" w:val="clear"/>
            <w:vAlign w:val="center"/>
          </w:tcPr>
          <w:p>
            <w:pPr>
              <w:pStyle w:val="TableContents"/>
              <w:spacing w:before="0" w:after="283"/>
              <w:rPr>
                <w:sz w:val="4"/>
                <w:szCs w:val="4"/>
              </w:rPr>
            </w:pPr>
            <w:r>
              <w:rPr>
                <w:sz w:val="4"/>
                <w:szCs w:val="4"/>
              </w:rPr>
            </w:r>
          </w:p>
        </w:tc>
        <w:tc>
          <w:tcPr>
            <w:tcW w:w="1103" w:type="dxa"/>
            <w:tcBorders/>
            <w:shd w:fill="FFFFFF" w:val="clear"/>
            <w:vAlign w:val="center"/>
          </w:tcPr>
          <w:p>
            <w:pPr>
              <w:pStyle w:val="TableContents"/>
              <w:spacing w:before="0" w:after="283"/>
              <w:rPr>
                <w:sz w:val="4"/>
                <w:szCs w:val="4"/>
              </w:rPr>
            </w:pPr>
            <w:r>
              <w:rPr>
                <w:sz w:val="4"/>
                <w:szCs w:val="4"/>
              </w:rPr>
            </w:r>
          </w:p>
        </w:tc>
      </w:tr>
      <w:tr>
        <w:trPr/>
        <w:tc>
          <w:tcPr>
            <w:tcW w:w="606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395" w:type="dxa"/>
            <w:gridSpan w:val="2"/>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22" w:type="dxa"/>
            <w:tcBorders/>
            <w:shd w:fill="FFFFFF" w:val="clear"/>
            <w:vAlign w:val="center"/>
          </w:tcPr>
          <w:p>
            <w:pPr>
              <w:pStyle w:val="TableContents"/>
              <w:spacing w:before="0" w:after="283"/>
              <w:rPr>
                <w:sz w:val="4"/>
                <w:szCs w:val="4"/>
              </w:rPr>
            </w:pPr>
            <w:r>
              <w:rPr>
                <w:sz w:val="4"/>
                <w:szCs w:val="4"/>
              </w:rPr>
            </w:r>
          </w:p>
        </w:tc>
        <w:tc>
          <w:tcPr>
            <w:tcW w:w="1103" w:type="dxa"/>
            <w:tcBorders/>
            <w:shd w:fill="FFFFFF" w:val="clear"/>
            <w:vAlign w:val="center"/>
          </w:tcPr>
          <w:p>
            <w:pPr>
              <w:pStyle w:val="TableContents"/>
              <w:spacing w:before="0" w:after="283"/>
              <w:rPr>
                <w:sz w:val="4"/>
                <w:szCs w:val="4"/>
              </w:rPr>
            </w:pPr>
            <w:r>
              <w:rPr>
                <w:sz w:val="4"/>
                <w:szCs w:val="4"/>
              </w:rPr>
            </w:r>
          </w:p>
        </w:tc>
      </w:tr>
      <w:tr>
        <w:trPr/>
        <w:tc>
          <w:tcPr>
            <w:tcW w:w="606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39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January 31, 2021</w:t>
            </w:r>
          </w:p>
        </w:tc>
        <w:tc>
          <w:tcPr>
            <w:tcW w:w="109" w:type="dxa"/>
            <w:tcBorders/>
            <w:shd w:fill="FFFFFF" w:val="clear"/>
            <w:vAlign w:val="center"/>
          </w:tcPr>
          <w:p>
            <w:pPr>
              <w:pStyle w:val="TableContents"/>
              <w:spacing w:before="0" w:after="283"/>
              <w:rPr>
                <w:sz w:val="4"/>
                <w:szCs w:val="4"/>
              </w:rPr>
            </w:pPr>
            <w:r>
              <w:rPr>
                <w:sz w:val="4"/>
                <w:szCs w:val="4"/>
              </w:rPr>
            </w:r>
          </w:p>
        </w:tc>
        <w:tc>
          <w:tcPr>
            <w:tcW w:w="142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February 2, 2020</w:t>
            </w:r>
          </w:p>
        </w:tc>
      </w:tr>
      <w:tr>
        <w:trPr/>
        <w:tc>
          <w:tcPr>
            <w:tcW w:w="6061" w:type="dxa"/>
            <w:tcBorders/>
            <w:shd w:fill="FFFFFF" w:val="clear"/>
            <w:vAlign w:val="center"/>
          </w:tcPr>
          <w:p>
            <w:pPr>
              <w:pStyle w:val="TableContents"/>
              <w:bidi w:val="0"/>
              <w:spacing w:lineRule="auto" w:line="259" w:before="0" w:after="283"/>
              <w:rPr>
                <w:rFonts w:ascii="Times New Roman;serif" w:hAnsi="Times New Roman;serif"/>
                <w:b w:val="false"/>
                <w:i/>
                <w:sz w:val="16"/>
              </w:rPr>
            </w:pPr>
            <w:r>
              <w:rPr>
                <w:rFonts w:ascii="Times New Roman;serif" w:hAnsi="Times New Roman;serif"/>
                <w:b w:val="false"/>
                <w:i/>
                <w:sz w:val="16"/>
              </w:rPr>
              <w:t>(in thousands)</w:t>
            </w:r>
          </w:p>
        </w:tc>
        <w:tc>
          <w:tcPr>
            <w:tcW w:w="109" w:type="dxa"/>
            <w:tcBorders/>
            <w:shd w:fill="FFFFFF" w:val="clear"/>
            <w:vAlign w:val="center"/>
          </w:tcPr>
          <w:p>
            <w:pPr>
              <w:pStyle w:val="TableContents"/>
              <w:spacing w:before="0" w:after="283"/>
              <w:rPr>
                <w:sz w:val="4"/>
                <w:szCs w:val="4"/>
              </w:rPr>
            </w:pPr>
            <w:r>
              <w:rPr>
                <w:sz w:val="4"/>
                <w:szCs w:val="4"/>
              </w:rPr>
            </w:r>
          </w:p>
        </w:tc>
        <w:tc>
          <w:tcPr>
            <w:tcW w:w="332"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63"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22"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03"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606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Cash paid for amounts included in the measurement of lease liabilities:</w:t>
            </w:r>
          </w:p>
        </w:tc>
        <w:tc>
          <w:tcPr>
            <w:tcW w:w="109" w:type="dxa"/>
            <w:tcBorders/>
            <w:shd w:fill="CCEEFF" w:val="clear"/>
            <w:vAlign w:val="center"/>
          </w:tcPr>
          <w:p>
            <w:pPr>
              <w:pStyle w:val="TableContents"/>
              <w:spacing w:before="0" w:after="283"/>
              <w:rPr>
                <w:sz w:val="4"/>
                <w:szCs w:val="4"/>
              </w:rPr>
            </w:pPr>
            <w:r>
              <w:rPr>
                <w:sz w:val="4"/>
                <w:szCs w:val="4"/>
              </w:rPr>
            </w:r>
          </w:p>
        </w:tc>
        <w:tc>
          <w:tcPr>
            <w:tcW w:w="332" w:type="dxa"/>
            <w:tcBorders/>
            <w:shd w:fill="CCEEFF" w:val="clear"/>
            <w:vAlign w:val="center"/>
          </w:tcPr>
          <w:p>
            <w:pPr>
              <w:pStyle w:val="TableContents"/>
              <w:spacing w:before="0" w:after="283"/>
              <w:rPr>
                <w:sz w:val="4"/>
                <w:szCs w:val="4"/>
              </w:rPr>
            </w:pPr>
            <w:r>
              <w:rPr>
                <w:sz w:val="4"/>
                <w:szCs w:val="4"/>
              </w:rPr>
            </w:r>
          </w:p>
        </w:tc>
        <w:tc>
          <w:tcPr>
            <w:tcW w:w="1063"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shd w:fill="CCEEFF" w:val="clear"/>
            <w:vAlign w:val="center"/>
          </w:tcPr>
          <w:p>
            <w:pPr>
              <w:pStyle w:val="TableContents"/>
              <w:spacing w:before="0" w:after="283"/>
              <w:rPr>
                <w:sz w:val="4"/>
                <w:szCs w:val="4"/>
              </w:rPr>
            </w:pPr>
            <w:r>
              <w:rPr>
                <w:sz w:val="4"/>
                <w:szCs w:val="4"/>
              </w:rPr>
            </w:r>
          </w:p>
        </w:tc>
        <w:tc>
          <w:tcPr>
            <w:tcW w:w="1103" w:type="dxa"/>
            <w:tcBorders/>
            <w:shd w:fill="CCEEFF" w:val="clear"/>
            <w:vAlign w:val="center"/>
          </w:tcPr>
          <w:p>
            <w:pPr>
              <w:pStyle w:val="TableContents"/>
              <w:spacing w:before="0" w:after="283"/>
              <w:rPr>
                <w:sz w:val="4"/>
                <w:szCs w:val="4"/>
              </w:rPr>
            </w:pPr>
            <w:r>
              <w:rPr>
                <w:sz w:val="4"/>
                <w:szCs w:val="4"/>
              </w:rPr>
            </w:r>
          </w:p>
        </w:tc>
      </w:tr>
      <w:tr>
        <w:trPr/>
        <w:tc>
          <w:tcPr>
            <w:tcW w:w="606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Financing cash flows from finance leases</w:t>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1,958</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891</w:t>
            </w:r>
          </w:p>
        </w:tc>
      </w:tr>
      <w:tr>
        <w:trPr/>
        <w:tc>
          <w:tcPr>
            <w:tcW w:w="60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cash flows from finance leases</w:t>
            </w:r>
          </w:p>
        </w:tc>
        <w:tc>
          <w:tcPr>
            <w:tcW w:w="109" w:type="dxa"/>
            <w:tcBorders/>
            <w:shd w:fill="CCEEFF" w:val="clear"/>
            <w:vAlign w:val="center"/>
          </w:tcPr>
          <w:p>
            <w:pPr>
              <w:pStyle w:val="TableContents"/>
              <w:spacing w:before="0" w:after="283"/>
              <w:rPr>
                <w:sz w:val="4"/>
                <w:szCs w:val="4"/>
              </w:rPr>
            </w:pPr>
            <w:r>
              <w:rPr>
                <w:sz w:val="4"/>
                <w:szCs w:val="4"/>
              </w:rPr>
            </w:r>
          </w:p>
        </w:tc>
        <w:tc>
          <w:tcPr>
            <w:tcW w:w="33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1,858</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1,230</w:t>
            </w:r>
          </w:p>
        </w:tc>
      </w:tr>
      <w:tr>
        <w:trPr/>
        <w:tc>
          <w:tcPr>
            <w:tcW w:w="606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cash flows from operating leases</w:t>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15,652</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13,621</w:t>
            </w:r>
          </w:p>
        </w:tc>
      </w:tr>
      <w:tr>
        <w:trPr/>
        <w:tc>
          <w:tcPr>
            <w:tcW w:w="606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332" w:type="dxa"/>
            <w:tcBorders/>
            <w:shd w:fill="CCEEFF" w:val="clear"/>
            <w:vAlign w:val="center"/>
          </w:tcPr>
          <w:p>
            <w:pPr>
              <w:pStyle w:val="TableContents"/>
              <w:spacing w:before="0" w:after="283"/>
              <w:rPr>
                <w:sz w:val="4"/>
                <w:szCs w:val="4"/>
              </w:rPr>
            </w:pPr>
            <w:r>
              <w:rPr>
                <w:sz w:val="4"/>
                <w:szCs w:val="4"/>
              </w:rPr>
            </w:r>
          </w:p>
        </w:tc>
        <w:tc>
          <w:tcPr>
            <w:tcW w:w="1063"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shd w:fill="CCEEFF" w:val="clear"/>
            <w:vAlign w:val="center"/>
          </w:tcPr>
          <w:p>
            <w:pPr>
              <w:pStyle w:val="TableContents"/>
              <w:spacing w:before="0" w:after="283"/>
              <w:rPr>
                <w:sz w:val="4"/>
                <w:szCs w:val="4"/>
              </w:rPr>
            </w:pPr>
            <w:r>
              <w:rPr>
                <w:sz w:val="4"/>
                <w:szCs w:val="4"/>
              </w:rPr>
            </w:r>
          </w:p>
        </w:tc>
        <w:tc>
          <w:tcPr>
            <w:tcW w:w="1103" w:type="dxa"/>
            <w:tcBorders/>
            <w:shd w:fill="CCEEFF" w:val="clear"/>
            <w:vAlign w:val="center"/>
          </w:tcPr>
          <w:p>
            <w:pPr>
              <w:pStyle w:val="TableContents"/>
              <w:spacing w:before="0" w:after="283"/>
              <w:rPr>
                <w:sz w:val="4"/>
                <w:szCs w:val="4"/>
              </w:rPr>
            </w:pPr>
            <w:r>
              <w:rPr>
                <w:sz w:val="4"/>
                <w:szCs w:val="4"/>
              </w:rPr>
            </w:r>
          </w:p>
        </w:tc>
      </w:tr>
      <w:tr>
        <w:trPr/>
        <w:tc>
          <w:tcPr>
            <w:tcW w:w="6061" w:type="dxa"/>
            <w:tcBorders/>
            <w:shd w:fill="auto"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Right-of-use assets obtained in exchange for lease liabilities:</w:t>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r>
      <w:tr>
        <w:trPr/>
        <w:tc>
          <w:tcPr>
            <w:tcW w:w="60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Finance leases</w:t>
            </w:r>
          </w:p>
        </w:tc>
        <w:tc>
          <w:tcPr>
            <w:tcW w:w="109" w:type="dxa"/>
            <w:tcBorders/>
            <w:shd w:fill="CCEEFF" w:val="clear"/>
            <w:vAlign w:val="center"/>
          </w:tcPr>
          <w:p>
            <w:pPr>
              <w:pStyle w:val="TableContents"/>
              <w:spacing w:before="0" w:after="283"/>
              <w:rPr>
                <w:sz w:val="4"/>
                <w:szCs w:val="4"/>
              </w:rPr>
            </w:pPr>
            <w:r>
              <w:rPr>
                <w:sz w:val="4"/>
                <w:szCs w:val="4"/>
              </w:rPr>
            </w:r>
          </w:p>
        </w:tc>
        <w:tc>
          <w:tcPr>
            <w:tcW w:w="33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8,966</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41,566</w:t>
            </w:r>
          </w:p>
        </w:tc>
      </w:tr>
      <w:tr>
        <w:trPr/>
        <w:tc>
          <w:tcPr>
            <w:tcW w:w="606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leases</w:t>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11,642</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17,629</w:t>
            </w:r>
          </w:p>
        </w:tc>
      </w:tr>
      <w:tr>
        <w:trPr/>
        <w:tc>
          <w:tcPr>
            <w:tcW w:w="606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332" w:type="dxa"/>
            <w:tcBorders/>
            <w:shd w:fill="CCEEFF" w:val="clear"/>
            <w:vAlign w:val="center"/>
          </w:tcPr>
          <w:p>
            <w:pPr>
              <w:pStyle w:val="TableContents"/>
              <w:spacing w:before="0" w:after="283"/>
              <w:rPr>
                <w:sz w:val="4"/>
                <w:szCs w:val="4"/>
              </w:rPr>
            </w:pPr>
            <w:r>
              <w:rPr>
                <w:sz w:val="4"/>
                <w:szCs w:val="4"/>
              </w:rPr>
            </w:r>
          </w:p>
        </w:tc>
        <w:tc>
          <w:tcPr>
            <w:tcW w:w="1063"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shd w:fill="CCEEFF" w:val="clear"/>
            <w:vAlign w:val="center"/>
          </w:tcPr>
          <w:p>
            <w:pPr>
              <w:pStyle w:val="TableContents"/>
              <w:spacing w:before="0" w:after="283"/>
              <w:rPr>
                <w:sz w:val="4"/>
                <w:szCs w:val="4"/>
              </w:rPr>
            </w:pPr>
            <w:r>
              <w:rPr>
                <w:sz w:val="4"/>
                <w:szCs w:val="4"/>
              </w:rPr>
            </w:r>
          </w:p>
        </w:tc>
        <w:tc>
          <w:tcPr>
            <w:tcW w:w="1103" w:type="dxa"/>
            <w:tcBorders/>
            <w:shd w:fill="CCEEFF" w:val="clear"/>
            <w:vAlign w:val="center"/>
          </w:tcPr>
          <w:p>
            <w:pPr>
              <w:pStyle w:val="TableContents"/>
              <w:spacing w:before="0" w:after="283"/>
              <w:rPr>
                <w:sz w:val="4"/>
                <w:szCs w:val="4"/>
              </w:rPr>
            </w:pPr>
            <w:r>
              <w:rPr>
                <w:sz w:val="4"/>
                <w:szCs w:val="4"/>
              </w:rPr>
            </w:r>
          </w:p>
        </w:tc>
      </w:tr>
      <w:tr>
        <w:trPr/>
        <w:tc>
          <w:tcPr>
            <w:tcW w:w="6061" w:type="dxa"/>
            <w:tcBorders/>
            <w:shd w:fill="auto"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Weighted-average remaining lease term (in years):</w:t>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r>
      <w:tr>
        <w:trPr/>
        <w:tc>
          <w:tcPr>
            <w:tcW w:w="60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Finance leases</w:t>
            </w:r>
          </w:p>
        </w:tc>
        <w:tc>
          <w:tcPr>
            <w:tcW w:w="109" w:type="dxa"/>
            <w:tcBorders/>
            <w:shd w:fill="CCEEFF" w:val="clear"/>
            <w:vAlign w:val="center"/>
          </w:tcPr>
          <w:p>
            <w:pPr>
              <w:pStyle w:val="TableContents"/>
              <w:spacing w:before="0" w:after="283"/>
              <w:rPr>
                <w:sz w:val="4"/>
                <w:szCs w:val="4"/>
              </w:rPr>
            </w:pPr>
            <w:r>
              <w:rPr>
                <w:sz w:val="4"/>
                <w:szCs w:val="4"/>
              </w:rPr>
            </w:r>
          </w:p>
        </w:tc>
        <w:tc>
          <w:tcPr>
            <w:tcW w:w="332" w:type="dxa"/>
            <w:tcBorders/>
            <w:shd w:fill="CCEEFF" w:val="clear"/>
            <w:vAlign w:val="center"/>
          </w:tcPr>
          <w:p>
            <w:pPr>
              <w:pStyle w:val="TableContents"/>
              <w:spacing w:before="0" w:after="283"/>
              <w:rPr>
                <w:sz w:val="4"/>
                <w:szCs w:val="4"/>
              </w:rPr>
            </w:pPr>
            <w:r>
              <w:rPr>
                <w:sz w:val="4"/>
                <w:szCs w:val="4"/>
              </w:rPr>
            </w:r>
          </w:p>
        </w:tc>
        <w:tc>
          <w:tcPr>
            <w:tcW w:w="10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shd w:fill="CCEEFF" w:val="clear"/>
            <w:vAlign w:val="center"/>
          </w:tcPr>
          <w:p>
            <w:pPr>
              <w:pStyle w:val="TableContents"/>
              <w:spacing w:before="0" w:after="283"/>
              <w:rPr>
                <w:sz w:val="4"/>
                <w:szCs w:val="4"/>
              </w:rPr>
            </w:pPr>
            <w:r>
              <w:rPr>
                <w:sz w:val="4"/>
                <w:szCs w:val="4"/>
              </w:rPr>
            </w:r>
          </w:p>
        </w:tc>
        <w:tc>
          <w:tcPr>
            <w:tcW w:w="110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tc>
      </w:tr>
      <w:tr>
        <w:trPr/>
        <w:tc>
          <w:tcPr>
            <w:tcW w:w="606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leases</w:t>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tc>
      </w:tr>
      <w:tr>
        <w:trPr/>
        <w:tc>
          <w:tcPr>
            <w:tcW w:w="606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332" w:type="dxa"/>
            <w:tcBorders/>
            <w:shd w:fill="CCEEFF" w:val="clear"/>
            <w:vAlign w:val="center"/>
          </w:tcPr>
          <w:p>
            <w:pPr>
              <w:pStyle w:val="TableContents"/>
              <w:spacing w:before="0" w:after="283"/>
              <w:rPr>
                <w:sz w:val="4"/>
                <w:szCs w:val="4"/>
              </w:rPr>
            </w:pPr>
            <w:r>
              <w:rPr>
                <w:sz w:val="4"/>
                <w:szCs w:val="4"/>
              </w:rPr>
            </w:r>
          </w:p>
        </w:tc>
        <w:tc>
          <w:tcPr>
            <w:tcW w:w="1063"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shd w:fill="CCEEFF" w:val="clear"/>
            <w:vAlign w:val="center"/>
          </w:tcPr>
          <w:p>
            <w:pPr>
              <w:pStyle w:val="TableContents"/>
              <w:spacing w:before="0" w:after="283"/>
              <w:rPr>
                <w:sz w:val="4"/>
                <w:szCs w:val="4"/>
              </w:rPr>
            </w:pPr>
            <w:r>
              <w:rPr>
                <w:sz w:val="4"/>
                <w:szCs w:val="4"/>
              </w:rPr>
            </w:r>
          </w:p>
        </w:tc>
        <w:tc>
          <w:tcPr>
            <w:tcW w:w="1103" w:type="dxa"/>
            <w:tcBorders/>
            <w:shd w:fill="CCEEFF" w:val="clear"/>
            <w:vAlign w:val="center"/>
          </w:tcPr>
          <w:p>
            <w:pPr>
              <w:pStyle w:val="TableContents"/>
              <w:spacing w:before="0" w:after="283"/>
              <w:rPr>
                <w:sz w:val="4"/>
                <w:szCs w:val="4"/>
              </w:rPr>
            </w:pPr>
            <w:r>
              <w:rPr>
                <w:sz w:val="4"/>
                <w:szCs w:val="4"/>
              </w:rPr>
            </w:r>
          </w:p>
        </w:tc>
      </w:tr>
      <w:tr>
        <w:trPr/>
        <w:tc>
          <w:tcPr>
            <w:tcW w:w="6061" w:type="dxa"/>
            <w:tcBorders/>
            <w:shd w:fill="auto"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Weighted-average discount rate:</w:t>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r>
      <w:tr>
        <w:trPr/>
        <w:tc>
          <w:tcPr>
            <w:tcW w:w="60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Finance leases</w:t>
            </w:r>
          </w:p>
        </w:tc>
        <w:tc>
          <w:tcPr>
            <w:tcW w:w="109" w:type="dxa"/>
            <w:tcBorders/>
            <w:shd w:fill="CCEEFF" w:val="clear"/>
            <w:vAlign w:val="center"/>
          </w:tcPr>
          <w:p>
            <w:pPr>
              <w:pStyle w:val="TableContents"/>
              <w:spacing w:before="0" w:after="283"/>
              <w:rPr>
                <w:sz w:val="4"/>
                <w:szCs w:val="4"/>
              </w:rPr>
            </w:pPr>
            <w:r>
              <w:rPr>
                <w:sz w:val="4"/>
                <w:szCs w:val="4"/>
              </w:rPr>
            </w:r>
          </w:p>
        </w:tc>
        <w:tc>
          <w:tcPr>
            <w:tcW w:w="332" w:type="dxa"/>
            <w:tcBorders/>
            <w:shd w:fill="CCEEFF" w:val="clear"/>
            <w:vAlign w:val="center"/>
          </w:tcPr>
          <w:p>
            <w:pPr>
              <w:pStyle w:val="TableContents"/>
              <w:spacing w:before="0" w:after="283"/>
              <w:rPr>
                <w:sz w:val="4"/>
                <w:szCs w:val="4"/>
              </w:rPr>
            </w:pPr>
            <w:r>
              <w:rPr>
                <w:sz w:val="4"/>
                <w:szCs w:val="4"/>
              </w:rPr>
            </w:r>
          </w:p>
        </w:tc>
        <w:tc>
          <w:tcPr>
            <w:tcW w:w="10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shd w:fill="CCEEFF" w:val="clear"/>
            <w:vAlign w:val="center"/>
          </w:tcPr>
          <w:p>
            <w:pPr>
              <w:pStyle w:val="TableContents"/>
              <w:spacing w:before="0" w:after="283"/>
              <w:rPr>
                <w:sz w:val="4"/>
                <w:szCs w:val="4"/>
              </w:rPr>
            </w:pPr>
            <w:r>
              <w:rPr>
                <w:sz w:val="4"/>
                <w:szCs w:val="4"/>
              </w:rPr>
            </w:r>
          </w:p>
        </w:tc>
        <w:tc>
          <w:tcPr>
            <w:tcW w:w="110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w:t>
            </w:r>
          </w:p>
        </w:tc>
      </w:tr>
      <w:tr>
        <w:trPr/>
        <w:tc>
          <w:tcPr>
            <w:tcW w:w="606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leases</w:t>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Future</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minimum lease payments under the non-cancellable leases are as follows as of </w:t>
      </w:r>
      <w:r>
        <w:rPr>
          <w:rFonts w:ascii="Times New Roman;serif" w:hAnsi="Times New Roman;serif"/>
          <w:b w:val="false"/>
          <w:i w:val="false"/>
          <w:caps w:val="false"/>
          <w:smallCaps w:val="false"/>
          <w:sz w:val="20"/>
        </w:rPr>
        <w:t>January 31, 2021</w:t>
      </w:r>
      <w:r>
        <w:rPr>
          <w:rFonts w:ascii="Times New Roman;serif" w:hAnsi="Times New Roman;serif"/>
          <w:b w:val="false"/>
          <w:i w:val="false"/>
          <w:caps w:val="false"/>
          <w:smallCaps w:val="false"/>
          <w:color w:val="000000"/>
          <w:sz w:val="20"/>
        </w:rPr>
        <w:t>:</w:t>
      </w:r>
    </w:p>
    <w:tbl>
      <w:tblPr>
        <w:tblW w:w="5323" w:type="dxa"/>
        <w:jc w:val="left"/>
        <w:tblInd w:w="0" w:type="dxa"/>
        <w:tblCellMar>
          <w:top w:w="0" w:type="dxa"/>
          <w:left w:w="0" w:type="dxa"/>
          <w:bottom w:w="0" w:type="dxa"/>
          <w:right w:w="0" w:type="dxa"/>
        </w:tblCellMar>
      </w:tblPr>
      <w:tblGrid>
        <w:gridCol w:w="3181"/>
        <w:gridCol w:w="109"/>
        <w:gridCol w:w="211"/>
        <w:gridCol w:w="676"/>
        <w:gridCol w:w="109"/>
        <w:gridCol w:w="211"/>
        <w:gridCol w:w="826"/>
      </w:tblGrid>
      <w:tr>
        <w:trPr/>
        <w:tc>
          <w:tcPr>
            <w:tcW w:w="31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7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26" w:type="dxa"/>
            <w:tcBorders/>
            <w:shd w:fill="FFFFFF" w:val="clear"/>
            <w:vAlign w:val="center"/>
          </w:tcPr>
          <w:p>
            <w:pPr>
              <w:pStyle w:val="TableContents"/>
              <w:spacing w:before="0" w:after="283"/>
              <w:rPr>
                <w:sz w:val="4"/>
                <w:szCs w:val="4"/>
              </w:rPr>
            </w:pPr>
            <w:r>
              <w:rPr>
                <w:sz w:val="4"/>
                <w:szCs w:val="4"/>
              </w:rPr>
            </w:r>
          </w:p>
        </w:tc>
      </w:tr>
      <w:tr>
        <w:trPr/>
        <w:tc>
          <w:tcPr>
            <w:tcW w:w="31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7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26" w:type="dxa"/>
            <w:tcBorders/>
            <w:shd w:fill="FFFFFF" w:val="clear"/>
            <w:vAlign w:val="center"/>
          </w:tcPr>
          <w:p>
            <w:pPr>
              <w:pStyle w:val="TableContents"/>
              <w:spacing w:before="0" w:after="283"/>
              <w:rPr>
                <w:sz w:val="4"/>
                <w:szCs w:val="4"/>
              </w:rPr>
            </w:pPr>
            <w:r>
              <w:rPr>
                <w:sz w:val="4"/>
                <w:szCs w:val="4"/>
              </w:rPr>
            </w:r>
          </w:p>
        </w:tc>
      </w:tr>
      <w:tr>
        <w:trPr/>
        <w:tc>
          <w:tcPr>
            <w:tcW w:w="31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76" w:type="dxa"/>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Finance</w:t>
            </w:r>
          </w:p>
        </w:tc>
        <w:tc>
          <w:tcPr>
            <w:tcW w:w="109" w:type="dxa"/>
            <w:tcBorders/>
            <w:shd w:fill="FFFFFF" w:val="clear"/>
            <w:vAlign w:val="center"/>
          </w:tcPr>
          <w:p>
            <w:pPr>
              <w:pStyle w:val="TableContents"/>
              <w:spacing w:before="0" w:after="283"/>
              <w:rPr>
                <w:sz w:val="4"/>
                <w:szCs w:val="4"/>
              </w:rPr>
            </w:pPr>
            <w:r>
              <w:rPr>
                <w:sz w:val="4"/>
                <w:szCs w:val="4"/>
              </w:rPr>
            </w:r>
          </w:p>
        </w:tc>
        <w:tc>
          <w:tcPr>
            <w:tcW w:w="1037"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Operating </w:t>
            </w:r>
          </w:p>
        </w:tc>
      </w:tr>
      <w:tr>
        <w:trPr/>
        <w:tc>
          <w:tcPr>
            <w:tcW w:w="3181"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Fiscal year</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spacing w:before="0" w:after="283"/>
              <w:rPr>
                <w:sz w:val="4"/>
                <w:szCs w:val="4"/>
              </w:rPr>
            </w:pPr>
            <w:r>
              <w:rPr>
                <w:sz w:val="4"/>
                <w:szCs w:val="4"/>
              </w:rPr>
            </w:r>
          </w:p>
        </w:tc>
        <w:tc>
          <w:tcPr>
            <w:tcW w:w="67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Leases</w:t>
            </w:r>
          </w:p>
        </w:tc>
        <w:tc>
          <w:tcPr>
            <w:tcW w:w="109" w:type="dxa"/>
            <w:tcBorders/>
            <w:shd w:fill="FFFFFF" w:val="clear"/>
            <w:vAlign w:val="center"/>
          </w:tcPr>
          <w:p>
            <w:pPr>
              <w:pStyle w:val="TableContents"/>
              <w:spacing w:before="0" w:after="283"/>
              <w:rPr>
                <w:sz w:val="4"/>
                <w:szCs w:val="4"/>
              </w:rPr>
            </w:pPr>
            <w:r>
              <w:rPr>
                <w:sz w:val="4"/>
                <w:szCs w:val="4"/>
              </w:rPr>
            </w:r>
          </w:p>
        </w:tc>
        <w:tc>
          <w:tcPr>
            <w:tcW w:w="1037"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Leases</w:t>
            </w:r>
          </w:p>
        </w:tc>
      </w:tr>
      <w:tr>
        <w:trPr/>
        <w:tc>
          <w:tcPr>
            <w:tcW w:w="3181" w:type="dxa"/>
            <w:tcBorders>
              <w:top w:val="single" w:sz="8" w:space="0" w:color="000000"/>
            </w:tcBorders>
            <w:shd w:fill="FFFFFF" w:val="clear"/>
            <w:tcMar>
              <w:top w:w="28" w:type="dxa"/>
            </w:tcMar>
            <w:vAlign w:val="center"/>
          </w:tcPr>
          <w:p>
            <w:pPr>
              <w:pStyle w:val="TableContents"/>
              <w:bidi w:val="0"/>
              <w:spacing w:lineRule="auto" w:line="259" w:before="0" w:after="283"/>
              <w:rPr>
                <w:rFonts w:ascii="Times New Roman;serif" w:hAnsi="Times New Roman;serif"/>
                <w:b w:val="false"/>
                <w:i/>
                <w:sz w:val="16"/>
              </w:rPr>
            </w:pPr>
            <w:r>
              <w:rPr>
                <w:rFonts w:ascii="Times New Roman;serif" w:hAnsi="Times New Roman;serif"/>
                <w:b w:val="false"/>
                <w:i/>
                <w:sz w:val="16"/>
              </w:rPr>
              <w:t>(in thousands)</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67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2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31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4,575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15,721</w:t>
            </w:r>
          </w:p>
        </w:tc>
      </w:tr>
      <w:tr>
        <w:trPr/>
        <w:tc>
          <w:tcPr>
            <w:tcW w:w="318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4,554</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15,851</w:t>
            </w:r>
          </w:p>
        </w:tc>
      </w:tr>
      <w:tr>
        <w:trPr/>
        <w:tc>
          <w:tcPr>
            <w:tcW w:w="31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2023</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4,582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16,033</w:t>
            </w:r>
          </w:p>
        </w:tc>
      </w:tr>
      <w:tr>
        <w:trPr/>
        <w:tc>
          <w:tcPr>
            <w:tcW w:w="318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2024</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4,769</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15,383</w:t>
            </w:r>
          </w:p>
        </w:tc>
      </w:tr>
      <w:tr>
        <w:trPr/>
        <w:tc>
          <w:tcPr>
            <w:tcW w:w="31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5,133</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14,593</w:t>
            </w:r>
          </w:p>
        </w:tc>
      </w:tr>
      <w:tr>
        <w:trPr/>
        <w:tc>
          <w:tcPr>
            <w:tcW w:w="318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Thereafter</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76"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37,522</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26"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63,427</w:t>
            </w:r>
          </w:p>
        </w:tc>
      </w:tr>
      <w:tr>
        <w:trPr/>
        <w:tc>
          <w:tcPr>
            <w:tcW w:w="31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future minimum lease payments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61,135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141,008</w:t>
            </w:r>
          </w:p>
        </w:tc>
      </w:tr>
      <w:tr>
        <w:trPr/>
        <w:tc>
          <w:tcPr>
            <w:tcW w:w="318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Less - Discount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76"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15,207</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26"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25,671</w:t>
            </w:r>
          </w:p>
        </w:tc>
      </w:tr>
      <w:tr>
        <w:trPr/>
        <w:tc>
          <w:tcPr>
            <w:tcW w:w="31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 liability</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45,928</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115,337</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Total</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rent expense under non-cancellable leases was $17.1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$16.2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for fiscal 2020 and fiscal 2019, respectively.</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57</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DULUTH HOLDINGS INC.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  DEBT AND CREDIT AGREEMENT</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Debt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consists of the following:</w:t>
      </w:r>
    </w:p>
    <w:tbl>
      <w:tblPr>
        <w:tblW w:w="5694" w:type="dxa"/>
        <w:jc w:val="left"/>
        <w:tblInd w:w="0" w:type="dxa"/>
        <w:tblCellMar>
          <w:top w:w="0" w:type="dxa"/>
          <w:left w:w="0" w:type="dxa"/>
          <w:bottom w:w="0" w:type="dxa"/>
          <w:right w:w="0" w:type="dxa"/>
        </w:tblCellMar>
      </w:tblPr>
      <w:tblGrid>
        <w:gridCol w:w="2656"/>
        <w:gridCol w:w="109"/>
        <w:gridCol w:w="332"/>
        <w:gridCol w:w="1063"/>
        <w:gridCol w:w="109"/>
        <w:gridCol w:w="322"/>
        <w:gridCol w:w="1103"/>
      </w:tblGrid>
      <w:tr>
        <w:trPr/>
        <w:tc>
          <w:tcPr>
            <w:tcW w:w="265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32" w:type="dxa"/>
            <w:tcBorders/>
            <w:shd w:fill="FFFFFF" w:val="clear"/>
            <w:vAlign w:val="center"/>
          </w:tcPr>
          <w:p>
            <w:pPr>
              <w:pStyle w:val="TableContents"/>
              <w:spacing w:before="0" w:after="283"/>
              <w:rPr>
                <w:sz w:val="4"/>
                <w:szCs w:val="4"/>
              </w:rPr>
            </w:pPr>
            <w:r>
              <w:rPr>
                <w:sz w:val="4"/>
                <w:szCs w:val="4"/>
              </w:rPr>
            </w:r>
          </w:p>
        </w:tc>
        <w:tc>
          <w:tcPr>
            <w:tcW w:w="106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22" w:type="dxa"/>
            <w:tcBorders/>
            <w:shd w:fill="FFFFFF" w:val="clear"/>
            <w:vAlign w:val="center"/>
          </w:tcPr>
          <w:p>
            <w:pPr>
              <w:pStyle w:val="TableContents"/>
              <w:spacing w:before="0" w:after="283"/>
              <w:rPr>
                <w:sz w:val="4"/>
                <w:szCs w:val="4"/>
              </w:rPr>
            </w:pPr>
            <w:r>
              <w:rPr>
                <w:sz w:val="4"/>
                <w:szCs w:val="4"/>
              </w:rPr>
            </w:r>
          </w:p>
        </w:tc>
        <w:tc>
          <w:tcPr>
            <w:tcW w:w="1103" w:type="dxa"/>
            <w:tcBorders/>
            <w:shd w:fill="FFFFFF" w:val="clear"/>
            <w:vAlign w:val="center"/>
          </w:tcPr>
          <w:p>
            <w:pPr>
              <w:pStyle w:val="TableContents"/>
              <w:spacing w:before="0" w:after="283"/>
              <w:rPr>
                <w:sz w:val="4"/>
                <w:szCs w:val="4"/>
              </w:rPr>
            </w:pPr>
            <w:r>
              <w:rPr>
                <w:sz w:val="4"/>
                <w:szCs w:val="4"/>
              </w:rPr>
            </w:r>
          </w:p>
        </w:tc>
      </w:tr>
      <w:tr>
        <w:trPr/>
        <w:tc>
          <w:tcPr>
            <w:tcW w:w="265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39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January 31, 2021</w:t>
            </w:r>
          </w:p>
        </w:tc>
        <w:tc>
          <w:tcPr>
            <w:tcW w:w="109" w:type="dxa"/>
            <w:tcBorders/>
            <w:shd w:fill="FFFFFF" w:val="clear"/>
            <w:vAlign w:val="center"/>
          </w:tcPr>
          <w:p>
            <w:pPr>
              <w:pStyle w:val="TableContents"/>
              <w:spacing w:before="0" w:after="283"/>
              <w:rPr>
                <w:sz w:val="4"/>
                <w:szCs w:val="4"/>
              </w:rPr>
            </w:pPr>
            <w:r>
              <w:rPr>
                <w:sz w:val="4"/>
                <w:szCs w:val="4"/>
              </w:rPr>
            </w:r>
          </w:p>
        </w:tc>
        <w:tc>
          <w:tcPr>
            <w:tcW w:w="142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February 2, 2020</w:t>
            </w:r>
          </w:p>
        </w:tc>
      </w:tr>
      <w:tr>
        <w:trPr/>
        <w:tc>
          <w:tcPr>
            <w:tcW w:w="2656" w:type="dxa"/>
            <w:tcBorders/>
            <w:shd w:fill="FFFFFF" w:val="clear"/>
            <w:vAlign w:val="center"/>
          </w:tcPr>
          <w:p>
            <w:pPr>
              <w:pStyle w:val="TableContents"/>
              <w:bidi w:val="0"/>
              <w:spacing w:lineRule="auto" w:line="259" w:before="0" w:after="283"/>
              <w:rPr>
                <w:rFonts w:ascii="Times New Roman;serif" w:hAnsi="Times New Roman;serif"/>
                <w:b w:val="false"/>
                <w:i/>
                <w:sz w:val="16"/>
              </w:rPr>
            </w:pPr>
            <w:r>
              <w:rPr>
                <w:rFonts w:ascii="Times New Roman;serif" w:hAnsi="Times New Roman;serif"/>
                <w:b w:val="false"/>
                <w:i/>
                <w:sz w:val="16"/>
              </w:rPr>
              <w:t>(in thousands)</w:t>
            </w:r>
          </w:p>
        </w:tc>
        <w:tc>
          <w:tcPr>
            <w:tcW w:w="109" w:type="dxa"/>
            <w:tcBorders/>
            <w:shd w:fill="FFFFFF" w:val="clear"/>
            <w:vAlign w:val="center"/>
          </w:tcPr>
          <w:p>
            <w:pPr>
              <w:pStyle w:val="TableContents"/>
              <w:spacing w:before="0" w:after="283"/>
              <w:rPr>
                <w:sz w:val="4"/>
                <w:szCs w:val="4"/>
              </w:rPr>
            </w:pPr>
            <w:r>
              <w:rPr>
                <w:sz w:val="4"/>
                <w:szCs w:val="4"/>
              </w:rPr>
            </w:r>
          </w:p>
        </w:tc>
        <w:tc>
          <w:tcPr>
            <w:tcW w:w="332"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63"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22"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03"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26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TRI Senior Secured Note</w:t>
            </w:r>
          </w:p>
        </w:tc>
        <w:tc>
          <w:tcPr>
            <w:tcW w:w="109" w:type="dxa"/>
            <w:tcBorders/>
            <w:shd w:fill="CCEEFF" w:val="clear"/>
            <w:vAlign w:val="center"/>
          </w:tcPr>
          <w:p>
            <w:pPr>
              <w:pStyle w:val="TableContents"/>
              <w:spacing w:before="0" w:after="283"/>
              <w:rPr>
                <w:sz w:val="4"/>
                <w:szCs w:val="4"/>
              </w:rPr>
            </w:pPr>
            <w:r>
              <w:rPr>
                <w:sz w:val="4"/>
                <w:szCs w:val="4"/>
              </w:rPr>
            </w:r>
          </w:p>
        </w:tc>
        <w:tc>
          <w:tcPr>
            <w:tcW w:w="33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24,352</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24,835</w:t>
            </w:r>
          </w:p>
        </w:tc>
      </w:tr>
      <w:tr>
        <w:trPr/>
        <w:tc>
          <w:tcPr>
            <w:tcW w:w="265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TRI Note</w:t>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63"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3,500</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3"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3,500</w:t>
            </w:r>
          </w:p>
        </w:tc>
      </w:tr>
      <w:tr>
        <w:trPr/>
        <w:tc>
          <w:tcPr>
            <w:tcW w:w="265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33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27,852</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28,335</w:t>
            </w:r>
          </w:p>
        </w:tc>
      </w:tr>
      <w:tr>
        <w:trPr/>
        <w:tc>
          <w:tcPr>
            <w:tcW w:w="265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Less: current maturities</w:t>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63"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623</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3"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557</w:t>
            </w:r>
          </w:p>
        </w:tc>
      </w:tr>
      <w:tr>
        <w:trPr/>
        <w:tc>
          <w:tcPr>
            <w:tcW w:w="26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TRI Long-term debt</w:t>
            </w:r>
          </w:p>
        </w:tc>
        <w:tc>
          <w:tcPr>
            <w:tcW w:w="109" w:type="dxa"/>
            <w:tcBorders/>
            <w:shd w:fill="CCEEFF" w:val="clear"/>
            <w:vAlign w:val="center"/>
          </w:tcPr>
          <w:p>
            <w:pPr>
              <w:pStyle w:val="TableContents"/>
              <w:spacing w:before="0" w:after="283"/>
              <w:rPr>
                <w:sz w:val="4"/>
                <w:szCs w:val="4"/>
              </w:rPr>
            </w:pPr>
            <w:r>
              <w:rPr>
                <w:sz w:val="4"/>
                <w:szCs w:val="4"/>
              </w:rPr>
            </w:r>
          </w:p>
        </w:tc>
        <w:tc>
          <w:tcPr>
            <w:tcW w:w="33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27,229</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27,778</w:t>
            </w:r>
          </w:p>
        </w:tc>
      </w:tr>
      <w:tr>
        <w:trPr/>
        <w:tc>
          <w:tcPr>
            <w:tcW w:w="26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63"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103"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r>
      <w:tr>
        <w:trPr/>
        <w:tc>
          <w:tcPr>
            <w:tcW w:w="26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Duluth Line of credit</w:t>
            </w:r>
          </w:p>
        </w:tc>
        <w:tc>
          <w:tcPr>
            <w:tcW w:w="109" w:type="dxa"/>
            <w:tcBorders/>
            <w:shd w:fill="CCEEFF" w:val="clear"/>
            <w:vAlign w:val="center"/>
          </w:tcPr>
          <w:p>
            <w:pPr>
              <w:pStyle w:val="TableContents"/>
              <w:spacing w:before="0" w:after="283"/>
              <w:rPr>
                <w:sz w:val="4"/>
                <w:szCs w:val="4"/>
              </w:rPr>
            </w:pPr>
            <w:r>
              <w:rPr>
                <w:sz w:val="4"/>
                <w:szCs w:val="4"/>
              </w:rPr>
            </w:r>
          </w:p>
        </w:tc>
        <w:tc>
          <w:tcPr>
            <w:tcW w:w="33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3"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19,332</w:t>
            </w:r>
          </w:p>
        </w:tc>
      </w:tr>
      <w:tr>
        <w:trPr/>
        <w:tc>
          <w:tcPr>
            <w:tcW w:w="265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Duluth Delayed draw term loan</w:t>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63"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48,250</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3"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20,000</w:t>
            </w:r>
          </w:p>
        </w:tc>
      </w:tr>
      <w:tr>
        <w:trPr/>
        <w:tc>
          <w:tcPr>
            <w:tcW w:w="265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33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48,250</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39,332</w:t>
            </w:r>
          </w:p>
        </w:tc>
      </w:tr>
      <w:tr>
        <w:trPr/>
        <w:tc>
          <w:tcPr>
            <w:tcW w:w="265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Less: current maturities</w:t>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63"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2,500</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3"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1,000</w:t>
            </w:r>
          </w:p>
        </w:tc>
      </w:tr>
      <w:tr>
        <w:trPr/>
        <w:tc>
          <w:tcPr>
            <w:tcW w:w="26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Duluth long-term debt</w:t>
            </w:r>
          </w:p>
        </w:tc>
        <w:tc>
          <w:tcPr>
            <w:tcW w:w="109" w:type="dxa"/>
            <w:tcBorders/>
            <w:shd w:fill="CCEEFF" w:val="clear"/>
            <w:vAlign w:val="center"/>
          </w:tcPr>
          <w:p>
            <w:pPr>
              <w:pStyle w:val="TableContents"/>
              <w:spacing w:before="0" w:after="283"/>
              <w:rPr>
                <w:sz w:val="4"/>
                <w:szCs w:val="4"/>
              </w:rPr>
            </w:pPr>
            <w:r>
              <w:rPr>
                <w:sz w:val="4"/>
                <w:szCs w:val="4"/>
              </w:rPr>
            </w:r>
          </w:p>
        </w:tc>
        <w:tc>
          <w:tcPr>
            <w:tcW w:w="33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45,750</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38,332</w:t>
            </w:r>
          </w:p>
        </w:tc>
      </w:tr>
    </w:tbl>
    <w:p>
      <w:pPr>
        <w:pStyle w:val="TextBody"/>
        <w:bidi w:val="0"/>
        <w:spacing w:lineRule="auto" w:line="259"/>
        <w:rPr>
          <w:rFonts w:ascii="Times New Roman;serif" w:hAnsi="Times New Roman;serif"/>
          <w:b/>
          <w:i/>
          <w:sz w:val="20"/>
        </w:rPr>
      </w:pPr>
      <w:r>
        <w:rPr>
          <w:rFonts w:ascii="Times New Roman;serif" w:hAnsi="Times New Roman;serif"/>
          <w:b/>
          <w:i/>
          <w:sz w:val="20"/>
        </w:rPr>
        <w:t>TRI Holdings, LLC</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TRI entered into a senior secured note (“TRI Senior Secured Note”) with an original balance of $26.7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The TRI Senior Secured Note is scheduled to mature on October 15, 2038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requires installment payments with an interest rate of 4.95%. See Note 6 “Variable Interest Entities” for further information.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TRI entered into a promissory note (“TRI Note”) with an original balance of $3.5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The TRI Note is scheduled to mature in November 2038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requires annual interest payments at a rate of 3.05%, with a final balloon payment due in November 2038.</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While the above notes are consolidated in accordance with ASC Topic 810, </w:t>
      </w:r>
      <w:r>
        <w:rPr>
          <w:rFonts w:ascii="Times New Roman;serif" w:hAnsi="Times New Roman;serif"/>
          <w:b w:val="false"/>
          <w:i/>
          <w:sz w:val="20"/>
        </w:rPr>
        <w:t>Consolidation</w:t>
      </w:r>
      <w:r>
        <w:rPr>
          <w:rFonts w:ascii="Times New Roman;serif" w:hAnsi="Times New Roman;serif"/>
          <w:b w:val="false"/>
          <w:i w:val="false"/>
          <w:caps w:val="false"/>
          <w:smallCaps w:val="false"/>
          <w:sz w:val="20"/>
        </w:rPr>
        <w:t>, the Company is not the guarantor nor the obligor of these notes.</w:t>
      </w:r>
    </w:p>
    <w:p>
      <w:pPr>
        <w:pStyle w:val="TextBody"/>
        <w:bidi w:val="0"/>
        <w:spacing w:lineRule="auto" w:line="259"/>
        <w:rPr>
          <w:rFonts w:ascii="Times New Roman;serif" w:hAnsi="Times New Roman;serif"/>
          <w:b/>
          <w:i/>
          <w:sz w:val="20"/>
        </w:rPr>
      </w:pPr>
      <w:r>
        <w:rPr>
          <w:rFonts w:ascii="Times New Roman;serif" w:hAnsi="Times New Roman;serif"/>
          <w:b/>
          <w:i/>
          <w:sz w:val="20"/>
        </w:rPr>
        <w:t>Credit Agreement</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May 17, 2018, the Company entered into a credit agreement (the “Credit Agreement”) which provides for borrowing availability of up to $80.0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in revolving credit and associated swing line (the “Revolver”) and borrowing availability of up to $50.0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in a delayed draw term loan (“DDTL”), for a total credit facility of $130.0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The $80.0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revolving credit matures on May 17, 2023. The $50.0 million DDTL was available to draw upon in differing amounts through May 16, 2020 and matures on May 17, 2023. Outstanding balances under the DDTL require quarterly principal payments with a final balloon payment at maturity. The Credit Agreement is secured by essentially all Company assets and requires the Company to maintain compliance with certain financial and non-financial covenants, including a maximum rent adjusted leverage ratio and a minimum fixed charge coverage ratio as defined in the Credit Agreement.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April 30, 2020, the Credit Agreement was amended to include an incremental DDTL of $20.5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(the “Incremental DDTL”) that is available to draw upon before March 31, 2021, and matures on April 29, 2021, for a total credit facility of $150.5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As of and for the fiscal year ended January 31, 2021, no amount of the Incremental DDTL was funded. The loan covenants were also amended to allow for greater flexibility during the Company’s peak borrowing periods in fiscal 2020. The interest rate applicable to the Revolver or DDTL will be a fixed rate for a one-, two-, three- or six-month interest period equal to LIBOR (with a 1% floor) for such interest period plus a margin of 225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300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basis points, based upon the Company’s rent adjusted leverage ratio (effective rate of 3.5% for the Revolver and the DDTL at January 31, 2021). The interest rate applicable to the Incremental DDTL will also be a fixed rate over the aforementioned interest periods equal to LIBOR (with a 1% floor) for such interest period plus a margin of 275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350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basis points.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January 31, 2021, and for the fiscal year then ended, the Company was in compliance with all financial and non-financial covenants for all debts discussed above.</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color w:val="000000"/>
          <w:sz w:val="20"/>
        </w:rPr>
        <w:br/>
        <w:t>‎</w:t>
      </w:r>
      <w:r>
        <w:rPr>
          <w:rFonts w:ascii="Times New Roman;serif" w:hAnsi="Times New Roman;serif"/>
          <w:caps w:val="false"/>
          <w:smallCaps w:val="false"/>
          <w:color w:val="000000"/>
          <w:sz w:val="20"/>
        </w:rPr>
        <w:t xml:space="preserve"> </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58</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DULUTH HOLDINGS INC.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w:t>
      </w:r>
    </w:p>
    <w:p>
      <w:pPr>
        <w:pStyle w:val="TextBody"/>
        <w:bidi w:val="0"/>
        <w:spacing w:lineRule="auto" w:line="259"/>
        <w:rPr/>
      </w:pPr>
      <w:r>
        <w:rPr>
          <w:caps w:val="false"/>
          <w:smallCaps w:val="false"/>
          <w:color w:val="000000"/>
        </w:rPr>
        <w:t> </w:t>
      </w:r>
      <w:r>
        <w:rPr>
          <w:rFonts w:ascii="Times New Roman;serif" w:hAnsi="Times New Roman;serif"/>
          <w:b w:val="false"/>
          <w:i w:val="false"/>
          <w:caps w:val="false"/>
          <w:smallCaps w:val="false"/>
          <w:color w:val="000000"/>
          <w:sz w:val="20"/>
        </w:rPr>
        <w:t>Future principal maturities of all TRI debt, excluding financing fees of $1.3</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associated with the TRI debt, and the Company’s Credit Agreement, are as follows as of January 31, 2021:</w:t>
      </w:r>
    </w:p>
    <w:tbl>
      <w:tblPr>
        <w:tblW w:w="2167" w:type="dxa"/>
        <w:jc w:val="left"/>
        <w:tblInd w:w="0" w:type="dxa"/>
        <w:tblCellMar>
          <w:top w:w="0" w:type="dxa"/>
          <w:left w:w="0" w:type="dxa"/>
          <w:bottom w:w="0" w:type="dxa"/>
          <w:right w:w="0" w:type="dxa"/>
        </w:tblCellMar>
      </w:tblPr>
      <w:tblGrid>
        <w:gridCol w:w="1126"/>
        <w:gridCol w:w="109"/>
        <w:gridCol w:w="211"/>
        <w:gridCol w:w="721"/>
      </w:tblGrid>
      <w:tr>
        <w:trPr/>
        <w:tc>
          <w:tcPr>
            <w:tcW w:w="112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21" w:type="dxa"/>
            <w:tcBorders/>
            <w:shd w:fill="FFFFFF" w:val="clear"/>
            <w:vAlign w:val="center"/>
          </w:tcPr>
          <w:p>
            <w:pPr>
              <w:pStyle w:val="TableContents"/>
              <w:spacing w:before="0" w:after="283"/>
              <w:rPr>
                <w:sz w:val="4"/>
                <w:szCs w:val="4"/>
              </w:rPr>
            </w:pPr>
            <w:r>
              <w:rPr>
                <w:sz w:val="4"/>
                <w:szCs w:val="4"/>
              </w:rPr>
            </w:r>
          </w:p>
        </w:tc>
      </w:tr>
      <w:tr>
        <w:trPr/>
        <w:tc>
          <w:tcPr>
            <w:tcW w:w="112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Fiscal year</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21" w:type="dxa"/>
            <w:tcBorders/>
            <w:shd w:fill="FFFFFF" w:val="clear"/>
            <w:vAlign w:val="center"/>
          </w:tcPr>
          <w:p>
            <w:pPr>
              <w:pStyle w:val="TableContents"/>
              <w:spacing w:before="0" w:after="283"/>
              <w:rPr>
                <w:sz w:val="4"/>
                <w:szCs w:val="4"/>
              </w:rPr>
            </w:pPr>
            <w:r>
              <w:rPr>
                <w:sz w:val="4"/>
                <w:szCs w:val="4"/>
              </w:rPr>
            </w:r>
          </w:p>
        </w:tc>
      </w:tr>
      <w:tr>
        <w:trPr/>
        <w:tc>
          <w:tcPr>
            <w:tcW w:w="1126" w:type="dxa"/>
            <w:tcBorders>
              <w:top w:val="single" w:sz="8" w:space="0" w:color="000000"/>
            </w:tcBorders>
            <w:shd w:fill="FFFFFF" w:val="clear"/>
            <w:tcMar>
              <w:top w:w="28" w:type="dxa"/>
            </w:tcMar>
            <w:vAlign w:val="center"/>
          </w:tcPr>
          <w:p>
            <w:pPr>
              <w:pStyle w:val="TableContents"/>
              <w:bidi w:val="0"/>
              <w:spacing w:lineRule="auto" w:line="259" w:before="0" w:after="283"/>
              <w:rPr>
                <w:rFonts w:ascii="Times New Roman;serif" w:hAnsi="Times New Roman;serif"/>
                <w:b w:val="false"/>
                <w:i/>
                <w:sz w:val="16"/>
              </w:rPr>
            </w:pPr>
            <w:r>
              <w:rPr>
                <w:rFonts w:ascii="Times New Roman;serif" w:hAnsi="Times New Roman;serif"/>
                <w:b w:val="false"/>
                <w:i/>
                <w:sz w:val="16"/>
              </w:rPr>
              <w:t>(in thousands)</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21" w:type="dxa"/>
            <w:tcBorders/>
            <w:shd w:fill="FFFFFF" w:val="clear"/>
            <w:vAlign w:val="center"/>
          </w:tcPr>
          <w:p>
            <w:pPr>
              <w:pStyle w:val="TableContents"/>
              <w:spacing w:before="0" w:after="283"/>
              <w:rPr>
                <w:sz w:val="4"/>
                <w:szCs w:val="4"/>
              </w:rPr>
            </w:pPr>
            <w:r>
              <w:rPr>
                <w:sz w:val="4"/>
                <w:szCs w:val="4"/>
              </w:rPr>
            </w:r>
          </w:p>
        </w:tc>
      </w:tr>
      <w:tr>
        <w:trPr/>
        <w:tc>
          <w:tcPr>
            <w:tcW w:w="11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2021</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3,123</w:t>
            </w:r>
          </w:p>
        </w:tc>
      </w:tr>
      <w:tr>
        <w:trPr/>
        <w:tc>
          <w:tcPr>
            <w:tcW w:w="112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3,193</w:t>
            </w:r>
          </w:p>
        </w:tc>
      </w:tr>
      <w:tr>
        <w:trPr/>
        <w:tc>
          <w:tcPr>
            <w:tcW w:w="11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2023</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44,018</w:t>
            </w:r>
          </w:p>
        </w:tc>
      </w:tr>
      <w:tr>
        <w:trPr/>
        <w:tc>
          <w:tcPr>
            <w:tcW w:w="112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2024</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847</w:t>
            </w:r>
          </w:p>
        </w:tc>
      </w:tr>
      <w:tr>
        <w:trPr/>
        <w:tc>
          <w:tcPr>
            <w:tcW w:w="11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931</w:t>
            </w:r>
          </w:p>
        </w:tc>
      </w:tr>
      <w:tr>
        <w:trPr/>
        <w:tc>
          <w:tcPr>
            <w:tcW w:w="112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Thereafter</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2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25,292</w:t>
            </w:r>
          </w:p>
        </w:tc>
      </w:tr>
      <w:tr>
        <w:trPr/>
        <w:tc>
          <w:tcPr>
            <w:tcW w:w="112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2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77,404</w:t>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  ACCRUED EXPENSES AND OTHER CURRENT LIABILITIES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Accrued expenses and other current liabilities consist of the following:</w:t>
      </w:r>
    </w:p>
    <w:tbl>
      <w:tblPr>
        <w:tblW w:w="7299" w:type="dxa"/>
        <w:jc w:val="left"/>
        <w:tblInd w:w="0" w:type="dxa"/>
        <w:tblCellMar>
          <w:top w:w="0" w:type="dxa"/>
          <w:left w:w="0" w:type="dxa"/>
          <w:bottom w:w="0" w:type="dxa"/>
          <w:right w:w="0" w:type="dxa"/>
        </w:tblCellMar>
      </w:tblPr>
      <w:tblGrid>
        <w:gridCol w:w="4261"/>
        <w:gridCol w:w="109"/>
        <w:gridCol w:w="332"/>
        <w:gridCol w:w="1063"/>
        <w:gridCol w:w="109"/>
        <w:gridCol w:w="322"/>
        <w:gridCol w:w="1103"/>
      </w:tblGrid>
      <w:tr>
        <w:trPr/>
        <w:tc>
          <w:tcPr>
            <w:tcW w:w="426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32" w:type="dxa"/>
            <w:tcBorders/>
            <w:shd w:fill="FFFFFF" w:val="clear"/>
            <w:vAlign w:val="center"/>
          </w:tcPr>
          <w:p>
            <w:pPr>
              <w:pStyle w:val="TableContents"/>
              <w:spacing w:before="0" w:after="283"/>
              <w:rPr>
                <w:sz w:val="4"/>
                <w:szCs w:val="4"/>
              </w:rPr>
            </w:pPr>
            <w:r>
              <w:rPr>
                <w:sz w:val="4"/>
                <w:szCs w:val="4"/>
              </w:rPr>
            </w:r>
          </w:p>
        </w:tc>
        <w:tc>
          <w:tcPr>
            <w:tcW w:w="106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22" w:type="dxa"/>
            <w:tcBorders/>
            <w:shd w:fill="FFFFFF" w:val="clear"/>
            <w:vAlign w:val="center"/>
          </w:tcPr>
          <w:p>
            <w:pPr>
              <w:pStyle w:val="TableContents"/>
              <w:spacing w:before="0" w:after="283"/>
              <w:rPr>
                <w:sz w:val="4"/>
                <w:szCs w:val="4"/>
              </w:rPr>
            </w:pPr>
            <w:r>
              <w:rPr>
                <w:sz w:val="4"/>
                <w:szCs w:val="4"/>
              </w:rPr>
            </w:r>
          </w:p>
        </w:tc>
        <w:tc>
          <w:tcPr>
            <w:tcW w:w="1103" w:type="dxa"/>
            <w:tcBorders/>
            <w:shd w:fill="FFFFFF" w:val="clear"/>
            <w:vAlign w:val="center"/>
          </w:tcPr>
          <w:p>
            <w:pPr>
              <w:pStyle w:val="TableContents"/>
              <w:spacing w:before="0" w:after="283"/>
              <w:rPr>
                <w:sz w:val="4"/>
                <w:szCs w:val="4"/>
              </w:rPr>
            </w:pPr>
            <w:r>
              <w:rPr>
                <w:sz w:val="4"/>
                <w:szCs w:val="4"/>
              </w:rPr>
            </w:r>
          </w:p>
        </w:tc>
      </w:tr>
      <w:tr>
        <w:trPr/>
        <w:tc>
          <w:tcPr>
            <w:tcW w:w="426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39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January 31, 2021</w:t>
            </w:r>
          </w:p>
        </w:tc>
        <w:tc>
          <w:tcPr>
            <w:tcW w:w="109" w:type="dxa"/>
            <w:tcBorders/>
            <w:shd w:fill="FFFFFF" w:val="clear"/>
            <w:vAlign w:val="center"/>
          </w:tcPr>
          <w:p>
            <w:pPr>
              <w:pStyle w:val="TableContents"/>
              <w:spacing w:before="0" w:after="283"/>
              <w:rPr>
                <w:sz w:val="4"/>
                <w:szCs w:val="4"/>
              </w:rPr>
            </w:pPr>
            <w:r>
              <w:rPr>
                <w:sz w:val="4"/>
                <w:szCs w:val="4"/>
              </w:rPr>
            </w:r>
          </w:p>
        </w:tc>
        <w:tc>
          <w:tcPr>
            <w:tcW w:w="142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February 2, 2020</w:t>
            </w:r>
          </w:p>
        </w:tc>
      </w:tr>
      <w:tr>
        <w:trPr/>
        <w:tc>
          <w:tcPr>
            <w:tcW w:w="4261" w:type="dxa"/>
            <w:tcBorders/>
            <w:shd w:fill="FFFFFF" w:val="clear"/>
            <w:vAlign w:val="center"/>
          </w:tcPr>
          <w:p>
            <w:pPr>
              <w:pStyle w:val="TableContents"/>
              <w:bidi w:val="0"/>
              <w:spacing w:lineRule="auto" w:line="259" w:before="0" w:after="283"/>
              <w:rPr>
                <w:rFonts w:ascii="Times New Roman;serif" w:hAnsi="Times New Roman;serif"/>
                <w:b w:val="false"/>
                <w:i/>
                <w:sz w:val="16"/>
              </w:rPr>
            </w:pPr>
            <w:r>
              <w:rPr>
                <w:rFonts w:ascii="Times New Roman;serif" w:hAnsi="Times New Roman;serif"/>
                <w:b w:val="false"/>
                <w:i/>
                <w:sz w:val="16"/>
              </w:rPr>
              <w:t>(in thousands)</w:t>
            </w:r>
          </w:p>
        </w:tc>
        <w:tc>
          <w:tcPr>
            <w:tcW w:w="109" w:type="dxa"/>
            <w:tcBorders/>
            <w:shd w:fill="FFFFFF" w:val="clear"/>
            <w:vAlign w:val="center"/>
          </w:tcPr>
          <w:p>
            <w:pPr>
              <w:pStyle w:val="TableContents"/>
              <w:spacing w:before="0" w:after="283"/>
              <w:rPr>
                <w:sz w:val="4"/>
                <w:szCs w:val="4"/>
              </w:rPr>
            </w:pPr>
            <w:r>
              <w:rPr>
                <w:sz w:val="4"/>
                <w:szCs w:val="4"/>
              </w:rPr>
            </w:r>
          </w:p>
        </w:tc>
        <w:tc>
          <w:tcPr>
            <w:tcW w:w="332"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63"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22"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03"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42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Salaries and benefits</w:t>
            </w:r>
          </w:p>
        </w:tc>
        <w:tc>
          <w:tcPr>
            <w:tcW w:w="109" w:type="dxa"/>
            <w:tcBorders/>
            <w:shd w:fill="CCEEFF" w:val="clear"/>
            <w:vAlign w:val="center"/>
          </w:tcPr>
          <w:p>
            <w:pPr>
              <w:pStyle w:val="TableContents"/>
              <w:spacing w:before="0" w:after="283"/>
              <w:rPr>
                <w:sz w:val="4"/>
                <w:szCs w:val="4"/>
              </w:rPr>
            </w:pPr>
            <w:r>
              <w:rPr>
                <w:sz w:val="4"/>
                <w:szCs w:val="4"/>
              </w:rPr>
            </w:r>
          </w:p>
        </w:tc>
        <w:tc>
          <w:tcPr>
            <w:tcW w:w="33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8,826</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2,775</w:t>
            </w:r>
          </w:p>
        </w:tc>
      </w:tr>
      <w:tr>
        <w:trPr/>
        <w:tc>
          <w:tcPr>
            <w:tcW w:w="426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revenue</w:t>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9,944</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9,946</w:t>
            </w:r>
          </w:p>
        </w:tc>
      </w:tr>
      <w:tr>
        <w:trPr/>
        <w:tc>
          <w:tcPr>
            <w:tcW w:w="42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Freight</w:t>
            </w:r>
          </w:p>
        </w:tc>
        <w:tc>
          <w:tcPr>
            <w:tcW w:w="109" w:type="dxa"/>
            <w:tcBorders/>
            <w:shd w:fill="CCEEFF" w:val="clear"/>
            <w:vAlign w:val="center"/>
          </w:tcPr>
          <w:p>
            <w:pPr>
              <w:pStyle w:val="TableContents"/>
              <w:spacing w:before="0" w:after="283"/>
              <w:rPr>
                <w:sz w:val="4"/>
                <w:szCs w:val="4"/>
              </w:rPr>
            </w:pPr>
            <w:r>
              <w:rPr>
                <w:sz w:val="4"/>
                <w:szCs w:val="4"/>
              </w:rPr>
            </w:r>
          </w:p>
        </w:tc>
        <w:tc>
          <w:tcPr>
            <w:tcW w:w="332" w:type="dxa"/>
            <w:tcBorders/>
            <w:shd w:fill="CCEEFF" w:val="clear"/>
            <w:vAlign w:val="center"/>
          </w:tcPr>
          <w:p>
            <w:pPr>
              <w:pStyle w:val="TableContents"/>
              <w:spacing w:before="0" w:after="283"/>
              <w:rPr>
                <w:sz w:val="4"/>
                <w:szCs w:val="4"/>
              </w:rPr>
            </w:pPr>
            <w:r>
              <w:rPr>
                <w:sz w:val="4"/>
                <w:szCs w:val="4"/>
              </w:rPr>
            </w:r>
          </w:p>
        </w:tc>
        <w:tc>
          <w:tcPr>
            <w:tcW w:w="10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6,769</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shd w:fill="CCEEFF" w:val="clear"/>
            <w:vAlign w:val="center"/>
          </w:tcPr>
          <w:p>
            <w:pPr>
              <w:pStyle w:val="TableContents"/>
              <w:spacing w:before="0" w:after="283"/>
              <w:rPr>
                <w:sz w:val="4"/>
                <w:szCs w:val="4"/>
              </w:rPr>
            </w:pPr>
            <w:r>
              <w:rPr>
                <w:sz w:val="4"/>
                <w:szCs w:val="4"/>
              </w:rPr>
            </w:r>
          </w:p>
        </w:tc>
        <w:tc>
          <w:tcPr>
            <w:tcW w:w="110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5,404</w:t>
            </w:r>
          </w:p>
        </w:tc>
      </w:tr>
      <w:tr>
        <w:trPr/>
        <w:tc>
          <w:tcPr>
            <w:tcW w:w="426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Product returns</w:t>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5,304</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3,508</w:t>
            </w:r>
          </w:p>
        </w:tc>
      </w:tr>
      <w:tr>
        <w:trPr/>
        <w:tc>
          <w:tcPr>
            <w:tcW w:w="42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Catalog costs</w:t>
            </w:r>
          </w:p>
        </w:tc>
        <w:tc>
          <w:tcPr>
            <w:tcW w:w="109" w:type="dxa"/>
            <w:tcBorders/>
            <w:shd w:fill="CCEEFF" w:val="clear"/>
            <w:vAlign w:val="center"/>
          </w:tcPr>
          <w:p>
            <w:pPr>
              <w:pStyle w:val="TableContents"/>
              <w:spacing w:before="0" w:after="283"/>
              <w:rPr>
                <w:sz w:val="4"/>
                <w:szCs w:val="4"/>
              </w:rPr>
            </w:pPr>
            <w:r>
              <w:rPr>
                <w:sz w:val="4"/>
                <w:szCs w:val="4"/>
              </w:rPr>
            </w:r>
          </w:p>
        </w:tc>
        <w:tc>
          <w:tcPr>
            <w:tcW w:w="332" w:type="dxa"/>
            <w:tcBorders/>
            <w:shd w:fill="CCEEFF" w:val="clear"/>
            <w:vAlign w:val="center"/>
          </w:tcPr>
          <w:p>
            <w:pPr>
              <w:pStyle w:val="TableContents"/>
              <w:spacing w:before="0" w:after="283"/>
              <w:rPr>
                <w:sz w:val="4"/>
                <w:szCs w:val="4"/>
              </w:rPr>
            </w:pPr>
            <w:r>
              <w:rPr>
                <w:sz w:val="4"/>
                <w:szCs w:val="4"/>
              </w:rPr>
            </w:r>
          </w:p>
        </w:tc>
        <w:tc>
          <w:tcPr>
            <w:tcW w:w="10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396</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shd w:fill="CCEEFF" w:val="clear"/>
            <w:vAlign w:val="center"/>
          </w:tcPr>
          <w:p>
            <w:pPr>
              <w:pStyle w:val="TableContents"/>
              <w:spacing w:before="0" w:after="283"/>
              <w:rPr>
                <w:sz w:val="4"/>
                <w:szCs w:val="4"/>
              </w:rPr>
            </w:pPr>
            <w:r>
              <w:rPr>
                <w:sz w:val="4"/>
                <w:szCs w:val="4"/>
              </w:rPr>
            </w:r>
          </w:p>
        </w:tc>
        <w:tc>
          <w:tcPr>
            <w:tcW w:w="110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542</w:t>
            </w:r>
          </w:p>
        </w:tc>
      </w:tr>
      <w:tr>
        <w:trPr/>
        <w:tc>
          <w:tcPr>
            <w:tcW w:w="426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Unpaid purchases of property &amp; equipment</w:t>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503</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971</w:t>
            </w:r>
          </w:p>
        </w:tc>
      </w:tr>
      <w:tr>
        <w:trPr/>
        <w:tc>
          <w:tcPr>
            <w:tcW w:w="42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Accrued advertising</w:t>
            </w:r>
          </w:p>
        </w:tc>
        <w:tc>
          <w:tcPr>
            <w:tcW w:w="109" w:type="dxa"/>
            <w:tcBorders/>
            <w:shd w:fill="CCEEFF" w:val="clear"/>
            <w:vAlign w:val="center"/>
          </w:tcPr>
          <w:p>
            <w:pPr>
              <w:pStyle w:val="TableContents"/>
              <w:spacing w:before="0" w:after="283"/>
              <w:rPr>
                <w:sz w:val="4"/>
                <w:szCs w:val="4"/>
              </w:rPr>
            </w:pPr>
            <w:r>
              <w:rPr>
                <w:sz w:val="4"/>
                <w:szCs w:val="4"/>
              </w:rPr>
            </w:r>
          </w:p>
        </w:tc>
        <w:tc>
          <w:tcPr>
            <w:tcW w:w="332" w:type="dxa"/>
            <w:tcBorders/>
            <w:shd w:fill="CCEEFF" w:val="clear"/>
            <w:vAlign w:val="center"/>
          </w:tcPr>
          <w:p>
            <w:pPr>
              <w:pStyle w:val="TableContents"/>
              <w:spacing w:before="0" w:after="283"/>
              <w:rPr>
                <w:sz w:val="4"/>
                <w:szCs w:val="4"/>
              </w:rPr>
            </w:pPr>
            <w:r>
              <w:rPr>
                <w:sz w:val="4"/>
                <w:szCs w:val="4"/>
              </w:rPr>
            </w:r>
          </w:p>
        </w:tc>
        <w:tc>
          <w:tcPr>
            <w:tcW w:w="10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981</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shd w:fill="CCEEFF" w:val="clear"/>
            <w:vAlign w:val="center"/>
          </w:tcPr>
          <w:p>
            <w:pPr>
              <w:pStyle w:val="TableContents"/>
              <w:spacing w:before="0" w:after="283"/>
              <w:rPr>
                <w:sz w:val="4"/>
                <w:szCs w:val="4"/>
              </w:rPr>
            </w:pPr>
            <w:r>
              <w:rPr>
                <w:sz w:val="4"/>
                <w:szCs w:val="4"/>
              </w:rPr>
            </w:r>
          </w:p>
        </w:tc>
        <w:tc>
          <w:tcPr>
            <w:tcW w:w="110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633</w:t>
            </w:r>
          </w:p>
        </w:tc>
      </w:tr>
      <w:tr>
        <w:trPr/>
        <w:tc>
          <w:tcPr>
            <w:tcW w:w="426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63"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4,963</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3"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5,685</w:t>
            </w:r>
          </w:p>
        </w:tc>
      </w:tr>
      <w:tr>
        <w:trPr/>
        <w:tc>
          <w:tcPr>
            <w:tcW w:w="42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accrued expenses and other current liabilities</w:t>
            </w:r>
          </w:p>
        </w:tc>
        <w:tc>
          <w:tcPr>
            <w:tcW w:w="109" w:type="dxa"/>
            <w:tcBorders/>
            <w:shd w:fill="CCEEFF" w:val="clear"/>
            <w:vAlign w:val="center"/>
          </w:tcPr>
          <w:p>
            <w:pPr>
              <w:pStyle w:val="TableContents"/>
              <w:spacing w:before="0" w:after="283"/>
              <w:rPr>
                <w:sz w:val="4"/>
                <w:szCs w:val="4"/>
              </w:rPr>
            </w:pPr>
            <w:r>
              <w:rPr>
                <w:sz w:val="4"/>
                <w:szCs w:val="4"/>
              </w:rPr>
            </w:r>
          </w:p>
        </w:tc>
        <w:tc>
          <w:tcPr>
            <w:tcW w:w="33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37,686</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29,464</w:t>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6.  VARIABLE INTEREST ENTITIES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Based upon the criteria set forth in ASC 810, </w:t>
      </w:r>
      <w:r>
        <w:rPr>
          <w:rFonts w:ascii="Times New Roman;serif" w:hAnsi="Times New Roman;serif"/>
          <w:b w:val="false"/>
          <w:i/>
          <w:sz w:val="20"/>
        </w:rPr>
        <w:t>Consolidation</w:t>
      </w:r>
      <w:r>
        <w:rPr>
          <w:rFonts w:ascii="Times New Roman;serif" w:hAnsi="Times New Roman;serif"/>
          <w:b w:val="false"/>
          <w:i w:val="false"/>
          <w:caps w:val="false"/>
          <w:smallCaps w:val="false"/>
          <w:sz w:val="20"/>
        </w:rPr>
        <w:t>, the Company consolidates variable interest entities (“VIEs”) in which it has a controlling financial interest and is therefore deemed the primary beneficiary. A controlling financial interest will have both of the following characteristics: (a) the power to direct the VIE activities that most significantly impact economic performance; and (b) the obligation to absorb the VIE losses and the right to receive benefits that are significant to the VIE. The Company has determined that it was the primary beneficiary of one VIE as of January 31, 2021 and February 2, 2020.</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leases the Company’s headquarters in Mt. Horeb, Wisconsin from TRI. In conjunction with the lease, the Company originally invested $6.3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in a trust that loaned funds to TRI for the construction of the Company’s headquarters. TRI is a Wisconsin limited liability company whose primary purpose and activity is to own this real property. The Company considers itself the primary beneficiary for TRI as the Company has both the power to direct the activities that most significantly impact the entity’s economic performance and is expected to receive benefits that are significant to TRI. As the Company is the primary beneficiary, it consolidates TRI and the lease is eliminated in consolidation. The Company does not consolidate the trust as the Company is not the primary beneficiary.</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59</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DULUTH HOLDINGS INC.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Consolidated Balance Sheets include the following amounts as a result of the consolidation of TRI as of January 31, 2021 and February 2, 2020.</w:t>
      </w:r>
    </w:p>
    <w:tbl>
      <w:tblPr>
        <w:tblW w:w="6984" w:type="dxa"/>
        <w:jc w:val="left"/>
        <w:tblInd w:w="0" w:type="dxa"/>
        <w:tblCellMar>
          <w:top w:w="0" w:type="dxa"/>
          <w:left w:w="0" w:type="dxa"/>
          <w:bottom w:w="0" w:type="dxa"/>
          <w:right w:w="0" w:type="dxa"/>
        </w:tblCellMar>
      </w:tblPr>
      <w:tblGrid>
        <w:gridCol w:w="3946"/>
        <w:gridCol w:w="109"/>
        <w:gridCol w:w="331"/>
        <w:gridCol w:w="1064"/>
        <w:gridCol w:w="109"/>
        <w:gridCol w:w="322"/>
        <w:gridCol w:w="1103"/>
      </w:tblGrid>
      <w:tr>
        <w:trPr/>
        <w:tc>
          <w:tcPr>
            <w:tcW w:w="39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31" w:type="dxa"/>
            <w:tcBorders/>
            <w:shd w:fill="FFFFFF" w:val="clear"/>
            <w:vAlign w:val="center"/>
          </w:tcPr>
          <w:p>
            <w:pPr>
              <w:pStyle w:val="TableContents"/>
              <w:spacing w:before="0" w:after="283"/>
              <w:rPr>
                <w:sz w:val="4"/>
                <w:szCs w:val="4"/>
              </w:rPr>
            </w:pPr>
            <w:r>
              <w:rPr>
                <w:sz w:val="4"/>
                <w:szCs w:val="4"/>
              </w:rPr>
            </w:r>
          </w:p>
        </w:tc>
        <w:tc>
          <w:tcPr>
            <w:tcW w:w="106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22" w:type="dxa"/>
            <w:tcBorders/>
            <w:shd w:fill="FFFFFF" w:val="clear"/>
            <w:vAlign w:val="center"/>
          </w:tcPr>
          <w:p>
            <w:pPr>
              <w:pStyle w:val="TableContents"/>
              <w:spacing w:before="0" w:after="283"/>
              <w:rPr>
                <w:sz w:val="4"/>
                <w:szCs w:val="4"/>
              </w:rPr>
            </w:pPr>
            <w:r>
              <w:rPr>
                <w:sz w:val="4"/>
                <w:szCs w:val="4"/>
              </w:rPr>
            </w:r>
          </w:p>
        </w:tc>
        <w:tc>
          <w:tcPr>
            <w:tcW w:w="1103" w:type="dxa"/>
            <w:tcBorders/>
            <w:shd w:fill="FFFFFF" w:val="clear"/>
            <w:vAlign w:val="center"/>
          </w:tcPr>
          <w:p>
            <w:pPr>
              <w:pStyle w:val="TableContents"/>
              <w:spacing w:before="0" w:after="283"/>
              <w:rPr>
                <w:sz w:val="4"/>
                <w:szCs w:val="4"/>
              </w:rPr>
            </w:pPr>
            <w:r>
              <w:rPr>
                <w:sz w:val="4"/>
                <w:szCs w:val="4"/>
              </w:rPr>
            </w:r>
          </w:p>
        </w:tc>
      </w:tr>
      <w:tr>
        <w:trPr/>
        <w:tc>
          <w:tcPr>
            <w:tcW w:w="394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39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January 31, 2021</w:t>
            </w:r>
          </w:p>
        </w:tc>
        <w:tc>
          <w:tcPr>
            <w:tcW w:w="109" w:type="dxa"/>
            <w:tcBorders/>
            <w:shd w:fill="FFFFFF" w:val="clear"/>
            <w:vAlign w:val="center"/>
          </w:tcPr>
          <w:p>
            <w:pPr>
              <w:pStyle w:val="TableContents"/>
              <w:spacing w:before="0" w:after="283"/>
              <w:rPr>
                <w:sz w:val="4"/>
                <w:szCs w:val="4"/>
              </w:rPr>
            </w:pPr>
            <w:r>
              <w:rPr>
                <w:sz w:val="4"/>
                <w:szCs w:val="4"/>
              </w:rPr>
            </w:r>
          </w:p>
        </w:tc>
        <w:tc>
          <w:tcPr>
            <w:tcW w:w="142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February 2, 2020</w:t>
            </w:r>
          </w:p>
        </w:tc>
      </w:tr>
      <w:tr>
        <w:trPr/>
        <w:tc>
          <w:tcPr>
            <w:tcW w:w="3946" w:type="dxa"/>
            <w:tcBorders/>
            <w:shd w:fill="FFFFFF" w:val="clear"/>
            <w:vAlign w:val="center"/>
          </w:tcPr>
          <w:p>
            <w:pPr>
              <w:pStyle w:val="TableContents"/>
              <w:bidi w:val="0"/>
              <w:spacing w:lineRule="auto" w:line="259" w:before="0" w:after="283"/>
              <w:rPr>
                <w:rFonts w:ascii="Times New Roman;serif" w:hAnsi="Times New Roman;serif"/>
                <w:b w:val="false"/>
                <w:i/>
                <w:sz w:val="16"/>
              </w:rPr>
            </w:pPr>
            <w:r>
              <w:rPr>
                <w:rFonts w:ascii="Times New Roman;serif" w:hAnsi="Times New Roman;serif"/>
                <w:b w:val="false"/>
                <w:i/>
                <w:sz w:val="16"/>
              </w:rPr>
              <w:t>(in thousands)</w:t>
            </w:r>
          </w:p>
        </w:tc>
        <w:tc>
          <w:tcPr>
            <w:tcW w:w="109" w:type="dxa"/>
            <w:tcBorders/>
            <w:shd w:fill="FFFFFF" w:val="clear"/>
            <w:vAlign w:val="center"/>
          </w:tcPr>
          <w:p>
            <w:pPr>
              <w:pStyle w:val="TableContents"/>
              <w:spacing w:before="0" w:after="283"/>
              <w:rPr>
                <w:sz w:val="4"/>
                <w:szCs w:val="4"/>
              </w:rPr>
            </w:pPr>
            <w:r>
              <w:rPr>
                <w:sz w:val="4"/>
                <w:szCs w:val="4"/>
              </w:rPr>
            </w:r>
          </w:p>
        </w:tc>
        <w:tc>
          <w:tcPr>
            <w:tcW w:w="33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64"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22"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03"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3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w:t>
            </w:r>
          </w:p>
        </w:tc>
        <w:tc>
          <w:tcPr>
            <w:tcW w:w="109" w:type="dxa"/>
            <w:tcBorders/>
            <w:shd w:fill="CCEEFF" w:val="clear"/>
            <w:vAlign w:val="center"/>
          </w:tcPr>
          <w:p>
            <w:pPr>
              <w:pStyle w:val="TableContents"/>
              <w:spacing w:before="0" w:after="283"/>
              <w:rPr>
                <w:sz w:val="4"/>
                <w:szCs w:val="4"/>
              </w:rPr>
            </w:pPr>
            <w:r>
              <w:rPr>
                <w:sz w:val="4"/>
                <w:szCs w:val="4"/>
              </w:rPr>
            </w:r>
          </w:p>
        </w:tc>
        <w:tc>
          <w:tcPr>
            <w:tcW w:w="3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747</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279</w:t>
            </w:r>
          </w:p>
        </w:tc>
      </w:tr>
      <w:tr>
        <w:trPr/>
        <w:tc>
          <w:tcPr>
            <w:tcW w:w="394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Property and equipment, net</w:t>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64"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24,800</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3"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25,981</w:t>
            </w:r>
          </w:p>
        </w:tc>
      </w:tr>
      <w:tr>
        <w:trPr/>
        <w:tc>
          <w:tcPr>
            <w:tcW w:w="3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assets</w:t>
            </w:r>
          </w:p>
        </w:tc>
        <w:tc>
          <w:tcPr>
            <w:tcW w:w="109" w:type="dxa"/>
            <w:tcBorders/>
            <w:shd w:fill="CCEEFF" w:val="clear"/>
            <w:vAlign w:val="center"/>
          </w:tcPr>
          <w:p>
            <w:pPr>
              <w:pStyle w:val="TableContents"/>
              <w:spacing w:before="0" w:after="283"/>
              <w:rPr>
                <w:sz w:val="4"/>
                <w:szCs w:val="4"/>
              </w:rPr>
            </w:pPr>
            <w:r>
              <w:rPr>
                <w:sz w:val="4"/>
                <w:szCs w:val="4"/>
              </w:rPr>
            </w:r>
          </w:p>
        </w:tc>
        <w:tc>
          <w:tcPr>
            <w:tcW w:w="33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25,547</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26,260</w:t>
            </w:r>
          </w:p>
        </w:tc>
      </w:tr>
      <w:tr>
        <w:trPr/>
        <w:tc>
          <w:tcPr>
            <w:tcW w:w="39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64"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103"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r>
      <w:tr>
        <w:trPr/>
        <w:tc>
          <w:tcPr>
            <w:tcW w:w="3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current liabilities</w:t>
            </w:r>
          </w:p>
        </w:tc>
        <w:tc>
          <w:tcPr>
            <w:tcW w:w="109" w:type="dxa"/>
            <w:tcBorders/>
            <w:shd w:fill="CCEEFF" w:val="clear"/>
            <w:vAlign w:val="center"/>
          </w:tcPr>
          <w:p>
            <w:pPr>
              <w:pStyle w:val="TableContents"/>
              <w:spacing w:before="0" w:after="283"/>
              <w:rPr>
                <w:sz w:val="4"/>
                <w:szCs w:val="4"/>
              </w:rPr>
            </w:pPr>
            <w:r>
              <w:rPr>
                <w:sz w:val="4"/>
                <w:szCs w:val="4"/>
              </w:rPr>
            </w:r>
          </w:p>
        </w:tc>
        <w:tc>
          <w:tcPr>
            <w:tcW w:w="3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91</w:t>
            </w:r>
          </w:p>
        </w:tc>
      </w:tr>
      <w:tr>
        <w:trPr/>
        <w:tc>
          <w:tcPr>
            <w:tcW w:w="394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 maturities of TRI long-term debt</w:t>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623</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557</w:t>
            </w:r>
          </w:p>
        </w:tc>
      </w:tr>
      <w:tr>
        <w:trPr/>
        <w:tc>
          <w:tcPr>
            <w:tcW w:w="3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TRI long-term debt</w:t>
            </w:r>
          </w:p>
        </w:tc>
        <w:tc>
          <w:tcPr>
            <w:tcW w:w="109" w:type="dxa"/>
            <w:tcBorders/>
            <w:shd w:fill="CCEEFF" w:val="clear"/>
            <w:vAlign w:val="center"/>
          </w:tcPr>
          <w:p>
            <w:pPr>
              <w:pStyle w:val="TableContents"/>
              <w:spacing w:before="0" w:after="283"/>
              <w:rPr>
                <w:sz w:val="4"/>
                <w:szCs w:val="4"/>
              </w:rPr>
            </w:pPr>
            <w:r>
              <w:rPr>
                <w:sz w:val="4"/>
                <w:szCs w:val="4"/>
              </w:rPr>
            </w:r>
          </w:p>
        </w:tc>
        <w:tc>
          <w:tcPr>
            <w:tcW w:w="331" w:type="dxa"/>
            <w:tcBorders/>
            <w:shd w:fill="CCEEFF" w:val="clear"/>
            <w:vAlign w:val="center"/>
          </w:tcPr>
          <w:p>
            <w:pPr>
              <w:pStyle w:val="TableContents"/>
              <w:spacing w:before="0" w:after="283"/>
              <w:rPr>
                <w:sz w:val="4"/>
                <w:szCs w:val="4"/>
              </w:rPr>
            </w:pPr>
            <w:r>
              <w:rPr>
                <w:sz w:val="4"/>
                <w:szCs w:val="4"/>
              </w:rPr>
            </w:r>
          </w:p>
        </w:tc>
        <w:tc>
          <w:tcPr>
            <w:tcW w:w="106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27,229</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shd w:fill="CCEEFF" w:val="clear"/>
            <w:vAlign w:val="center"/>
          </w:tcPr>
          <w:p>
            <w:pPr>
              <w:pStyle w:val="TableContents"/>
              <w:spacing w:before="0" w:after="283"/>
              <w:rPr>
                <w:sz w:val="4"/>
                <w:szCs w:val="4"/>
              </w:rPr>
            </w:pPr>
            <w:r>
              <w:rPr>
                <w:sz w:val="4"/>
                <w:szCs w:val="4"/>
              </w:rPr>
            </w:r>
          </w:p>
        </w:tc>
        <w:tc>
          <w:tcPr>
            <w:tcW w:w="110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27,778</w:t>
            </w:r>
          </w:p>
        </w:tc>
      </w:tr>
      <w:tr>
        <w:trPr/>
        <w:tc>
          <w:tcPr>
            <w:tcW w:w="394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Noncontrolling interest in VIE</w:t>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64"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(2,363)</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3"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(2,166)</w:t>
            </w:r>
          </w:p>
        </w:tc>
      </w:tr>
      <w:tr>
        <w:trPr/>
        <w:tc>
          <w:tcPr>
            <w:tcW w:w="3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liabilities and shareholders&amp;apos; equity</w:t>
            </w:r>
          </w:p>
        </w:tc>
        <w:tc>
          <w:tcPr>
            <w:tcW w:w="109" w:type="dxa"/>
            <w:tcBorders/>
            <w:shd w:fill="CCEEFF" w:val="clear"/>
            <w:vAlign w:val="center"/>
          </w:tcPr>
          <w:p>
            <w:pPr>
              <w:pStyle w:val="TableContents"/>
              <w:spacing w:before="0" w:after="283"/>
              <w:rPr>
                <w:sz w:val="4"/>
                <w:szCs w:val="4"/>
              </w:rPr>
            </w:pPr>
            <w:r>
              <w:rPr>
                <w:sz w:val="4"/>
                <w:szCs w:val="4"/>
              </w:rPr>
            </w:r>
          </w:p>
        </w:tc>
        <w:tc>
          <w:tcPr>
            <w:tcW w:w="33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25,547</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26,260</w:t>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7.  EARNINGS PER SHARE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Earnings per share is computed under the provisions of ASC 260</w:t>
      </w:r>
      <w:r>
        <w:rPr>
          <w:rFonts w:ascii="Times New Roman;serif" w:hAnsi="Times New Roman;serif"/>
          <w:b w:val="false"/>
          <w:i/>
          <w:sz w:val="20"/>
        </w:rPr>
        <w:t>, Earnings Per Share</w:t>
      </w:r>
      <w:r>
        <w:rPr>
          <w:rFonts w:ascii="Times New Roman;serif" w:hAnsi="Times New Roman;serif"/>
          <w:b w:val="false"/>
          <w:i w:val="false"/>
          <w:caps w:val="false"/>
          <w:smallCaps w:val="false"/>
          <w:sz w:val="20"/>
        </w:rPr>
        <w:t>. Basic earnings per share is based on the weighted average number of common shares outstanding for the period. Diluted earnings per share is based on the weighted average number of common shares plus the effect of dilutive potential common shares outstanding during the period using the treasury stock method. Dilutive potential common shares include outstanding restricted stock and are considered only for dilutive earnings per share unless considered anti-dilutive. The reconciliation of the numerator and denominator of the basic and diluted earnings per share calculation is as follows:</w:t>
      </w:r>
    </w:p>
    <w:tbl>
      <w:tblPr>
        <w:tblW w:w="8124" w:type="dxa"/>
        <w:jc w:val="left"/>
        <w:tblInd w:w="0" w:type="dxa"/>
        <w:tblCellMar>
          <w:top w:w="0" w:type="dxa"/>
          <w:left w:w="0" w:type="dxa"/>
          <w:bottom w:w="0" w:type="dxa"/>
          <w:right w:w="0" w:type="dxa"/>
        </w:tblCellMar>
      </w:tblPr>
      <w:tblGrid>
        <w:gridCol w:w="5086"/>
        <w:gridCol w:w="109"/>
        <w:gridCol w:w="313"/>
        <w:gridCol w:w="1082"/>
        <w:gridCol w:w="109"/>
        <w:gridCol w:w="304"/>
        <w:gridCol w:w="1121"/>
      </w:tblGrid>
      <w:tr>
        <w:trPr/>
        <w:tc>
          <w:tcPr>
            <w:tcW w:w="508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13" w:type="dxa"/>
            <w:tcBorders/>
            <w:shd w:fill="FFFFFF" w:val="clear"/>
            <w:vAlign w:val="center"/>
          </w:tcPr>
          <w:p>
            <w:pPr>
              <w:pStyle w:val="TableContents"/>
              <w:spacing w:before="0" w:after="283"/>
              <w:rPr>
                <w:sz w:val="4"/>
                <w:szCs w:val="4"/>
              </w:rPr>
            </w:pPr>
            <w:r>
              <w:rPr>
                <w:sz w:val="4"/>
                <w:szCs w:val="4"/>
              </w:rPr>
            </w:r>
          </w:p>
        </w:tc>
        <w:tc>
          <w:tcPr>
            <w:tcW w:w="1082"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04" w:type="dxa"/>
            <w:tcBorders/>
            <w:shd w:fill="FFFFFF" w:val="clear"/>
            <w:vAlign w:val="center"/>
          </w:tcPr>
          <w:p>
            <w:pPr>
              <w:pStyle w:val="TableContents"/>
              <w:spacing w:before="0" w:after="283"/>
              <w:rPr>
                <w:sz w:val="4"/>
                <w:szCs w:val="4"/>
              </w:rPr>
            </w:pPr>
            <w:r>
              <w:rPr>
                <w:sz w:val="4"/>
                <w:szCs w:val="4"/>
              </w:rPr>
            </w:r>
          </w:p>
        </w:tc>
        <w:tc>
          <w:tcPr>
            <w:tcW w:w="1121" w:type="dxa"/>
            <w:tcBorders/>
            <w:shd w:fill="FFFFFF" w:val="clear"/>
            <w:vAlign w:val="center"/>
          </w:tcPr>
          <w:p>
            <w:pPr>
              <w:pStyle w:val="TableContents"/>
              <w:spacing w:before="0" w:after="283"/>
              <w:rPr>
                <w:sz w:val="4"/>
                <w:szCs w:val="4"/>
              </w:rPr>
            </w:pPr>
            <w:r>
              <w:rPr>
                <w:sz w:val="4"/>
                <w:szCs w:val="4"/>
              </w:rPr>
            </w:r>
          </w:p>
        </w:tc>
      </w:tr>
      <w:tr>
        <w:trPr/>
        <w:tc>
          <w:tcPr>
            <w:tcW w:w="508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13" w:type="dxa"/>
            <w:tcBorders/>
            <w:shd w:fill="FFFFFF" w:val="clear"/>
            <w:vAlign w:val="center"/>
          </w:tcPr>
          <w:p>
            <w:pPr>
              <w:pStyle w:val="TableContents"/>
              <w:spacing w:before="0" w:after="283"/>
              <w:rPr>
                <w:sz w:val="4"/>
                <w:szCs w:val="4"/>
              </w:rPr>
            </w:pPr>
            <w:r>
              <w:rPr>
                <w:sz w:val="4"/>
                <w:szCs w:val="4"/>
              </w:rPr>
            </w:r>
          </w:p>
        </w:tc>
        <w:tc>
          <w:tcPr>
            <w:tcW w:w="1082"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04" w:type="dxa"/>
            <w:tcBorders/>
            <w:shd w:fill="FFFFFF" w:val="clear"/>
            <w:vAlign w:val="center"/>
          </w:tcPr>
          <w:p>
            <w:pPr>
              <w:pStyle w:val="TableContents"/>
              <w:spacing w:before="0" w:after="283"/>
              <w:rPr>
                <w:sz w:val="4"/>
                <w:szCs w:val="4"/>
              </w:rPr>
            </w:pPr>
            <w:r>
              <w:rPr>
                <w:sz w:val="4"/>
                <w:szCs w:val="4"/>
              </w:rPr>
            </w:r>
          </w:p>
        </w:tc>
        <w:tc>
          <w:tcPr>
            <w:tcW w:w="1121" w:type="dxa"/>
            <w:tcBorders/>
            <w:shd w:fill="FFFFFF" w:val="clear"/>
            <w:vAlign w:val="center"/>
          </w:tcPr>
          <w:p>
            <w:pPr>
              <w:pStyle w:val="TableContents"/>
              <w:spacing w:before="0" w:after="283"/>
              <w:rPr>
                <w:sz w:val="4"/>
                <w:szCs w:val="4"/>
              </w:rPr>
            </w:pPr>
            <w:r>
              <w:rPr>
                <w:sz w:val="4"/>
                <w:szCs w:val="4"/>
              </w:rPr>
            </w:r>
          </w:p>
        </w:tc>
      </w:tr>
      <w:tr>
        <w:trPr/>
        <w:tc>
          <w:tcPr>
            <w:tcW w:w="508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929"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Fiscal Year Ended</w:t>
            </w:r>
          </w:p>
        </w:tc>
      </w:tr>
      <w:tr>
        <w:trPr/>
        <w:tc>
          <w:tcPr>
            <w:tcW w:w="508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39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January 31, 2021</w:t>
            </w:r>
          </w:p>
        </w:tc>
        <w:tc>
          <w:tcPr>
            <w:tcW w:w="109" w:type="dxa"/>
            <w:tcBorders/>
            <w:shd w:fill="FFFFFF" w:val="clear"/>
            <w:vAlign w:val="center"/>
          </w:tcPr>
          <w:p>
            <w:pPr>
              <w:pStyle w:val="TableContents"/>
              <w:spacing w:before="0" w:after="283"/>
              <w:rPr>
                <w:sz w:val="4"/>
                <w:szCs w:val="4"/>
              </w:rPr>
            </w:pPr>
            <w:r>
              <w:rPr>
                <w:sz w:val="4"/>
                <w:szCs w:val="4"/>
              </w:rPr>
            </w:r>
          </w:p>
        </w:tc>
        <w:tc>
          <w:tcPr>
            <w:tcW w:w="142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February 2, 2020</w:t>
            </w:r>
          </w:p>
        </w:tc>
      </w:tr>
      <w:tr>
        <w:trPr/>
        <w:tc>
          <w:tcPr>
            <w:tcW w:w="5086" w:type="dxa"/>
            <w:tcBorders/>
            <w:shd w:fill="FFFFFF" w:val="clear"/>
            <w:vAlign w:val="center"/>
          </w:tcPr>
          <w:p>
            <w:pPr>
              <w:pStyle w:val="TableContents"/>
              <w:bidi w:val="0"/>
              <w:spacing w:lineRule="auto" w:line="259" w:before="0" w:after="283"/>
              <w:rPr>
                <w:rFonts w:ascii="Times New Roman;serif" w:hAnsi="Times New Roman;serif"/>
                <w:b w:val="false"/>
                <w:i/>
                <w:sz w:val="16"/>
              </w:rPr>
            </w:pPr>
            <w:r>
              <w:rPr>
                <w:rFonts w:ascii="Times New Roman;serif" w:hAnsi="Times New Roman;serif"/>
                <w:b w:val="false"/>
                <w:i/>
                <w:sz w:val="16"/>
              </w:rPr>
              <w:t>(in thousands, except per share data)</w:t>
            </w:r>
          </w:p>
        </w:tc>
        <w:tc>
          <w:tcPr>
            <w:tcW w:w="109" w:type="dxa"/>
            <w:tcBorders/>
            <w:shd w:fill="FFFFFF" w:val="clear"/>
            <w:vAlign w:val="center"/>
          </w:tcPr>
          <w:p>
            <w:pPr>
              <w:pStyle w:val="TableContents"/>
              <w:spacing w:before="0" w:after="283"/>
              <w:rPr>
                <w:sz w:val="4"/>
                <w:szCs w:val="4"/>
              </w:rPr>
            </w:pPr>
            <w:r>
              <w:rPr>
                <w:sz w:val="4"/>
                <w:szCs w:val="4"/>
              </w:rPr>
            </w:r>
          </w:p>
        </w:tc>
        <w:tc>
          <w:tcPr>
            <w:tcW w:w="313"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82"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04"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2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50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Numerator - net income attributable to controlling interest</w:t>
            </w:r>
          </w:p>
        </w:tc>
        <w:tc>
          <w:tcPr>
            <w:tcW w:w="109" w:type="dxa"/>
            <w:tcBorders/>
            <w:shd w:fill="CCEEFF" w:val="clear"/>
            <w:vAlign w:val="center"/>
          </w:tcPr>
          <w:p>
            <w:pPr>
              <w:pStyle w:val="TableContents"/>
              <w:spacing w:before="0" w:after="283"/>
              <w:rPr>
                <w:sz w:val="4"/>
                <w:szCs w:val="4"/>
              </w:rPr>
            </w:pPr>
            <w:r>
              <w:rPr>
                <w:sz w:val="4"/>
                <w:szCs w:val="4"/>
              </w:rPr>
            </w:r>
          </w:p>
        </w:tc>
        <w:tc>
          <w:tcPr>
            <w:tcW w:w="313"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13,577</w:t>
            </w:r>
          </w:p>
        </w:tc>
        <w:tc>
          <w:tcPr>
            <w:tcW w:w="109" w:type="dxa"/>
            <w:tcBorders/>
            <w:shd w:fill="CCEEFF" w:val="clear"/>
            <w:vAlign w:val="center"/>
          </w:tcPr>
          <w:p>
            <w:pPr>
              <w:pStyle w:val="TableContents"/>
              <w:spacing w:before="0" w:after="283"/>
              <w:rPr>
                <w:sz w:val="4"/>
                <w:szCs w:val="4"/>
              </w:rPr>
            </w:pPr>
            <w:r>
              <w:rPr>
                <w:sz w:val="4"/>
                <w:szCs w:val="4"/>
              </w:rPr>
            </w:r>
          </w:p>
        </w:tc>
        <w:tc>
          <w:tcPr>
            <w:tcW w:w="304"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1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18,921</w:t>
            </w:r>
          </w:p>
        </w:tc>
      </w:tr>
      <w:tr>
        <w:trPr/>
        <w:tc>
          <w:tcPr>
            <w:tcW w:w="508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Denominator - weighted average shares (Class A and Class B)</w:t>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r>
      <w:tr>
        <w:trPr/>
        <w:tc>
          <w:tcPr>
            <w:tcW w:w="50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Basic</w:t>
            </w:r>
          </w:p>
        </w:tc>
        <w:tc>
          <w:tcPr>
            <w:tcW w:w="109" w:type="dxa"/>
            <w:tcBorders/>
            <w:shd w:fill="CCEEFF" w:val="clear"/>
            <w:vAlign w:val="center"/>
          </w:tcPr>
          <w:p>
            <w:pPr>
              <w:pStyle w:val="TableContents"/>
              <w:spacing w:before="0" w:after="283"/>
              <w:rPr>
                <w:sz w:val="4"/>
                <w:szCs w:val="4"/>
              </w:rPr>
            </w:pPr>
            <w:r>
              <w:rPr>
                <w:sz w:val="4"/>
                <w:szCs w:val="4"/>
              </w:rPr>
            </w:r>
          </w:p>
        </w:tc>
        <w:tc>
          <w:tcPr>
            <w:tcW w:w="313" w:type="dxa"/>
            <w:tcBorders/>
            <w:shd w:fill="CCEEFF" w:val="clear"/>
            <w:vAlign w:val="center"/>
          </w:tcPr>
          <w:p>
            <w:pPr>
              <w:pStyle w:val="TableContents"/>
              <w:spacing w:before="0" w:after="283"/>
              <w:rPr>
                <w:sz w:val="4"/>
                <w:szCs w:val="4"/>
              </w:rPr>
            </w:pPr>
            <w:r>
              <w:rPr>
                <w:sz w:val="4"/>
                <w:szCs w:val="4"/>
              </w:rPr>
            </w:r>
          </w:p>
        </w:tc>
        <w:tc>
          <w:tcPr>
            <w:tcW w:w="10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32,447</w:t>
            </w:r>
          </w:p>
        </w:tc>
        <w:tc>
          <w:tcPr>
            <w:tcW w:w="109" w:type="dxa"/>
            <w:tcBorders/>
            <w:shd w:fill="CCEEFF" w:val="clear"/>
            <w:vAlign w:val="center"/>
          </w:tcPr>
          <w:p>
            <w:pPr>
              <w:pStyle w:val="TableContents"/>
              <w:spacing w:before="0" w:after="283"/>
              <w:rPr>
                <w:sz w:val="4"/>
                <w:szCs w:val="4"/>
              </w:rPr>
            </w:pPr>
            <w:r>
              <w:rPr>
                <w:sz w:val="4"/>
                <w:szCs w:val="4"/>
              </w:rPr>
            </w:r>
          </w:p>
        </w:tc>
        <w:tc>
          <w:tcPr>
            <w:tcW w:w="304" w:type="dxa"/>
            <w:tcBorders/>
            <w:shd w:fill="CCEEFF" w:val="clear"/>
            <w:vAlign w:val="center"/>
          </w:tcPr>
          <w:p>
            <w:pPr>
              <w:pStyle w:val="TableContents"/>
              <w:spacing w:before="0" w:after="283"/>
              <w:rPr>
                <w:sz w:val="4"/>
                <w:szCs w:val="4"/>
              </w:rPr>
            </w:pPr>
            <w:r>
              <w:rPr>
                <w:sz w:val="4"/>
                <w:szCs w:val="4"/>
              </w:rPr>
            </w:r>
          </w:p>
        </w:tc>
        <w:tc>
          <w:tcPr>
            <w:tcW w:w="11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32,309</w:t>
            </w:r>
          </w:p>
        </w:tc>
      </w:tr>
      <w:tr>
        <w:trPr/>
        <w:tc>
          <w:tcPr>
            <w:tcW w:w="508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Dilutive shares</w:t>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82"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133</w:t>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2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w:t>
            </w:r>
          </w:p>
        </w:tc>
      </w:tr>
      <w:tr>
        <w:trPr/>
        <w:tc>
          <w:tcPr>
            <w:tcW w:w="50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Diluted</w:t>
            </w:r>
          </w:p>
        </w:tc>
        <w:tc>
          <w:tcPr>
            <w:tcW w:w="109" w:type="dxa"/>
            <w:tcBorders/>
            <w:shd w:fill="CCEEFF" w:val="clear"/>
            <w:vAlign w:val="center"/>
          </w:tcPr>
          <w:p>
            <w:pPr>
              <w:pStyle w:val="TableContents"/>
              <w:spacing w:before="0" w:after="283"/>
              <w:rPr>
                <w:sz w:val="4"/>
                <w:szCs w:val="4"/>
              </w:rPr>
            </w:pPr>
            <w:r>
              <w:rPr>
                <w:sz w:val="4"/>
                <w:szCs w:val="4"/>
              </w:rPr>
            </w:r>
          </w:p>
        </w:tc>
        <w:tc>
          <w:tcPr>
            <w:tcW w:w="313" w:type="dxa"/>
            <w:tcBorders>
              <w:top w:val="single" w:sz="8" w:space="0" w:color="000000"/>
              <w:bottom w:val="double" w:sz="6"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08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32,580</w:t>
            </w:r>
          </w:p>
        </w:tc>
        <w:tc>
          <w:tcPr>
            <w:tcW w:w="109" w:type="dxa"/>
            <w:tcBorders/>
            <w:shd w:fill="CCEEFF" w:val="clear"/>
            <w:vAlign w:val="center"/>
          </w:tcPr>
          <w:p>
            <w:pPr>
              <w:pStyle w:val="TableContents"/>
              <w:spacing w:before="0" w:after="283"/>
              <w:rPr>
                <w:sz w:val="4"/>
                <w:szCs w:val="4"/>
              </w:rPr>
            </w:pPr>
            <w:r>
              <w:rPr>
                <w:sz w:val="4"/>
                <w:szCs w:val="4"/>
              </w:rPr>
            </w:r>
          </w:p>
        </w:tc>
        <w:tc>
          <w:tcPr>
            <w:tcW w:w="304" w:type="dxa"/>
            <w:tcBorders>
              <w:top w:val="single" w:sz="8" w:space="0" w:color="000000"/>
              <w:bottom w:val="double" w:sz="6"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12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32,371</w:t>
            </w:r>
          </w:p>
        </w:tc>
      </w:tr>
      <w:tr>
        <w:trPr/>
        <w:tc>
          <w:tcPr>
            <w:tcW w:w="508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Earnings per share (Class A and Class B)</w:t>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82"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121"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r>
      <w:tr>
        <w:trPr/>
        <w:tc>
          <w:tcPr>
            <w:tcW w:w="50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Basic</w:t>
            </w:r>
          </w:p>
        </w:tc>
        <w:tc>
          <w:tcPr>
            <w:tcW w:w="109" w:type="dxa"/>
            <w:tcBorders/>
            <w:shd w:fill="CCEEFF" w:val="clear"/>
            <w:vAlign w:val="center"/>
          </w:tcPr>
          <w:p>
            <w:pPr>
              <w:pStyle w:val="TableContents"/>
              <w:spacing w:before="0" w:after="283"/>
              <w:rPr>
                <w:sz w:val="4"/>
                <w:szCs w:val="4"/>
              </w:rPr>
            </w:pPr>
            <w:r>
              <w:rPr>
                <w:sz w:val="4"/>
                <w:szCs w:val="4"/>
              </w:rPr>
            </w:r>
          </w:p>
        </w:tc>
        <w:tc>
          <w:tcPr>
            <w:tcW w:w="313"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0.42</w:t>
            </w:r>
          </w:p>
        </w:tc>
        <w:tc>
          <w:tcPr>
            <w:tcW w:w="109" w:type="dxa"/>
            <w:tcBorders/>
            <w:shd w:fill="CCEEFF" w:val="clear"/>
            <w:vAlign w:val="center"/>
          </w:tcPr>
          <w:p>
            <w:pPr>
              <w:pStyle w:val="TableContents"/>
              <w:spacing w:before="0" w:after="283"/>
              <w:rPr>
                <w:sz w:val="4"/>
                <w:szCs w:val="4"/>
              </w:rPr>
            </w:pPr>
            <w:r>
              <w:rPr>
                <w:sz w:val="4"/>
                <w:szCs w:val="4"/>
              </w:rPr>
            </w:r>
          </w:p>
        </w:tc>
        <w:tc>
          <w:tcPr>
            <w:tcW w:w="304"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1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0.59</w:t>
            </w:r>
          </w:p>
        </w:tc>
      </w:tr>
      <w:tr>
        <w:trPr/>
        <w:tc>
          <w:tcPr>
            <w:tcW w:w="508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82"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0.42</w:t>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12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0.58</w:t>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8.  REVENUE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The Company’s revenue primarily consists of the sale of apparel, footwear and hard goods. Revenue for merchandise that is shipped to our customers from our distribution centers and stores is recognized upon shipment. Store revenue is recognized at the point of sale, net of returns, and excludes taxes. </w:t>
      </w:r>
      <w:r>
        <w:rPr>
          <w:rFonts w:ascii="Times New Roman;serif" w:hAnsi="Times New Roman;serif"/>
          <w:b w:val="false"/>
          <w:i w:val="false"/>
          <w:caps w:val="false"/>
          <w:smallCaps w:val="false"/>
          <w:color w:val="000000"/>
          <w:sz w:val="20"/>
        </w:rPr>
        <w:t>Shipping and processing revenue generated from customer orders are included as a component of net sales and shipping and processing expense, including handling expense, is included as a component of selling, general and administrative expenses. Sales tax collected from customers and remitted to taxing authorities is excluded from revenue and is included in accrued expenses.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Sales disaggregated based upon sales channel is presented below.</w:t>
      </w:r>
    </w:p>
    <w:tbl>
      <w:tblPr>
        <w:tblW w:w="4719" w:type="dxa"/>
        <w:jc w:val="left"/>
        <w:tblInd w:w="0" w:type="dxa"/>
        <w:tblCellMar>
          <w:top w:w="0" w:type="dxa"/>
          <w:left w:w="0" w:type="dxa"/>
          <w:bottom w:w="0" w:type="dxa"/>
          <w:right w:w="0" w:type="dxa"/>
        </w:tblCellMar>
      </w:tblPr>
      <w:tblGrid>
        <w:gridCol w:w="1681"/>
        <w:gridCol w:w="109"/>
        <w:gridCol w:w="296"/>
        <w:gridCol w:w="1099"/>
        <w:gridCol w:w="109"/>
        <w:gridCol w:w="290"/>
        <w:gridCol w:w="1135"/>
      </w:tblGrid>
      <w:tr>
        <w:trPr/>
        <w:tc>
          <w:tcPr>
            <w:tcW w:w="16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96" w:type="dxa"/>
            <w:tcBorders/>
            <w:shd w:fill="FFFFFF" w:val="clear"/>
            <w:vAlign w:val="center"/>
          </w:tcPr>
          <w:p>
            <w:pPr>
              <w:pStyle w:val="TableContents"/>
              <w:spacing w:before="0" w:after="283"/>
              <w:rPr>
                <w:sz w:val="4"/>
                <w:szCs w:val="4"/>
              </w:rPr>
            </w:pPr>
            <w:r>
              <w:rPr>
                <w:sz w:val="4"/>
                <w:szCs w:val="4"/>
              </w:rPr>
            </w:r>
          </w:p>
        </w:tc>
        <w:tc>
          <w:tcPr>
            <w:tcW w:w="109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90" w:type="dxa"/>
            <w:tcBorders/>
            <w:shd w:fill="FFFFFF" w:val="clear"/>
            <w:vAlign w:val="center"/>
          </w:tcPr>
          <w:p>
            <w:pPr>
              <w:pStyle w:val="TableContents"/>
              <w:spacing w:before="0" w:after="283"/>
              <w:rPr>
                <w:sz w:val="4"/>
                <w:szCs w:val="4"/>
              </w:rPr>
            </w:pPr>
            <w:r>
              <w:rPr>
                <w:sz w:val="4"/>
                <w:szCs w:val="4"/>
              </w:rPr>
            </w:r>
          </w:p>
        </w:tc>
        <w:tc>
          <w:tcPr>
            <w:tcW w:w="1135" w:type="dxa"/>
            <w:tcBorders/>
            <w:shd w:fill="FFFFFF" w:val="clear"/>
            <w:vAlign w:val="center"/>
          </w:tcPr>
          <w:p>
            <w:pPr>
              <w:pStyle w:val="TableContents"/>
              <w:spacing w:before="0" w:after="283"/>
              <w:rPr>
                <w:sz w:val="4"/>
                <w:szCs w:val="4"/>
              </w:rPr>
            </w:pPr>
            <w:r>
              <w:rPr>
                <w:sz w:val="4"/>
                <w:szCs w:val="4"/>
              </w:rPr>
            </w:r>
          </w:p>
        </w:tc>
      </w:tr>
      <w:tr>
        <w:trPr/>
        <w:tc>
          <w:tcPr>
            <w:tcW w:w="16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39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January 31, 2021</w:t>
            </w:r>
          </w:p>
        </w:tc>
        <w:tc>
          <w:tcPr>
            <w:tcW w:w="109" w:type="dxa"/>
            <w:tcBorders/>
            <w:shd w:fill="FFFFFF" w:val="clear"/>
            <w:vAlign w:val="center"/>
          </w:tcPr>
          <w:p>
            <w:pPr>
              <w:pStyle w:val="TableContents"/>
              <w:spacing w:before="0" w:after="283"/>
              <w:rPr>
                <w:sz w:val="4"/>
                <w:szCs w:val="4"/>
              </w:rPr>
            </w:pPr>
            <w:r>
              <w:rPr>
                <w:sz w:val="4"/>
                <w:szCs w:val="4"/>
              </w:rPr>
            </w:r>
          </w:p>
        </w:tc>
        <w:tc>
          <w:tcPr>
            <w:tcW w:w="142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February 2, 2020</w:t>
            </w:r>
          </w:p>
        </w:tc>
      </w:tr>
      <w:tr>
        <w:trPr/>
        <w:tc>
          <w:tcPr>
            <w:tcW w:w="1681" w:type="dxa"/>
            <w:tcBorders/>
            <w:shd w:fill="FFFFFF" w:val="clear"/>
            <w:vAlign w:val="center"/>
          </w:tcPr>
          <w:p>
            <w:pPr>
              <w:pStyle w:val="TableContents"/>
              <w:bidi w:val="0"/>
              <w:spacing w:lineRule="auto" w:line="259" w:before="0" w:after="283"/>
              <w:rPr>
                <w:rFonts w:ascii="Times New Roman;serif" w:hAnsi="Times New Roman;serif"/>
                <w:b w:val="false"/>
                <w:i/>
                <w:sz w:val="16"/>
              </w:rPr>
            </w:pPr>
            <w:r>
              <w:rPr>
                <w:rFonts w:ascii="Times New Roman;serif" w:hAnsi="Times New Roman;serif"/>
                <w:b w:val="false"/>
                <w:i/>
                <w:sz w:val="16"/>
              </w:rPr>
              <w:t>(in thousands)</w:t>
            </w:r>
          </w:p>
        </w:tc>
        <w:tc>
          <w:tcPr>
            <w:tcW w:w="109" w:type="dxa"/>
            <w:tcBorders/>
            <w:shd w:fill="FFFFFF" w:val="clear"/>
            <w:vAlign w:val="center"/>
          </w:tcPr>
          <w:p>
            <w:pPr>
              <w:pStyle w:val="TableContents"/>
              <w:spacing w:before="0" w:after="283"/>
              <w:rPr>
                <w:sz w:val="4"/>
                <w:szCs w:val="4"/>
              </w:rPr>
            </w:pPr>
            <w:r>
              <w:rPr>
                <w:sz w:val="4"/>
                <w:szCs w:val="4"/>
              </w:rPr>
            </w:r>
          </w:p>
        </w:tc>
        <w:tc>
          <w:tcPr>
            <w:tcW w:w="29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90"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35"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16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Direct-to-consumer</w:t>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460,839</w:t>
            </w:r>
          </w:p>
        </w:tc>
        <w:tc>
          <w:tcPr>
            <w:tcW w:w="109"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3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350,371</w:t>
            </w:r>
          </w:p>
        </w:tc>
      </w:tr>
      <w:tr>
        <w:trPr/>
        <w:tc>
          <w:tcPr>
            <w:tcW w:w="168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Stores</w:t>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99"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177,944</w:t>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35"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265,253</w:t>
            </w:r>
          </w:p>
        </w:tc>
      </w:tr>
      <w:tr>
        <w:trPr/>
        <w:tc>
          <w:tcPr>
            <w:tcW w:w="168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638,783</w:t>
            </w:r>
          </w:p>
        </w:tc>
        <w:tc>
          <w:tcPr>
            <w:tcW w:w="109" w:type="dxa"/>
            <w:tcBorders/>
            <w:shd w:fill="CCEEFF" w:val="clear"/>
            <w:vAlign w:val="center"/>
          </w:tcPr>
          <w:p>
            <w:pPr>
              <w:pStyle w:val="TableContents"/>
              <w:spacing w:before="0" w:after="283"/>
              <w:rPr>
                <w:sz w:val="4"/>
                <w:szCs w:val="4"/>
              </w:rPr>
            </w:pPr>
            <w:r>
              <w:rPr>
                <w:sz w:val="4"/>
                <w:szCs w:val="4"/>
              </w:rPr>
            </w:r>
          </w:p>
        </w:tc>
        <w:tc>
          <w:tcPr>
            <w:tcW w:w="29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3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615,624</w:t>
            </w:r>
          </w:p>
        </w:tc>
      </w:tr>
    </w:tbl>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60</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DULUTH HOLDINGS INC.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w:t>
      </w:r>
    </w:p>
    <w:p>
      <w:pPr>
        <w:pStyle w:val="TextBody"/>
        <w:bidi w:val="0"/>
        <w:spacing w:lineRule="auto" w:line="259"/>
        <w:rPr>
          <w:rFonts w:ascii="Times New Roman;serif" w:hAnsi="Times New Roman;serif"/>
          <w:b/>
          <w:i/>
          <w:sz w:val="20"/>
        </w:rPr>
      </w:pPr>
      <w:r>
        <w:rPr>
          <w:rFonts w:ascii="Times New Roman;serif" w:hAnsi="Times New Roman;serif"/>
          <w:b/>
          <w:i/>
          <w:sz w:val="20"/>
        </w:rPr>
        <w:t>Contract Assets and Liabilities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contract assets primarily consist of the right of return for amounts of inventory to be returned that is expected to be resold and is recorded in Prepaid expenses and other current assets on the Company’s Consolidated Balance Sheets. The Company’s contract liabilities primarily consist of gift card liabilities and are recorded upon issuance in Accrued expenses and other current liabilities under deferred revenue (see Note 5 “Accrued Expenses and Other Current Liabilities”) on the Company’s Consolidated Balance Sheets. Upon issuance of a gift card, a liability is established for its cash value. The gift card liability is relieved and revenues on gift cards are recorded at the time of redemption by the customer.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Contract assets and liabilities on the Company’s Consolidated Balance Sheets are presented in the following table:</w:t>
      </w:r>
    </w:p>
    <w:tbl>
      <w:tblPr>
        <w:tblW w:w="4689" w:type="dxa"/>
        <w:jc w:val="left"/>
        <w:tblInd w:w="0" w:type="dxa"/>
        <w:tblCellMar>
          <w:top w:w="0" w:type="dxa"/>
          <w:left w:w="0" w:type="dxa"/>
          <w:bottom w:w="0" w:type="dxa"/>
          <w:right w:w="0" w:type="dxa"/>
        </w:tblCellMar>
      </w:tblPr>
      <w:tblGrid>
        <w:gridCol w:w="1651"/>
        <w:gridCol w:w="109"/>
        <w:gridCol w:w="376"/>
        <w:gridCol w:w="1019"/>
        <w:gridCol w:w="109"/>
        <w:gridCol w:w="362"/>
        <w:gridCol w:w="1063"/>
      </w:tblGrid>
      <w:tr>
        <w:trPr/>
        <w:tc>
          <w:tcPr>
            <w:tcW w:w="165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76" w:type="dxa"/>
            <w:tcBorders/>
            <w:shd w:fill="FFFFFF" w:val="clear"/>
            <w:vAlign w:val="center"/>
          </w:tcPr>
          <w:p>
            <w:pPr>
              <w:pStyle w:val="TableContents"/>
              <w:spacing w:before="0" w:after="283"/>
              <w:rPr>
                <w:sz w:val="4"/>
                <w:szCs w:val="4"/>
              </w:rPr>
            </w:pPr>
            <w:r>
              <w:rPr>
                <w:sz w:val="4"/>
                <w:szCs w:val="4"/>
              </w:rPr>
            </w:r>
          </w:p>
        </w:tc>
        <w:tc>
          <w:tcPr>
            <w:tcW w:w="101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62" w:type="dxa"/>
            <w:tcBorders/>
            <w:shd w:fill="FFFFFF" w:val="clear"/>
            <w:vAlign w:val="center"/>
          </w:tcPr>
          <w:p>
            <w:pPr>
              <w:pStyle w:val="TableContents"/>
              <w:spacing w:before="0" w:after="283"/>
              <w:rPr>
                <w:sz w:val="4"/>
                <w:szCs w:val="4"/>
              </w:rPr>
            </w:pPr>
            <w:r>
              <w:rPr>
                <w:sz w:val="4"/>
                <w:szCs w:val="4"/>
              </w:rPr>
            </w:r>
          </w:p>
        </w:tc>
        <w:tc>
          <w:tcPr>
            <w:tcW w:w="1063" w:type="dxa"/>
            <w:tcBorders/>
            <w:shd w:fill="FFFFFF" w:val="clear"/>
            <w:vAlign w:val="center"/>
          </w:tcPr>
          <w:p>
            <w:pPr>
              <w:pStyle w:val="TableContents"/>
              <w:spacing w:before="0" w:after="283"/>
              <w:rPr>
                <w:sz w:val="4"/>
                <w:szCs w:val="4"/>
              </w:rPr>
            </w:pPr>
            <w:r>
              <w:rPr>
                <w:sz w:val="4"/>
                <w:szCs w:val="4"/>
              </w:rPr>
            </w:r>
          </w:p>
        </w:tc>
      </w:tr>
      <w:tr>
        <w:trPr/>
        <w:tc>
          <w:tcPr>
            <w:tcW w:w="165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39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January 31, 2021</w:t>
            </w:r>
          </w:p>
        </w:tc>
        <w:tc>
          <w:tcPr>
            <w:tcW w:w="109" w:type="dxa"/>
            <w:tcBorders/>
            <w:shd w:fill="FFFFFF" w:val="clear"/>
            <w:vAlign w:val="center"/>
          </w:tcPr>
          <w:p>
            <w:pPr>
              <w:pStyle w:val="TableContents"/>
              <w:spacing w:before="0" w:after="283"/>
              <w:rPr>
                <w:sz w:val="4"/>
                <w:szCs w:val="4"/>
              </w:rPr>
            </w:pPr>
            <w:r>
              <w:rPr>
                <w:sz w:val="4"/>
                <w:szCs w:val="4"/>
              </w:rPr>
            </w:r>
          </w:p>
        </w:tc>
        <w:tc>
          <w:tcPr>
            <w:tcW w:w="142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February 2, 2020</w:t>
            </w:r>
          </w:p>
        </w:tc>
      </w:tr>
      <w:tr>
        <w:trPr/>
        <w:tc>
          <w:tcPr>
            <w:tcW w:w="1651" w:type="dxa"/>
            <w:tcBorders/>
            <w:shd w:fill="FFFFFF" w:val="clear"/>
            <w:vAlign w:val="center"/>
          </w:tcPr>
          <w:p>
            <w:pPr>
              <w:pStyle w:val="TableContents"/>
              <w:bidi w:val="0"/>
              <w:spacing w:lineRule="auto" w:line="259" w:before="0" w:after="283"/>
              <w:rPr>
                <w:rFonts w:ascii="Times New Roman;serif" w:hAnsi="Times New Roman;serif"/>
                <w:b w:val="false"/>
                <w:i/>
                <w:sz w:val="16"/>
              </w:rPr>
            </w:pPr>
            <w:r>
              <w:rPr>
                <w:rFonts w:ascii="Times New Roman;serif" w:hAnsi="Times New Roman;serif"/>
                <w:b w:val="false"/>
                <w:i/>
                <w:sz w:val="16"/>
              </w:rPr>
              <w:t>(in thousands)</w:t>
            </w:r>
          </w:p>
        </w:tc>
        <w:tc>
          <w:tcPr>
            <w:tcW w:w="109" w:type="dxa"/>
            <w:tcBorders/>
            <w:shd w:fill="FFFFFF" w:val="clear"/>
            <w:vAlign w:val="center"/>
          </w:tcPr>
          <w:p>
            <w:pPr>
              <w:pStyle w:val="TableContents"/>
              <w:spacing w:before="0" w:after="283"/>
              <w:rPr>
                <w:sz w:val="4"/>
                <w:szCs w:val="4"/>
              </w:rPr>
            </w:pPr>
            <w:r>
              <w:rPr>
                <w:sz w:val="4"/>
                <w:szCs w:val="4"/>
              </w:rPr>
            </w:r>
          </w:p>
        </w:tc>
        <w:tc>
          <w:tcPr>
            <w:tcW w:w="37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1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62"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63"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16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Contract assets</w:t>
            </w:r>
          </w:p>
        </w:tc>
        <w:tc>
          <w:tcPr>
            <w:tcW w:w="109" w:type="dxa"/>
            <w:tcBorders/>
            <w:shd w:fill="CCEEFF" w:val="clear"/>
            <w:vAlign w:val="center"/>
          </w:tcPr>
          <w:p>
            <w:pPr>
              <w:pStyle w:val="TableContents"/>
              <w:spacing w:before="0" w:after="283"/>
              <w:rPr>
                <w:sz w:val="4"/>
                <w:szCs w:val="4"/>
              </w:rPr>
            </w:pPr>
            <w:r>
              <w:rPr>
                <w:sz w:val="4"/>
                <w:szCs w:val="4"/>
              </w:rPr>
            </w:r>
          </w:p>
        </w:tc>
        <w:tc>
          <w:tcPr>
            <w:tcW w:w="3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1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2,490</w:t>
            </w:r>
          </w:p>
        </w:tc>
        <w:tc>
          <w:tcPr>
            <w:tcW w:w="109" w:type="dxa"/>
            <w:tcBorders/>
            <w:shd w:fill="CCEEFF" w:val="clear"/>
            <w:vAlign w:val="center"/>
          </w:tcPr>
          <w:p>
            <w:pPr>
              <w:pStyle w:val="TableContents"/>
              <w:spacing w:before="0" w:after="283"/>
              <w:rPr>
                <w:sz w:val="4"/>
                <w:szCs w:val="4"/>
              </w:rPr>
            </w:pPr>
            <w:r>
              <w:rPr>
                <w:sz w:val="4"/>
                <w:szCs w:val="4"/>
              </w:rPr>
            </w:r>
          </w:p>
        </w:tc>
        <w:tc>
          <w:tcPr>
            <w:tcW w:w="36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1,932</w:t>
            </w:r>
          </w:p>
        </w:tc>
      </w:tr>
      <w:tr>
        <w:trPr/>
        <w:tc>
          <w:tcPr>
            <w:tcW w:w="165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Contract liabilities</w:t>
            </w:r>
          </w:p>
        </w:tc>
        <w:tc>
          <w:tcPr>
            <w:tcW w:w="109"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19"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9,788</w:t>
            </w:r>
          </w:p>
        </w:tc>
        <w:tc>
          <w:tcPr>
            <w:tcW w:w="10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9,790</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Revenue from gift cards is recognized when the gift card is redeemed by the customer for merchandise, or as gift card breakage, an estimate of gift cards which will not be redeemed. The Company does not record breakage revenue when escheat liability to the relevant jurisdictions exists. Gift card breakage is recorded within Net sales on the Company’s Consolidated Statement of Operations. The following table provides the reconciliation of the contract liability related to gift cards:</w:t>
      </w:r>
    </w:p>
    <w:tbl>
      <w:tblPr>
        <w:tblW w:w="5934" w:type="dxa"/>
        <w:jc w:val="left"/>
        <w:tblInd w:w="0" w:type="dxa"/>
        <w:tblCellMar>
          <w:top w:w="0" w:type="dxa"/>
          <w:left w:w="0" w:type="dxa"/>
          <w:bottom w:w="0" w:type="dxa"/>
          <w:right w:w="0" w:type="dxa"/>
        </w:tblCellMar>
      </w:tblPr>
      <w:tblGrid>
        <w:gridCol w:w="2896"/>
        <w:gridCol w:w="109"/>
        <w:gridCol w:w="292"/>
        <w:gridCol w:w="1103"/>
        <w:gridCol w:w="109"/>
        <w:gridCol w:w="286"/>
        <w:gridCol w:w="1139"/>
      </w:tblGrid>
      <w:tr>
        <w:trPr/>
        <w:tc>
          <w:tcPr>
            <w:tcW w:w="28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92" w:type="dxa"/>
            <w:tcBorders/>
            <w:shd w:fill="FFFFFF" w:val="clear"/>
            <w:vAlign w:val="center"/>
          </w:tcPr>
          <w:p>
            <w:pPr>
              <w:pStyle w:val="TableContents"/>
              <w:spacing w:before="0" w:after="283"/>
              <w:rPr>
                <w:sz w:val="4"/>
                <w:szCs w:val="4"/>
              </w:rPr>
            </w:pPr>
            <w:r>
              <w:rPr>
                <w:sz w:val="4"/>
                <w:szCs w:val="4"/>
              </w:rPr>
            </w:r>
          </w:p>
        </w:tc>
        <w:tc>
          <w:tcPr>
            <w:tcW w:w="110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86" w:type="dxa"/>
            <w:tcBorders/>
            <w:shd w:fill="FFFFFF" w:val="clear"/>
            <w:vAlign w:val="center"/>
          </w:tcPr>
          <w:p>
            <w:pPr>
              <w:pStyle w:val="TableContents"/>
              <w:spacing w:before="0" w:after="283"/>
              <w:rPr>
                <w:sz w:val="4"/>
                <w:szCs w:val="4"/>
              </w:rPr>
            </w:pPr>
            <w:r>
              <w:rPr>
                <w:sz w:val="4"/>
                <w:szCs w:val="4"/>
              </w:rPr>
            </w:r>
          </w:p>
        </w:tc>
        <w:tc>
          <w:tcPr>
            <w:tcW w:w="1139" w:type="dxa"/>
            <w:tcBorders/>
            <w:shd w:fill="FFFFFF" w:val="clear"/>
            <w:vAlign w:val="center"/>
          </w:tcPr>
          <w:p>
            <w:pPr>
              <w:pStyle w:val="TableContents"/>
              <w:spacing w:before="0" w:after="283"/>
              <w:rPr>
                <w:sz w:val="4"/>
                <w:szCs w:val="4"/>
              </w:rPr>
            </w:pPr>
            <w:r>
              <w:rPr>
                <w:sz w:val="4"/>
                <w:szCs w:val="4"/>
              </w:rPr>
            </w:r>
          </w:p>
        </w:tc>
      </w:tr>
      <w:tr>
        <w:trPr/>
        <w:tc>
          <w:tcPr>
            <w:tcW w:w="28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39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January 31, 2021</w:t>
            </w:r>
          </w:p>
        </w:tc>
        <w:tc>
          <w:tcPr>
            <w:tcW w:w="109" w:type="dxa"/>
            <w:tcBorders/>
            <w:shd w:fill="FFFFFF" w:val="clear"/>
            <w:vAlign w:val="center"/>
          </w:tcPr>
          <w:p>
            <w:pPr>
              <w:pStyle w:val="TableContents"/>
              <w:spacing w:before="0" w:after="283"/>
              <w:rPr>
                <w:sz w:val="4"/>
                <w:szCs w:val="4"/>
              </w:rPr>
            </w:pPr>
            <w:r>
              <w:rPr>
                <w:sz w:val="4"/>
                <w:szCs w:val="4"/>
              </w:rPr>
            </w:r>
          </w:p>
        </w:tc>
        <w:tc>
          <w:tcPr>
            <w:tcW w:w="142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February 2, 2020</w:t>
            </w:r>
          </w:p>
        </w:tc>
      </w:tr>
      <w:tr>
        <w:trPr/>
        <w:tc>
          <w:tcPr>
            <w:tcW w:w="2896" w:type="dxa"/>
            <w:tcBorders/>
            <w:shd w:fill="FFFFFF" w:val="clear"/>
            <w:vAlign w:val="center"/>
          </w:tcPr>
          <w:p>
            <w:pPr>
              <w:pStyle w:val="TableContents"/>
              <w:bidi w:val="0"/>
              <w:spacing w:lineRule="auto" w:line="259" w:before="0" w:after="283"/>
              <w:rPr>
                <w:rFonts w:ascii="Times New Roman;serif" w:hAnsi="Times New Roman;serif"/>
                <w:b w:val="false"/>
                <w:i/>
                <w:sz w:val="16"/>
              </w:rPr>
            </w:pPr>
            <w:r>
              <w:rPr>
                <w:rFonts w:ascii="Times New Roman;serif" w:hAnsi="Times New Roman;serif"/>
                <w:b w:val="false"/>
                <w:i/>
                <w:sz w:val="16"/>
              </w:rPr>
              <w:t>(in thousands)</w:t>
            </w:r>
          </w:p>
        </w:tc>
        <w:tc>
          <w:tcPr>
            <w:tcW w:w="109" w:type="dxa"/>
            <w:tcBorders/>
            <w:shd w:fill="FFFFFF" w:val="clear"/>
            <w:vAlign w:val="center"/>
          </w:tcPr>
          <w:p>
            <w:pPr>
              <w:pStyle w:val="TableContents"/>
              <w:spacing w:before="0" w:after="283"/>
              <w:rPr>
                <w:sz w:val="4"/>
                <w:szCs w:val="4"/>
              </w:rPr>
            </w:pPr>
            <w:r>
              <w:rPr>
                <w:sz w:val="4"/>
                <w:szCs w:val="4"/>
              </w:rPr>
            </w:r>
          </w:p>
        </w:tc>
        <w:tc>
          <w:tcPr>
            <w:tcW w:w="292"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03"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8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3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28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Balance as of Beginning of Period</w:t>
            </w:r>
          </w:p>
        </w:tc>
        <w:tc>
          <w:tcPr>
            <w:tcW w:w="109" w:type="dxa"/>
            <w:tcBorders/>
            <w:shd w:fill="CCEEFF" w:val="clear"/>
            <w:vAlign w:val="center"/>
          </w:tcPr>
          <w:p>
            <w:pPr>
              <w:pStyle w:val="TableContents"/>
              <w:spacing w:before="0" w:after="283"/>
              <w:rPr>
                <w:sz w:val="4"/>
                <w:szCs w:val="4"/>
              </w:rPr>
            </w:pPr>
            <w:r>
              <w:rPr>
                <w:sz w:val="4"/>
                <w:szCs w:val="4"/>
              </w:rPr>
            </w:r>
          </w:p>
        </w:tc>
        <w:tc>
          <w:tcPr>
            <w:tcW w:w="29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9,790</w:t>
            </w:r>
          </w:p>
        </w:tc>
        <w:tc>
          <w:tcPr>
            <w:tcW w:w="109" w:type="dxa"/>
            <w:tcBorders/>
            <w:shd w:fill="CCEEFF" w:val="clear"/>
            <w:vAlign w:val="center"/>
          </w:tcPr>
          <w:p>
            <w:pPr>
              <w:pStyle w:val="TableContents"/>
              <w:spacing w:before="0" w:after="283"/>
              <w:rPr>
                <w:sz w:val="4"/>
                <w:szCs w:val="4"/>
              </w:rPr>
            </w:pPr>
            <w:r>
              <w:rPr>
                <w:sz w:val="4"/>
                <w:szCs w:val="4"/>
              </w:rPr>
            </w:r>
          </w:p>
        </w:tc>
        <w:tc>
          <w:tcPr>
            <w:tcW w:w="2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3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8,508</w:t>
            </w:r>
          </w:p>
        </w:tc>
      </w:tr>
      <w:tr>
        <w:trPr/>
        <w:tc>
          <w:tcPr>
            <w:tcW w:w="289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Gift cards sold</w:t>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17,098</w:t>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17,523</w:t>
            </w:r>
          </w:p>
        </w:tc>
      </w:tr>
      <w:tr>
        <w:trPr/>
        <w:tc>
          <w:tcPr>
            <w:tcW w:w="28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Gift cards redeemed</w:t>
            </w:r>
          </w:p>
        </w:tc>
        <w:tc>
          <w:tcPr>
            <w:tcW w:w="109" w:type="dxa"/>
            <w:tcBorders/>
            <w:shd w:fill="CCEEFF" w:val="clear"/>
            <w:vAlign w:val="center"/>
          </w:tcPr>
          <w:p>
            <w:pPr>
              <w:pStyle w:val="TableContents"/>
              <w:spacing w:before="0" w:after="283"/>
              <w:rPr>
                <w:sz w:val="4"/>
                <w:szCs w:val="4"/>
              </w:rPr>
            </w:pPr>
            <w:r>
              <w:rPr>
                <w:sz w:val="4"/>
                <w:szCs w:val="4"/>
              </w:rPr>
            </w:r>
          </w:p>
        </w:tc>
        <w:tc>
          <w:tcPr>
            <w:tcW w:w="292" w:type="dxa"/>
            <w:tcBorders/>
            <w:shd w:fill="CCEEFF" w:val="clear"/>
            <w:vAlign w:val="center"/>
          </w:tcPr>
          <w:p>
            <w:pPr>
              <w:pStyle w:val="TableContents"/>
              <w:spacing w:before="0" w:after="283"/>
              <w:rPr>
                <w:sz w:val="4"/>
                <w:szCs w:val="4"/>
              </w:rPr>
            </w:pPr>
            <w:r>
              <w:rPr>
                <w:sz w:val="4"/>
                <w:szCs w:val="4"/>
              </w:rPr>
            </w:r>
          </w:p>
        </w:tc>
        <w:tc>
          <w:tcPr>
            <w:tcW w:w="110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(14,766)</w:t>
            </w:r>
          </w:p>
        </w:tc>
        <w:tc>
          <w:tcPr>
            <w:tcW w:w="109" w:type="dxa"/>
            <w:tcBorders/>
            <w:shd w:fill="CCEEFF" w:val="clear"/>
            <w:vAlign w:val="center"/>
          </w:tcPr>
          <w:p>
            <w:pPr>
              <w:pStyle w:val="TableContents"/>
              <w:spacing w:before="0" w:after="283"/>
              <w:rPr>
                <w:sz w:val="4"/>
                <w:szCs w:val="4"/>
              </w:rPr>
            </w:pPr>
            <w:r>
              <w:rPr>
                <w:sz w:val="4"/>
                <w:szCs w:val="4"/>
              </w:rPr>
            </w:r>
          </w:p>
        </w:tc>
        <w:tc>
          <w:tcPr>
            <w:tcW w:w="286" w:type="dxa"/>
            <w:tcBorders/>
            <w:shd w:fill="CCEEFF" w:val="clear"/>
            <w:vAlign w:val="center"/>
          </w:tcPr>
          <w:p>
            <w:pPr>
              <w:pStyle w:val="TableContents"/>
              <w:spacing w:before="0" w:after="283"/>
              <w:rPr>
                <w:sz w:val="4"/>
                <w:szCs w:val="4"/>
              </w:rPr>
            </w:pPr>
            <w:r>
              <w:rPr>
                <w:sz w:val="4"/>
                <w:szCs w:val="4"/>
              </w:rPr>
            </w:r>
          </w:p>
        </w:tc>
        <w:tc>
          <w:tcPr>
            <w:tcW w:w="113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(15,137)</w:t>
            </w:r>
          </w:p>
        </w:tc>
      </w:tr>
      <w:tr>
        <w:trPr/>
        <w:tc>
          <w:tcPr>
            <w:tcW w:w="289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Gift card breakage</w:t>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(2,334)</w:t>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(1,047)</w:t>
            </w:r>
          </w:p>
        </w:tc>
      </w:tr>
      <w:tr>
        <w:trPr/>
        <w:tc>
          <w:tcPr>
            <w:tcW w:w="28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Gift card escheat</w:t>
            </w:r>
          </w:p>
        </w:tc>
        <w:tc>
          <w:tcPr>
            <w:tcW w:w="109" w:type="dxa"/>
            <w:tcBorders/>
            <w:shd w:fill="CCEEFF" w:val="clear"/>
            <w:vAlign w:val="center"/>
          </w:tcPr>
          <w:p>
            <w:pPr>
              <w:pStyle w:val="TableContents"/>
              <w:spacing w:before="0" w:after="283"/>
              <w:rPr>
                <w:sz w:val="4"/>
                <w:szCs w:val="4"/>
              </w:rPr>
            </w:pPr>
            <w:r>
              <w:rPr>
                <w:sz w:val="4"/>
                <w:szCs w:val="4"/>
              </w:rPr>
            </w:r>
          </w:p>
        </w:tc>
        <w:tc>
          <w:tcPr>
            <w:tcW w:w="292"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10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spacing w:before="0" w:after="283"/>
              <w:rPr>
                <w:sz w:val="4"/>
                <w:szCs w:val="4"/>
              </w:rPr>
            </w:pPr>
            <w:r>
              <w:rPr>
                <w:sz w:val="4"/>
                <w:szCs w:val="4"/>
              </w:rPr>
            </w:r>
          </w:p>
        </w:tc>
        <w:tc>
          <w:tcPr>
            <w:tcW w:w="28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13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w:t>
            </w:r>
          </w:p>
        </w:tc>
      </w:tr>
      <w:tr>
        <w:trPr/>
        <w:tc>
          <w:tcPr>
            <w:tcW w:w="289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Balance as of End of Period</w:t>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3"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9,788</w:t>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39"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9,790</w:t>
            </w:r>
          </w:p>
        </w:tc>
      </w:tr>
    </w:tbl>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61</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DULUTH HOLDINGS INC.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9.  INCOME TAXES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components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of income tax expense were as follows: </w:t>
      </w:r>
    </w:p>
    <w:tbl>
      <w:tblPr>
        <w:tblW w:w="5244" w:type="dxa"/>
        <w:jc w:val="left"/>
        <w:tblInd w:w="0" w:type="dxa"/>
        <w:tblCellMar>
          <w:top w:w="0" w:type="dxa"/>
          <w:left w:w="0" w:type="dxa"/>
          <w:bottom w:w="0" w:type="dxa"/>
          <w:right w:w="0" w:type="dxa"/>
        </w:tblCellMar>
      </w:tblPr>
      <w:tblGrid>
        <w:gridCol w:w="2206"/>
        <w:gridCol w:w="109"/>
        <w:gridCol w:w="376"/>
        <w:gridCol w:w="1019"/>
        <w:gridCol w:w="109"/>
        <w:gridCol w:w="362"/>
        <w:gridCol w:w="1063"/>
      </w:tblGrid>
      <w:tr>
        <w:trPr/>
        <w:tc>
          <w:tcPr>
            <w:tcW w:w="220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76" w:type="dxa"/>
            <w:tcBorders/>
            <w:shd w:fill="FFFFFF" w:val="clear"/>
            <w:vAlign w:val="center"/>
          </w:tcPr>
          <w:p>
            <w:pPr>
              <w:pStyle w:val="TableContents"/>
              <w:spacing w:before="0" w:after="283"/>
              <w:rPr>
                <w:sz w:val="4"/>
                <w:szCs w:val="4"/>
              </w:rPr>
            </w:pPr>
            <w:r>
              <w:rPr>
                <w:sz w:val="4"/>
                <w:szCs w:val="4"/>
              </w:rPr>
            </w:r>
          </w:p>
        </w:tc>
        <w:tc>
          <w:tcPr>
            <w:tcW w:w="101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62" w:type="dxa"/>
            <w:tcBorders/>
            <w:shd w:fill="FFFFFF" w:val="clear"/>
            <w:vAlign w:val="center"/>
          </w:tcPr>
          <w:p>
            <w:pPr>
              <w:pStyle w:val="TableContents"/>
              <w:spacing w:before="0" w:after="283"/>
              <w:rPr>
                <w:sz w:val="4"/>
                <w:szCs w:val="4"/>
              </w:rPr>
            </w:pPr>
            <w:r>
              <w:rPr>
                <w:sz w:val="4"/>
                <w:szCs w:val="4"/>
              </w:rPr>
            </w:r>
          </w:p>
        </w:tc>
        <w:tc>
          <w:tcPr>
            <w:tcW w:w="1063" w:type="dxa"/>
            <w:tcBorders/>
            <w:shd w:fill="FFFFFF" w:val="clear"/>
            <w:vAlign w:val="center"/>
          </w:tcPr>
          <w:p>
            <w:pPr>
              <w:pStyle w:val="TableContents"/>
              <w:spacing w:before="0" w:after="283"/>
              <w:rPr>
                <w:sz w:val="4"/>
                <w:szCs w:val="4"/>
              </w:rPr>
            </w:pPr>
            <w:r>
              <w:rPr>
                <w:sz w:val="4"/>
                <w:szCs w:val="4"/>
              </w:rPr>
            </w:r>
          </w:p>
        </w:tc>
      </w:tr>
      <w:tr>
        <w:trPr/>
        <w:tc>
          <w:tcPr>
            <w:tcW w:w="220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929"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Fiscal Year Ended</w:t>
            </w:r>
          </w:p>
        </w:tc>
      </w:tr>
      <w:tr>
        <w:trPr/>
        <w:tc>
          <w:tcPr>
            <w:tcW w:w="220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7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1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362"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63"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220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395" w:type="dxa"/>
            <w:gridSpan w:val="2"/>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425" w:type="dxa"/>
            <w:gridSpan w:val="2"/>
            <w:tcBorders/>
            <w:shd w:fill="FFFFFF" w:val="clear"/>
            <w:vAlign w:val="center"/>
          </w:tcPr>
          <w:p>
            <w:pPr>
              <w:pStyle w:val="TableContents"/>
              <w:spacing w:before="0" w:after="283"/>
              <w:rPr>
                <w:sz w:val="4"/>
                <w:szCs w:val="4"/>
              </w:rPr>
            </w:pPr>
            <w:r>
              <w:rPr>
                <w:sz w:val="4"/>
                <w:szCs w:val="4"/>
              </w:rPr>
            </w:r>
          </w:p>
        </w:tc>
      </w:tr>
      <w:tr>
        <w:trPr/>
        <w:tc>
          <w:tcPr>
            <w:tcW w:w="220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39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January 31, 2021</w:t>
            </w:r>
          </w:p>
        </w:tc>
        <w:tc>
          <w:tcPr>
            <w:tcW w:w="109" w:type="dxa"/>
            <w:tcBorders/>
            <w:shd w:fill="FFFFFF" w:val="clear"/>
            <w:vAlign w:val="center"/>
          </w:tcPr>
          <w:p>
            <w:pPr>
              <w:pStyle w:val="TableContents"/>
              <w:spacing w:before="0" w:after="283"/>
              <w:rPr>
                <w:sz w:val="4"/>
                <w:szCs w:val="4"/>
              </w:rPr>
            </w:pPr>
            <w:r>
              <w:rPr>
                <w:sz w:val="4"/>
                <w:szCs w:val="4"/>
              </w:rPr>
            </w:r>
          </w:p>
        </w:tc>
        <w:tc>
          <w:tcPr>
            <w:tcW w:w="142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February 2, 2020</w:t>
            </w:r>
          </w:p>
        </w:tc>
      </w:tr>
      <w:tr>
        <w:trPr/>
        <w:tc>
          <w:tcPr>
            <w:tcW w:w="2206" w:type="dxa"/>
            <w:tcBorders/>
            <w:shd w:fill="FFFFFF" w:val="clear"/>
            <w:vAlign w:val="center"/>
          </w:tcPr>
          <w:p>
            <w:pPr>
              <w:pStyle w:val="TableContents"/>
              <w:bidi w:val="0"/>
              <w:spacing w:lineRule="auto" w:line="259" w:before="0" w:after="283"/>
              <w:rPr>
                <w:rFonts w:ascii="Times New Roman;serif" w:hAnsi="Times New Roman;serif"/>
                <w:b w:val="false"/>
                <w:i/>
                <w:sz w:val="16"/>
              </w:rPr>
            </w:pPr>
            <w:r>
              <w:rPr>
                <w:rFonts w:ascii="Times New Roman;serif" w:hAnsi="Times New Roman;serif"/>
                <w:b w:val="false"/>
                <w:i/>
                <w:sz w:val="16"/>
              </w:rPr>
              <w:t>(in thousands)</w:t>
            </w:r>
          </w:p>
        </w:tc>
        <w:tc>
          <w:tcPr>
            <w:tcW w:w="109" w:type="dxa"/>
            <w:tcBorders/>
            <w:shd w:fill="FFFFFF" w:val="clear"/>
            <w:vAlign w:val="center"/>
          </w:tcPr>
          <w:p>
            <w:pPr>
              <w:pStyle w:val="TableContents"/>
              <w:spacing w:before="0" w:after="283"/>
              <w:rPr>
                <w:sz w:val="4"/>
                <w:szCs w:val="4"/>
              </w:rPr>
            </w:pPr>
            <w:r>
              <w:rPr>
                <w:sz w:val="4"/>
                <w:szCs w:val="4"/>
              </w:rPr>
            </w:r>
          </w:p>
        </w:tc>
        <w:tc>
          <w:tcPr>
            <w:tcW w:w="37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1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62"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63"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22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w:t>
            </w:r>
          </w:p>
        </w:tc>
        <w:tc>
          <w:tcPr>
            <w:tcW w:w="109" w:type="dxa"/>
            <w:tcBorders/>
            <w:shd w:fill="CCEEFF" w:val="clear"/>
            <w:vAlign w:val="center"/>
          </w:tcPr>
          <w:p>
            <w:pPr>
              <w:pStyle w:val="TableContents"/>
              <w:spacing w:before="0" w:after="283"/>
              <w:rPr>
                <w:sz w:val="4"/>
                <w:szCs w:val="4"/>
              </w:rPr>
            </w:pPr>
            <w:r>
              <w:rPr>
                <w:sz w:val="4"/>
                <w:szCs w:val="4"/>
              </w:rPr>
            </w:r>
          </w:p>
        </w:tc>
        <w:tc>
          <w:tcPr>
            <w:tcW w:w="376" w:type="dxa"/>
            <w:tcBorders/>
            <w:shd w:fill="CCEEFF" w:val="clear"/>
            <w:vAlign w:val="center"/>
          </w:tcPr>
          <w:p>
            <w:pPr>
              <w:pStyle w:val="TableContents"/>
              <w:spacing w:before="0" w:after="283"/>
              <w:rPr>
                <w:sz w:val="4"/>
                <w:szCs w:val="4"/>
              </w:rPr>
            </w:pPr>
            <w:r>
              <w:rPr>
                <w:sz w:val="4"/>
                <w:szCs w:val="4"/>
              </w:rPr>
            </w:r>
          </w:p>
        </w:tc>
        <w:tc>
          <w:tcPr>
            <w:tcW w:w="101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362" w:type="dxa"/>
            <w:tcBorders/>
            <w:shd w:fill="CCEEFF" w:val="clear"/>
            <w:vAlign w:val="center"/>
          </w:tcPr>
          <w:p>
            <w:pPr>
              <w:pStyle w:val="TableContents"/>
              <w:spacing w:before="0" w:after="283"/>
              <w:rPr>
                <w:sz w:val="4"/>
                <w:szCs w:val="4"/>
              </w:rPr>
            </w:pPr>
            <w:r>
              <w:rPr>
                <w:sz w:val="4"/>
                <w:szCs w:val="4"/>
              </w:rPr>
            </w:r>
          </w:p>
        </w:tc>
        <w:tc>
          <w:tcPr>
            <w:tcW w:w="1063" w:type="dxa"/>
            <w:tcBorders/>
            <w:shd w:fill="CCEEFF" w:val="clear"/>
            <w:vAlign w:val="center"/>
          </w:tcPr>
          <w:p>
            <w:pPr>
              <w:pStyle w:val="TableContents"/>
              <w:spacing w:before="0" w:after="283"/>
              <w:rPr>
                <w:sz w:val="4"/>
                <w:szCs w:val="4"/>
              </w:rPr>
            </w:pPr>
            <w:r>
              <w:rPr>
                <w:sz w:val="4"/>
                <w:szCs w:val="4"/>
              </w:rPr>
            </w:r>
          </w:p>
        </w:tc>
      </w:tr>
      <w:tr>
        <w:trPr/>
        <w:tc>
          <w:tcPr>
            <w:tcW w:w="220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Federal</w:t>
            </w:r>
          </w:p>
        </w:tc>
        <w:tc>
          <w:tcPr>
            <w:tcW w:w="109"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19"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3,350</w:t>
            </w:r>
          </w:p>
        </w:tc>
        <w:tc>
          <w:tcPr>
            <w:tcW w:w="10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4,727</w:t>
            </w:r>
          </w:p>
        </w:tc>
      </w:tr>
      <w:tr>
        <w:trPr/>
        <w:tc>
          <w:tcPr>
            <w:tcW w:w="22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w:t>
            </w:r>
          </w:p>
        </w:tc>
        <w:tc>
          <w:tcPr>
            <w:tcW w:w="109" w:type="dxa"/>
            <w:tcBorders/>
            <w:shd w:fill="CCEEFF" w:val="clear"/>
            <w:vAlign w:val="center"/>
          </w:tcPr>
          <w:p>
            <w:pPr>
              <w:pStyle w:val="TableContents"/>
              <w:spacing w:before="0" w:after="283"/>
              <w:rPr>
                <w:sz w:val="4"/>
                <w:szCs w:val="4"/>
              </w:rPr>
            </w:pPr>
            <w:r>
              <w:rPr>
                <w:sz w:val="4"/>
                <w:szCs w:val="4"/>
              </w:rPr>
            </w:r>
          </w:p>
        </w:tc>
        <w:tc>
          <w:tcPr>
            <w:tcW w:w="37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1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1,283</w:t>
            </w:r>
          </w:p>
        </w:tc>
        <w:tc>
          <w:tcPr>
            <w:tcW w:w="109" w:type="dxa"/>
            <w:tcBorders/>
            <w:shd w:fill="CCEEFF" w:val="clear"/>
            <w:vAlign w:val="center"/>
          </w:tcPr>
          <w:p>
            <w:pPr>
              <w:pStyle w:val="TableContents"/>
              <w:spacing w:before="0" w:after="283"/>
              <w:rPr>
                <w:sz w:val="4"/>
                <w:szCs w:val="4"/>
              </w:rPr>
            </w:pPr>
            <w:r>
              <w:rPr>
                <w:sz w:val="4"/>
                <w:szCs w:val="4"/>
              </w:rPr>
            </w:r>
          </w:p>
        </w:tc>
        <w:tc>
          <w:tcPr>
            <w:tcW w:w="362"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6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1,308</w:t>
            </w:r>
          </w:p>
        </w:tc>
      </w:tr>
      <w:tr>
        <w:trPr/>
        <w:tc>
          <w:tcPr>
            <w:tcW w:w="2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019" w:type="dxa"/>
            <w:tcBorders>
              <w:top w:val="single" w:sz="8"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4,633</w:t>
            </w:r>
          </w:p>
        </w:tc>
        <w:tc>
          <w:tcPr>
            <w:tcW w:w="109" w:type="dxa"/>
            <w:tcBorders/>
            <w:shd w:fill="auto" w:val="clear"/>
            <w:vAlign w:val="center"/>
          </w:tcPr>
          <w:p>
            <w:pPr>
              <w:pStyle w:val="TableContents"/>
              <w:spacing w:before="0" w:after="283"/>
              <w:rPr>
                <w:sz w:val="4"/>
                <w:szCs w:val="4"/>
              </w:rPr>
            </w:pPr>
            <w:r>
              <w:rPr>
                <w:sz w:val="4"/>
                <w:szCs w:val="4"/>
              </w:rPr>
            </w:r>
          </w:p>
        </w:tc>
        <w:tc>
          <w:tcPr>
            <w:tcW w:w="362"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063" w:type="dxa"/>
            <w:tcBorders>
              <w:top w:val="single" w:sz="8"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6,035</w:t>
            </w:r>
          </w:p>
        </w:tc>
      </w:tr>
      <w:tr>
        <w:trPr/>
        <w:tc>
          <w:tcPr>
            <w:tcW w:w="22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Noncurrent:</w:t>
            </w:r>
          </w:p>
        </w:tc>
        <w:tc>
          <w:tcPr>
            <w:tcW w:w="109" w:type="dxa"/>
            <w:tcBorders/>
            <w:shd w:fill="CCEEFF" w:val="clear"/>
            <w:vAlign w:val="center"/>
          </w:tcPr>
          <w:p>
            <w:pPr>
              <w:pStyle w:val="TableContents"/>
              <w:spacing w:before="0" w:after="283"/>
              <w:rPr>
                <w:sz w:val="4"/>
                <w:szCs w:val="4"/>
              </w:rPr>
            </w:pPr>
            <w:r>
              <w:rPr>
                <w:sz w:val="4"/>
                <w:szCs w:val="4"/>
              </w:rPr>
            </w:r>
          </w:p>
        </w:tc>
        <w:tc>
          <w:tcPr>
            <w:tcW w:w="376" w:type="dxa"/>
            <w:tcBorders/>
            <w:shd w:fill="CCEEFF" w:val="clear"/>
            <w:vAlign w:val="center"/>
          </w:tcPr>
          <w:p>
            <w:pPr>
              <w:pStyle w:val="TableContents"/>
              <w:spacing w:before="0" w:after="283"/>
              <w:rPr>
                <w:sz w:val="4"/>
                <w:szCs w:val="4"/>
              </w:rPr>
            </w:pPr>
            <w:r>
              <w:rPr>
                <w:sz w:val="4"/>
                <w:szCs w:val="4"/>
              </w:rPr>
            </w:r>
          </w:p>
        </w:tc>
        <w:tc>
          <w:tcPr>
            <w:tcW w:w="101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362" w:type="dxa"/>
            <w:tcBorders/>
            <w:shd w:fill="CCEEFF" w:val="clear"/>
            <w:vAlign w:val="center"/>
          </w:tcPr>
          <w:p>
            <w:pPr>
              <w:pStyle w:val="TableContents"/>
              <w:spacing w:before="0" w:after="283"/>
              <w:rPr>
                <w:sz w:val="4"/>
                <w:szCs w:val="4"/>
              </w:rPr>
            </w:pPr>
            <w:r>
              <w:rPr>
                <w:sz w:val="4"/>
                <w:szCs w:val="4"/>
              </w:rPr>
            </w:r>
          </w:p>
        </w:tc>
        <w:tc>
          <w:tcPr>
            <w:tcW w:w="1063" w:type="dxa"/>
            <w:tcBorders/>
            <w:shd w:fill="CCEEFF" w:val="clear"/>
            <w:vAlign w:val="center"/>
          </w:tcPr>
          <w:p>
            <w:pPr>
              <w:pStyle w:val="TableContents"/>
              <w:spacing w:before="0" w:after="283"/>
              <w:rPr>
                <w:sz w:val="4"/>
                <w:szCs w:val="4"/>
              </w:rPr>
            </w:pPr>
            <w:r>
              <w:rPr>
                <w:sz w:val="4"/>
                <w:szCs w:val="4"/>
              </w:rPr>
            </w:r>
          </w:p>
        </w:tc>
      </w:tr>
      <w:tr>
        <w:trPr/>
        <w:tc>
          <w:tcPr>
            <w:tcW w:w="220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Federal</w:t>
            </w:r>
          </w:p>
        </w:tc>
        <w:tc>
          <w:tcPr>
            <w:tcW w:w="109"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19"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168</w:t>
            </w:r>
          </w:p>
        </w:tc>
        <w:tc>
          <w:tcPr>
            <w:tcW w:w="10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3"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22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w:t>
            </w:r>
          </w:p>
        </w:tc>
        <w:tc>
          <w:tcPr>
            <w:tcW w:w="109" w:type="dxa"/>
            <w:tcBorders/>
            <w:shd w:fill="CCEEFF" w:val="clear"/>
            <w:vAlign w:val="center"/>
          </w:tcPr>
          <w:p>
            <w:pPr>
              <w:pStyle w:val="TableContents"/>
              <w:spacing w:before="0" w:after="283"/>
              <w:rPr>
                <w:sz w:val="4"/>
                <w:szCs w:val="4"/>
              </w:rPr>
            </w:pPr>
            <w:r>
              <w:rPr>
                <w:sz w:val="4"/>
                <w:szCs w:val="4"/>
              </w:rPr>
            </w:r>
          </w:p>
        </w:tc>
        <w:tc>
          <w:tcPr>
            <w:tcW w:w="376" w:type="dxa"/>
            <w:tcBorders/>
            <w:shd w:fill="CCEEFF" w:val="clear"/>
            <w:vAlign w:val="center"/>
          </w:tcPr>
          <w:p>
            <w:pPr>
              <w:pStyle w:val="TableContents"/>
              <w:spacing w:before="0" w:after="283"/>
              <w:rPr>
                <w:sz w:val="4"/>
                <w:szCs w:val="4"/>
              </w:rPr>
            </w:pPr>
            <w:r>
              <w:rPr>
                <w:sz w:val="4"/>
                <w:szCs w:val="4"/>
              </w:rPr>
            </w:r>
          </w:p>
        </w:tc>
        <w:tc>
          <w:tcPr>
            <w:tcW w:w="101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91</w:t>
            </w:r>
          </w:p>
        </w:tc>
        <w:tc>
          <w:tcPr>
            <w:tcW w:w="109" w:type="dxa"/>
            <w:tcBorders/>
            <w:shd w:fill="CCEEFF" w:val="clear"/>
            <w:vAlign w:val="center"/>
          </w:tcPr>
          <w:p>
            <w:pPr>
              <w:pStyle w:val="TableContents"/>
              <w:spacing w:before="0" w:after="283"/>
              <w:rPr>
                <w:sz w:val="4"/>
                <w:szCs w:val="4"/>
              </w:rPr>
            </w:pPr>
            <w:r>
              <w:rPr>
                <w:sz w:val="4"/>
                <w:szCs w:val="4"/>
              </w:rPr>
            </w:r>
          </w:p>
        </w:tc>
        <w:tc>
          <w:tcPr>
            <w:tcW w:w="362" w:type="dxa"/>
            <w:tcBorders/>
            <w:shd w:fill="CCEEFF" w:val="clear"/>
            <w:vAlign w:val="center"/>
          </w:tcPr>
          <w:p>
            <w:pPr>
              <w:pStyle w:val="TableContents"/>
              <w:spacing w:before="0" w:after="283"/>
              <w:rPr>
                <w:sz w:val="4"/>
                <w:szCs w:val="4"/>
              </w:rPr>
            </w:pPr>
            <w:r>
              <w:rPr>
                <w:sz w:val="4"/>
                <w:szCs w:val="4"/>
              </w:rPr>
            </w:r>
          </w:p>
        </w:tc>
        <w:tc>
          <w:tcPr>
            <w:tcW w:w="1063"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2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19" w:type="dxa"/>
            <w:tcBorders>
              <w:top w:val="single" w:sz="8"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259</w:t>
            </w:r>
          </w:p>
        </w:tc>
        <w:tc>
          <w:tcPr>
            <w:tcW w:w="10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1063" w:type="dxa"/>
            <w:tcBorders>
              <w:top w:val="single" w:sz="8" w:space="0" w:color="000000"/>
            </w:tcBorders>
            <w:shd w:fill="auto"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22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w:t>
            </w:r>
          </w:p>
        </w:tc>
        <w:tc>
          <w:tcPr>
            <w:tcW w:w="109" w:type="dxa"/>
            <w:tcBorders/>
            <w:shd w:fill="CCEEFF" w:val="clear"/>
            <w:vAlign w:val="center"/>
          </w:tcPr>
          <w:p>
            <w:pPr>
              <w:pStyle w:val="TableContents"/>
              <w:spacing w:before="0" w:after="283"/>
              <w:rPr>
                <w:sz w:val="4"/>
                <w:szCs w:val="4"/>
              </w:rPr>
            </w:pPr>
            <w:r>
              <w:rPr>
                <w:sz w:val="4"/>
                <w:szCs w:val="4"/>
              </w:rPr>
            </w:r>
          </w:p>
        </w:tc>
        <w:tc>
          <w:tcPr>
            <w:tcW w:w="376" w:type="dxa"/>
            <w:tcBorders/>
            <w:shd w:fill="CCEEFF" w:val="clear"/>
            <w:vAlign w:val="center"/>
          </w:tcPr>
          <w:p>
            <w:pPr>
              <w:pStyle w:val="TableContents"/>
              <w:spacing w:before="0" w:after="283"/>
              <w:rPr>
                <w:sz w:val="4"/>
                <w:szCs w:val="4"/>
              </w:rPr>
            </w:pPr>
            <w:r>
              <w:rPr>
                <w:sz w:val="4"/>
                <w:szCs w:val="4"/>
              </w:rPr>
            </w:r>
          </w:p>
        </w:tc>
        <w:tc>
          <w:tcPr>
            <w:tcW w:w="1019"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362" w:type="dxa"/>
            <w:tcBorders/>
            <w:shd w:fill="CCEEFF" w:val="clear"/>
            <w:vAlign w:val="center"/>
          </w:tcPr>
          <w:p>
            <w:pPr>
              <w:pStyle w:val="TableContents"/>
              <w:spacing w:before="0" w:after="283"/>
              <w:rPr>
                <w:sz w:val="4"/>
                <w:szCs w:val="4"/>
              </w:rPr>
            </w:pPr>
            <w:r>
              <w:rPr>
                <w:sz w:val="4"/>
                <w:szCs w:val="4"/>
              </w:rPr>
            </w:r>
          </w:p>
        </w:tc>
        <w:tc>
          <w:tcPr>
            <w:tcW w:w="1063" w:type="dxa"/>
            <w:tcBorders/>
            <w:shd w:fill="CCEEFF" w:val="clear"/>
            <w:vAlign w:val="center"/>
          </w:tcPr>
          <w:p>
            <w:pPr>
              <w:pStyle w:val="TableContents"/>
              <w:spacing w:before="0" w:after="283"/>
              <w:rPr>
                <w:sz w:val="4"/>
                <w:szCs w:val="4"/>
              </w:rPr>
            </w:pPr>
            <w:r>
              <w:rPr>
                <w:sz w:val="4"/>
                <w:szCs w:val="4"/>
              </w:rPr>
            </w:r>
          </w:p>
        </w:tc>
      </w:tr>
      <w:tr>
        <w:trPr/>
        <w:tc>
          <w:tcPr>
            <w:tcW w:w="220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Federal</w:t>
            </w:r>
          </w:p>
        </w:tc>
        <w:tc>
          <w:tcPr>
            <w:tcW w:w="109"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353</w:t>
            </w:r>
          </w:p>
        </w:tc>
        <w:tc>
          <w:tcPr>
            <w:tcW w:w="10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(568)</w:t>
            </w:r>
          </w:p>
        </w:tc>
      </w:tr>
      <w:tr>
        <w:trPr/>
        <w:tc>
          <w:tcPr>
            <w:tcW w:w="22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w:t>
            </w:r>
          </w:p>
        </w:tc>
        <w:tc>
          <w:tcPr>
            <w:tcW w:w="109" w:type="dxa"/>
            <w:tcBorders/>
            <w:shd w:fill="CCEEFF" w:val="clear"/>
            <w:vAlign w:val="center"/>
          </w:tcPr>
          <w:p>
            <w:pPr>
              <w:pStyle w:val="TableContents"/>
              <w:spacing w:before="0" w:after="283"/>
              <w:rPr>
                <w:sz w:val="4"/>
                <w:szCs w:val="4"/>
              </w:rPr>
            </w:pPr>
            <w:r>
              <w:rPr>
                <w:sz w:val="4"/>
                <w:szCs w:val="4"/>
              </w:rPr>
            </w:r>
          </w:p>
        </w:tc>
        <w:tc>
          <w:tcPr>
            <w:tcW w:w="37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1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(608)</w:t>
            </w:r>
          </w:p>
        </w:tc>
        <w:tc>
          <w:tcPr>
            <w:tcW w:w="109" w:type="dxa"/>
            <w:tcBorders/>
            <w:shd w:fill="CCEEFF" w:val="clear"/>
            <w:vAlign w:val="center"/>
          </w:tcPr>
          <w:p>
            <w:pPr>
              <w:pStyle w:val="TableContents"/>
              <w:spacing w:before="0" w:after="283"/>
              <w:rPr>
                <w:sz w:val="4"/>
                <w:szCs w:val="4"/>
              </w:rPr>
            </w:pPr>
            <w:r>
              <w:rPr>
                <w:sz w:val="4"/>
                <w:szCs w:val="4"/>
              </w:rPr>
            </w:r>
          </w:p>
        </w:tc>
        <w:tc>
          <w:tcPr>
            <w:tcW w:w="362"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6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w:t>
            </w:r>
          </w:p>
        </w:tc>
      </w:tr>
      <w:tr>
        <w:trPr/>
        <w:tc>
          <w:tcPr>
            <w:tcW w:w="2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6"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019"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(255)</w:t>
            </w:r>
          </w:p>
        </w:tc>
        <w:tc>
          <w:tcPr>
            <w:tcW w:w="109" w:type="dxa"/>
            <w:tcBorders/>
            <w:shd w:fill="auto" w:val="clear"/>
            <w:vAlign w:val="center"/>
          </w:tcPr>
          <w:p>
            <w:pPr>
              <w:pStyle w:val="TableContents"/>
              <w:spacing w:before="0" w:after="283"/>
              <w:rPr>
                <w:sz w:val="4"/>
                <w:szCs w:val="4"/>
              </w:rPr>
            </w:pPr>
            <w:r>
              <w:rPr>
                <w:sz w:val="4"/>
                <w:szCs w:val="4"/>
              </w:rPr>
            </w:r>
          </w:p>
        </w:tc>
        <w:tc>
          <w:tcPr>
            <w:tcW w:w="362"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063"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(606)</w:t>
            </w:r>
          </w:p>
        </w:tc>
      </w:tr>
      <w:tr>
        <w:trPr/>
        <w:tc>
          <w:tcPr>
            <w:tcW w:w="22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income tax expense</w:t>
            </w:r>
          </w:p>
        </w:tc>
        <w:tc>
          <w:tcPr>
            <w:tcW w:w="109" w:type="dxa"/>
            <w:tcBorders/>
            <w:shd w:fill="CCEEFF" w:val="clear"/>
            <w:vAlign w:val="center"/>
          </w:tcPr>
          <w:p>
            <w:pPr>
              <w:pStyle w:val="TableContents"/>
              <w:spacing w:before="0" w:after="283"/>
              <w:rPr>
                <w:sz w:val="4"/>
                <w:szCs w:val="4"/>
              </w:rPr>
            </w:pPr>
            <w:r>
              <w:rPr>
                <w:sz w:val="4"/>
                <w:szCs w:val="4"/>
              </w:rPr>
            </w:r>
          </w:p>
        </w:tc>
        <w:tc>
          <w:tcPr>
            <w:tcW w:w="37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1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4,637</w:t>
            </w:r>
          </w:p>
        </w:tc>
        <w:tc>
          <w:tcPr>
            <w:tcW w:w="109" w:type="dxa"/>
            <w:tcBorders/>
            <w:shd w:fill="CCEEFF" w:val="clear"/>
            <w:vAlign w:val="center"/>
          </w:tcPr>
          <w:p>
            <w:pPr>
              <w:pStyle w:val="TableContents"/>
              <w:spacing w:before="0" w:after="283"/>
              <w:rPr>
                <w:sz w:val="4"/>
                <w:szCs w:val="4"/>
              </w:rPr>
            </w:pPr>
            <w:r>
              <w:rPr>
                <w:sz w:val="4"/>
                <w:szCs w:val="4"/>
              </w:rPr>
            </w:r>
          </w:p>
        </w:tc>
        <w:tc>
          <w:tcPr>
            <w:tcW w:w="36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5,429</w:t>
            </w:r>
          </w:p>
        </w:tc>
      </w:tr>
    </w:tbl>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tax effects of unrealized gains and losses on securities are components of other comprehensive income and therefore excluded from deferred tax expense.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The </w:t>
      </w:r>
      <w:r>
        <w:rPr>
          <w:rFonts w:ascii="Times New Roman;serif" w:hAnsi="Times New Roman;serif"/>
          <w:b w:val="false"/>
          <w:i w:val="false"/>
          <w:caps w:val="false"/>
          <w:smallCaps w:val="false"/>
          <w:sz w:val="20"/>
        </w:rPr>
        <w:t>reconciliation</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of income tax expense to the amount computed at the federal statutory rate was as follows:</w:t>
      </w:r>
    </w:p>
    <w:tbl>
      <w:tblPr>
        <w:tblW w:w="7750" w:type="dxa"/>
        <w:jc w:val="left"/>
        <w:tblInd w:w="0" w:type="dxa"/>
        <w:tblCellMar>
          <w:top w:w="0" w:type="dxa"/>
          <w:left w:w="0" w:type="dxa"/>
          <w:bottom w:w="0" w:type="dxa"/>
          <w:right w:w="0" w:type="dxa"/>
        </w:tblCellMar>
      </w:tblPr>
      <w:tblGrid>
        <w:gridCol w:w="4201"/>
        <w:gridCol w:w="109"/>
        <w:gridCol w:w="211"/>
        <w:gridCol w:w="571"/>
        <w:gridCol w:w="109"/>
        <w:gridCol w:w="481"/>
        <w:gridCol w:w="271"/>
        <w:gridCol w:w="109"/>
        <w:gridCol w:w="211"/>
        <w:gridCol w:w="571"/>
        <w:gridCol w:w="109"/>
        <w:gridCol w:w="481"/>
        <w:gridCol w:w="316"/>
      </w:tblGrid>
      <w:tr>
        <w:trPr/>
        <w:tc>
          <w:tcPr>
            <w:tcW w:w="420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57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81" w:type="dxa"/>
            <w:tcBorders/>
            <w:shd w:fill="FFFFFF" w:val="clear"/>
            <w:vAlign w:val="center"/>
          </w:tcPr>
          <w:p>
            <w:pPr>
              <w:pStyle w:val="TableContents"/>
              <w:spacing w:before="0" w:after="283"/>
              <w:rPr>
                <w:sz w:val="4"/>
                <w:szCs w:val="4"/>
              </w:rPr>
            </w:pPr>
            <w:r>
              <w:rPr>
                <w:sz w:val="4"/>
                <w:szCs w:val="4"/>
              </w:rPr>
            </w:r>
          </w:p>
        </w:tc>
        <w:tc>
          <w:tcPr>
            <w:tcW w:w="27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57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81" w:type="dxa"/>
            <w:tcBorders/>
            <w:shd w:fill="FFFFFF" w:val="clear"/>
            <w:vAlign w:val="center"/>
          </w:tcPr>
          <w:p>
            <w:pPr>
              <w:pStyle w:val="TableContents"/>
              <w:spacing w:before="0" w:after="283"/>
              <w:rPr>
                <w:sz w:val="4"/>
                <w:szCs w:val="4"/>
              </w:rPr>
            </w:pPr>
            <w:r>
              <w:rPr>
                <w:sz w:val="4"/>
                <w:szCs w:val="4"/>
              </w:rPr>
            </w:r>
          </w:p>
        </w:tc>
        <w:tc>
          <w:tcPr>
            <w:tcW w:w="316" w:type="dxa"/>
            <w:tcBorders/>
            <w:shd w:fill="FFFFFF" w:val="clear"/>
            <w:vAlign w:val="center"/>
          </w:tcPr>
          <w:p>
            <w:pPr>
              <w:pStyle w:val="TableContents"/>
              <w:spacing w:before="0" w:after="283"/>
              <w:rPr>
                <w:sz w:val="4"/>
                <w:szCs w:val="4"/>
              </w:rPr>
            </w:pPr>
            <w:r>
              <w:rPr>
                <w:sz w:val="4"/>
                <w:szCs w:val="4"/>
              </w:rPr>
            </w:r>
          </w:p>
        </w:tc>
      </w:tr>
      <w:tr>
        <w:trPr/>
        <w:tc>
          <w:tcPr>
            <w:tcW w:w="420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440" w:type="dxa"/>
            <w:gridSpan w:val="11"/>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Fiscal Year Ended</w:t>
            </w:r>
          </w:p>
        </w:tc>
      </w:tr>
      <w:tr>
        <w:trPr/>
        <w:tc>
          <w:tcPr>
            <w:tcW w:w="420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57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48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27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57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48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31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420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643"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January 31, 2021</w:t>
            </w:r>
          </w:p>
        </w:tc>
        <w:tc>
          <w:tcPr>
            <w:tcW w:w="109" w:type="dxa"/>
            <w:tcBorders/>
            <w:shd w:fill="FFFFFF" w:val="clear"/>
            <w:vAlign w:val="center"/>
          </w:tcPr>
          <w:p>
            <w:pPr>
              <w:pStyle w:val="TableContents"/>
              <w:spacing w:before="0" w:after="283"/>
              <w:rPr>
                <w:sz w:val="4"/>
                <w:szCs w:val="4"/>
              </w:rPr>
            </w:pPr>
            <w:r>
              <w:rPr>
                <w:sz w:val="4"/>
                <w:szCs w:val="4"/>
              </w:rPr>
            </w:r>
          </w:p>
        </w:tc>
        <w:tc>
          <w:tcPr>
            <w:tcW w:w="1688"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February 2, 2020</w:t>
            </w:r>
          </w:p>
        </w:tc>
      </w:tr>
      <w:tr>
        <w:trPr/>
        <w:tc>
          <w:tcPr>
            <w:tcW w:w="4201" w:type="dxa"/>
            <w:tcBorders/>
            <w:shd w:fill="FFFFFF" w:val="clear"/>
            <w:vAlign w:val="center"/>
          </w:tcPr>
          <w:p>
            <w:pPr>
              <w:pStyle w:val="TableContents"/>
              <w:bidi w:val="0"/>
              <w:spacing w:lineRule="auto" w:line="259" w:before="0" w:after="283"/>
              <w:rPr>
                <w:rFonts w:ascii="Times New Roman;serif" w:hAnsi="Times New Roman;serif"/>
                <w:b w:val="false"/>
                <w:i/>
                <w:sz w:val="16"/>
              </w:rPr>
            </w:pPr>
            <w:r>
              <w:rPr>
                <w:rFonts w:ascii="Times New Roman;serif" w:hAnsi="Times New Roman;serif"/>
                <w:b w:val="false"/>
                <w:i/>
                <w:sz w:val="16"/>
              </w:rPr>
              <w:t>(in thousands)</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57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48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27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57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48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31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42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Federal taxes at statutory rate</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3,824</w:t>
            </w:r>
          </w:p>
        </w:tc>
        <w:tc>
          <w:tcPr>
            <w:tcW w:w="109" w:type="dxa"/>
            <w:tcBorders/>
            <w:shd w:fill="CCEEFF" w:val="clear"/>
            <w:vAlign w:val="center"/>
          </w:tcPr>
          <w:p>
            <w:pPr>
              <w:pStyle w:val="TableContents"/>
              <w:spacing w:before="0" w:after="283"/>
              <w:rPr>
                <w:sz w:val="4"/>
                <w:szCs w:val="4"/>
              </w:rPr>
            </w:pPr>
            <w:r>
              <w:rPr>
                <w:sz w:val="4"/>
                <w:szCs w:val="4"/>
              </w:rPr>
            </w:r>
          </w:p>
        </w:tc>
        <w:tc>
          <w:tcPr>
            <w:tcW w:w="4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21.0</w:t>
            </w:r>
          </w:p>
        </w:tc>
        <w:tc>
          <w:tcPr>
            <w:tcW w:w="2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5,114</w:t>
            </w:r>
          </w:p>
        </w:tc>
        <w:tc>
          <w:tcPr>
            <w:tcW w:w="109" w:type="dxa"/>
            <w:tcBorders/>
            <w:shd w:fill="CCEEFF" w:val="clear"/>
            <w:vAlign w:val="center"/>
          </w:tcPr>
          <w:p>
            <w:pPr>
              <w:pStyle w:val="TableContents"/>
              <w:spacing w:before="0" w:after="283"/>
              <w:rPr>
                <w:sz w:val="4"/>
                <w:szCs w:val="4"/>
              </w:rPr>
            </w:pPr>
            <w:r>
              <w:rPr>
                <w:sz w:val="4"/>
                <w:szCs w:val="4"/>
              </w:rPr>
            </w:r>
          </w:p>
        </w:tc>
        <w:tc>
          <w:tcPr>
            <w:tcW w:w="4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21.0</w:t>
            </w:r>
          </w:p>
        </w:tc>
        <w:tc>
          <w:tcPr>
            <w:tcW w:w="3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420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 and local income taxes, net of federal benefit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786</w:t>
            </w:r>
          </w:p>
        </w:tc>
        <w:tc>
          <w:tcPr>
            <w:tcW w:w="10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w:t>
            </w:r>
          </w:p>
        </w:tc>
        <w:tc>
          <w:tcPr>
            <w:tcW w:w="2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965</w:t>
            </w:r>
          </w:p>
        </w:tc>
        <w:tc>
          <w:tcPr>
            <w:tcW w:w="10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w:t>
            </w:r>
          </w:p>
        </w:tc>
        <w:tc>
          <w:tcPr>
            <w:tcW w:w="31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42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Research and development tax credits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(151)</w:t>
            </w:r>
          </w:p>
        </w:tc>
        <w:tc>
          <w:tcPr>
            <w:tcW w:w="109" w:type="dxa"/>
            <w:tcBorders/>
            <w:shd w:fill="CCEEFF" w:val="clear"/>
            <w:vAlign w:val="center"/>
          </w:tcPr>
          <w:p>
            <w:pPr>
              <w:pStyle w:val="TableContents"/>
              <w:spacing w:before="0" w:after="283"/>
              <w:rPr>
                <w:sz w:val="4"/>
                <w:szCs w:val="4"/>
              </w:rPr>
            </w:pPr>
            <w:r>
              <w:rPr>
                <w:sz w:val="4"/>
                <w:szCs w:val="4"/>
              </w:rPr>
            </w:r>
          </w:p>
        </w:tc>
        <w:tc>
          <w:tcPr>
            <w:tcW w:w="4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(0.8)</w:t>
            </w:r>
          </w:p>
        </w:tc>
        <w:tc>
          <w:tcPr>
            <w:tcW w:w="2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(487)</w:t>
            </w:r>
          </w:p>
        </w:tc>
        <w:tc>
          <w:tcPr>
            <w:tcW w:w="109" w:type="dxa"/>
            <w:tcBorders/>
            <w:shd w:fill="CCEEFF" w:val="clear"/>
            <w:vAlign w:val="center"/>
          </w:tcPr>
          <w:p>
            <w:pPr>
              <w:pStyle w:val="TableContents"/>
              <w:spacing w:before="0" w:after="283"/>
              <w:rPr>
                <w:sz w:val="4"/>
                <w:szCs w:val="4"/>
              </w:rPr>
            </w:pPr>
            <w:r>
              <w:rPr>
                <w:sz w:val="4"/>
                <w:szCs w:val="4"/>
              </w:rPr>
            </w:r>
          </w:p>
        </w:tc>
        <w:tc>
          <w:tcPr>
            <w:tcW w:w="4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tc>
        <w:tc>
          <w:tcPr>
            <w:tcW w:w="3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420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7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178</w:t>
            </w:r>
          </w:p>
        </w:tc>
        <w:tc>
          <w:tcPr>
            <w:tcW w:w="109" w:type="dxa"/>
            <w:tcBorders/>
            <w:shd w:fill="auto" w:val="clear"/>
            <w:vAlign w:val="center"/>
          </w:tcPr>
          <w:p>
            <w:pPr>
              <w:pStyle w:val="TableContents"/>
              <w:spacing w:before="0" w:after="283"/>
              <w:rPr>
                <w:sz w:val="4"/>
                <w:szCs w:val="4"/>
              </w:rPr>
            </w:pPr>
            <w:r>
              <w:rPr>
                <w:sz w:val="4"/>
                <w:szCs w:val="4"/>
              </w:rPr>
            </w:r>
          </w:p>
        </w:tc>
        <w:tc>
          <w:tcPr>
            <w:tcW w:w="48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tc>
        <w:tc>
          <w:tcPr>
            <w:tcW w:w="2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57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(163)</w:t>
            </w:r>
          </w:p>
        </w:tc>
        <w:tc>
          <w:tcPr>
            <w:tcW w:w="109" w:type="dxa"/>
            <w:tcBorders/>
            <w:shd w:fill="auto" w:val="clear"/>
            <w:vAlign w:val="center"/>
          </w:tcPr>
          <w:p>
            <w:pPr>
              <w:pStyle w:val="TableContents"/>
              <w:spacing w:before="0" w:after="283"/>
              <w:rPr>
                <w:sz w:val="4"/>
                <w:szCs w:val="4"/>
              </w:rPr>
            </w:pPr>
            <w:r>
              <w:rPr>
                <w:sz w:val="4"/>
                <w:szCs w:val="4"/>
              </w:rPr>
            </w:r>
          </w:p>
        </w:tc>
        <w:tc>
          <w:tcPr>
            <w:tcW w:w="48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(0.7)</w:t>
            </w:r>
          </w:p>
        </w:tc>
        <w:tc>
          <w:tcPr>
            <w:tcW w:w="31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42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income tax expense</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7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4,637</w:t>
            </w:r>
          </w:p>
        </w:tc>
        <w:tc>
          <w:tcPr>
            <w:tcW w:w="109" w:type="dxa"/>
            <w:tcBorders/>
            <w:shd w:fill="CCEEFF" w:val="clear"/>
            <w:vAlign w:val="center"/>
          </w:tcPr>
          <w:p>
            <w:pPr>
              <w:pStyle w:val="TableContents"/>
              <w:spacing w:before="0" w:after="283"/>
              <w:rPr>
                <w:sz w:val="4"/>
                <w:szCs w:val="4"/>
              </w:rPr>
            </w:pPr>
            <w:r>
              <w:rPr>
                <w:sz w:val="4"/>
                <w:szCs w:val="4"/>
              </w:rPr>
            </w:r>
          </w:p>
        </w:tc>
        <w:tc>
          <w:tcPr>
            <w:tcW w:w="4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25.5</w:t>
            </w:r>
          </w:p>
        </w:tc>
        <w:tc>
          <w:tcPr>
            <w:tcW w:w="2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7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5,429</w:t>
            </w:r>
          </w:p>
        </w:tc>
        <w:tc>
          <w:tcPr>
            <w:tcW w:w="109" w:type="dxa"/>
            <w:tcBorders/>
            <w:shd w:fill="CCEEFF" w:val="clear"/>
            <w:vAlign w:val="center"/>
          </w:tcPr>
          <w:p>
            <w:pPr>
              <w:pStyle w:val="TableContents"/>
              <w:spacing w:before="0" w:after="283"/>
              <w:rPr>
                <w:sz w:val="4"/>
                <w:szCs w:val="4"/>
              </w:rPr>
            </w:pPr>
            <w:r>
              <w:rPr>
                <w:sz w:val="4"/>
                <w:szCs w:val="4"/>
              </w:rPr>
            </w:r>
          </w:p>
        </w:tc>
        <w:tc>
          <w:tcPr>
            <w:tcW w:w="4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22.3</w:t>
            </w:r>
          </w:p>
        </w:tc>
        <w:tc>
          <w:tcPr>
            <w:tcW w:w="3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62</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DULUTH HOLDINGS INC.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Deferred</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income taxes reflect the net tax effects of temporary differences between U.S. GAAP and tax bases of assets and liabilities. Significant components of deferred tax assets and liabilities were as follows:</w:t>
      </w:r>
    </w:p>
    <w:tbl>
      <w:tblPr>
        <w:tblW w:w="6474" w:type="dxa"/>
        <w:jc w:val="left"/>
        <w:tblInd w:w="0" w:type="dxa"/>
        <w:tblCellMar>
          <w:top w:w="0" w:type="dxa"/>
          <w:left w:w="0" w:type="dxa"/>
          <w:bottom w:w="0" w:type="dxa"/>
          <w:right w:w="0" w:type="dxa"/>
        </w:tblCellMar>
      </w:tblPr>
      <w:tblGrid>
        <w:gridCol w:w="3436"/>
        <w:gridCol w:w="109"/>
        <w:gridCol w:w="331"/>
        <w:gridCol w:w="1064"/>
        <w:gridCol w:w="109"/>
        <w:gridCol w:w="322"/>
        <w:gridCol w:w="1103"/>
      </w:tblGrid>
      <w:tr>
        <w:trPr/>
        <w:tc>
          <w:tcPr>
            <w:tcW w:w="34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31" w:type="dxa"/>
            <w:tcBorders/>
            <w:shd w:fill="FFFFFF" w:val="clear"/>
            <w:vAlign w:val="center"/>
          </w:tcPr>
          <w:p>
            <w:pPr>
              <w:pStyle w:val="TableContents"/>
              <w:spacing w:before="0" w:after="283"/>
              <w:rPr>
                <w:sz w:val="4"/>
                <w:szCs w:val="4"/>
              </w:rPr>
            </w:pPr>
            <w:r>
              <w:rPr>
                <w:sz w:val="4"/>
                <w:szCs w:val="4"/>
              </w:rPr>
            </w:r>
          </w:p>
        </w:tc>
        <w:tc>
          <w:tcPr>
            <w:tcW w:w="106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22" w:type="dxa"/>
            <w:tcBorders/>
            <w:shd w:fill="FFFFFF" w:val="clear"/>
            <w:vAlign w:val="center"/>
          </w:tcPr>
          <w:p>
            <w:pPr>
              <w:pStyle w:val="TableContents"/>
              <w:spacing w:before="0" w:after="283"/>
              <w:rPr>
                <w:sz w:val="4"/>
                <w:szCs w:val="4"/>
              </w:rPr>
            </w:pPr>
            <w:r>
              <w:rPr>
                <w:sz w:val="4"/>
                <w:szCs w:val="4"/>
              </w:rPr>
            </w:r>
          </w:p>
        </w:tc>
        <w:tc>
          <w:tcPr>
            <w:tcW w:w="1103" w:type="dxa"/>
            <w:tcBorders/>
            <w:shd w:fill="FFFFFF" w:val="clear"/>
            <w:vAlign w:val="center"/>
          </w:tcPr>
          <w:p>
            <w:pPr>
              <w:pStyle w:val="TableContents"/>
              <w:spacing w:before="0" w:after="283"/>
              <w:rPr>
                <w:sz w:val="4"/>
                <w:szCs w:val="4"/>
              </w:rPr>
            </w:pPr>
            <w:r>
              <w:rPr>
                <w:sz w:val="4"/>
                <w:szCs w:val="4"/>
              </w:rPr>
            </w:r>
          </w:p>
        </w:tc>
      </w:tr>
      <w:tr>
        <w:trPr/>
        <w:tc>
          <w:tcPr>
            <w:tcW w:w="34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395" w:type="dxa"/>
            <w:gridSpan w:val="2"/>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425" w:type="dxa"/>
            <w:gridSpan w:val="2"/>
            <w:tcBorders/>
            <w:shd w:fill="FFFFFF" w:val="clear"/>
            <w:vAlign w:val="center"/>
          </w:tcPr>
          <w:p>
            <w:pPr>
              <w:pStyle w:val="TableContents"/>
              <w:spacing w:before="0" w:after="283"/>
              <w:rPr>
                <w:sz w:val="4"/>
                <w:szCs w:val="4"/>
              </w:rPr>
            </w:pPr>
            <w:r>
              <w:rPr>
                <w:sz w:val="4"/>
                <w:szCs w:val="4"/>
              </w:rPr>
            </w:r>
          </w:p>
        </w:tc>
      </w:tr>
      <w:tr>
        <w:trPr/>
        <w:tc>
          <w:tcPr>
            <w:tcW w:w="34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39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January 31, 2021</w:t>
            </w:r>
          </w:p>
        </w:tc>
        <w:tc>
          <w:tcPr>
            <w:tcW w:w="109" w:type="dxa"/>
            <w:tcBorders/>
            <w:shd w:fill="FFFFFF" w:val="clear"/>
            <w:vAlign w:val="center"/>
          </w:tcPr>
          <w:p>
            <w:pPr>
              <w:pStyle w:val="TableContents"/>
              <w:spacing w:before="0" w:after="283"/>
              <w:rPr>
                <w:sz w:val="4"/>
                <w:szCs w:val="4"/>
              </w:rPr>
            </w:pPr>
            <w:r>
              <w:rPr>
                <w:sz w:val="4"/>
                <w:szCs w:val="4"/>
              </w:rPr>
            </w:r>
          </w:p>
        </w:tc>
        <w:tc>
          <w:tcPr>
            <w:tcW w:w="142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February 2, 2020</w:t>
            </w:r>
          </w:p>
        </w:tc>
      </w:tr>
      <w:tr>
        <w:trPr/>
        <w:tc>
          <w:tcPr>
            <w:tcW w:w="3436" w:type="dxa"/>
            <w:tcBorders/>
            <w:shd w:fill="FFFFFF" w:val="clear"/>
            <w:vAlign w:val="center"/>
          </w:tcPr>
          <w:p>
            <w:pPr>
              <w:pStyle w:val="TableContents"/>
              <w:bidi w:val="0"/>
              <w:spacing w:lineRule="auto" w:line="259" w:before="0" w:after="283"/>
              <w:rPr>
                <w:rFonts w:ascii="Times New Roman;serif" w:hAnsi="Times New Roman;serif"/>
                <w:b w:val="false"/>
                <w:i/>
                <w:sz w:val="16"/>
              </w:rPr>
            </w:pPr>
            <w:r>
              <w:rPr>
                <w:rFonts w:ascii="Times New Roman;serif" w:hAnsi="Times New Roman;serif"/>
                <w:b w:val="false"/>
                <w:i/>
                <w:sz w:val="16"/>
              </w:rPr>
              <w:t>(in thousands)</w:t>
            </w:r>
          </w:p>
        </w:tc>
        <w:tc>
          <w:tcPr>
            <w:tcW w:w="109" w:type="dxa"/>
            <w:tcBorders/>
            <w:shd w:fill="FFFFFF" w:val="clear"/>
            <w:vAlign w:val="center"/>
          </w:tcPr>
          <w:p>
            <w:pPr>
              <w:pStyle w:val="TableContents"/>
              <w:spacing w:before="0" w:after="283"/>
              <w:rPr>
                <w:sz w:val="4"/>
                <w:szCs w:val="4"/>
              </w:rPr>
            </w:pPr>
            <w:r>
              <w:rPr>
                <w:sz w:val="4"/>
                <w:szCs w:val="4"/>
              </w:rPr>
            </w:r>
          </w:p>
        </w:tc>
        <w:tc>
          <w:tcPr>
            <w:tcW w:w="33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64"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22"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03"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34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tax assets:</w:t>
            </w:r>
          </w:p>
        </w:tc>
        <w:tc>
          <w:tcPr>
            <w:tcW w:w="109" w:type="dxa"/>
            <w:tcBorders/>
            <w:shd w:fill="CCEEFF" w:val="clear"/>
            <w:vAlign w:val="center"/>
          </w:tcPr>
          <w:p>
            <w:pPr>
              <w:pStyle w:val="TableContents"/>
              <w:spacing w:before="0" w:after="283"/>
              <w:rPr>
                <w:sz w:val="4"/>
                <w:szCs w:val="4"/>
              </w:rPr>
            </w:pPr>
            <w:r>
              <w:rPr>
                <w:sz w:val="4"/>
                <w:szCs w:val="4"/>
              </w:rPr>
            </w:r>
          </w:p>
        </w:tc>
        <w:tc>
          <w:tcPr>
            <w:tcW w:w="331" w:type="dxa"/>
            <w:tcBorders/>
            <w:shd w:fill="CCEEFF" w:val="clear"/>
            <w:vAlign w:val="center"/>
          </w:tcPr>
          <w:p>
            <w:pPr>
              <w:pStyle w:val="TableContents"/>
              <w:spacing w:before="0" w:after="283"/>
              <w:rPr>
                <w:sz w:val="4"/>
                <w:szCs w:val="4"/>
              </w:rPr>
            </w:pPr>
            <w:r>
              <w:rPr>
                <w:sz w:val="4"/>
                <w:szCs w:val="4"/>
              </w:rPr>
            </w:r>
          </w:p>
        </w:tc>
        <w:tc>
          <w:tcPr>
            <w:tcW w:w="1064"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shd w:fill="CCEEFF" w:val="clear"/>
            <w:vAlign w:val="center"/>
          </w:tcPr>
          <w:p>
            <w:pPr>
              <w:pStyle w:val="TableContents"/>
              <w:spacing w:before="0" w:after="283"/>
              <w:rPr>
                <w:sz w:val="4"/>
                <w:szCs w:val="4"/>
              </w:rPr>
            </w:pPr>
            <w:r>
              <w:rPr>
                <w:sz w:val="4"/>
                <w:szCs w:val="4"/>
              </w:rPr>
            </w:r>
          </w:p>
        </w:tc>
        <w:tc>
          <w:tcPr>
            <w:tcW w:w="1103" w:type="dxa"/>
            <w:tcBorders/>
            <w:shd w:fill="CCEEFF" w:val="clear"/>
            <w:vAlign w:val="center"/>
          </w:tcPr>
          <w:p>
            <w:pPr>
              <w:pStyle w:val="TableContents"/>
              <w:spacing w:before="0" w:after="283"/>
              <w:rPr>
                <w:sz w:val="4"/>
                <w:szCs w:val="4"/>
              </w:rPr>
            </w:pPr>
            <w:r>
              <w:rPr>
                <w:sz w:val="4"/>
                <w:szCs w:val="4"/>
              </w:rPr>
            </w:r>
          </w:p>
        </w:tc>
      </w:tr>
      <w:tr>
        <w:trPr/>
        <w:tc>
          <w:tcPr>
            <w:tcW w:w="343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Returns allowance</w:t>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4"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1,330</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912</w:t>
            </w:r>
          </w:p>
        </w:tc>
      </w:tr>
      <w:tr>
        <w:trPr/>
        <w:tc>
          <w:tcPr>
            <w:tcW w:w="34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Uniform capitalization</w:t>
            </w:r>
          </w:p>
        </w:tc>
        <w:tc>
          <w:tcPr>
            <w:tcW w:w="109" w:type="dxa"/>
            <w:tcBorders/>
            <w:shd w:fill="CCEEFF" w:val="clear"/>
            <w:vAlign w:val="center"/>
          </w:tcPr>
          <w:p>
            <w:pPr>
              <w:pStyle w:val="TableContents"/>
              <w:spacing w:before="0" w:after="283"/>
              <w:rPr>
                <w:sz w:val="4"/>
                <w:szCs w:val="4"/>
              </w:rPr>
            </w:pPr>
            <w:r>
              <w:rPr>
                <w:sz w:val="4"/>
                <w:szCs w:val="4"/>
              </w:rPr>
            </w:r>
          </w:p>
        </w:tc>
        <w:tc>
          <w:tcPr>
            <w:tcW w:w="331" w:type="dxa"/>
            <w:tcBorders/>
            <w:shd w:fill="CCEEFF" w:val="clear"/>
            <w:vAlign w:val="center"/>
          </w:tcPr>
          <w:p>
            <w:pPr>
              <w:pStyle w:val="TableContents"/>
              <w:spacing w:before="0" w:after="283"/>
              <w:rPr>
                <w:sz w:val="4"/>
                <w:szCs w:val="4"/>
              </w:rPr>
            </w:pPr>
            <w:r>
              <w:rPr>
                <w:sz w:val="4"/>
                <w:szCs w:val="4"/>
              </w:rPr>
            </w:r>
          </w:p>
        </w:tc>
        <w:tc>
          <w:tcPr>
            <w:tcW w:w="106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3,425</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shd w:fill="CCEEFF" w:val="clear"/>
            <w:vAlign w:val="center"/>
          </w:tcPr>
          <w:p>
            <w:pPr>
              <w:pStyle w:val="TableContents"/>
              <w:spacing w:before="0" w:after="283"/>
              <w:rPr>
                <w:sz w:val="4"/>
                <w:szCs w:val="4"/>
              </w:rPr>
            </w:pPr>
            <w:r>
              <w:rPr>
                <w:sz w:val="4"/>
                <w:szCs w:val="4"/>
              </w:rPr>
            </w:r>
          </w:p>
        </w:tc>
        <w:tc>
          <w:tcPr>
            <w:tcW w:w="110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2,930</w:t>
            </w:r>
          </w:p>
        </w:tc>
      </w:tr>
      <w:tr>
        <w:trPr/>
        <w:tc>
          <w:tcPr>
            <w:tcW w:w="343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rent</w:t>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205</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34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Accruals</w:t>
            </w:r>
          </w:p>
        </w:tc>
        <w:tc>
          <w:tcPr>
            <w:tcW w:w="109" w:type="dxa"/>
            <w:tcBorders/>
            <w:shd w:fill="CCEEFF" w:val="clear"/>
            <w:vAlign w:val="center"/>
          </w:tcPr>
          <w:p>
            <w:pPr>
              <w:pStyle w:val="TableContents"/>
              <w:spacing w:before="0" w:after="283"/>
              <w:rPr>
                <w:sz w:val="4"/>
                <w:szCs w:val="4"/>
              </w:rPr>
            </w:pPr>
            <w:r>
              <w:rPr>
                <w:sz w:val="4"/>
                <w:szCs w:val="4"/>
              </w:rPr>
            </w:r>
          </w:p>
        </w:tc>
        <w:tc>
          <w:tcPr>
            <w:tcW w:w="331" w:type="dxa"/>
            <w:tcBorders/>
            <w:shd w:fill="CCEEFF" w:val="clear"/>
            <w:vAlign w:val="center"/>
          </w:tcPr>
          <w:p>
            <w:pPr>
              <w:pStyle w:val="TableContents"/>
              <w:spacing w:before="0" w:after="283"/>
              <w:rPr>
                <w:sz w:val="4"/>
                <w:szCs w:val="4"/>
              </w:rPr>
            </w:pPr>
            <w:r>
              <w:rPr>
                <w:sz w:val="4"/>
                <w:szCs w:val="4"/>
              </w:rPr>
            </w:r>
          </w:p>
        </w:tc>
        <w:tc>
          <w:tcPr>
            <w:tcW w:w="106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1,841</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shd w:fill="CCEEFF" w:val="clear"/>
            <w:vAlign w:val="center"/>
          </w:tcPr>
          <w:p>
            <w:pPr>
              <w:pStyle w:val="TableContents"/>
              <w:spacing w:before="0" w:after="283"/>
              <w:rPr>
                <w:sz w:val="4"/>
                <w:szCs w:val="4"/>
              </w:rPr>
            </w:pPr>
            <w:r>
              <w:rPr>
                <w:sz w:val="4"/>
                <w:szCs w:val="4"/>
              </w:rPr>
            </w:r>
          </w:p>
        </w:tc>
        <w:tc>
          <w:tcPr>
            <w:tcW w:w="110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388</w:t>
            </w:r>
          </w:p>
        </w:tc>
      </w:tr>
      <w:tr>
        <w:trPr/>
        <w:tc>
          <w:tcPr>
            <w:tcW w:w="343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231</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352</w:t>
            </w:r>
          </w:p>
        </w:tc>
      </w:tr>
      <w:tr>
        <w:trPr/>
        <w:tc>
          <w:tcPr>
            <w:tcW w:w="34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Advance payments</w:t>
            </w:r>
          </w:p>
        </w:tc>
        <w:tc>
          <w:tcPr>
            <w:tcW w:w="109" w:type="dxa"/>
            <w:tcBorders/>
            <w:shd w:fill="CCEEFF" w:val="clear"/>
            <w:vAlign w:val="center"/>
          </w:tcPr>
          <w:p>
            <w:pPr>
              <w:pStyle w:val="TableContents"/>
              <w:spacing w:before="0" w:after="283"/>
              <w:rPr>
                <w:sz w:val="4"/>
                <w:szCs w:val="4"/>
              </w:rPr>
            </w:pPr>
            <w:r>
              <w:rPr>
                <w:sz w:val="4"/>
                <w:szCs w:val="4"/>
              </w:rPr>
            </w:r>
          </w:p>
        </w:tc>
        <w:tc>
          <w:tcPr>
            <w:tcW w:w="331" w:type="dxa"/>
            <w:tcBorders/>
            <w:shd w:fill="CCEEFF" w:val="clear"/>
            <w:vAlign w:val="center"/>
          </w:tcPr>
          <w:p>
            <w:pPr>
              <w:pStyle w:val="TableContents"/>
              <w:spacing w:before="0" w:after="283"/>
              <w:rPr>
                <w:sz w:val="4"/>
                <w:szCs w:val="4"/>
              </w:rPr>
            </w:pPr>
            <w:r>
              <w:rPr>
                <w:sz w:val="4"/>
                <w:szCs w:val="4"/>
              </w:rPr>
            </w:r>
          </w:p>
        </w:tc>
        <w:tc>
          <w:tcPr>
            <w:tcW w:w="106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685</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shd w:fill="CCEEFF" w:val="clear"/>
            <w:vAlign w:val="center"/>
          </w:tcPr>
          <w:p>
            <w:pPr>
              <w:pStyle w:val="TableContents"/>
              <w:spacing w:before="0" w:after="283"/>
              <w:rPr>
                <w:sz w:val="4"/>
                <w:szCs w:val="4"/>
              </w:rPr>
            </w:pPr>
            <w:r>
              <w:rPr>
                <w:sz w:val="4"/>
                <w:szCs w:val="4"/>
              </w:rPr>
            </w:r>
          </w:p>
        </w:tc>
        <w:tc>
          <w:tcPr>
            <w:tcW w:w="110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820</w:t>
            </w:r>
          </w:p>
        </w:tc>
      </w:tr>
      <w:tr>
        <w:trPr/>
        <w:tc>
          <w:tcPr>
            <w:tcW w:w="343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Unrecognized tax benefits</w:t>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64"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3" w:type="dxa"/>
            <w:tcBorders>
              <w:bottom w:val="single" w:sz="8" w:space="0" w:color="000000"/>
            </w:tcBorders>
            <w:shd w:fill="auto"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34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deferred tax assets</w:t>
            </w:r>
          </w:p>
        </w:tc>
        <w:tc>
          <w:tcPr>
            <w:tcW w:w="109" w:type="dxa"/>
            <w:tcBorders/>
            <w:shd w:fill="CCEEFF" w:val="clear"/>
            <w:vAlign w:val="center"/>
          </w:tcPr>
          <w:p>
            <w:pPr>
              <w:pStyle w:val="TableContents"/>
              <w:spacing w:before="0" w:after="283"/>
              <w:rPr>
                <w:sz w:val="4"/>
                <w:szCs w:val="4"/>
              </w:rPr>
            </w:pPr>
            <w:r>
              <w:rPr>
                <w:sz w:val="4"/>
                <w:szCs w:val="4"/>
              </w:rPr>
            </w:r>
          </w:p>
        </w:tc>
        <w:tc>
          <w:tcPr>
            <w:tcW w:w="33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6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7,719</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10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5,402</w:t>
            </w:r>
          </w:p>
        </w:tc>
      </w:tr>
      <w:tr>
        <w:trPr/>
        <w:tc>
          <w:tcPr>
            <w:tcW w:w="3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r>
      <w:tr>
        <w:trPr/>
        <w:tc>
          <w:tcPr>
            <w:tcW w:w="34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tax liabilities:</w:t>
            </w:r>
          </w:p>
        </w:tc>
        <w:tc>
          <w:tcPr>
            <w:tcW w:w="109" w:type="dxa"/>
            <w:tcBorders/>
            <w:shd w:fill="CCEEFF" w:val="clear"/>
            <w:vAlign w:val="center"/>
          </w:tcPr>
          <w:p>
            <w:pPr>
              <w:pStyle w:val="TableContents"/>
              <w:spacing w:before="0" w:after="283"/>
              <w:rPr>
                <w:sz w:val="4"/>
                <w:szCs w:val="4"/>
              </w:rPr>
            </w:pPr>
            <w:r>
              <w:rPr>
                <w:sz w:val="4"/>
                <w:szCs w:val="4"/>
              </w:rPr>
            </w:r>
          </w:p>
        </w:tc>
        <w:tc>
          <w:tcPr>
            <w:tcW w:w="331" w:type="dxa"/>
            <w:tcBorders/>
            <w:shd w:fill="CCEEFF" w:val="clear"/>
            <w:vAlign w:val="center"/>
          </w:tcPr>
          <w:p>
            <w:pPr>
              <w:pStyle w:val="TableContents"/>
              <w:spacing w:before="0" w:after="283"/>
              <w:rPr>
                <w:sz w:val="4"/>
                <w:szCs w:val="4"/>
              </w:rPr>
            </w:pPr>
            <w:r>
              <w:rPr>
                <w:sz w:val="4"/>
                <w:szCs w:val="4"/>
              </w:rPr>
            </w:r>
          </w:p>
        </w:tc>
        <w:tc>
          <w:tcPr>
            <w:tcW w:w="1064"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shd w:fill="CCEEFF" w:val="clear"/>
            <w:vAlign w:val="center"/>
          </w:tcPr>
          <w:p>
            <w:pPr>
              <w:pStyle w:val="TableContents"/>
              <w:spacing w:before="0" w:after="283"/>
              <w:rPr>
                <w:sz w:val="4"/>
                <w:szCs w:val="4"/>
              </w:rPr>
            </w:pPr>
            <w:r>
              <w:rPr>
                <w:sz w:val="4"/>
                <w:szCs w:val="4"/>
              </w:rPr>
            </w:r>
          </w:p>
        </w:tc>
        <w:tc>
          <w:tcPr>
            <w:tcW w:w="1103" w:type="dxa"/>
            <w:tcBorders/>
            <w:shd w:fill="CCEEFF" w:val="clear"/>
            <w:vAlign w:val="center"/>
          </w:tcPr>
          <w:p>
            <w:pPr>
              <w:pStyle w:val="TableContents"/>
              <w:spacing w:before="0" w:after="283"/>
              <w:rPr>
                <w:sz w:val="4"/>
                <w:szCs w:val="4"/>
              </w:rPr>
            </w:pPr>
            <w:r>
              <w:rPr>
                <w:sz w:val="4"/>
                <w:szCs w:val="4"/>
              </w:rPr>
            </w:r>
          </w:p>
        </w:tc>
      </w:tr>
      <w:tr>
        <w:trPr/>
        <w:tc>
          <w:tcPr>
            <w:tcW w:w="343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Property and equipment</w:t>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13,202</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10,346</w:t>
            </w:r>
          </w:p>
        </w:tc>
      </w:tr>
      <w:tr>
        <w:trPr/>
        <w:tc>
          <w:tcPr>
            <w:tcW w:w="34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Unrealized gain on investment</w:t>
            </w:r>
          </w:p>
        </w:tc>
        <w:tc>
          <w:tcPr>
            <w:tcW w:w="109" w:type="dxa"/>
            <w:tcBorders/>
            <w:shd w:fill="CCEEFF" w:val="clear"/>
            <w:vAlign w:val="center"/>
          </w:tcPr>
          <w:p>
            <w:pPr>
              <w:pStyle w:val="TableContents"/>
              <w:spacing w:before="0" w:after="283"/>
              <w:rPr>
                <w:sz w:val="4"/>
                <w:szCs w:val="4"/>
              </w:rPr>
            </w:pPr>
            <w:r>
              <w:rPr>
                <w:sz w:val="4"/>
                <w:szCs w:val="4"/>
              </w:rPr>
            </w:r>
          </w:p>
        </w:tc>
        <w:tc>
          <w:tcPr>
            <w:tcW w:w="331" w:type="dxa"/>
            <w:tcBorders/>
            <w:shd w:fill="CCEEFF" w:val="clear"/>
            <w:vAlign w:val="center"/>
          </w:tcPr>
          <w:p>
            <w:pPr>
              <w:pStyle w:val="TableContents"/>
              <w:spacing w:before="0" w:after="283"/>
              <w:rPr>
                <w:sz w:val="4"/>
                <w:szCs w:val="4"/>
              </w:rPr>
            </w:pPr>
            <w:r>
              <w:rPr>
                <w:sz w:val="4"/>
                <w:szCs w:val="4"/>
              </w:rPr>
            </w:r>
          </w:p>
        </w:tc>
        <w:tc>
          <w:tcPr>
            <w:tcW w:w="106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shd w:fill="CCEEFF" w:val="clear"/>
            <w:vAlign w:val="center"/>
          </w:tcPr>
          <w:p>
            <w:pPr>
              <w:pStyle w:val="TableContents"/>
              <w:spacing w:before="0" w:after="283"/>
              <w:rPr>
                <w:sz w:val="4"/>
                <w:szCs w:val="4"/>
              </w:rPr>
            </w:pPr>
            <w:r>
              <w:rPr>
                <w:sz w:val="4"/>
                <w:szCs w:val="4"/>
              </w:rPr>
            </w:r>
          </w:p>
        </w:tc>
        <w:tc>
          <w:tcPr>
            <w:tcW w:w="110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66</w:t>
            </w:r>
          </w:p>
        </w:tc>
      </w:tr>
      <w:tr>
        <w:trPr/>
        <w:tc>
          <w:tcPr>
            <w:tcW w:w="343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Inventory</w:t>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223</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w:t>
            </w:r>
          </w:p>
        </w:tc>
      </w:tr>
      <w:tr>
        <w:trPr/>
        <w:tc>
          <w:tcPr>
            <w:tcW w:w="34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Prepaid expenses</w:t>
            </w:r>
          </w:p>
        </w:tc>
        <w:tc>
          <w:tcPr>
            <w:tcW w:w="109" w:type="dxa"/>
            <w:tcBorders/>
            <w:shd w:fill="CCEEFF" w:val="clear"/>
            <w:vAlign w:val="center"/>
          </w:tcPr>
          <w:p>
            <w:pPr>
              <w:pStyle w:val="TableContents"/>
              <w:spacing w:before="0" w:after="283"/>
              <w:rPr>
                <w:sz w:val="4"/>
                <w:szCs w:val="4"/>
              </w:rPr>
            </w:pPr>
            <w:r>
              <w:rPr>
                <w:sz w:val="4"/>
                <w:szCs w:val="4"/>
              </w:rPr>
            </w:r>
          </w:p>
        </w:tc>
        <w:tc>
          <w:tcPr>
            <w:tcW w:w="331" w:type="dxa"/>
            <w:tcBorders/>
            <w:shd w:fill="CCEEFF" w:val="clear"/>
            <w:vAlign w:val="center"/>
          </w:tcPr>
          <w:p>
            <w:pPr>
              <w:pStyle w:val="TableContents"/>
              <w:spacing w:before="0" w:after="283"/>
              <w:rPr>
                <w:sz w:val="4"/>
                <w:szCs w:val="4"/>
              </w:rPr>
            </w:pPr>
            <w:r>
              <w:rPr>
                <w:sz w:val="4"/>
                <w:szCs w:val="4"/>
              </w:rPr>
            </w:r>
          </w:p>
        </w:tc>
        <w:tc>
          <w:tcPr>
            <w:tcW w:w="106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868</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shd w:fill="CCEEFF" w:val="clear"/>
            <w:vAlign w:val="center"/>
          </w:tcPr>
          <w:p>
            <w:pPr>
              <w:pStyle w:val="TableContents"/>
              <w:spacing w:before="0" w:after="283"/>
              <w:rPr>
                <w:sz w:val="4"/>
                <w:szCs w:val="4"/>
              </w:rPr>
            </w:pPr>
            <w:r>
              <w:rPr>
                <w:sz w:val="4"/>
                <w:szCs w:val="4"/>
              </w:rPr>
            </w:r>
          </w:p>
        </w:tc>
        <w:tc>
          <w:tcPr>
            <w:tcW w:w="110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857</w:t>
            </w:r>
          </w:p>
        </w:tc>
      </w:tr>
      <w:tr>
        <w:trPr/>
        <w:tc>
          <w:tcPr>
            <w:tcW w:w="343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Goodwill and intangibles</w:t>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66</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66</w:t>
            </w:r>
          </w:p>
        </w:tc>
      </w:tr>
      <w:tr>
        <w:trPr/>
        <w:tc>
          <w:tcPr>
            <w:tcW w:w="34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Capital lease</w:t>
            </w:r>
          </w:p>
        </w:tc>
        <w:tc>
          <w:tcPr>
            <w:tcW w:w="109" w:type="dxa"/>
            <w:tcBorders/>
            <w:shd w:fill="CCEEFF" w:val="clear"/>
            <w:vAlign w:val="center"/>
          </w:tcPr>
          <w:p>
            <w:pPr>
              <w:pStyle w:val="TableContents"/>
              <w:spacing w:before="0" w:after="283"/>
              <w:rPr>
                <w:sz w:val="4"/>
                <w:szCs w:val="4"/>
              </w:rPr>
            </w:pPr>
            <w:r>
              <w:rPr>
                <w:sz w:val="4"/>
                <w:szCs w:val="4"/>
              </w:rPr>
            </w:r>
          </w:p>
        </w:tc>
        <w:tc>
          <w:tcPr>
            <w:tcW w:w="331" w:type="dxa"/>
            <w:tcBorders/>
            <w:shd w:fill="CCEEFF" w:val="clear"/>
            <w:vAlign w:val="center"/>
          </w:tcPr>
          <w:p>
            <w:pPr>
              <w:pStyle w:val="TableContents"/>
              <w:spacing w:before="0" w:after="283"/>
              <w:rPr>
                <w:sz w:val="4"/>
                <w:szCs w:val="4"/>
              </w:rPr>
            </w:pPr>
            <w:r>
              <w:rPr>
                <w:sz w:val="4"/>
                <w:szCs w:val="4"/>
              </w:rPr>
            </w:r>
          </w:p>
        </w:tc>
        <w:tc>
          <w:tcPr>
            <w:tcW w:w="106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1,454</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shd w:fill="CCEEFF" w:val="clear"/>
            <w:vAlign w:val="center"/>
          </w:tcPr>
          <w:p>
            <w:pPr>
              <w:pStyle w:val="TableContents"/>
              <w:spacing w:before="0" w:after="283"/>
              <w:rPr>
                <w:sz w:val="4"/>
                <w:szCs w:val="4"/>
              </w:rPr>
            </w:pPr>
            <w:r>
              <w:rPr>
                <w:sz w:val="4"/>
                <w:szCs w:val="4"/>
              </w:rPr>
            </w:r>
          </w:p>
        </w:tc>
        <w:tc>
          <w:tcPr>
            <w:tcW w:w="110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2,358</w:t>
            </w:r>
          </w:p>
        </w:tc>
      </w:tr>
      <w:tr>
        <w:trPr/>
        <w:tc>
          <w:tcPr>
            <w:tcW w:w="343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Revenue recognition method adjustment</w:t>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64"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90</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03"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187</w:t>
            </w:r>
          </w:p>
        </w:tc>
      </w:tr>
      <w:tr>
        <w:trPr/>
        <w:tc>
          <w:tcPr>
            <w:tcW w:w="34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deferred tax liabilities</w:t>
            </w:r>
          </w:p>
        </w:tc>
        <w:tc>
          <w:tcPr>
            <w:tcW w:w="109" w:type="dxa"/>
            <w:tcBorders/>
            <w:shd w:fill="CCEEFF" w:val="clear"/>
            <w:vAlign w:val="center"/>
          </w:tcPr>
          <w:p>
            <w:pPr>
              <w:pStyle w:val="TableContents"/>
              <w:spacing w:before="0" w:after="283"/>
              <w:rPr>
                <w:sz w:val="4"/>
                <w:szCs w:val="4"/>
              </w:rPr>
            </w:pPr>
            <w:r>
              <w:rPr>
                <w:sz w:val="4"/>
                <w:szCs w:val="4"/>
              </w:rPr>
            </w:r>
          </w:p>
        </w:tc>
        <w:tc>
          <w:tcPr>
            <w:tcW w:w="331"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06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15,919</w:t>
            </w:r>
          </w:p>
        </w:tc>
        <w:tc>
          <w:tcPr>
            <w:tcW w:w="109" w:type="dxa"/>
            <w:tcBorders/>
            <w:shd w:fill="CCEEFF" w:val="clear"/>
            <w:vAlign w:val="center"/>
          </w:tcPr>
          <w:p>
            <w:pPr>
              <w:pStyle w:val="TableContents"/>
              <w:spacing w:before="0" w:after="283"/>
              <w:rPr>
                <w:sz w:val="4"/>
                <w:szCs w:val="4"/>
              </w:rPr>
            </w:pPr>
            <w:r>
              <w:rPr>
                <w:sz w:val="4"/>
                <w:szCs w:val="4"/>
              </w:rPr>
            </w:r>
          </w:p>
        </w:tc>
        <w:tc>
          <w:tcPr>
            <w:tcW w:w="322"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10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13,907</w:t>
            </w:r>
          </w:p>
        </w:tc>
      </w:tr>
      <w:tr>
        <w:trPr/>
        <w:tc>
          <w:tcPr>
            <w:tcW w:w="343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deferred tax liabilities</w:t>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4"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8,200</w:t>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3"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8,505</w:t>
            </w:r>
          </w:p>
        </w:tc>
      </w:tr>
    </w:tbl>
    <w:p>
      <w:pPr>
        <w:pStyle w:val="TextBody"/>
        <w:bidi w:val="0"/>
        <w:spacing w:lineRule="auto" w:line="259"/>
        <w:rPr>
          <w:rFonts w:ascii="Times New Roman;serif" w:hAnsi="Times New Roman;serif"/>
          <w:b/>
          <w:i/>
          <w:color w:val="000000"/>
          <w:sz w:val="20"/>
        </w:rPr>
      </w:pPr>
      <w:r>
        <w:rPr>
          <w:rFonts w:ascii="Times New Roman;serif" w:hAnsi="Times New Roman;serif"/>
          <w:b/>
          <w:i/>
          <w:color w:val="000000"/>
          <w:sz w:val="20"/>
        </w:rPr>
        <w:t>Uncertain Tax Positions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 reconciliation of the beginning and ending amount of unrecognized tax benefits is as follows:</w:t>
      </w:r>
    </w:p>
    <w:tbl>
      <w:tblPr>
        <w:tblW w:w="6549" w:type="dxa"/>
        <w:jc w:val="left"/>
        <w:tblInd w:w="0" w:type="dxa"/>
        <w:tblCellMar>
          <w:top w:w="0" w:type="dxa"/>
          <w:left w:w="0" w:type="dxa"/>
          <w:bottom w:w="0" w:type="dxa"/>
          <w:right w:w="0" w:type="dxa"/>
        </w:tblCellMar>
      </w:tblPr>
      <w:tblGrid>
        <w:gridCol w:w="3511"/>
        <w:gridCol w:w="109"/>
        <w:gridCol w:w="464"/>
        <w:gridCol w:w="931"/>
        <w:gridCol w:w="109"/>
        <w:gridCol w:w="498"/>
        <w:gridCol w:w="927"/>
      </w:tblGrid>
      <w:tr>
        <w:trPr/>
        <w:tc>
          <w:tcPr>
            <w:tcW w:w="351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64" w:type="dxa"/>
            <w:tcBorders/>
            <w:shd w:fill="FFFFFF" w:val="clear"/>
            <w:vAlign w:val="center"/>
          </w:tcPr>
          <w:p>
            <w:pPr>
              <w:pStyle w:val="TableContents"/>
              <w:spacing w:before="0" w:after="283"/>
              <w:rPr>
                <w:sz w:val="4"/>
                <w:szCs w:val="4"/>
              </w:rPr>
            </w:pPr>
            <w:r>
              <w:rPr>
                <w:sz w:val="4"/>
                <w:szCs w:val="4"/>
              </w:rPr>
            </w:r>
          </w:p>
        </w:tc>
        <w:tc>
          <w:tcPr>
            <w:tcW w:w="93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98" w:type="dxa"/>
            <w:tcBorders/>
            <w:shd w:fill="FFFFFF" w:val="clear"/>
            <w:vAlign w:val="center"/>
          </w:tcPr>
          <w:p>
            <w:pPr>
              <w:pStyle w:val="TableContents"/>
              <w:spacing w:before="0" w:after="283"/>
              <w:rPr>
                <w:sz w:val="4"/>
                <w:szCs w:val="4"/>
              </w:rPr>
            </w:pPr>
            <w:r>
              <w:rPr>
                <w:sz w:val="4"/>
                <w:szCs w:val="4"/>
              </w:rPr>
            </w:r>
          </w:p>
        </w:tc>
        <w:tc>
          <w:tcPr>
            <w:tcW w:w="927" w:type="dxa"/>
            <w:tcBorders/>
            <w:shd w:fill="FFFFFF" w:val="clear"/>
            <w:vAlign w:val="center"/>
          </w:tcPr>
          <w:p>
            <w:pPr>
              <w:pStyle w:val="TableContents"/>
              <w:spacing w:before="0" w:after="283"/>
              <w:rPr>
                <w:sz w:val="4"/>
                <w:szCs w:val="4"/>
              </w:rPr>
            </w:pPr>
            <w:r>
              <w:rPr>
                <w:sz w:val="4"/>
                <w:szCs w:val="4"/>
              </w:rPr>
            </w:r>
          </w:p>
        </w:tc>
      </w:tr>
      <w:tr>
        <w:trPr/>
        <w:tc>
          <w:tcPr>
            <w:tcW w:w="351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39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January 31, 2021</w:t>
            </w:r>
          </w:p>
        </w:tc>
        <w:tc>
          <w:tcPr>
            <w:tcW w:w="109" w:type="dxa"/>
            <w:tcBorders/>
            <w:shd w:fill="FFFFFF" w:val="clear"/>
            <w:vAlign w:val="center"/>
          </w:tcPr>
          <w:p>
            <w:pPr>
              <w:pStyle w:val="TableContents"/>
              <w:spacing w:before="0" w:after="283"/>
              <w:rPr>
                <w:sz w:val="4"/>
                <w:szCs w:val="4"/>
              </w:rPr>
            </w:pPr>
            <w:r>
              <w:rPr>
                <w:sz w:val="4"/>
                <w:szCs w:val="4"/>
              </w:rPr>
            </w:r>
          </w:p>
        </w:tc>
        <w:tc>
          <w:tcPr>
            <w:tcW w:w="142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February 2, 2020</w:t>
            </w:r>
          </w:p>
        </w:tc>
      </w:tr>
      <w:tr>
        <w:trPr/>
        <w:tc>
          <w:tcPr>
            <w:tcW w:w="3511" w:type="dxa"/>
            <w:tcBorders/>
            <w:shd w:fill="FFFFFF" w:val="clear"/>
            <w:vAlign w:val="center"/>
          </w:tcPr>
          <w:p>
            <w:pPr>
              <w:pStyle w:val="TableContents"/>
              <w:bidi w:val="0"/>
              <w:spacing w:lineRule="auto" w:line="259" w:before="0" w:after="283"/>
              <w:rPr>
                <w:rFonts w:ascii="Times New Roman;serif" w:hAnsi="Times New Roman;serif"/>
                <w:b w:val="false"/>
                <w:i/>
                <w:sz w:val="16"/>
              </w:rPr>
            </w:pPr>
            <w:r>
              <w:rPr>
                <w:rFonts w:ascii="Times New Roman;serif" w:hAnsi="Times New Roman;serif"/>
                <w:b w:val="false"/>
                <w:i/>
                <w:sz w:val="16"/>
              </w:rPr>
              <w:t>(in thousands)</w:t>
            </w:r>
          </w:p>
        </w:tc>
        <w:tc>
          <w:tcPr>
            <w:tcW w:w="109" w:type="dxa"/>
            <w:tcBorders/>
            <w:shd w:fill="FFFFFF" w:val="clear"/>
            <w:vAlign w:val="center"/>
          </w:tcPr>
          <w:p>
            <w:pPr>
              <w:pStyle w:val="TableContents"/>
              <w:spacing w:before="0" w:after="283"/>
              <w:rPr>
                <w:sz w:val="4"/>
                <w:szCs w:val="4"/>
              </w:rPr>
            </w:pPr>
            <w:r>
              <w:rPr>
                <w:sz w:val="4"/>
                <w:szCs w:val="4"/>
              </w:rPr>
            </w:r>
          </w:p>
        </w:tc>
        <w:tc>
          <w:tcPr>
            <w:tcW w:w="464"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93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98"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927"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3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Balance beginning of year</w:t>
            </w:r>
          </w:p>
        </w:tc>
        <w:tc>
          <w:tcPr>
            <w:tcW w:w="109" w:type="dxa"/>
            <w:tcBorders/>
            <w:shd w:fill="CCEEFF" w:val="clear"/>
            <w:vAlign w:val="center"/>
          </w:tcPr>
          <w:p>
            <w:pPr>
              <w:pStyle w:val="TableContents"/>
              <w:spacing w:before="0" w:after="283"/>
              <w:rPr>
                <w:sz w:val="4"/>
                <w:szCs w:val="4"/>
              </w:rPr>
            </w:pPr>
            <w:r>
              <w:rPr>
                <w:sz w:val="4"/>
                <w:szCs w:val="4"/>
              </w:rPr>
            </w:r>
          </w:p>
        </w:tc>
        <w:tc>
          <w:tcPr>
            <w:tcW w:w="46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49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27"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351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Additions for tax positions in prior year</w:t>
            </w:r>
          </w:p>
        </w:tc>
        <w:tc>
          <w:tcPr>
            <w:tcW w:w="109"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214</w:t>
            </w:r>
          </w:p>
        </w:tc>
        <w:tc>
          <w:tcPr>
            <w:tcW w:w="109"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35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Additions for tax positions in current year</w:t>
            </w:r>
          </w:p>
        </w:tc>
        <w:tc>
          <w:tcPr>
            <w:tcW w:w="109" w:type="dxa"/>
            <w:tcBorders/>
            <w:shd w:fill="CCEEFF" w:val="clear"/>
            <w:vAlign w:val="center"/>
          </w:tcPr>
          <w:p>
            <w:pPr>
              <w:pStyle w:val="TableContents"/>
              <w:spacing w:before="0" w:after="283"/>
              <w:rPr>
                <w:sz w:val="4"/>
                <w:szCs w:val="4"/>
              </w:rPr>
            </w:pPr>
            <w:r>
              <w:rPr>
                <w:sz w:val="4"/>
                <w:szCs w:val="4"/>
              </w:rPr>
            </w:r>
          </w:p>
        </w:tc>
        <w:tc>
          <w:tcPr>
            <w:tcW w:w="464"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93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w:t>
            </w:r>
          </w:p>
        </w:tc>
        <w:tc>
          <w:tcPr>
            <w:tcW w:w="109" w:type="dxa"/>
            <w:tcBorders/>
            <w:shd w:fill="CCEEFF" w:val="clear"/>
            <w:vAlign w:val="center"/>
          </w:tcPr>
          <w:p>
            <w:pPr>
              <w:pStyle w:val="TableContents"/>
              <w:spacing w:before="0" w:after="283"/>
              <w:rPr>
                <w:sz w:val="4"/>
                <w:szCs w:val="4"/>
              </w:rPr>
            </w:pPr>
            <w:r>
              <w:rPr>
                <w:sz w:val="4"/>
                <w:szCs w:val="4"/>
              </w:rPr>
            </w:r>
          </w:p>
        </w:tc>
        <w:tc>
          <w:tcPr>
            <w:tcW w:w="498"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927"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351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Balance at end of year</w:t>
            </w:r>
          </w:p>
        </w:tc>
        <w:tc>
          <w:tcPr>
            <w:tcW w:w="109" w:type="dxa"/>
            <w:tcBorders/>
            <w:shd w:fill="auto" w:val="clear"/>
            <w:vAlign w:val="center"/>
          </w:tcPr>
          <w:p>
            <w:pPr>
              <w:pStyle w:val="TableContents"/>
              <w:spacing w:before="0" w:after="283"/>
              <w:rPr>
                <w:sz w:val="4"/>
                <w:szCs w:val="4"/>
              </w:rPr>
            </w:pPr>
            <w:r>
              <w:rPr>
                <w:sz w:val="4"/>
                <w:szCs w:val="4"/>
              </w:rPr>
            </w:r>
          </w:p>
        </w:tc>
        <w:tc>
          <w:tcPr>
            <w:tcW w:w="464"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259</w:t>
            </w:r>
          </w:p>
        </w:tc>
        <w:tc>
          <w:tcPr>
            <w:tcW w:w="109" w:type="dxa"/>
            <w:tcBorders/>
            <w:shd w:fill="auto" w:val="clear"/>
            <w:vAlign w:val="center"/>
          </w:tcPr>
          <w:p>
            <w:pPr>
              <w:pStyle w:val="TableContents"/>
              <w:spacing w:before="0" w:after="283"/>
              <w:rPr>
                <w:sz w:val="4"/>
                <w:szCs w:val="4"/>
              </w:rPr>
            </w:pPr>
            <w:r>
              <w:rPr>
                <w:sz w:val="4"/>
                <w:szCs w:val="4"/>
              </w:rPr>
            </w:r>
          </w:p>
        </w:tc>
        <w:tc>
          <w:tcPr>
            <w:tcW w:w="498"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27"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If recognized, $0.3</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of the Company’s unrecognized tax benefits as of January 31, 2021, would affect the Company’s effective tax rate. The Company does not anticipate that there will be a material change in the balance of the unrecognized tax benefits in the next 12 months. Any interest and penalties related to uncertain tax positions are recorded in income tax expense. There were no</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amounts recorded as tax expense for interest or penalties for the years ended February 2, 2020.</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The Company files income tax returns in the United States federal jurisdiction and in various state jurisdictions. Federal tax returns </w:t>
      </w:r>
      <w:r>
        <w:rPr>
          <w:rFonts w:ascii="Times New Roman;serif" w:hAnsi="Times New Roman;serif"/>
          <w:b w:val="false"/>
          <w:i w:val="false"/>
          <w:caps w:val="false"/>
          <w:smallCaps w:val="false"/>
          <w:sz w:val="20"/>
        </w:rPr>
        <w:t>for</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tax years beginning January 1, 2017, and state tax returns for tax years beginning January 1, 2016, are open for examination.</w:t>
      </w:r>
    </w:p>
    <w:p>
      <w:pPr>
        <w:pStyle w:val="TextBody"/>
        <w:bidi w:val="0"/>
        <w:spacing w:lineRule="auto" w:line="259"/>
        <w:rPr>
          <w:rFonts w:ascii="Times New Roman;serif" w:hAnsi="Times New Roman;serif"/>
          <w:b/>
          <w:i/>
          <w:color w:val="000000"/>
          <w:sz w:val="20"/>
        </w:rPr>
      </w:pPr>
      <w:r>
        <w:rPr>
          <w:rFonts w:ascii="Times New Roman;serif" w:hAnsi="Times New Roman;serif"/>
          <w:b/>
          <w:i/>
          <w:color w:val="000000"/>
          <w:sz w:val="20"/>
        </w:rPr>
        <w:t>CARES Act</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On March 27, 2020, the Coronavirus Aid, Relief, and Economic Security (CARES) Act was signed. The CARES Act, among other things, included provisions relating to refundable payroll tax credits, deferment of employer social security payments, alternative minimum tax credit refunds and modifications to net interest deduction limitations. The Company has concluded the analysis of these provisions as of year-end and the CARES Act did not have a material impact on the Company’s income taxes for the year ended January 31, 2021.</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63</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DULUTH HOLDINGS INC.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10.  RETIREMENT PLAN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has a contributory 401(k) profit sharing plan (the “Plan”) which covers all employees who have attained age 21 and who have met minimum service requirements. The Company makes quarterly non-discretionary “safe harbor” matching contributions to the Plan equal to 100% of the basic contribution made by each participant on the first 3% of his or her compensation plus 50% of the basic contribution made by each participant on the next 2% of his or her compensation.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is also permitted to make discretionary profit sharing contributions to the Plan. There were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profit sharing contributions for the plan year ended December 31, 2020.</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Company’s total expenses under the Plan were $1.6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$1.5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for fiscal 2020 and fiscal 2019, respectively.</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11.  COMMITMENTS AND CONTINGENCIES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From time to time, the Company becomes involved in lawsuits and other claims arising from its ordinary course of business. Because of the uncertainties related to the incurrence, amount and range of loss on any pending litigation or claim, management is currently unable to predict the ultimate outcome of any litigation or claim, determine whether a liability has been incurred or make an estimate of the reasonably possible liability that could result from an unfavorable outcome. Management believes, after considering a number of factors and the nature of any outstanding litigation or claims, that the outcome will not have a material effect upon the Company’s results of operations, financial condition or cash flows. However, because of the unpredictable nature of these matters, the Company cannot provide any assurances regarding the outcome of any litigation or claim to which it is a party or the impact on it of an adverse ruling in such matters.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12.  QUARTERLY FINANCIAL DATA (UNAUDITED)</w:t>
      </w:r>
    </w:p>
    <w:tbl>
      <w:tblPr>
        <w:tblW w:w="10205" w:type="dxa"/>
        <w:jc w:val="left"/>
        <w:tblInd w:w="0" w:type="dxa"/>
        <w:tblCellMar>
          <w:top w:w="0" w:type="dxa"/>
          <w:left w:w="0" w:type="dxa"/>
          <w:bottom w:w="0" w:type="dxa"/>
          <w:right w:w="0" w:type="dxa"/>
        </w:tblCellMar>
      </w:tblPr>
      <w:tblGrid>
        <w:gridCol w:w="2496"/>
        <w:gridCol w:w="109"/>
        <w:gridCol w:w="196"/>
        <w:gridCol w:w="736"/>
        <w:gridCol w:w="109"/>
        <w:gridCol w:w="766"/>
        <w:gridCol w:w="109"/>
        <w:gridCol w:w="196"/>
        <w:gridCol w:w="736"/>
        <w:gridCol w:w="109"/>
        <w:gridCol w:w="766"/>
        <w:gridCol w:w="109"/>
        <w:gridCol w:w="196"/>
        <w:gridCol w:w="736"/>
        <w:gridCol w:w="109"/>
        <w:gridCol w:w="766"/>
        <w:gridCol w:w="109"/>
        <w:gridCol w:w="196"/>
        <w:gridCol w:w="736"/>
        <w:gridCol w:w="109"/>
        <w:gridCol w:w="811"/>
      </w:tblGrid>
      <w:tr>
        <w:trPr/>
        <w:tc>
          <w:tcPr>
            <w:tcW w:w="24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7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7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7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7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7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7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7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811" w:type="dxa"/>
            <w:tcBorders/>
            <w:shd w:fill="FFFFFF" w:val="clear"/>
            <w:vAlign w:val="center"/>
          </w:tcPr>
          <w:p>
            <w:pPr>
              <w:pStyle w:val="TableContents"/>
              <w:spacing w:before="0" w:after="283"/>
              <w:rPr>
                <w:sz w:val="4"/>
                <w:szCs w:val="4"/>
              </w:rPr>
            </w:pPr>
            <w:r>
              <w:rPr>
                <w:sz w:val="4"/>
                <w:szCs w:val="4"/>
              </w:rPr>
            </w:r>
          </w:p>
        </w:tc>
      </w:tr>
      <w:tr>
        <w:trPr/>
        <w:tc>
          <w:tcPr>
            <w:tcW w:w="24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7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7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7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7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7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7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7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811" w:type="dxa"/>
            <w:tcBorders/>
            <w:shd w:fill="FFFFFF" w:val="clear"/>
            <w:vAlign w:val="center"/>
          </w:tcPr>
          <w:p>
            <w:pPr>
              <w:pStyle w:val="TableContents"/>
              <w:spacing w:before="0" w:after="283"/>
              <w:rPr>
                <w:sz w:val="4"/>
                <w:szCs w:val="4"/>
              </w:rPr>
            </w:pPr>
            <w:r>
              <w:rPr>
                <w:sz w:val="4"/>
                <w:szCs w:val="4"/>
              </w:rPr>
            </w:r>
          </w:p>
        </w:tc>
      </w:tr>
      <w:tr>
        <w:trPr/>
        <w:tc>
          <w:tcPr>
            <w:tcW w:w="24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7600" w:type="dxa"/>
            <w:gridSpan w:val="19"/>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Fiscal 2020</w:t>
            </w:r>
          </w:p>
        </w:tc>
      </w:tr>
      <w:tr>
        <w:trPr/>
        <w:tc>
          <w:tcPr>
            <w:tcW w:w="24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93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First</w:t>
              <w:br/>
              <w:t>‎Quarter</w:t>
            </w:r>
          </w:p>
        </w:tc>
        <w:tc>
          <w:tcPr>
            <w:tcW w:w="109" w:type="dxa"/>
            <w:tcBorders/>
            <w:shd w:fill="FFFFFF" w:val="clear"/>
            <w:vAlign w:val="center"/>
          </w:tcPr>
          <w:p>
            <w:pPr>
              <w:pStyle w:val="TableContents"/>
              <w:spacing w:before="0" w:after="283"/>
              <w:rPr>
                <w:sz w:val="4"/>
                <w:szCs w:val="4"/>
              </w:rPr>
            </w:pPr>
            <w:r>
              <w:rPr>
                <w:sz w:val="4"/>
                <w:szCs w:val="4"/>
              </w:rPr>
            </w:r>
          </w:p>
        </w:tc>
        <w:tc>
          <w:tcPr>
            <w:tcW w:w="76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of Net</w:t>
              <w:br/>
              <w:t>‎Sales</w:t>
            </w:r>
          </w:p>
        </w:tc>
        <w:tc>
          <w:tcPr>
            <w:tcW w:w="109" w:type="dxa"/>
            <w:tcBorders/>
            <w:shd w:fill="FFFFFF" w:val="clear"/>
            <w:vAlign w:val="center"/>
          </w:tcPr>
          <w:p>
            <w:pPr>
              <w:pStyle w:val="TableContents"/>
              <w:spacing w:before="0" w:after="283"/>
              <w:rPr>
                <w:sz w:val="4"/>
                <w:szCs w:val="4"/>
              </w:rPr>
            </w:pPr>
            <w:r>
              <w:rPr>
                <w:sz w:val="4"/>
                <w:szCs w:val="4"/>
              </w:rPr>
            </w:r>
          </w:p>
        </w:tc>
        <w:tc>
          <w:tcPr>
            <w:tcW w:w="93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Second</w:t>
              <w:br/>
              <w:t>‎Quarter</w:t>
            </w:r>
          </w:p>
        </w:tc>
        <w:tc>
          <w:tcPr>
            <w:tcW w:w="109" w:type="dxa"/>
            <w:tcBorders/>
            <w:shd w:fill="FFFFFF" w:val="clear"/>
            <w:vAlign w:val="center"/>
          </w:tcPr>
          <w:p>
            <w:pPr>
              <w:pStyle w:val="TableContents"/>
              <w:spacing w:before="0" w:after="283"/>
              <w:rPr>
                <w:sz w:val="4"/>
                <w:szCs w:val="4"/>
              </w:rPr>
            </w:pPr>
            <w:r>
              <w:rPr>
                <w:sz w:val="4"/>
                <w:szCs w:val="4"/>
              </w:rPr>
            </w:r>
          </w:p>
        </w:tc>
        <w:tc>
          <w:tcPr>
            <w:tcW w:w="76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of Net</w:t>
              <w:br/>
              <w:t>‎Sales</w:t>
            </w:r>
          </w:p>
        </w:tc>
        <w:tc>
          <w:tcPr>
            <w:tcW w:w="109" w:type="dxa"/>
            <w:tcBorders/>
            <w:shd w:fill="FFFFFF" w:val="clear"/>
            <w:vAlign w:val="center"/>
          </w:tcPr>
          <w:p>
            <w:pPr>
              <w:pStyle w:val="TableContents"/>
              <w:spacing w:before="0" w:after="283"/>
              <w:rPr>
                <w:sz w:val="4"/>
                <w:szCs w:val="4"/>
              </w:rPr>
            </w:pPr>
            <w:r>
              <w:rPr>
                <w:sz w:val="4"/>
                <w:szCs w:val="4"/>
              </w:rPr>
            </w:r>
          </w:p>
        </w:tc>
        <w:tc>
          <w:tcPr>
            <w:tcW w:w="93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Third</w:t>
              <w:br/>
              <w:t>‎Quarter</w:t>
            </w:r>
          </w:p>
        </w:tc>
        <w:tc>
          <w:tcPr>
            <w:tcW w:w="109" w:type="dxa"/>
            <w:tcBorders/>
            <w:shd w:fill="FFFFFF" w:val="clear"/>
            <w:vAlign w:val="center"/>
          </w:tcPr>
          <w:p>
            <w:pPr>
              <w:pStyle w:val="TableContents"/>
              <w:spacing w:before="0" w:after="283"/>
              <w:rPr>
                <w:sz w:val="4"/>
                <w:szCs w:val="4"/>
              </w:rPr>
            </w:pPr>
            <w:r>
              <w:rPr>
                <w:sz w:val="4"/>
                <w:szCs w:val="4"/>
              </w:rPr>
            </w:r>
          </w:p>
        </w:tc>
        <w:tc>
          <w:tcPr>
            <w:tcW w:w="76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of Net</w:t>
              <w:br/>
              <w:t>‎Sales</w:t>
            </w:r>
          </w:p>
        </w:tc>
        <w:tc>
          <w:tcPr>
            <w:tcW w:w="109" w:type="dxa"/>
            <w:tcBorders/>
            <w:shd w:fill="FFFFFF" w:val="clear"/>
            <w:vAlign w:val="center"/>
          </w:tcPr>
          <w:p>
            <w:pPr>
              <w:pStyle w:val="TableContents"/>
              <w:spacing w:before="0" w:after="283"/>
              <w:rPr>
                <w:sz w:val="4"/>
                <w:szCs w:val="4"/>
              </w:rPr>
            </w:pPr>
            <w:r>
              <w:rPr>
                <w:sz w:val="4"/>
                <w:szCs w:val="4"/>
              </w:rPr>
            </w:r>
          </w:p>
        </w:tc>
        <w:tc>
          <w:tcPr>
            <w:tcW w:w="93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Fourth</w:t>
              <w:br/>
              <w:t>‎Quarter</w:t>
            </w:r>
          </w:p>
        </w:tc>
        <w:tc>
          <w:tcPr>
            <w:tcW w:w="109" w:type="dxa"/>
            <w:tcBorders/>
            <w:shd w:fill="FFFFFF" w:val="clear"/>
            <w:vAlign w:val="center"/>
          </w:tcPr>
          <w:p>
            <w:pPr>
              <w:pStyle w:val="TableContents"/>
              <w:spacing w:before="0" w:after="283"/>
              <w:rPr>
                <w:sz w:val="4"/>
                <w:szCs w:val="4"/>
              </w:rPr>
            </w:pPr>
            <w:r>
              <w:rPr>
                <w:sz w:val="4"/>
                <w:szCs w:val="4"/>
              </w:rPr>
            </w:r>
          </w:p>
        </w:tc>
        <w:tc>
          <w:tcPr>
            <w:tcW w:w="811"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of Net</w:t>
              <w:br/>
              <w:t>‎Sales</w:t>
            </w:r>
          </w:p>
        </w:tc>
      </w:tr>
      <w:tr>
        <w:trPr/>
        <w:tc>
          <w:tcPr>
            <w:tcW w:w="3537" w:type="dxa"/>
            <w:gridSpan w:val="4"/>
            <w:tcBorders/>
            <w:shd w:fill="FFFFFF" w:val="clear"/>
            <w:vAlign w:val="center"/>
          </w:tcPr>
          <w:p>
            <w:pPr>
              <w:pStyle w:val="TableContents"/>
              <w:bidi w:val="0"/>
              <w:spacing w:lineRule="auto" w:line="259" w:before="0" w:after="283"/>
              <w:rPr>
                <w:rFonts w:ascii="Times New Roman;serif" w:hAnsi="Times New Roman;serif"/>
                <w:b w:val="false"/>
                <w:i/>
                <w:sz w:val="16"/>
              </w:rPr>
            </w:pPr>
            <w:r>
              <w:rPr>
                <w:rFonts w:ascii="Times New Roman;serif" w:hAnsi="Times New Roman;serif"/>
                <w:b w:val="false"/>
                <w:i/>
                <w:sz w:val="16"/>
              </w:rPr>
              <w:t>(in thousands, except earnings per share)</w:t>
            </w:r>
          </w:p>
        </w:tc>
        <w:tc>
          <w:tcPr>
            <w:tcW w:w="109" w:type="dxa"/>
            <w:tcBorders/>
            <w:shd w:fill="FFFFFF" w:val="clear"/>
            <w:vAlign w:val="center"/>
          </w:tcPr>
          <w:p>
            <w:pPr>
              <w:pStyle w:val="TableContents"/>
              <w:spacing w:before="0" w:after="283"/>
              <w:rPr>
                <w:sz w:val="4"/>
                <w:szCs w:val="4"/>
              </w:rPr>
            </w:pPr>
            <w:r>
              <w:rPr>
                <w:sz w:val="4"/>
                <w:szCs w:val="4"/>
              </w:rPr>
            </w:r>
          </w:p>
        </w:tc>
        <w:tc>
          <w:tcPr>
            <w:tcW w:w="76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3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76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3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76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3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81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24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Net sales</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109,917</w:t>
            </w:r>
            <w:r>
              <w:rPr>
                <w:rFonts w:ascii="Times New Roman;serif" w:hAnsi="Times New Roman;serif"/>
                <w:caps w:val="false"/>
                <w:smallCaps w:val="false"/>
                <w:sz w:val="16"/>
              </w:rPr>
              <w:t> </w:t>
            </w:r>
          </w:p>
        </w:tc>
        <w:tc>
          <w:tcPr>
            <w:tcW w:w="109" w:type="dxa"/>
            <w:tcBorders/>
            <w:shd w:fill="CCEEFF" w:val="clear"/>
            <w:vAlign w:val="center"/>
          </w:tcPr>
          <w:p>
            <w:pPr>
              <w:pStyle w:val="TableContents"/>
              <w:spacing w:before="0" w:after="283"/>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100.0%</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137,375</w:t>
            </w:r>
            <w:r>
              <w:rPr>
                <w:rFonts w:ascii="Times New Roman;serif" w:hAnsi="Times New Roman;serif"/>
                <w:caps w:val="false"/>
                <w:smallCaps w:val="false"/>
                <w:sz w:val="16"/>
              </w:rPr>
              <w:t> </w:t>
            </w:r>
          </w:p>
        </w:tc>
        <w:tc>
          <w:tcPr>
            <w:tcW w:w="109" w:type="dxa"/>
            <w:tcBorders/>
            <w:shd w:fill="CCEEFF" w:val="clear"/>
            <w:vAlign w:val="center"/>
          </w:tcPr>
          <w:p>
            <w:pPr>
              <w:pStyle w:val="TableContents"/>
              <w:spacing w:before="0" w:after="283"/>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100.0%</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135,531</w:t>
            </w:r>
            <w:r>
              <w:rPr>
                <w:rFonts w:ascii="Times New Roman;serif" w:hAnsi="Times New Roman;serif"/>
                <w:caps w:val="false"/>
                <w:smallCaps w:val="false"/>
                <w:sz w:val="16"/>
              </w:rPr>
              <w:t> </w:t>
            </w:r>
          </w:p>
        </w:tc>
        <w:tc>
          <w:tcPr>
            <w:tcW w:w="109" w:type="dxa"/>
            <w:tcBorders/>
            <w:shd w:fill="CCEEFF" w:val="clear"/>
            <w:vAlign w:val="center"/>
          </w:tcPr>
          <w:p>
            <w:pPr>
              <w:pStyle w:val="TableContents"/>
              <w:spacing w:before="0" w:after="283"/>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100.0%</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255,960</w:t>
            </w:r>
            <w:r>
              <w:rPr>
                <w:rFonts w:ascii="Times New Roman;serif" w:hAnsi="Times New Roman;serif"/>
                <w:caps w:val="false"/>
                <w:smallCaps w:val="false"/>
                <w:sz w:val="16"/>
              </w:rPr>
              <w:t> </w:t>
            </w:r>
          </w:p>
        </w:tc>
        <w:tc>
          <w:tcPr>
            <w:tcW w:w="109" w:type="dxa"/>
            <w:tcBorders/>
            <w:shd w:fill="CCEEFF" w:val="clear"/>
            <w:vAlign w:val="center"/>
          </w:tcPr>
          <w:p>
            <w:pPr>
              <w:pStyle w:val="TableContents"/>
              <w:spacing w:before="0" w:after="283"/>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100.0%</w:t>
            </w:r>
          </w:p>
        </w:tc>
      </w:tr>
      <w:tr>
        <w:trPr/>
        <w:tc>
          <w:tcPr>
            <w:tcW w:w="249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Gross profit</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52,332</w:t>
            </w:r>
            <w:r>
              <w:rPr>
                <w:rFonts w:ascii="Times New Roman;serif" w:hAnsi="Times New Roman;serif"/>
                <w:caps w:val="false"/>
                <w:smallCaps w:val="false"/>
                <w:sz w:val="16"/>
              </w:rPr>
              <w:t> </w:t>
            </w:r>
          </w:p>
        </w:tc>
        <w:tc>
          <w:tcPr>
            <w:tcW w:w="109"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47.6%</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72,472</w:t>
            </w:r>
            <w:r>
              <w:rPr>
                <w:rFonts w:ascii="Times New Roman;serif" w:hAnsi="Times New Roman;serif"/>
                <w:caps w:val="false"/>
                <w:smallCaps w:val="false"/>
                <w:sz w:val="16"/>
              </w:rPr>
              <w:t> </w:t>
            </w:r>
          </w:p>
        </w:tc>
        <w:tc>
          <w:tcPr>
            <w:tcW w:w="109"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52.8%</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71,037</w:t>
            </w:r>
            <w:r>
              <w:rPr>
                <w:rFonts w:ascii="Times New Roman;serif" w:hAnsi="Times New Roman;serif"/>
                <w:caps w:val="false"/>
                <w:smallCaps w:val="false"/>
                <w:sz w:val="16"/>
              </w:rPr>
              <w:t> </w:t>
            </w:r>
          </w:p>
        </w:tc>
        <w:tc>
          <w:tcPr>
            <w:tcW w:w="109"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52.4%</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135,685</w:t>
            </w:r>
            <w:r>
              <w:rPr>
                <w:rFonts w:ascii="Times New Roman;serif" w:hAnsi="Times New Roman;serif"/>
                <w:caps w:val="false"/>
                <w:smallCaps w:val="false"/>
                <w:sz w:val="16"/>
              </w:rPr>
              <w:t> </w:t>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53.0%</w:t>
            </w:r>
          </w:p>
        </w:tc>
      </w:tr>
      <w:tr>
        <w:trPr/>
        <w:tc>
          <w:tcPr>
            <w:tcW w:w="24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Operating (loss) income</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(18,974)</w:t>
            </w:r>
          </w:p>
        </w:tc>
        <w:tc>
          <w:tcPr>
            <w:tcW w:w="109" w:type="dxa"/>
            <w:tcBorders/>
            <w:shd w:fill="CCEEFF" w:val="clear"/>
            <w:vAlign w:val="center"/>
          </w:tcPr>
          <w:p>
            <w:pPr>
              <w:pStyle w:val="TableContents"/>
              <w:spacing w:before="0" w:after="283"/>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(17.3)%</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9,792</w:t>
            </w:r>
            <w:r>
              <w:rPr>
                <w:rFonts w:ascii="Times New Roman;serif" w:hAnsi="Times New Roman;serif"/>
                <w:caps w:val="false"/>
                <w:smallCaps w:val="false"/>
                <w:sz w:val="16"/>
              </w:rPr>
              <w:t> </w:t>
            </w:r>
          </w:p>
        </w:tc>
        <w:tc>
          <w:tcPr>
            <w:tcW w:w="109" w:type="dxa"/>
            <w:tcBorders/>
            <w:shd w:fill="CCEEFF" w:val="clear"/>
            <w:vAlign w:val="center"/>
          </w:tcPr>
          <w:p>
            <w:pPr>
              <w:pStyle w:val="TableContents"/>
              <w:spacing w:before="0" w:after="283"/>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7.1%</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2,848</w:t>
            </w:r>
            <w:r>
              <w:rPr>
                <w:rFonts w:ascii="Times New Roman;serif" w:hAnsi="Times New Roman;serif"/>
                <w:caps w:val="false"/>
                <w:smallCaps w:val="false"/>
                <w:sz w:val="16"/>
              </w:rPr>
              <w:t> </w:t>
            </w:r>
          </w:p>
        </w:tc>
        <w:tc>
          <w:tcPr>
            <w:tcW w:w="109" w:type="dxa"/>
            <w:tcBorders/>
            <w:shd w:fill="CCEEFF" w:val="clear"/>
            <w:vAlign w:val="center"/>
          </w:tcPr>
          <w:p>
            <w:pPr>
              <w:pStyle w:val="TableContents"/>
              <w:spacing w:before="0" w:after="283"/>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30,549</w:t>
            </w:r>
            <w:r>
              <w:rPr>
                <w:rFonts w:ascii="Times New Roman;serif" w:hAnsi="Times New Roman;serif"/>
                <w:caps w:val="false"/>
                <w:smallCaps w:val="false"/>
                <w:sz w:val="16"/>
              </w:rPr>
              <w:t> </w:t>
            </w:r>
          </w:p>
        </w:tc>
        <w:tc>
          <w:tcPr>
            <w:tcW w:w="109" w:type="dxa"/>
            <w:tcBorders/>
            <w:shd w:fill="CCEEFF" w:val="clear"/>
            <w:vAlign w:val="center"/>
          </w:tcPr>
          <w:p>
            <w:pPr>
              <w:pStyle w:val="TableContents"/>
              <w:spacing w:before="0" w:after="283"/>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11.9%</w:t>
            </w:r>
          </w:p>
        </w:tc>
      </w:tr>
      <w:tr>
        <w:trPr/>
        <w:tc>
          <w:tcPr>
            <w:tcW w:w="2496" w:type="dxa"/>
            <w:tcBorders/>
            <w:shd w:fill="auto"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 xml:space="preserve">Net (loss) income attributable to </w:t>
              <w:br/>
              <w:t>‎</w:t>
            </w:r>
            <w:r>
              <w:rPr>
                <w:rFonts w:ascii="Times New Roman;serif" w:hAnsi="Times New Roman;serif"/>
                <w:caps w:val="false"/>
                <w:smallCaps w:val="false"/>
                <w:sz w:val="16"/>
              </w:rPr>
              <w:t>  </w:t>
            </w:r>
            <w:r>
              <w:rPr>
                <w:rFonts w:ascii="Times New Roman;serif" w:hAnsi="Times New Roman;serif"/>
                <w:b w:val="false"/>
                <w:i w:val="false"/>
                <w:caps w:val="false"/>
                <w:smallCaps w:val="false"/>
                <w:sz w:val="16"/>
              </w:rPr>
              <w:t>controlling interest</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(15,135)</w:t>
            </w:r>
          </w:p>
        </w:tc>
        <w:tc>
          <w:tcPr>
            <w:tcW w:w="109"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(13.8)%</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5,941</w:t>
            </w:r>
            <w:r>
              <w:rPr>
                <w:rFonts w:ascii="Times New Roman;serif" w:hAnsi="Times New Roman;serif"/>
                <w:caps w:val="false"/>
                <w:smallCaps w:val="false"/>
                <w:sz w:val="16"/>
              </w:rPr>
              <w:t> </w:t>
            </w:r>
          </w:p>
        </w:tc>
        <w:tc>
          <w:tcPr>
            <w:tcW w:w="109"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4.3%</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940</w:t>
            </w:r>
            <w:r>
              <w:rPr>
                <w:rFonts w:ascii="Times New Roman;serif" w:hAnsi="Times New Roman;serif"/>
                <w:caps w:val="false"/>
                <w:smallCaps w:val="false"/>
                <w:sz w:val="16"/>
              </w:rPr>
              <w:t> </w:t>
            </w:r>
          </w:p>
        </w:tc>
        <w:tc>
          <w:tcPr>
            <w:tcW w:w="109"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0.7%</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21,831</w:t>
            </w:r>
            <w:r>
              <w:rPr>
                <w:rFonts w:ascii="Times New Roman;serif" w:hAnsi="Times New Roman;serif"/>
                <w:caps w:val="false"/>
                <w:smallCaps w:val="false"/>
                <w:sz w:val="16"/>
              </w:rPr>
              <w:t> </w:t>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8.5%</w:t>
            </w:r>
          </w:p>
        </w:tc>
      </w:tr>
      <w:tr>
        <w:trPr/>
        <w:tc>
          <w:tcPr>
            <w:tcW w:w="249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 xml:space="preserve">Basic (loss) earnings per share </w:t>
              <w:br/>
              <w:t>‎</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 xml:space="preserve">attributable to controlling interest </w:t>
              <w:br/>
              <w:t>‎</w:t>
            </w:r>
            <w:r>
              <w:rPr>
                <w:rFonts w:ascii="Times New Roman;serif" w:hAnsi="Times New Roman;serif"/>
                <w:caps w:val="false"/>
                <w:smallCaps w:val="false"/>
                <w:sz w:val="16"/>
              </w:rPr>
              <w:t>  </w:t>
            </w:r>
            <w:r>
              <w:rPr>
                <w:rFonts w:ascii="Times New Roman;serif" w:hAnsi="Times New Roman;serif"/>
                <w:b w:val="false"/>
                <w:i w:val="false"/>
                <w:caps w:val="false"/>
                <w:smallCaps w:val="false"/>
                <w:sz w:val="16"/>
              </w:rPr>
              <w:t>(Class A and Class B)</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(0.47)</w:t>
            </w:r>
          </w:p>
        </w:tc>
        <w:tc>
          <w:tcPr>
            <w:tcW w:w="109" w:type="dxa"/>
            <w:tcBorders/>
            <w:shd w:fill="CCEEFF" w:val="clear"/>
            <w:vAlign w:val="center"/>
          </w:tcPr>
          <w:p>
            <w:pPr>
              <w:pStyle w:val="TableContents"/>
              <w:spacing w:before="0" w:after="283"/>
              <w:rPr>
                <w:sz w:val="4"/>
                <w:szCs w:val="4"/>
              </w:rPr>
            </w:pPr>
            <w:r>
              <w:rPr>
                <w:sz w:val="4"/>
                <w:szCs w:val="4"/>
              </w:rPr>
            </w:r>
          </w:p>
        </w:tc>
        <w:tc>
          <w:tcPr>
            <w:tcW w:w="76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0.18</w:t>
            </w:r>
            <w:r>
              <w:rPr>
                <w:rFonts w:ascii="Times New Roman;serif" w:hAnsi="Times New Roman;serif"/>
                <w:caps w:val="false"/>
                <w:smallCaps w:val="false"/>
                <w:sz w:val="16"/>
              </w:rPr>
              <w:t> </w:t>
            </w:r>
          </w:p>
        </w:tc>
        <w:tc>
          <w:tcPr>
            <w:tcW w:w="109" w:type="dxa"/>
            <w:tcBorders/>
            <w:shd w:fill="CCEEFF" w:val="clear"/>
            <w:vAlign w:val="center"/>
          </w:tcPr>
          <w:p>
            <w:pPr>
              <w:pStyle w:val="TableContents"/>
              <w:spacing w:before="0" w:after="283"/>
              <w:rPr>
                <w:sz w:val="4"/>
                <w:szCs w:val="4"/>
              </w:rPr>
            </w:pPr>
            <w:r>
              <w:rPr>
                <w:sz w:val="4"/>
                <w:szCs w:val="4"/>
              </w:rPr>
            </w:r>
          </w:p>
        </w:tc>
        <w:tc>
          <w:tcPr>
            <w:tcW w:w="76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0.03</w:t>
            </w:r>
            <w:r>
              <w:rPr>
                <w:rFonts w:ascii="Times New Roman;serif" w:hAnsi="Times New Roman;serif"/>
                <w:caps w:val="false"/>
                <w:smallCaps w:val="false"/>
                <w:sz w:val="16"/>
              </w:rPr>
              <w:t> </w:t>
            </w:r>
          </w:p>
        </w:tc>
        <w:tc>
          <w:tcPr>
            <w:tcW w:w="109" w:type="dxa"/>
            <w:tcBorders/>
            <w:shd w:fill="CCEEFF" w:val="clear"/>
            <w:vAlign w:val="center"/>
          </w:tcPr>
          <w:p>
            <w:pPr>
              <w:pStyle w:val="TableContents"/>
              <w:spacing w:before="0" w:after="283"/>
              <w:rPr>
                <w:sz w:val="4"/>
                <w:szCs w:val="4"/>
              </w:rPr>
            </w:pPr>
            <w:r>
              <w:rPr>
                <w:sz w:val="4"/>
                <w:szCs w:val="4"/>
              </w:rPr>
            </w:r>
          </w:p>
        </w:tc>
        <w:tc>
          <w:tcPr>
            <w:tcW w:w="76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0.67</w:t>
            </w:r>
            <w:r>
              <w:rPr>
                <w:rFonts w:ascii="Times New Roman;serif" w:hAnsi="Times New Roman;serif"/>
                <w:caps w:val="false"/>
                <w:smallCaps w:val="false"/>
                <w:sz w:val="16"/>
              </w:rPr>
              <w:t> </w:t>
            </w:r>
          </w:p>
        </w:tc>
        <w:tc>
          <w:tcPr>
            <w:tcW w:w="109" w:type="dxa"/>
            <w:tcBorders/>
            <w:shd w:fill="CCEEFF" w:val="clear"/>
            <w:vAlign w:val="center"/>
          </w:tcPr>
          <w:p>
            <w:pPr>
              <w:pStyle w:val="TableContents"/>
              <w:spacing w:before="0" w:after="283"/>
              <w:rPr>
                <w:sz w:val="4"/>
                <w:szCs w:val="4"/>
              </w:rPr>
            </w:pPr>
            <w:r>
              <w:rPr>
                <w:sz w:val="4"/>
                <w:szCs w:val="4"/>
              </w:rPr>
            </w:r>
          </w:p>
        </w:tc>
        <w:tc>
          <w:tcPr>
            <w:tcW w:w="811" w:type="dxa"/>
            <w:tcBorders/>
            <w:shd w:fill="CCEEFF" w:val="clear"/>
            <w:vAlign w:val="center"/>
          </w:tcPr>
          <w:p>
            <w:pPr>
              <w:pStyle w:val="TableContents"/>
              <w:spacing w:before="0" w:after="283"/>
              <w:rPr>
                <w:sz w:val="4"/>
                <w:szCs w:val="4"/>
              </w:rPr>
            </w:pPr>
            <w:r>
              <w:rPr>
                <w:sz w:val="4"/>
                <w:szCs w:val="4"/>
              </w:rPr>
            </w:r>
          </w:p>
        </w:tc>
      </w:tr>
      <w:tr>
        <w:trPr/>
        <w:tc>
          <w:tcPr>
            <w:tcW w:w="2496" w:type="dxa"/>
            <w:tcBorders/>
            <w:shd w:fill="auto"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 xml:space="preserve">Diluted (loss) earnings per share </w:t>
              <w:br/>
              <w:t>‎</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 xml:space="preserve">attributable to controlling interest </w:t>
              <w:br/>
              <w:t>‎</w:t>
            </w:r>
            <w:r>
              <w:rPr>
                <w:rFonts w:ascii="Times New Roman;serif" w:hAnsi="Times New Roman;serif"/>
                <w:caps w:val="false"/>
                <w:smallCaps w:val="false"/>
                <w:sz w:val="16"/>
              </w:rPr>
              <w:t>  </w:t>
            </w:r>
            <w:r>
              <w:rPr>
                <w:rFonts w:ascii="Times New Roman;serif" w:hAnsi="Times New Roman;serif"/>
                <w:b w:val="false"/>
                <w:i w:val="false"/>
                <w:caps w:val="false"/>
                <w:smallCaps w:val="false"/>
                <w:sz w:val="16"/>
              </w:rPr>
              <w:t>(Class A and Class B)</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(0.47)</w:t>
            </w:r>
          </w:p>
        </w:tc>
        <w:tc>
          <w:tcPr>
            <w:tcW w:w="109"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0.18</w:t>
            </w:r>
            <w:r>
              <w:rPr>
                <w:rFonts w:ascii="Times New Roman;serif" w:hAnsi="Times New Roman;serif"/>
                <w:caps w:val="false"/>
                <w:smallCaps w:val="false"/>
                <w:sz w:val="16"/>
              </w:rPr>
              <w:t> </w:t>
            </w:r>
          </w:p>
        </w:tc>
        <w:tc>
          <w:tcPr>
            <w:tcW w:w="109"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0.03</w:t>
            </w:r>
            <w:r>
              <w:rPr>
                <w:rFonts w:ascii="Times New Roman;serif" w:hAnsi="Times New Roman;serif"/>
                <w:caps w:val="false"/>
                <w:smallCaps w:val="false"/>
                <w:sz w:val="16"/>
              </w:rPr>
              <w:t> </w:t>
            </w:r>
          </w:p>
        </w:tc>
        <w:tc>
          <w:tcPr>
            <w:tcW w:w="109"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0.67</w:t>
            </w:r>
            <w:r>
              <w:rPr>
                <w:rFonts w:ascii="Times New Roman;serif" w:hAnsi="Times New Roman;serif"/>
                <w:caps w:val="false"/>
                <w:smallCaps w:val="false"/>
                <w:sz w:val="16"/>
              </w:rPr>
              <w:t> </w:t>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r>
    </w:tbl>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64</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DULUTH HOLDINGS INC.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w:t>
      </w:r>
    </w:p>
    <w:tbl>
      <w:tblPr>
        <w:tblW w:w="10205" w:type="dxa"/>
        <w:jc w:val="left"/>
        <w:tblInd w:w="0" w:type="dxa"/>
        <w:tblCellMar>
          <w:top w:w="0" w:type="dxa"/>
          <w:left w:w="0" w:type="dxa"/>
          <w:bottom w:w="0" w:type="dxa"/>
          <w:right w:w="0" w:type="dxa"/>
        </w:tblCellMar>
      </w:tblPr>
      <w:tblGrid>
        <w:gridCol w:w="2496"/>
        <w:gridCol w:w="109"/>
        <w:gridCol w:w="196"/>
        <w:gridCol w:w="736"/>
        <w:gridCol w:w="109"/>
        <w:gridCol w:w="766"/>
        <w:gridCol w:w="109"/>
        <w:gridCol w:w="196"/>
        <w:gridCol w:w="736"/>
        <w:gridCol w:w="109"/>
        <w:gridCol w:w="766"/>
        <w:gridCol w:w="109"/>
        <w:gridCol w:w="196"/>
        <w:gridCol w:w="736"/>
        <w:gridCol w:w="109"/>
        <w:gridCol w:w="766"/>
        <w:gridCol w:w="109"/>
        <w:gridCol w:w="196"/>
        <w:gridCol w:w="736"/>
        <w:gridCol w:w="109"/>
        <w:gridCol w:w="811"/>
      </w:tblGrid>
      <w:tr>
        <w:trPr/>
        <w:tc>
          <w:tcPr>
            <w:tcW w:w="24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7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7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7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7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7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7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7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811" w:type="dxa"/>
            <w:tcBorders/>
            <w:shd w:fill="FFFFFF" w:val="clear"/>
            <w:vAlign w:val="center"/>
          </w:tcPr>
          <w:p>
            <w:pPr>
              <w:pStyle w:val="TableContents"/>
              <w:spacing w:before="0" w:after="283"/>
              <w:rPr>
                <w:sz w:val="4"/>
                <w:szCs w:val="4"/>
              </w:rPr>
            </w:pPr>
            <w:r>
              <w:rPr>
                <w:sz w:val="4"/>
                <w:szCs w:val="4"/>
              </w:rPr>
            </w:r>
          </w:p>
        </w:tc>
      </w:tr>
      <w:tr>
        <w:trPr/>
        <w:tc>
          <w:tcPr>
            <w:tcW w:w="24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7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7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7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7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7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7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shd w:fill="FFFFFF" w:val="clear"/>
            <w:vAlign w:val="center"/>
          </w:tcPr>
          <w:p>
            <w:pPr>
              <w:pStyle w:val="TableContents"/>
              <w:spacing w:before="0" w:after="283"/>
              <w:rPr>
                <w:sz w:val="4"/>
                <w:szCs w:val="4"/>
              </w:rPr>
            </w:pPr>
            <w:r>
              <w:rPr>
                <w:sz w:val="4"/>
                <w:szCs w:val="4"/>
              </w:rPr>
            </w:r>
          </w:p>
        </w:tc>
        <w:tc>
          <w:tcPr>
            <w:tcW w:w="7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811" w:type="dxa"/>
            <w:tcBorders/>
            <w:shd w:fill="FFFFFF" w:val="clear"/>
            <w:vAlign w:val="center"/>
          </w:tcPr>
          <w:p>
            <w:pPr>
              <w:pStyle w:val="TableContents"/>
              <w:spacing w:before="0" w:after="283"/>
              <w:rPr>
                <w:sz w:val="4"/>
                <w:szCs w:val="4"/>
              </w:rPr>
            </w:pPr>
            <w:r>
              <w:rPr>
                <w:sz w:val="4"/>
                <w:szCs w:val="4"/>
              </w:rPr>
            </w:r>
          </w:p>
        </w:tc>
      </w:tr>
      <w:tr>
        <w:trPr/>
        <w:tc>
          <w:tcPr>
            <w:tcW w:w="24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7600" w:type="dxa"/>
            <w:gridSpan w:val="19"/>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Fiscal 2019</w:t>
            </w:r>
          </w:p>
        </w:tc>
      </w:tr>
      <w:tr>
        <w:trPr/>
        <w:tc>
          <w:tcPr>
            <w:tcW w:w="24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93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First</w:t>
              <w:br/>
              <w:t>‎Quarter</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6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of Net</w:t>
              <w:br/>
              <w:t>‎Sales</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Second</w:t>
              <w:br/>
              <w:t>‎Quarter</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6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of Net</w:t>
              <w:br/>
              <w:t>‎Sales</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Third</w:t>
              <w:br/>
              <w:t>‎Quarter</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6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of Net</w:t>
              <w:br/>
              <w:t>‎Sales</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Fourth</w:t>
              <w:br/>
              <w:t>‎Quarter</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1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of Net</w:t>
              <w:br/>
              <w:t>‎Sales</w:t>
            </w:r>
          </w:p>
        </w:tc>
      </w:tr>
      <w:tr>
        <w:trPr/>
        <w:tc>
          <w:tcPr>
            <w:tcW w:w="3537" w:type="dxa"/>
            <w:gridSpan w:val="4"/>
            <w:tcBorders/>
            <w:shd w:fill="FFFFFF" w:val="clear"/>
            <w:vAlign w:val="center"/>
          </w:tcPr>
          <w:p>
            <w:pPr>
              <w:pStyle w:val="TableContents"/>
              <w:bidi w:val="0"/>
              <w:spacing w:lineRule="auto" w:line="259" w:before="0" w:after="283"/>
              <w:rPr>
                <w:rFonts w:ascii="Times New Roman;serif" w:hAnsi="Times New Roman;serif"/>
                <w:b w:val="false"/>
                <w:i/>
                <w:sz w:val="16"/>
              </w:rPr>
            </w:pPr>
            <w:r>
              <w:rPr>
                <w:rFonts w:ascii="Times New Roman;serif" w:hAnsi="Times New Roman;serif"/>
                <w:b w:val="false"/>
                <w:i/>
                <w:sz w:val="16"/>
              </w:rPr>
              <w:t>(in thousands, except earnings per share)</w:t>
            </w:r>
          </w:p>
        </w:tc>
        <w:tc>
          <w:tcPr>
            <w:tcW w:w="109" w:type="dxa"/>
            <w:tcBorders/>
            <w:shd w:fill="FFFFFF" w:val="clear"/>
            <w:vAlign w:val="center"/>
          </w:tcPr>
          <w:p>
            <w:pPr>
              <w:pStyle w:val="TableContents"/>
              <w:spacing w:before="0" w:after="283"/>
              <w:rPr>
                <w:sz w:val="4"/>
                <w:szCs w:val="4"/>
              </w:rPr>
            </w:pPr>
            <w:r>
              <w:rPr>
                <w:sz w:val="4"/>
                <w:szCs w:val="4"/>
              </w:rPr>
            </w:r>
          </w:p>
        </w:tc>
        <w:tc>
          <w:tcPr>
            <w:tcW w:w="76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3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76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3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76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73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81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24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Net sales</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114,244</w:t>
            </w:r>
            <w:r>
              <w:rPr>
                <w:rFonts w:ascii="Times New Roman;serif" w:hAnsi="Times New Roman;serif"/>
                <w:caps w:val="false"/>
                <w:smallCaps w:val="false"/>
                <w:sz w:val="16"/>
              </w:rPr>
              <w:t> </w:t>
            </w:r>
          </w:p>
        </w:tc>
        <w:tc>
          <w:tcPr>
            <w:tcW w:w="109" w:type="dxa"/>
            <w:tcBorders/>
            <w:shd w:fill="CCEEFF" w:val="clear"/>
            <w:vAlign w:val="center"/>
          </w:tcPr>
          <w:p>
            <w:pPr>
              <w:pStyle w:val="TableContents"/>
              <w:spacing w:before="0" w:after="283"/>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100.0%</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121,963</w:t>
            </w:r>
            <w:r>
              <w:rPr>
                <w:rFonts w:ascii="Times New Roman;serif" w:hAnsi="Times New Roman;serif"/>
                <w:caps w:val="false"/>
                <w:smallCaps w:val="false"/>
                <w:sz w:val="16"/>
              </w:rPr>
              <w:t> </w:t>
            </w:r>
          </w:p>
        </w:tc>
        <w:tc>
          <w:tcPr>
            <w:tcW w:w="109" w:type="dxa"/>
            <w:tcBorders/>
            <w:shd w:fill="CCEEFF" w:val="clear"/>
            <w:vAlign w:val="center"/>
          </w:tcPr>
          <w:p>
            <w:pPr>
              <w:pStyle w:val="TableContents"/>
              <w:spacing w:before="0" w:after="283"/>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100.0%</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119,768</w:t>
            </w:r>
            <w:r>
              <w:rPr>
                <w:rFonts w:ascii="Times New Roman;serif" w:hAnsi="Times New Roman;serif"/>
                <w:caps w:val="false"/>
                <w:smallCaps w:val="false"/>
                <w:sz w:val="16"/>
              </w:rPr>
              <w:t> </w:t>
            </w:r>
          </w:p>
        </w:tc>
        <w:tc>
          <w:tcPr>
            <w:tcW w:w="109" w:type="dxa"/>
            <w:tcBorders/>
            <w:shd w:fill="CCEEFF" w:val="clear"/>
            <w:vAlign w:val="center"/>
          </w:tcPr>
          <w:p>
            <w:pPr>
              <w:pStyle w:val="TableContents"/>
              <w:spacing w:before="0" w:after="283"/>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100.0%</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259,649</w:t>
            </w:r>
            <w:r>
              <w:rPr>
                <w:rFonts w:ascii="Times New Roman;serif" w:hAnsi="Times New Roman;serif"/>
                <w:caps w:val="false"/>
                <w:smallCaps w:val="false"/>
                <w:sz w:val="16"/>
              </w:rPr>
              <w:t> </w:t>
            </w:r>
          </w:p>
        </w:tc>
        <w:tc>
          <w:tcPr>
            <w:tcW w:w="109" w:type="dxa"/>
            <w:tcBorders/>
            <w:shd w:fill="CCEEFF" w:val="clear"/>
            <w:vAlign w:val="center"/>
          </w:tcPr>
          <w:p>
            <w:pPr>
              <w:pStyle w:val="TableContents"/>
              <w:spacing w:before="0" w:after="283"/>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100.0%</w:t>
            </w:r>
          </w:p>
        </w:tc>
      </w:tr>
      <w:tr>
        <w:trPr/>
        <w:tc>
          <w:tcPr>
            <w:tcW w:w="249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Gross profit</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60,918</w:t>
            </w:r>
            <w:r>
              <w:rPr>
                <w:rFonts w:ascii="Times New Roman;serif" w:hAnsi="Times New Roman;serif"/>
                <w:caps w:val="false"/>
                <w:smallCaps w:val="false"/>
                <w:sz w:val="16"/>
              </w:rPr>
              <w:t> </w:t>
            </w:r>
          </w:p>
        </w:tc>
        <w:tc>
          <w:tcPr>
            <w:tcW w:w="109"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53.3%</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64,804</w:t>
            </w:r>
            <w:r>
              <w:rPr>
                <w:rFonts w:ascii="Times New Roman;serif" w:hAnsi="Times New Roman;serif"/>
                <w:caps w:val="false"/>
                <w:smallCaps w:val="false"/>
                <w:sz w:val="16"/>
              </w:rPr>
              <w:t> </w:t>
            </w:r>
          </w:p>
        </w:tc>
        <w:tc>
          <w:tcPr>
            <w:tcW w:w="109"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53.1%</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65,365</w:t>
            </w:r>
            <w:r>
              <w:rPr>
                <w:rFonts w:ascii="Times New Roman;serif" w:hAnsi="Times New Roman;serif"/>
                <w:caps w:val="false"/>
                <w:smallCaps w:val="false"/>
                <w:sz w:val="16"/>
              </w:rPr>
              <w:t> </w:t>
            </w:r>
          </w:p>
        </w:tc>
        <w:tc>
          <w:tcPr>
            <w:tcW w:w="109"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54.6%</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137,062</w:t>
            </w:r>
            <w:r>
              <w:rPr>
                <w:rFonts w:ascii="Times New Roman;serif" w:hAnsi="Times New Roman;serif"/>
                <w:caps w:val="false"/>
                <w:smallCaps w:val="false"/>
                <w:sz w:val="16"/>
              </w:rPr>
              <w:t> </w:t>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52.8%</w:t>
            </w:r>
          </w:p>
        </w:tc>
      </w:tr>
      <w:tr>
        <w:trPr/>
        <w:tc>
          <w:tcPr>
            <w:tcW w:w="24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Operating (loss) income</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(10,104)</w:t>
            </w:r>
          </w:p>
        </w:tc>
        <w:tc>
          <w:tcPr>
            <w:tcW w:w="109" w:type="dxa"/>
            <w:tcBorders/>
            <w:shd w:fill="CCEEFF" w:val="clear"/>
            <w:vAlign w:val="center"/>
          </w:tcPr>
          <w:p>
            <w:pPr>
              <w:pStyle w:val="TableContents"/>
              <w:spacing w:before="0" w:after="283"/>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(8.8)%</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3,735</w:t>
            </w:r>
            <w:r>
              <w:rPr>
                <w:rFonts w:ascii="Times New Roman;serif" w:hAnsi="Times New Roman;serif"/>
                <w:caps w:val="false"/>
                <w:smallCaps w:val="false"/>
                <w:sz w:val="16"/>
              </w:rPr>
              <w:t> </w:t>
            </w:r>
          </w:p>
        </w:tc>
        <w:tc>
          <w:tcPr>
            <w:tcW w:w="109" w:type="dxa"/>
            <w:tcBorders/>
            <w:shd w:fill="CCEEFF" w:val="clear"/>
            <w:vAlign w:val="center"/>
          </w:tcPr>
          <w:p>
            <w:pPr>
              <w:pStyle w:val="TableContents"/>
              <w:spacing w:before="0" w:after="283"/>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3.1%</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1,328</w:t>
            </w:r>
            <w:r>
              <w:rPr>
                <w:rFonts w:ascii="Times New Roman;serif" w:hAnsi="Times New Roman;serif"/>
                <w:caps w:val="false"/>
                <w:smallCaps w:val="false"/>
                <w:sz w:val="16"/>
              </w:rPr>
              <w:t> </w:t>
            </w:r>
          </w:p>
        </w:tc>
        <w:tc>
          <w:tcPr>
            <w:tcW w:w="109" w:type="dxa"/>
            <w:tcBorders/>
            <w:shd w:fill="CCEEFF" w:val="clear"/>
            <w:vAlign w:val="center"/>
          </w:tcPr>
          <w:p>
            <w:pPr>
              <w:pStyle w:val="TableContents"/>
              <w:spacing w:before="0" w:after="283"/>
              <w:rPr>
                <w:sz w:val="4"/>
                <w:szCs w:val="4"/>
              </w:rPr>
            </w:pPr>
            <w:r>
              <w:rPr>
                <w:sz w:val="4"/>
                <w:szCs w:val="4"/>
              </w:rPr>
            </w:r>
          </w:p>
        </w:tc>
        <w:tc>
          <w:tcPr>
            <w:tcW w:w="7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33,149</w:t>
            </w:r>
            <w:r>
              <w:rPr>
                <w:rFonts w:ascii="Times New Roman;serif" w:hAnsi="Times New Roman;serif"/>
                <w:caps w:val="false"/>
                <w:smallCaps w:val="false"/>
                <w:sz w:val="16"/>
              </w:rPr>
              <w:t> </w:t>
            </w:r>
          </w:p>
        </w:tc>
        <w:tc>
          <w:tcPr>
            <w:tcW w:w="109" w:type="dxa"/>
            <w:tcBorders/>
            <w:shd w:fill="CCEEFF" w:val="clear"/>
            <w:vAlign w:val="center"/>
          </w:tcPr>
          <w:p>
            <w:pPr>
              <w:pStyle w:val="TableContents"/>
              <w:spacing w:before="0" w:after="283"/>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12.8%</w:t>
            </w:r>
          </w:p>
        </w:tc>
      </w:tr>
      <w:tr>
        <w:trPr/>
        <w:tc>
          <w:tcPr>
            <w:tcW w:w="2496" w:type="dxa"/>
            <w:tcBorders/>
            <w:shd w:fill="auto"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 xml:space="preserve">Net (loss) income attributable to </w:t>
              <w:br/>
              <w:t>‎</w:t>
            </w:r>
            <w:r>
              <w:rPr>
                <w:rFonts w:ascii="Times New Roman;serif" w:hAnsi="Times New Roman;serif"/>
                <w:caps w:val="false"/>
                <w:smallCaps w:val="false"/>
                <w:sz w:val="16"/>
              </w:rPr>
              <w:t>  </w:t>
            </w:r>
            <w:r>
              <w:rPr>
                <w:rFonts w:ascii="Times New Roman;serif" w:hAnsi="Times New Roman;serif"/>
                <w:b w:val="false"/>
                <w:i w:val="false"/>
                <w:caps w:val="false"/>
                <w:smallCaps w:val="false"/>
                <w:sz w:val="16"/>
              </w:rPr>
              <w:t>controlling interest</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(7,572)</w:t>
            </w:r>
          </w:p>
        </w:tc>
        <w:tc>
          <w:tcPr>
            <w:tcW w:w="109"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(6.6)%</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1,936</w:t>
            </w:r>
            <w:r>
              <w:rPr>
                <w:rFonts w:ascii="Times New Roman;serif" w:hAnsi="Times New Roman;serif"/>
                <w:caps w:val="false"/>
                <w:smallCaps w:val="false"/>
                <w:sz w:val="16"/>
              </w:rPr>
              <w:t> </w:t>
            </w:r>
          </w:p>
        </w:tc>
        <w:tc>
          <w:tcPr>
            <w:tcW w:w="109"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182</w:t>
            </w:r>
            <w:r>
              <w:rPr>
                <w:rFonts w:ascii="Times New Roman;serif" w:hAnsi="Times New Roman;serif"/>
                <w:caps w:val="false"/>
                <w:smallCaps w:val="false"/>
                <w:sz w:val="16"/>
              </w:rPr>
              <w:t> </w:t>
            </w:r>
          </w:p>
        </w:tc>
        <w:tc>
          <w:tcPr>
            <w:tcW w:w="109"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0.2%</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24,375</w:t>
            </w:r>
            <w:r>
              <w:rPr>
                <w:rFonts w:ascii="Times New Roman;serif" w:hAnsi="Times New Roman;serif"/>
                <w:caps w:val="false"/>
                <w:smallCaps w:val="false"/>
                <w:sz w:val="16"/>
              </w:rPr>
              <w:t> </w:t>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9.4%</w:t>
            </w:r>
          </w:p>
        </w:tc>
      </w:tr>
      <w:tr>
        <w:trPr/>
        <w:tc>
          <w:tcPr>
            <w:tcW w:w="249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 xml:space="preserve">Basic (loss) earnings per share </w:t>
              <w:br/>
              <w:t>‎</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 xml:space="preserve">attributable to controlling interest </w:t>
              <w:br/>
              <w:t>‎</w:t>
            </w:r>
            <w:r>
              <w:rPr>
                <w:rFonts w:ascii="Times New Roman;serif" w:hAnsi="Times New Roman;serif"/>
                <w:caps w:val="false"/>
                <w:smallCaps w:val="false"/>
                <w:sz w:val="16"/>
              </w:rPr>
              <w:t>  </w:t>
            </w:r>
            <w:r>
              <w:rPr>
                <w:rFonts w:ascii="Times New Roman;serif" w:hAnsi="Times New Roman;serif"/>
                <w:b w:val="false"/>
                <w:i w:val="false"/>
                <w:caps w:val="false"/>
                <w:smallCaps w:val="false"/>
                <w:sz w:val="16"/>
              </w:rPr>
              <w:t>(Class A and Class B)</w:t>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(0.23)</w:t>
            </w:r>
          </w:p>
        </w:tc>
        <w:tc>
          <w:tcPr>
            <w:tcW w:w="109" w:type="dxa"/>
            <w:tcBorders/>
            <w:shd w:fill="CCEEFF" w:val="clear"/>
            <w:vAlign w:val="center"/>
          </w:tcPr>
          <w:p>
            <w:pPr>
              <w:pStyle w:val="TableContents"/>
              <w:spacing w:before="0" w:after="283"/>
              <w:rPr>
                <w:sz w:val="4"/>
                <w:szCs w:val="4"/>
              </w:rPr>
            </w:pPr>
            <w:r>
              <w:rPr>
                <w:sz w:val="4"/>
                <w:szCs w:val="4"/>
              </w:rPr>
            </w:r>
          </w:p>
        </w:tc>
        <w:tc>
          <w:tcPr>
            <w:tcW w:w="76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0.06</w:t>
            </w:r>
            <w:r>
              <w:rPr>
                <w:rFonts w:ascii="Times New Roman;serif" w:hAnsi="Times New Roman;serif"/>
                <w:caps w:val="false"/>
                <w:smallCaps w:val="false"/>
                <w:sz w:val="16"/>
              </w:rPr>
              <w:t> </w:t>
            </w:r>
          </w:p>
        </w:tc>
        <w:tc>
          <w:tcPr>
            <w:tcW w:w="109" w:type="dxa"/>
            <w:tcBorders/>
            <w:shd w:fill="CCEEFF" w:val="clear"/>
            <w:vAlign w:val="center"/>
          </w:tcPr>
          <w:p>
            <w:pPr>
              <w:pStyle w:val="TableContents"/>
              <w:spacing w:before="0" w:after="283"/>
              <w:rPr>
                <w:sz w:val="4"/>
                <w:szCs w:val="4"/>
              </w:rPr>
            </w:pPr>
            <w:r>
              <w:rPr>
                <w:sz w:val="4"/>
                <w:szCs w:val="4"/>
              </w:rPr>
            </w:r>
          </w:p>
        </w:tc>
        <w:tc>
          <w:tcPr>
            <w:tcW w:w="76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0.01</w:t>
            </w:r>
            <w:r>
              <w:rPr>
                <w:rFonts w:ascii="Times New Roman;serif" w:hAnsi="Times New Roman;serif"/>
                <w:caps w:val="false"/>
                <w:smallCaps w:val="false"/>
                <w:sz w:val="16"/>
              </w:rPr>
              <w:t> </w:t>
            </w:r>
          </w:p>
        </w:tc>
        <w:tc>
          <w:tcPr>
            <w:tcW w:w="109" w:type="dxa"/>
            <w:tcBorders/>
            <w:shd w:fill="CCEEFF" w:val="clear"/>
            <w:vAlign w:val="center"/>
          </w:tcPr>
          <w:p>
            <w:pPr>
              <w:pStyle w:val="TableContents"/>
              <w:spacing w:before="0" w:after="283"/>
              <w:rPr>
                <w:sz w:val="4"/>
                <w:szCs w:val="4"/>
              </w:rPr>
            </w:pPr>
            <w:r>
              <w:rPr>
                <w:sz w:val="4"/>
                <w:szCs w:val="4"/>
              </w:rPr>
            </w:r>
          </w:p>
        </w:tc>
        <w:tc>
          <w:tcPr>
            <w:tcW w:w="76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96" w:type="dxa"/>
            <w:tcBorders/>
            <w:shd w:fill="CCEEFF" w:val="clear"/>
            <w:vAlign w:val="center"/>
          </w:tcPr>
          <w:p>
            <w:pPr>
              <w:pStyle w:val="TableContents"/>
              <w:spacing w:before="0" w:after="283"/>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0.75</w:t>
            </w:r>
            <w:r>
              <w:rPr>
                <w:rFonts w:ascii="Times New Roman;serif" w:hAnsi="Times New Roman;serif"/>
                <w:caps w:val="false"/>
                <w:smallCaps w:val="false"/>
                <w:sz w:val="16"/>
              </w:rPr>
              <w:t> </w:t>
            </w:r>
          </w:p>
        </w:tc>
        <w:tc>
          <w:tcPr>
            <w:tcW w:w="109" w:type="dxa"/>
            <w:tcBorders/>
            <w:shd w:fill="CCEEFF" w:val="clear"/>
            <w:vAlign w:val="center"/>
          </w:tcPr>
          <w:p>
            <w:pPr>
              <w:pStyle w:val="TableContents"/>
              <w:spacing w:before="0" w:after="283"/>
              <w:rPr>
                <w:sz w:val="4"/>
                <w:szCs w:val="4"/>
              </w:rPr>
            </w:pPr>
            <w:r>
              <w:rPr>
                <w:sz w:val="4"/>
                <w:szCs w:val="4"/>
              </w:rPr>
            </w:r>
          </w:p>
        </w:tc>
        <w:tc>
          <w:tcPr>
            <w:tcW w:w="811" w:type="dxa"/>
            <w:tcBorders/>
            <w:shd w:fill="CCEEFF" w:val="clear"/>
            <w:vAlign w:val="center"/>
          </w:tcPr>
          <w:p>
            <w:pPr>
              <w:pStyle w:val="TableContents"/>
              <w:spacing w:before="0" w:after="283"/>
              <w:rPr>
                <w:sz w:val="4"/>
                <w:szCs w:val="4"/>
              </w:rPr>
            </w:pPr>
            <w:r>
              <w:rPr>
                <w:sz w:val="4"/>
                <w:szCs w:val="4"/>
              </w:rPr>
            </w:r>
          </w:p>
        </w:tc>
      </w:tr>
      <w:tr>
        <w:trPr/>
        <w:tc>
          <w:tcPr>
            <w:tcW w:w="2496" w:type="dxa"/>
            <w:tcBorders/>
            <w:shd w:fill="auto"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 xml:space="preserve">Diluted (loss) earnings per share </w:t>
              <w:br/>
              <w:t>‎</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 xml:space="preserve">attributable to controlling interest </w:t>
              <w:br/>
              <w:t>‎</w:t>
            </w:r>
            <w:r>
              <w:rPr>
                <w:rFonts w:ascii="Times New Roman;serif" w:hAnsi="Times New Roman;serif"/>
                <w:caps w:val="false"/>
                <w:smallCaps w:val="false"/>
                <w:sz w:val="16"/>
              </w:rPr>
              <w:t>  </w:t>
            </w:r>
            <w:r>
              <w:rPr>
                <w:rFonts w:ascii="Times New Roman;serif" w:hAnsi="Times New Roman;serif"/>
                <w:b w:val="false"/>
                <w:i w:val="false"/>
                <w:caps w:val="false"/>
                <w:smallCaps w:val="false"/>
                <w:sz w:val="16"/>
              </w:rPr>
              <w:t>(Class A and Class B)</w:t>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(0.23)</w:t>
            </w:r>
          </w:p>
        </w:tc>
        <w:tc>
          <w:tcPr>
            <w:tcW w:w="109"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0.06</w:t>
            </w:r>
            <w:r>
              <w:rPr>
                <w:rFonts w:ascii="Times New Roman;serif" w:hAnsi="Times New Roman;serif"/>
                <w:caps w:val="false"/>
                <w:smallCaps w:val="false"/>
                <w:sz w:val="16"/>
              </w:rPr>
              <w:t> </w:t>
            </w:r>
          </w:p>
        </w:tc>
        <w:tc>
          <w:tcPr>
            <w:tcW w:w="109"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0.01</w:t>
            </w:r>
            <w:r>
              <w:rPr>
                <w:rFonts w:ascii="Times New Roman;serif" w:hAnsi="Times New Roman;serif"/>
                <w:caps w:val="false"/>
                <w:smallCaps w:val="false"/>
                <w:sz w:val="16"/>
              </w:rPr>
              <w:t> </w:t>
            </w:r>
          </w:p>
        </w:tc>
        <w:tc>
          <w:tcPr>
            <w:tcW w:w="109"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0.75</w:t>
            </w:r>
            <w:r>
              <w:rPr>
                <w:rFonts w:ascii="Times New Roman;serif" w:hAnsi="Times New Roman;serif"/>
                <w:caps w:val="false"/>
                <w:smallCaps w:val="false"/>
                <w:sz w:val="16"/>
              </w:rPr>
              <w:t> </w:t>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Subsequent to the issuance of the May 5, 2019 interim financial statements, the Company identified a reclass error for disclosure purposes between selling, general and administration and interest expense, which had no impact on net income for the May 5, 2019 unaudited Consolidated Statement of Operations. The reclass error has been corrected in the above table. The Company assessed the reclass error and determined it is immaterial to the interim financial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13.  RECENT ACCOUNTING PRONOUNCEMENTS</w:t>
      </w:r>
    </w:p>
    <w:p>
      <w:pPr>
        <w:pStyle w:val="TextBody"/>
        <w:bidi w:val="0"/>
        <w:spacing w:lineRule="auto" w:line="259"/>
        <w:rPr>
          <w:rFonts w:ascii="Times New Roman;serif" w:hAnsi="Times New Roman;serif"/>
          <w:b w:val="false"/>
          <w:i/>
          <w:sz w:val="20"/>
          <w:u w:val="single"/>
        </w:rPr>
      </w:pPr>
      <w:r>
        <w:rPr>
          <w:rFonts w:ascii="Times New Roman;serif" w:hAnsi="Times New Roman;serif"/>
          <w:b w:val="false"/>
          <w:i/>
          <w:sz w:val="20"/>
          <w:u w:val="single"/>
        </w:rPr>
        <w:t>Recently Adopted Accounting Pronouncements</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Intangibles – Goodwill and Other – Internal-use Software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On February 3, 2020, the Company adopted Accounting Standards Update (“ASU”) No. 2018-15, </w:t>
      </w:r>
      <w:r>
        <w:rPr>
          <w:rFonts w:ascii="Times New Roman;serif" w:hAnsi="Times New Roman;serif"/>
          <w:b w:val="false"/>
          <w:i/>
          <w:sz w:val="20"/>
        </w:rPr>
        <w:t xml:space="preserve">Intangibles – Goodwill and Other – Internal-Use Software (Subtopic 350-40) </w:t>
      </w:r>
      <w:r>
        <w:rPr>
          <w:rFonts w:ascii="Times New Roman;serif" w:hAnsi="Times New Roman;serif"/>
          <w:b w:val="false"/>
          <w:i w:val="false"/>
          <w:caps w:val="false"/>
          <w:smallCaps w:val="false"/>
          <w:sz w:val="20"/>
        </w:rPr>
        <w:t>(“ASU 2018-15”) which provides additional guidance on the accounting for costs of implementation activities performed in a cloud computing arrangement that is a service contract. ASU 2018-15 requires a customer in a cloud computing arrangement that is a service contract to follow the new internal-use software guidance to determine which implementation costs to capitalize as assets or expense as incurred. The new internal-use software guidance requires that certain costs incurred during the application development stage be capitalized and other costs incurred during the preliminary project and post-implementation stages be expensed as they are incurred. The Company adopted ASU 2018-15 using the prospective method. In fiscal 2020, $3.9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of capitalized costs associated with implementation activities, net of amortization are classified within Prepaid expenses &amp; other current assets on the Company’s Consolidated Balance Sheets and $0.2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of related amortization costs are included in Selling, general and administrative expenses on the Company’s Consolidated Statement of Operations.</w:t>
      </w:r>
    </w:p>
    <w:p>
      <w:pPr>
        <w:pStyle w:val="TextBody"/>
        <w:bidi w:val="0"/>
        <w:spacing w:lineRule="auto" w:line="259"/>
        <w:rPr>
          <w:rFonts w:ascii="Times New Roman;serif" w:hAnsi="Times New Roman;serif"/>
          <w:b w:val="false"/>
          <w:i/>
          <w:sz w:val="20"/>
          <w:u w:val="single"/>
        </w:rPr>
      </w:pPr>
      <w:r>
        <w:rPr>
          <w:rFonts w:ascii="Times New Roman;serif" w:hAnsi="Times New Roman;serif"/>
          <w:b w:val="false"/>
          <w:i/>
          <w:sz w:val="20"/>
          <w:u w:val="single"/>
        </w:rPr>
        <w:t>Recently Issued Accounting Pronouncements Not Yet Adopted</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Financial Instruments – Credit Losses – Measurement of Credit Losses on Financial Instruments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highlight w:val="white"/>
        </w:rPr>
        <w:t xml:space="preserve">In June 2016, the FASB issued Accounting Standards Update No. 2016-13 </w:t>
      </w:r>
      <w:r>
        <w:rPr>
          <w:rFonts w:ascii="Times New Roman;serif" w:hAnsi="Times New Roman;serif"/>
          <w:sz w:val="20"/>
        </w:rPr>
        <w:t>“</w:t>
      </w:r>
      <w:r>
        <w:rPr>
          <w:rFonts w:ascii="Times New Roman;serif" w:hAnsi="Times New Roman;serif"/>
          <w:b w:val="false"/>
          <w:i/>
          <w:sz w:val="20"/>
        </w:rPr>
        <w:t xml:space="preserve">Financial Instruments-Credit Losses (Topic 326): Measurement of Credit Losses on Financial Instruments,” </w:t>
      </w:r>
      <w:r>
        <w:rPr>
          <w:rFonts w:ascii="Times New Roman;serif" w:hAnsi="Times New Roman;serif"/>
          <w:b w:val="false"/>
          <w:i w:val="false"/>
          <w:caps w:val="false"/>
          <w:smallCaps w:val="false"/>
          <w:sz w:val="20"/>
        </w:rPr>
        <w:t>(“ASU 2016-13”), which amends the impairment model by requiring entities to use a forward-looking approach based on expected losses to estimate credit losses on certain types of financial instruments, which include trade and other receivables, loans and held-to-maturity debt securities, to record an allowance for credit risk based on expected losses rather than incurred losses, otherwise known as “CECL”.</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highlight w:val="white"/>
        </w:rPr>
        <w:t xml:space="preserve">In addition, this guidance changes the recognition for credit losses on available-for-sale debt securities, which can occur as a result of market and credit risk and requires additional disclosures. On November 15, 2019, the FASB issued ASU No. 2019-10 </w:t>
      </w:r>
      <w:r>
        <w:rPr>
          <w:rFonts w:ascii="Times New Roman;serif" w:hAnsi="Times New Roman;serif"/>
          <w:color w:val="000000"/>
          <w:sz w:val="20"/>
          <w:highlight w:val="white"/>
        </w:rPr>
        <w:t>“</w:t>
      </w:r>
      <w:r>
        <w:rPr>
          <w:rFonts w:ascii="Times New Roman;serif" w:hAnsi="Times New Roman;serif"/>
          <w:b w:val="false"/>
          <w:i/>
          <w:color w:val="000000"/>
          <w:sz w:val="20"/>
          <w:highlight w:val="white"/>
        </w:rPr>
        <w:t>Financial Instruments-Credit Losses (Topic 326), Derivatives and Hedging (Topic 815, and Leases (Topic 842),”</w:t>
      </w:r>
      <w:r>
        <w:rPr>
          <w:rFonts w:ascii="Times New Roman;serif" w:hAnsi="Times New Roman;serif"/>
          <w:caps w:val="false"/>
          <w:smallCaps w:val="false"/>
          <w:color w:val="000000"/>
          <w:sz w:val="20"/>
          <w:highlight w:val="white"/>
        </w:rPr>
        <w:t xml:space="preserve"> </w:t>
      </w:r>
      <w:r>
        <w:rPr>
          <w:rFonts w:ascii="Times New Roman;serif" w:hAnsi="Times New Roman;serif"/>
          <w:b w:val="false"/>
          <w:i w:val="false"/>
          <w:caps w:val="false"/>
          <w:smallCaps w:val="false"/>
          <w:color w:val="000000"/>
          <w:sz w:val="20"/>
          <w:highlight w:val="white"/>
        </w:rPr>
        <w:t xml:space="preserve">(ASU 2019-10”), which provides framework to stagger effective dates for future major accounting standards and amends the effective dates for certain major new accounting standards to give implementation relief to certain types of entities. ASU 2019-10 amends the effective dates for ASU 2016-13 for smaller reporting companies with fiscal years beginning after December 15, 2022, and interim periods within those years. The Company expects to adopt ASU 2016-13 on January 30, 2023, the first day of the Company’s first quarter for the fiscal year ending January 28, 2024, the Company’s fiscal year 2023. The Company is evaluating the level of impact adopting ASU 2016-13 will have on the Company’s consolidated financial statements. </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65</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DULUTH HOLDINGS INC.</w:t>
      </w:r>
    </w:p>
    <w:p>
      <w:pPr>
        <w:pStyle w:val="TextBody"/>
        <w:bidi w:val="0"/>
        <w:spacing w:lineRule="auto" w:line="259"/>
        <w:rPr>
          <w:rFonts w:ascii="Times New Roman;serif" w:hAnsi="Times New Roman;serif"/>
          <w:b/>
          <w:i w:val="false"/>
          <w:caps w:val="false"/>
          <w:smallCaps w:val="false"/>
          <w:color w:val="000000"/>
          <w:sz w:val="20"/>
        </w:rPr>
      </w:pPr>
      <w:bookmarkStart w:id="24" w:name="ScheduleII"/>
      <w:bookmarkEnd w:id="24"/>
      <w:r>
        <w:rPr>
          <w:rFonts w:ascii="Times New Roman;serif" w:hAnsi="Times New Roman;serif"/>
          <w:b/>
          <w:i w:val="false"/>
          <w:caps w:val="false"/>
          <w:smallCaps w:val="false"/>
          <w:color w:val="000000"/>
          <w:sz w:val="20"/>
        </w:rPr>
        <w:t>SCHEDULE II</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VALUATION AND QUALIFYING ACCOUNTS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For the Years Ended January 31, 2021 and February 2, 2020</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(Amounts in thousands)</w:t>
      </w:r>
    </w:p>
    <w:tbl>
      <w:tblPr>
        <w:tblW w:w="7525" w:type="dxa"/>
        <w:jc w:val="left"/>
        <w:tblInd w:w="0" w:type="dxa"/>
        <w:tblCellMar>
          <w:top w:w="0" w:type="dxa"/>
          <w:left w:w="0" w:type="dxa"/>
          <w:bottom w:w="0" w:type="dxa"/>
          <w:right w:w="0" w:type="dxa"/>
        </w:tblCellMar>
      </w:tblPr>
      <w:tblGrid>
        <w:gridCol w:w="2476"/>
        <w:gridCol w:w="109"/>
        <w:gridCol w:w="234"/>
        <w:gridCol w:w="636"/>
        <w:gridCol w:w="109"/>
        <w:gridCol w:w="251"/>
        <w:gridCol w:w="680"/>
        <w:gridCol w:w="109"/>
        <w:gridCol w:w="369"/>
        <w:gridCol w:w="606"/>
        <w:gridCol w:w="109"/>
        <w:gridCol w:w="274"/>
        <w:gridCol w:w="627"/>
        <w:gridCol w:w="109"/>
        <w:gridCol w:w="211"/>
        <w:gridCol w:w="616"/>
      </w:tblGrid>
      <w:tr>
        <w:trPr/>
        <w:tc>
          <w:tcPr>
            <w:tcW w:w="247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34" w:type="dxa"/>
            <w:tcBorders/>
            <w:shd w:fill="FFFFFF" w:val="clear"/>
            <w:vAlign w:val="center"/>
          </w:tcPr>
          <w:p>
            <w:pPr>
              <w:pStyle w:val="TableContents"/>
              <w:spacing w:before="0" w:after="283"/>
              <w:rPr>
                <w:sz w:val="4"/>
                <w:szCs w:val="4"/>
              </w:rPr>
            </w:pPr>
            <w:r>
              <w:rPr>
                <w:sz w:val="4"/>
                <w:szCs w:val="4"/>
              </w:rPr>
            </w:r>
          </w:p>
        </w:tc>
        <w:tc>
          <w:tcPr>
            <w:tcW w:w="6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51" w:type="dxa"/>
            <w:tcBorders/>
            <w:shd w:fill="FFFFFF" w:val="clear"/>
            <w:vAlign w:val="center"/>
          </w:tcPr>
          <w:p>
            <w:pPr>
              <w:pStyle w:val="TableContents"/>
              <w:spacing w:before="0" w:after="283"/>
              <w:rPr>
                <w:sz w:val="4"/>
                <w:szCs w:val="4"/>
              </w:rPr>
            </w:pPr>
            <w:r>
              <w:rPr>
                <w:sz w:val="4"/>
                <w:szCs w:val="4"/>
              </w:rPr>
            </w:r>
          </w:p>
        </w:tc>
        <w:tc>
          <w:tcPr>
            <w:tcW w:w="680"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69" w:type="dxa"/>
            <w:tcBorders/>
            <w:shd w:fill="FFFFFF" w:val="clear"/>
            <w:vAlign w:val="center"/>
          </w:tcPr>
          <w:p>
            <w:pPr>
              <w:pStyle w:val="TableContents"/>
              <w:spacing w:before="0" w:after="283"/>
              <w:rPr>
                <w:sz w:val="4"/>
                <w:szCs w:val="4"/>
              </w:rPr>
            </w:pPr>
            <w:r>
              <w:rPr>
                <w:sz w:val="4"/>
                <w:szCs w:val="4"/>
              </w:rPr>
            </w:r>
          </w:p>
        </w:tc>
        <w:tc>
          <w:tcPr>
            <w:tcW w:w="60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74" w:type="dxa"/>
            <w:tcBorders/>
            <w:shd w:fill="FFFFFF" w:val="clear"/>
            <w:vAlign w:val="center"/>
          </w:tcPr>
          <w:p>
            <w:pPr>
              <w:pStyle w:val="TableContents"/>
              <w:spacing w:before="0" w:after="283"/>
              <w:rPr>
                <w:sz w:val="4"/>
                <w:szCs w:val="4"/>
              </w:rPr>
            </w:pPr>
            <w:r>
              <w:rPr>
                <w:sz w:val="4"/>
                <w:szCs w:val="4"/>
              </w:rPr>
            </w:r>
          </w:p>
        </w:tc>
        <w:tc>
          <w:tcPr>
            <w:tcW w:w="627"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16" w:type="dxa"/>
            <w:tcBorders/>
            <w:shd w:fill="FFFFFF" w:val="clear"/>
            <w:vAlign w:val="center"/>
          </w:tcPr>
          <w:p>
            <w:pPr>
              <w:pStyle w:val="TableContents"/>
              <w:spacing w:before="0" w:after="283"/>
              <w:rPr>
                <w:sz w:val="4"/>
                <w:szCs w:val="4"/>
              </w:rPr>
            </w:pPr>
            <w:r>
              <w:rPr>
                <w:sz w:val="4"/>
                <w:szCs w:val="4"/>
              </w:rPr>
            </w:r>
          </w:p>
        </w:tc>
      </w:tr>
      <w:tr>
        <w:trPr/>
        <w:tc>
          <w:tcPr>
            <w:tcW w:w="247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34" w:type="dxa"/>
            <w:tcBorders/>
            <w:shd w:fill="FFFFFF" w:val="clear"/>
            <w:vAlign w:val="center"/>
          </w:tcPr>
          <w:p>
            <w:pPr>
              <w:pStyle w:val="TableContents"/>
              <w:spacing w:before="0" w:after="283"/>
              <w:rPr>
                <w:sz w:val="4"/>
                <w:szCs w:val="4"/>
              </w:rPr>
            </w:pPr>
            <w:r>
              <w:rPr>
                <w:sz w:val="4"/>
                <w:szCs w:val="4"/>
              </w:rPr>
            </w:r>
          </w:p>
        </w:tc>
        <w:tc>
          <w:tcPr>
            <w:tcW w:w="6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51" w:type="dxa"/>
            <w:tcBorders/>
            <w:shd w:fill="FFFFFF" w:val="clear"/>
            <w:vAlign w:val="center"/>
          </w:tcPr>
          <w:p>
            <w:pPr>
              <w:pStyle w:val="TableContents"/>
              <w:spacing w:before="0" w:after="283"/>
              <w:rPr>
                <w:sz w:val="4"/>
                <w:szCs w:val="4"/>
              </w:rPr>
            </w:pPr>
            <w:r>
              <w:rPr>
                <w:sz w:val="4"/>
                <w:szCs w:val="4"/>
              </w:rPr>
            </w:r>
          </w:p>
        </w:tc>
        <w:tc>
          <w:tcPr>
            <w:tcW w:w="680"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69" w:type="dxa"/>
            <w:tcBorders/>
            <w:shd w:fill="FFFFFF" w:val="clear"/>
            <w:vAlign w:val="center"/>
          </w:tcPr>
          <w:p>
            <w:pPr>
              <w:pStyle w:val="TableContents"/>
              <w:spacing w:before="0" w:after="283"/>
              <w:rPr>
                <w:sz w:val="4"/>
                <w:szCs w:val="4"/>
              </w:rPr>
            </w:pPr>
            <w:r>
              <w:rPr>
                <w:sz w:val="4"/>
                <w:szCs w:val="4"/>
              </w:rPr>
            </w:r>
          </w:p>
        </w:tc>
        <w:tc>
          <w:tcPr>
            <w:tcW w:w="60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74" w:type="dxa"/>
            <w:tcBorders/>
            <w:shd w:fill="FFFFFF" w:val="clear"/>
            <w:vAlign w:val="center"/>
          </w:tcPr>
          <w:p>
            <w:pPr>
              <w:pStyle w:val="TableContents"/>
              <w:spacing w:before="0" w:after="283"/>
              <w:rPr>
                <w:sz w:val="4"/>
                <w:szCs w:val="4"/>
              </w:rPr>
            </w:pPr>
            <w:r>
              <w:rPr>
                <w:sz w:val="4"/>
                <w:szCs w:val="4"/>
              </w:rPr>
            </w:r>
          </w:p>
        </w:tc>
        <w:tc>
          <w:tcPr>
            <w:tcW w:w="627"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16" w:type="dxa"/>
            <w:tcBorders/>
            <w:shd w:fill="FFFFFF" w:val="clear"/>
            <w:vAlign w:val="center"/>
          </w:tcPr>
          <w:p>
            <w:pPr>
              <w:pStyle w:val="TableContents"/>
              <w:spacing w:before="0" w:after="283"/>
              <w:rPr>
                <w:sz w:val="4"/>
                <w:szCs w:val="4"/>
              </w:rPr>
            </w:pPr>
            <w:r>
              <w:rPr>
                <w:sz w:val="4"/>
                <w:szCs w:val="4"/>
              </w:rPr>
            </w:r>
          </w:p>
        </w:tc>
      </w:tr>
      <w:tr>
        <w:trPr/>
        <w:tc>
          <w:tcPr>
            <w:tcW w:w="247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34" w:type="dxa"/>
            <w:tcBorders/>
            <w:shd w:fill="FFFFFF" w:val="clear"/>
            <w:vAlign w:val="center"/>
          </w:tcPr>
          <w:p>
            <w:pPr>
              <w:pStyle w:val="TableContents"/>
              <w:spacing w:before="0" w:after="283"/>
              <w:rPr>
                <w:sz w:val="4"/>
                <w:szCs w:val="4"/>
              </w:rPr>
            </w:pPr>
            <w:r>
              <w:rPr>
                <w:sz w:val="4"/>
                <w:szCs w:val="4"/>
              </w:rPr>
            </w:r>
          </w:p>
        </w:tc>
        <w:tc>
          <w:tcPr>
            <w:tcW w:w="6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93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Charged to</w:t>
            </w:r>
          </w:p>
        </w:tc>
        <w:tc>
          <w:tcPr>
            <w:tcW w:w="109" w:type="dxa"/>
            <w:tcBorders/>
            <w:shd w:fill="FFFFFF" w:val="clear"/>
            <w:vAlign w:val="center"/>
          </w:tcPr>
          <w:p>
            <w:pPr>
              <w:pStyle w:val="TableContents"/>
              <w:spacing w:before="0" w:after="283"/>
              <w:rPr>
                <w:sz w:val="4"/>
                <w:szCs w:val="4"/>
              </w:rPr>
            </w:pPr>
            <w:r>
              <w:rPr>
                <w:sz w:val="4"/>
                <w:szCs w:val="4"/>
              </w:rPr>
            </w:r>
          </w:p>
        </w:tc>
        <w:tc>
          <w:tcPr>
            <w:tcW w:w="975"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Charged to </w:t>
            </w:r>
          </w:p>
        </w:tc>
        <w:tc>
          <w:tcPr>
            <w:tcW w:w="109" w:type="dxa"/>
            <w:tcBorders/>
            <w:shd w:fill="FFFFFF" w:val="clear"/>
            <w:vAlign w:val="center"/>
          </w:tcPr>
          <w:p>
            <w:pPr>
              <w:pStyle w:val="TableContents"/>
              <w:spacing w:before="0" w:after="283"/>
              <w:rPr>
                <w:sz w:val="4"/>
                <w:szCs w:val="4"/>
              </w:rPr>
            </w:pPr>
            <w:r>
              <w:rPr>
                <w:sz w:val="4"/>
                <w:szCs w:val="4"/>
              </w:rPr>
            </w:r>
          </w:p>
        </w:tc>
        <w:tc>
          <w:tcPr>
            <w:tcW w:w="274" w:type="dxa"/>
            <w:tcBorders/>
            <w:shd w:fill="FFFFFF" w:val="clear"/>
            <w:vAlign w:val="center"/>
          </w:tcPr>
          <w:p>
            <w:pPr>
              <w:pStyle w:val="TableContents"/>
              <w:spacing w:before="0" w:after="283"/>
              <w:rPr>
                <w:sz w:val="4"/>
                <w:szCs w:val="4"/>
              </w:rPr>
            </w:pPr>
            <w:r>
              <w:rPr>
                <w:sz w:val="4"/>
                <w:szCs w:val="4"/>
              </w:rPr>
            </w:r>
          </w:p>
        </w:tc>
        <w:tc>
          <w:tcPr>
            <w:tcW w:w="627"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16" w:type="dxa"/>
            <w:tcBorders/>
            <w:shd w:fill="FFFFFF" w:val="clear"/>
            <w:vAlign w:val="center"/>
          </w:tcPr>
          <w:p>
            <w:pPr>
              <w:pStyle w:val="TableContents"/>
              <w:spacing w:before="0" w:after="283"/>
              <w:rPr>
                <w:sz w:val="4"/>
                <w:szCs w:val="4"/>
              </w:rPr>
            </w:pPr>
            <w:r>
              <w:rPr>
                <w:sz w:val="4"/>
                <w:szCs w:val="4"/>
              </w:rPr>
            </w:r>
          </w:p>
        </w:tc>
      </w:tr>
      <w:tr>
        <w:trPr/>
        <w:tc>
          <w:tcPr>
            <w:tcW w:w="247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87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Beginning </w:t>
            </w:r>
          </w:p>
        </w:tc>
        <w:tc>
          <w:tcPr>
            <w:tcW w:w="109" w:type="dxa"/>
            <w:tcBorders/>
            <w:shd w:fill="FFFFFF" w:val="clear"/>
            <w:vAlign w:val="center"/>
          </w:tcPr>
          <w:p>
            <w:pPr>
              <w:pStyle w:val="TableContents"/>
              <w:spacing w:before="0" w:after="283"/>
              <w:rPr>
                <w:sz w:val="4"/>
                <w:szCs w:val="4"/>
              </w:rPr>
            </w:pPr>
            <w:r>
              <w:rPr>
                <w:sz w:val="4"/>
                <w:szCs w:val="4"/>
              </w:rPr>
            </w:r>
          </w:p>
        </w:tc>
        <w:tc>
          <w:tcPr>
            <w:tcW w:w="931"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Cost and </w:t>
            </w:r>
          </w:p>
        </w:tc>
        <w:tc>
          <w:tcPr>
            <w:tcW w:w="109" w:type="dxa"/>
            <w:tcBorders/>
            <w:shd w:fill="FFFFFF" w:val="clear"/>
            <w:vAlign w:val="center"/>
          </w:tcPr>
          <w:p>
            <w:pPr>
              <w:pStyle w:val="TableContents"/>
              <w:spacing w:before="0" w:after="283"/>
              <w:rPr>
                <w:sz w:val="4"/>
                <w:szCs w:val="4"/>
              </w:rPr>
            </w:pPr>
            <w:r>
              <w:rPr>
                <w:sz w:val="4"/>
                <w:szCs w:val="4"/>
              </w:rPr>
            </w:r>
          </w:p>
        </w:tc>
        <w:tc>
          <w:tcPr>
            <w:tcW w:w="975"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Other</w:t>
            </w:r>
          </w:p>
        </w:tc>
        <w:tc>
          <w:tcPr>
            <w:tcW w:w="109" w:type="dxa"/>
            <w:tcBorders/>
            <w:shd w:fill="FFFFFF" w:val="clear"/>
            <w:vAlign w:val="center"/>
          </w:tcPr>
          <w:p>
            <w:pPr>
              <w:pStyle w:val="TableContents"/>
              <w:spacing w:before="0" w:after="283"/>
              <w:rPr>
                <w:sz w:val="4"/>
                <w:szCs w:val="4"/>
              </w:rPr>
            </w:pPr>
            <w:r>
              <w:rPr>
                <w:sz w:val="4"/>
                <w:szCs w:val="4"/>
              </w:rPr>
            </w:r>
          </w:p>
        </w:tc>
        <w:tc>
          <w:tcPr>
            <w:tcW w:w="274" w:type="dxa"/>
            <w:tcBorders/>
            <w:shd w:fill="FFFFFF" w:val="clear"/>
            <w:vAlign w:val="center"/>
          </w:tcPr>
          <w:p>
            <w:pPr>
              <w:pStyle w:val="TableContents"/>
              <w:spacing w:before="0" w:after="283"/>
              <w:rPr>
                <w:sz w:val="4"/>
                <w:szCs w:val="4"/>
              </w:rPr>
            </w:pPr>
            <w:r>
              <w:rPr>
                <w:sz w:val="4"/>
                <w:szCs w:val="4"/>
              </w:rPr>
            </w:r>
          </w:p>
        </w:tc>
        <w:tc>
          <w:tcPr>
            <w:tcW w:w="627"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827"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Ending</w:t>
            </w:r>
          </w:p>
        </w:tc>
      </w:tr>
      <w:tr>
        <w:trPr/>
        <w:tc>
          <w:tcPr>
            <w:tcW w:w="247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87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w:t>
            </w:r>
          </w:p>
        </w:tc>
        <w:tc>
          <w:tcPr>
            <w:tcW w:w="109" w:type="dxa"/>
            <w:tcBorders/>
            <w:shd w:fill="FFFFFF" w:val="clear"/>
            <w:vAlign w:val="center"/>
          </w:tcPr>
          <w:p>
            <w:pPr>
              <w:pStyle w:val="TableContents"/>
              <w:spacing w:before="0" w:after="283"/>
              <w:rPr>
                <w:sz w:val="4"/>
                <w:szCs w:val="4"/>
              </w:rPr>
            </w:pPr>
            <w:r>
              <w:rPr>
                <w:sz w:val="4"/>
                <w:szCs w:val="4"/>
              </w:rPr>
            </w:r>
          </w:p>
        </w:tc>
        <w:tc>
          <w:tcPr>
            <w:tcW w:w="93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Expenses</w:t>
            </w:r>
          </w:p>
        </w:tc>
        <w:tc>
          <w:tcPr>
            <w:tcW w:w="109" w:type="dxa"/>
            <w:tcBorders/>
            <w:shd w:fill="FFFFFF" w:val="clear"/>
            <w:vAlign w:val="center"/>
          </w:tcPr>
          <w:p>
            <w:pPr>
              <w:pStyle w:val="TableContents"/>
              <w:spacing w:before="0" w:after="283"/>
              <w:rPr>
                <w:sz w:val="4"/>
                <w:szCs w:val="4"/>
              </w:rPr>
            </w:pPr>
            <w:r>
              <w:rPr>
                <w:sz w:val="4"/>
                <w:szCs w:val="4"/>
              </w:rPr>
            </w:r>
          </w:p>
        </w:tc>
        <w:tc>
          <w:tcPr>
            <w:tcW w:w="97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Accounts</w:t>
            </w:r>
          </w:p>
        </w:tc>
        <w:tc>
          <w:tcPr>
            <w:tcW w:w="109" w:type="dxa"/>
            <w:tcBorders/>
            <w:shd w:fill="FFFFFF" w:val="clear"/>
            <w:vAlign w:val="center"/>
          </w:tcPr>
          <w:p>
            <w:pPr>
              <w:pStyle w:val="TableContents"/>
              <w:spacing w:before="0" w:after="283"/>
              <w:rPr>
                <w:sz w:val="4"/>
                <w:szCs w:val="4"/>
              </w:rPr>
            </w:pPr>
            <w:r>
              <w:rPr>
                <w:sz w:val="4"/>
                <w:szCs w:val="4"/>
              </w:rPr>
            </w:r>
          </w:p>
        </w:tc>
        <w:tc>
          <w:tcPr>
            <w:tcW w:w="90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Deductions</w:t>
            </w:r>
          </w:p>
        </w:tc>
        <w:tc>
          <w:tcPr>
            <w:tcW w:w="109" w:type="dxa"/>
            <w:tcBorders/>
            <w:shd w:fill="FFFFFF" w:val="clear"/>
            <w:vAlign w:val="center"/>
          </w:tcPr>
          <w:p>
            <w:pPr>
              <w:pStyle w:val="TableContents"/>
              <w:spacing w:before="0" w:after="283"/>
              <w:rPr>
                <w:sz w:val="4"/>
                <w:szCs w:val="4"/>
              </w:rPr>
            </w:pPr>
            <w:r>
              <w:rPr>
                <w:sz w:val="4"/>
                <w:szCs w:val="4"/>
              </w:rPr>
            </w:r>
          </w:p>
        </w:tc>
        <w:tc>
          <w:tcPr>
            <w:tcW w:w="827"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w:t>
            </w:r>
          </w:p>
        </w:tc>
      </w:tr>
      <w:tr>
        <w:trPr/>
        <w:tc>
          <w:tcPr>
            <w:tcW w:w="2476" w:type="dxa"/>
            <w:tcBorders/>
            <w:shd w:fill="CCEEFF" w:val="clear"/>
            <w:vAlign w:val="center"/>
          </w:tcPr>
          <w:p>
            <w:pPr>
              <w:pStyle w:val="TableContents"/>
              <w:bidi w:val="0"/>
              <w:spacing w:lineRule="auto" w:line="259" w:before="0" w:after="283"/>
              <w:rPr>
                <w:rFonts w:ascii="Times New Roman;serif" w:hAnsi="Times New Roman;serif"/>
                <w:b w:val="false"/>
                <w:i/>
                <w:sz w:val="20"/>
              </w:rPr>
            </w:pPr>
            <w:r>
              <w:rPr>
                <w:rFonts w:ascii="Times New Roman;serif" w:hAnsi="Times New Roman;serif"/>
                <w:b w:val="false"/>
                <w:i/>
                <w:sz w:val="20"/>
              </w:rPr>
              <w:t>Inventory reserve</w:t>
            </w:r>
          </w:p>
        </w:tc>
        <w:tc>
          <w:tcPr>
            <w:tcW w:w="109" w:type="dxa"/>
            <w:tcBorders/>
            <w:shd w:fill="CCEEFF" w:val="clear"/>
            <w:vAlign w:val="center"/>
          </w:tcPr>
          <w:p>
            <w:pPr>
              <w:pStyle w:val="TableContents"/>
              <w:spacing w:before="0" w:after="283"/>
              <w:rPr>
                <w:sz w:val="4"/>
                <w:szCs w:val="4"/>
              </w:rPr>
            </w:pPr>
            <w:r>
              <w:rPr>
                <w:sz w:val="4"/>
                <w:szCs w:val="4"/>
              </w:rPr>
            </w:r>
          </w:p>
        </w:tc>
        <w:tc>
          <w:tcPr>
            <w:tcW w:w="234"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63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5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680"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369"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60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74"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627"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61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r>
      <w:tr>
        <w:trPr/>
        <w:tc>
          <w:tcPr>
            <w:tcW w:w="247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Year ended January 31, 2021</w:t>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3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1,826</w:t>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80"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0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27"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(226)</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1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1,600</w:t>
            </w:r>
          </w:p>
        </w:tc>
      </w:tr>
      <w:tr>
        <w:trPr/>
        <w:tc>
          <w:tcPr>
            <w:tcW w:w="24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Year ended February 2, 2020</w:t>
            </w:r>
          </w:p>
        </w:tc>
        <w:tc>
          <w:tcPr>
            <w:tcW w:w="109" w:type="dxa"/>
            <w:tcBorders/>
            <w:shd w:fill="CCEEFF" w:val="clear"/>
            <w:vAlign w:val="center"/>
          </w:tcPr>
          <w:p>
            <w:pPr>
              <w:pStyle w:val="TableContents"/>
              <w:spacing w:before="0" w:after="283"/>
              <w:rPr>
                <w:sz w:val="4"/>
                <w:szCs w:val="4"/>
              </w:rPr>
            </w:pPr>
            <w:r>
              <w:rPr>
                <w:sz w:val="4"/>
                <w:szCs w:val="4"/>
              </w:rPr>
            </w:r>
          </w:p>
        </w:tc>
        <w:tc>
          <w:tcPr>
            <w:tcW w:w="234" w:type="dxa"/>
            <w:tcBorders/>
            <w:shd w:fill="CCEEFF" w:val="clear"/>
            <w:vAlign w:val="center"/>
          </w:tcPr>
          <w:p>
            <w:pPr>
              <w:pStyle w:val="TableContents"/>
              <w:spacing w:before="0" w:after="283"/>
              <w:rPr>
                <w:sz w:val="4"/>
                <w:szCs w:val="4"/>
              </w:rPr>
            </w:pPr>
            <w:r>
              <w:rPr>
                <w:sz w:val="4"/>
                <w:szCs w:val="4"/>
              </w:rPr>
            </w:r>
          </w:p>
        </w:tc>
        <w:tc>
          <w:tcPr>
            <w:tcW w:w="6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2,420</w:t>
            </w:r>
          </w:p>
        </w:tc>
        <w:tc>
          <w:tcPr>
            <w:tcW w:w="109" w:type="dxa"/>
            <w:tcBorders/>
            <w:shd w:fill="CCEEFF" w:val="clear"/>
            <w:vAlign w:val="center"/>
          </w:tcPr>
          <w:p>
            <w:pPr>
              <w:pStyle w:val="TableContents"/>
              <w:spacing w:before="0" w:after="283"/>
              <w:rPr>
                <w:sz w:val="4"/>
                <w:szCs w:val="4"/>
              </w:rPr>
            </w:pPr>
            <w:r>
              <w:rPr>
                <w:sz w:val="4"/>
                <w:szCs w:val="4"/>
              </w:rPr>
            </w:r>
          </w:p>
        </w:tc>
        <w:tc>
          <w:tcPr>
            <w:tcW w:w="251" w:type="dxa"/>
            <w:tcBorders/>
            <w:shd w:fill="CCEEFF" w:val="clear"/>
            <w:vAlign w:val="center"/>
          </w:tcPr>
          <w:p>
            <w:pPr>
              <w:pStyle w:val="TableContents"/>
              <w:spacing w:before="0" w:after="283"/>
              <w:rPr>
                <w:sz w:val="4"/>
                <w:szCs w:val="4"/>
              </w:rPr>
            </w:pPr>
            <w:r>
              <w:rPr>
                <w:sz w:val="4"/>
                <w:szCs w:val="4"/>
              </w:rPr>
            </w:r>
          </w:p>
        </w:tc>
        <w:tc>
          <w:tcPr>
            <w:tcW w:w="680"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369" w:type="dxa"/>
            <w:tcBorders/>
            <w:shd w:fill="CCEEFF" w:val="clear"/>
            <w:vAlign w:val="center"/>
          </w:tcPr>
          <w:p>
            <w:pPr>
              <w:pStyle w:val="TableContents"/>
              <w:spacing w:before="0" w:after="283"/>
              <w:rPr>
                <w:sz w:val="4"/>
                <w:szCs w:val="4"/>
              </w:rPr>
            </w:pPr>
            <w:r>
              <w:rPr>
                <w:sz w:val="4"/>
                <w:szCs w:val="4"/>
              </w:rPr>
            </w:r>
          </w:p>
        </w:tc>
        <w:tc>
          <w:tcPr>
            <w:tcW w:w="60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74" w:type="dxa"/>
            <w:tcBorders/>
            <w:shd w:fill="CCEEFF" w:val="clear"/>
            <w:vAlign w:val="center"/>
          </w:tcPr>
          <w:p>
            <w:pPr>
              <w:pStyle w:val="TableContents"/>
              <w:spacing w:before="0" w:after="283"/>
              <w:rPr>
                <w:sz w:val="4"/>
                <w:szCs w:val="4"/>
              </w:rPr>
            </w:pPr>
            <w:r>
              <w:rPr>
                <w:sz w:val="4"/>
                <w:szCs w:val="4"/>
              </w:rPr>
            </w:r>
          </w:p>
        </w:tc>
        <w:tc>
          <w:tcPr>
            <w:tcW w:w="62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1,826</w:t>
            </w:r>
          </w:p>
        </w:tc>
      </w:tr>
      <w:tr>
        <w:trPr/>
        <w:tc>
          <w:tcPr>
            <w:tcW w:w="24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CCEEFF" w:val="clear"/>
            <w:vAlign w:val="center"/>
          </w:tcPr>
          <w:p>
            <w:pPr>
              <w:pStyle w:val="TableContents"/>
              <w:bidi w:val="0"/>
              <w:spacing w:lineRule="auto" w:line="259" w:before="0" w:after="283"/>
              <w:rPr>
                <w:rFonts w:ascii="Times New Roman;serif" w:hAnsi="Times New Roman;serif"/>
                <w:b w:val="false"/>
                <w:i/>
                <w:sz w:val="20"/>
              </w:rPr>
            </w:pPr>
            <w:r>
              <w:rPr>
                <w:rFonts w:ascii="Times New Roman;serif" w:hAnsi="Times New Roman;serif"/>
                <w:b w:val="false"/>
                <w:i/>
                <w:sz w:val="20"/>
              </w:rPr>
              <w:t>Product returns reserve</w:t>
            </w:r>
          </w:p>
        </w:tc>
        <w:tc>
          <w:tcPr>
            <w:tcW w:w="109" w:type="dxa"/>
            <w:tcBorders/>
            <w:shd w:fill="CCEEFF" w:val="clear"/>
            <w:vAlign w:val="center"/>
          </w:tcPr>
          <w:p>
            <w:pPr>
              <w:pStyle w:val="TableContents"/>
              <w:spacing w:before="0" w:after="283"/>
              <w:rPr>
                <w:sz w:val="4"/>
                <w:szCs w:val="4"/>
              </w:rPr>
            </w:pPr>
            <w:r>
              <w:rPr>
                <w:sz w:val="4"/>
                <w:szCs w:val="4"/>
              </w:rPr>
            </w:r>
          </w:p>
        </w:tc>
        <w:tc>
          <w:tcPr>
            <w:tcW w:w="234" w:type="dxa"/>
            <w:tcBorders/>
            <w:shd w:fill="CCEEFF" w:val="clear"/>
            <w:vAlign w:val="center"/>
          </w:tcPr>
          <w:p>
            <w:pPr>
              <w:pStyle w:val="TableContents"/>
              <w:spacing w:before="0" w:after="283"/>
              <w:rPr>
                <w:sz w:val="4"/>
                <w:szCs w:val="4"/>
              </w:rPr>
            </w:pPr>
            <w:r>
              <w:rPr>
                <w:sz w:val="4"/>
                <w:szCs w:val="4"/>
              </w:rPr>
            </w:r>
          </w:p>
        </w:tc>
        <w:tc>
          <w:tcPr>
            <w:tcW w:w="63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51" w:type="dxa"/>
            <w:tcBorders/>
            <w:shd w:fill="CCEEFF" w:val="clear"/>
            <w:vAlign w:val="center"/>
          </w:tcPr>
          <w:p>
            <w:pPr>
              <w:pStyle w:val="TableContents"/>
              <w:spacing w:before="0" w:after="283"/>
              <w:rPr>
                <w:sz w:val="4"/>
                <w:szCs w:val="4"/>
              </w:rPr>
            </w:pPr>
            <w:r>
              <w:rPr>
                <w:sz w:val="4"/>
                <w:szCs w:val="4"/>
              </w:rPr>
            </w:r>
          </w:p>
        </w:tc>
        <w:tc>
          <w:tcPr>
            <w:tcW w:w="680"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369" w:type="dxa"/>
            <w:tcBorders/>
            <w:shd w:fill="CCEEFF" w:val="clear"/>
            <w:vAlign w:val="center"/>
          </w:tcPr>
          <w:p>
            <w:pPr>
              <w:pStyle w:val="TableContents"/>
              <w:spacing w:before="0" w:after="283"/>
              <w:rPr>
                <w:sz w:val="4"/>
                <w:szCs w:val="4"/>
              </w:rPr>
            </w:pPr>
            <w:r>
              <w:rPr>
                <w:sz w:val="4"/>
                <w:szCs w:val="4"/>
              </w:rPr>
            </w:r>
          </w:p>
        </w:tc>
        <w:tc>
          <w:tcPr>
            <w:tcW w:w="60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74" w:type="dxa"/>
            <w:tcBorders/>
            <w:shd w:fill="CCEEFF" w:val="clear"/>
            <w:vAlign w:val="center"/>
          </w:tcPr>
          <w:p>
            <w:pPr>
              <w:pStyle w:val="TableContents"/>
              <w:spacing w:before="0" w:after="283"/>
              <w:rPr>
                <w:sz w:val="4"/>
                <w:szCs w:val="4"/>
              </w:rPr>
            </w:pPr>
            <w:r>
              <w:rPr>
                <w:sz w:val="4"/>
                <w:szCs w:val="4"/>
              </w:rPr>
            </w:r>
          </w:p>
        </w:tc>
        <w:tc>
          <w:tcPr>
            <w:tcW w:w="627"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16" w:type="dxa"/>
            <w:tcBorders/>
            <w:shd w:fill="CCEEFF" w:val="clear"/>
            <w:vAlign w:val="center"/>
          </w:tcPr>
          <w:p>
            <w:pPr>
              <w:pStyle w:val="TableContents"/>
              <w:spacing w:before="0" w:after="283"/>
              <w:rPr>
                <w:sz w:val="4"/>
                <w:szCs w:val="4"/>
              </w:rPr>
            </w:pPr>
            <w:r>
              <w:rPr>
                <w:sz w:val="4"/>
                <w:szCs w:val="4"/>
              </w:rPr>
            </w:r>
          </w:p>
        </w:tc>
      </w:tr>
      <w:tr>
        <w:trPr/>
        <w:tc>
          <w:tcPr>
            <w:tcW w:w="247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Year ended January 31, 2021</w:t>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3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3,508</w:t>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80"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1,796</w:t>
            </w:r>
          </w:p>
        </w:tc>
        <w:tc>
          <w:tcPr>
            <w:tcW w:w="10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06"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27" w:type="dxa"/>
            <w:tcBorders/>
            <w:shd w:fill="auto"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1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5,304</w:t>
            </w:r>
          </w:p>
        </w:tc>
      </w:tr>
      <w:tr>
        <w:trPr/>
        <w:tc>
          <w:tcPr>
            <w:tcW w:w="24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Year ended February 2, 2020</w:t>
            </w:r>
          </w:p>
        </w:tc>
        <w:tc>
          <w:tcPr>
            <w:tcW w:w="109" w:type="dxa"/>
            <w:tcBorders/>
            <w:shd w:fill="CCEEFF" w:val="clear"/>
            <w:vAlign w:val="center"/>
          </w:tcPr>
          <w:p>
            <w:pPr>
              <w:pStyle w:val="TableContents"/>
              <w:spacing w:before="0" w:after="283"/>
              <w:rPr>
                <w:sz w:val="4"/>
                <w:szCs w:val="4"/>
              </w:rPr>
            </w:pPr>
            <w:r>
              <w:rPr>
                <w:sz w:val="4"/>
                <w:szCs w:val="4"/>
              </w:rPr>
            </w:r>
          </w:p>
        </w:tc>
        <w:tc>
          <w:tcPr>
            <w:tcW w:w="234" w:type="dxa"/>
            <w:tcBorders/>
            <w:shd w:fill="CCEEFF" w:val="clear"/>
            <w:vAlign w:val="center"/>
          </w:tcPr>
          <w:p>
            <w:pPr>
              <w:pStyle w:val="TableContents"/>
              <w:spacing w:before="0" w:after="283"/>
              <w:rPr>
                <w:sz w:val="4"/>
                <w:szCs w:val="4"/>
              </w:rPr>
            </w:pPr>
            <w:r>
              <w:rPr>
                <w:sz w:val="4"/>
                <w:szCs w:val="4"/>
              </w:rPr>
            </w:r>
          </w:p>
        </w:tc>
        <w:tc>
          <w:tcPr>
            <w:tcW w:w="6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2,088</w:t>
            </w:r>
          </w:p>
        </w:tc>
        <w:tc>
          <w:tcPr>
            <w:tcW w:w="109" w:type="dxa"/>
            <w:tcBorders/>
            <w:shd w:fill="CCEEFF" w:val="clear"/>
            <w:vAlign w:val="center"/>
          </w:tcPr>
          <w:p>
            <w:pPr>
              <w:pStyle w:val="TableContents"/>
              <w:spacing w:before="0" w:after="283"/>
              <w:rPr>
                <w:sz w:val="4"/>
                <w:szCs w:val="4"/>
              </w:rPr>
            </w:pPr>
            <w:r>
              <w:rPr>
                <w:sz w:val="4"/>
                <w:szCs w:val="4"/>
              </w:rPr>
            </w:r>
          </w:p>
        </w:tc>
        <w:tc>
          <w:tcPr>
            <w:tcW w:w="251" w:type="dxa"/>
            <w:tcBorders/>
            <w:shd w:fill="CCEEFF" w:val="clear"/>
            <w:vAlign w:val="center"/>
          </w:tcPr>
          <w:p>
            <w:pPr>
              <w:pStyle w:val="TableContents"/>
              <w:spacing w:before="0" w:after="283"/>
              <w:rPr>
                <w:sz w:val="4"/>
                <w:szCs w:val="4"/>
              </w:rPr>
            </w:pPr>
            <w:r>
              <w:rPr>
                <w:sz w:val="4"/>
                <w:szCs w:val="4"/>
              </w:rPr>
            </w:r>
          </w:p>
        </w:tc>
        <w:tc>
          <w:tcPr>
            <w:tcW w:w="68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1,420</w:t>
            </w:r>
          </w:p>
        </w:tc>
        <w:tc>
          <w:tcPr>
            <w:tcW w:w="109" w:type="dxa"/>
            <w:tcBorders/>
            <w:shd w:fill="CCEEFF" w:val="clear"/>
            <w:vAlign w:val="center"/>
          </w:tcPr>
          <w:p>
            <w:pPr>
              <w:pStyle w:val="TableContents"/>
              <w:spacing w:before="0" w:after="283"/>
              <w:rPr>
                <w:sz w:val="4"/>
                <w:szCs w:val="4"/>
              </w:rPr>
            </w:pPr>
            <w:r>
              <w:rPr>
                <w:sz w:val="4"/>
                <w:szCs w:val="4"/>
              </w:rPr>
            </w:r>
          </w:p>
        </w:tc>
        <w:tc>
          <w:tcPr>
            <w:tcW w:w="369" w:type="dxa"/>
            <w:tcBorders/>
            <w:shd w:fill="CCEEFF" w:val="clear"/>
            <w:vAlign w:val="center"/>
          </w:tcPr>
          <w:p>
            <w:pPr>
              <w:pStyle w:val="TableContents"/>
              <w:spacing w:before="0" w:after="283"/>
              <w:rPr>
                <w:sz w:val="4"/>
                <w:szCs w:val="4"/>
              </w:rPr>
            </w:pPr>
            <w:r>
              <w:rPr>
                <w:sz w:val="4"/>
                <w:szCs w:val="4"/>
              </w:rPr>
            </w:r>
          </w:p>
        </w:tc>
        <w:tc>
          <w:tcPr>
            <w:tcW w:w="60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74" w:type="dxa"/>
            <w:tcBorders/>
            <w:shd w:fill="CCEEFF" w:val="clear"/>
            <w:vAlign w:val="center"/>
          </w:tcPr>
          <w:p>
            <w:pPr>
              <w:pStyle w:val="TableContents"/>
              <w:spacing w:before="0" w:after="283"/>
              <w:rPr>
                <w:sz w:val="4"/>
                <w:szCs w:val="4"/>
              </w:rPr>
            </w:pPr>
            <w:r>
              <w:rPr>
                <w:sz w:val="4"/>
                <w:szCs w:val="4"/>
              </w:rPr>
            </w:r>
          </w:p>
        </w:tc>
        <w:tc>
          <w:tcPr>
            <w:tcW w:w="627"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3,508</w:t>
            </w:r>
          </w:p>
        </w:tc>
      </w:tr>
    </w:tbl>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See accompanying Report of Independent Registered Public Accounting Firm.</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66</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tbl>
      <w:tblPr>
        <w:tblW w:w="10205" w:type="dxa"/>
        <w:jc w:val="left"/>
        <w:tblInd w:w="0" w:type="dxa"/>
        <w:tblCellMar>
          <w:top w:w="0" w:type="dxa"/>
          <w:left w:w="0" w:type="dxa"/>
          <w:bottom w:w="0" w:type="dxa"/>
          <w:right w:w="0" w:type="dxa"/>
        </w:tblCellMar>
      </w:tblPr>
      <w:tblGrid>
        <w:gridCol w:w="787"/>
        <w:gridCol w:w="9418"/>
      </w:tblGrid>
      <w:tr>
        <w:trPr/>
        <w:tc>
          <w:tcPr>
            <w:tcW w:w="787" w:type="dxa"/>
            <w:tcBorders/>
            <w:shd w:fill="auto" w:val="clear"/>
            <w:vAlign w:val="center"/>
          </w:tcPr>
          <w:p>
            <w:pPr>
              <w:pStyle w:val="TableContents"/>
              <w:spacing w:before="0" w:after="283"/>
              <w:rPr>
                <w:sz w:val="4"/>
                <w:szCs w:val="4"/>
              </w:rPr>
            </w:pPr>
            <w:r>
              <w:rPr>
                <w:sz w:val="4"/>
                <w:szCs w:val="4"/>
              </w:rPr>
            </w:r>
          </w:p>
        </w:tc>
        <w:tc>
          <w:tcPr>
            <w:tcW w:w="9418" w:type="dxa"/>
            <w:tcBorders/>
            <w:shd w:fill="auto" w:val="clear"/>
            <w:vAlign w:val="center"/>
          </w:tcPr>
          <w:p>
            <w:pPr>
              <w:pStyle w:val="TableContents"/>
              <w:spacing w:before="0" w:after="283"/>
              <w:rPr>
                <w:sz w:val="4"/>
                <w:szCs w:val="4"/>
              </w:rPr>
            </w:pPr>
            <w:r>
              <w:rPr>
                <w:sz w:val="4"/>
                <w:szCs w:val="4"/>
              </w:rPr>
            </w:r>
          </w:p>
        </w:tc>
      </w:tr>
      <w:tr>
        <w:trPr/>
        <w:tc>
          <w:tcPr>
            <w:tcW w:w="787" w:type="dxa"/>
            <w:tcBorders/>
            <w:shd w:fill="auto" w:val="clear"/>
            <w:vAlign w:val="center"/>
          </w:tcPr>
          <w:p>
            <w:pPr>
              <w:pStyle w:val="TableContents"/>
              <w:bidi w:val="0"/>
              <w:spacing w:lineRule="auto" w:line="259" w:before="0" w:after="20"/>
              <w:jc w:val="left"/>
              <w:rPr>
                <w:rFonts w:ascii="Times New Roman;serif" w:hAnsi="Times New Roman;serif"/>
                <w:b w:val="false"/>
                <w:i w:val="false"/>
                <w:caps w:val="false"/>
                <w:smallCaps w:val="false"/>
                <w:sz w:val="20"/>
              </w:rPr>
            </w:pPr>
            <w:bookmarkStart w:id="25" w:name="Item9ChangesInAndDisagreementswithAccoun"/>
            <w:bookmarkEnd w:id="25"/>
            <w:r>
              <w:rPr>
                <w:rFonts w:ascii="Times New Roman;serif" w:hAnsi="Times New Roman;serif"/>
                <w:b w:val="false"/>
                <w:i w:val="false"/>
                <w:caps w:val="false"/>
                <w:smallCaps w:val="false"/>
                <w:sz w:val="20"/>
              </w:rPr>
              <w:t>ITEM 9.</w:t>
            </w:r>
          </w:p>
        </w:tc>
        <w:tc>
          <w:tcPr>
            <w:tcW w:w="9418" w:type="dxa"/>
            <w:tcBorders/>
            <w:shd w:fill="auto" w:val="clear"/>
            <w:vAlign w:val="center"/>
          </w:tcPr>
          <w:p>
            <w:pPr>
              <w:pStyle w:val="TableContents"/>
              <w:bidi w:val="0"/>
              <w:spacing w:lineRule="auto" w:line="259" w:before="0" w:after="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CHANGES IN AND DISAGREEMENTS WITH ACCOUNTANTS ON ACCOUNTING AND FINANCIAL DISCLOSURE</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None</w:t>
      </w:r>
      <w:r>
        <w:rPr>
          <w:rFonts w:ascii="Times New Roman;serif" w:hAnsi="Times New Roman;serif"/>
          <w:b w:val="false"/>
          <w:i w:val="false"/>
          <w:caps w:val="false"/>
          <w:smallCaps w:val="false"/>
          <w:color w:val="000000"/>
          <w:sz w:val="20"/>
        </w:rPr>
        <w:t>.</w:t>
      </w:r>
    </w:p>
    <w:tbl>
      <w:tblPr>
        <w:tblW w:w="3857" w:type="dxa"/>
        <w:jc w:val="left"/>
        <w:tblInd w:w="0" w:type="dxa"/>
        <w:tblCellMar>
          <w:top w:w="0" w:type="dxa"/>
          <w:left w:w="0" w:type="dxa"/>
          <w:bottom w:w="0" w:type="dxa"/>
          <w:right w:w="0" w:type="dxa"/>
        </w:tblCellMar>
      </w:tblPr>
      <w:tblGrid>
        <w:gridCol w:w="931"/>
        <w:gridCol w:w="2926"/>
      </w:tblGrid>
      <w:tr>
        <w:trPr/>
        <w:tc>
          <w:tcPr>
            <w:tcW w:w="931" w:type="dxa"/>
            <w:tcBorders/>
            <w:shd w:fill="auto" w:val="clear"/>
            <w:vAlign w:val="center"/>
          </w:tcPr>
          <w:p>
            <w:pPr>
              <w:pStyle w:val="TableContents"/>
              <w:spacing w:before="0" w:after="283"/>
              <w:rPr>
                <w:sz w:val="4"/>
                <w:szCs w:val="4"/>
              </w:rPr>
            </w:pPr>
            <w:r>
              <w:rPr>
                <w:sz w:val="4"/>
                <w:szCs w:val="4"/>
              </w:rPr>
            </w:r>
          </w:p>
        </w:tc>
        <w:tc>
          <w:tcPr>
            <w:tcW w:w="2926" w:type="dxa"/>
            <w:tcBorders/>
            <w:shd w:fill="auto" w:val="clear"/>
            <w:vAlign w:val="center"/>
          </w:tcPr>
          <w:p>
            <w:pPr>
              <w:pStyle w:val="TableContents"/>
              <w:spacing w:before="0" w:after="283"/>
              <w:rPr>
                <w:sz w:val="4"/>
                <w:szCs w:val="4"/>
              </w:rPr>
            </w:pPr>
            <w:r>
              <w:rPr>
                <w:sz w:val="4"/>
                <w:szCs w:val="4"/>
              </w:rPr>
            </w:r>
          </w:p>
        </w:tc>
      </w:tr>
      <w:tr>
        <w:trPr/>
        <w:tc>
          <w:tcPr>
            <w:tcW w:w="931" w:type="dxa"/>
            <w:tcBorders/>
            <w:shd w:fill="auto" w:val="clear"/>
            <w:vAlign w:val="center"/>
          </w:tcPr>
          <w:p>
            <w:pPr>
              <w:pStyle w:val="TableContents"/>
              <w:bidi w:val="0"/>
              <w:spacing w:lineRule="auto" w:line="259" w:before="0" w:after="20"/>
              <w:jc w:val="left"/>
              <w:rPr>
                <w:rFonts w:ascii="Times New Roman;serif" w:hAnsi="Times New Roman;serif"/>
                <w:b w:val="false"/>
                <w:i w:val="false"/>
                <w:caps w:val="false"/>
                <w:smallCaps w:val="false"/>
                <w:sz w:val="20"/>
              </w:rPr>
            </w:pPr>
            <w:bookmarkStart w:id="26" w:name="Item9AControlsandProcedures"/>
            <w:bookmarkStart w:id="27" w:name="PartIIItem9AControlsandProcedures"/>
            <w:bookmarkEnd w:id="26"/>
            <w:bookmarkEnd w:id="27"/>
            <w:r>
              <w:rPr>
                <w:rFonts w:ascii="Times New Roman;serif" w:hAnsi="Times New Roman;serif"/>
                <w:b w:val="false"/>
                <w:i w:val="false"/>
                <w:caps w:val="false"/>
                <w:smallCaps w:val="false"/>
                <w:sz w:val="20"/>
              </w:rPr>
              <w:t>ITEM 9A.</w:t>
            </w:r>
          </w:p>
        </w:tc>
        <w:tc>
          <w:tcPr>
            <w:tcW w:w="2926" w:type="dxa"/>
            <w:tcBorders/>
            <w:shd w:fill="auto" w:val="clear"/>
            <w:vAlign w:val="center"/>
          </w:tcPr>
          <w:p>
            <w:pPr>
              <w:pStyle w:val="TableContents"/>
              <w:bidi w:val="0"/>
              <w:spacing w:lineRule="auto" w:line="259" w:before="0" w:after="2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CONTROLS AND PROCEDURES</w:t>
            </w:r>
          </w:p>
        </w:tc>
      </w:tr>
    </w:tbl>
    <w:p>
      <w:pPr>
        <w:pStyle w:val="TextBody"/>
        <w:bidi w:val="0"/>
        <w:spacing w:lineRule="auto" w:line="259"/>
        <w:rPr>
          <w:rFonts w:ascii="Times New Roman;serif" w:hAnsi="Times New Roman;serif"/>
          <w:b/>
          <w:i/>
          <w:sz w:val="20"/>
        </w:rPr>
      </w:pPr>
      <w:r>
        <w:rPr>
          <w:rFonts w:ascii="Times New Roman;serif" w:hAnsi="Times New Roman;serif"/>
          <w:b/>
          <w:i/>
          <w:sz w:val="20"/>
        </w:rPr>
        <w:t>Evaluation of Disclosure Controls and Procedures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Section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13a-15(b) under the Securities Exchange Act of 1934, as amended (the “Exchange Act”), requires management of an issuer subject to the Exchange Act to evaluate, with the participation of the issuer’s principal executive and principal financial officers, or persons performing similar functions, the effectiveness of the issuer’s disclosure controls and procedures (as defined in Rule 13a-15(e) under the Exchange Act), as of the end of each fiscal quarter. The Company carried out an evaluation, under the supervision of and with the participation of our management, including our Chief Executive Officer and Chief Financial Officer, of the effectiveness of the design and operation of our disclosure controls and procedures at the reasonable assurance level pursuant to Rule 13a-15 of the Exchange Act. Based on this evaluation, our Chief Executive Officer and Chief Financial Officer have concluded that, as of such date, our disclosure controls and procedures were effective at the reasonable assurance level. </w:t>
      </w:r>
    </w:p>
    <w:p>
      <w:pPr>
        <w:pStyle w:val="TextBody"/>
        <w:bidi w:val="0"/>
        <w:spacing w:lineRule="auto" w:line="259"/>
        <w:rPr>
          <w:rFonts w:ascii="Times New Roman;serif" w:hAnsi="Times New Roman;serif"/>
          <w:b/>
          <w:i/>
          <w:sz w:val="20"/>
        </w:rPr>
      </w:pPr>
      <w:r>
        <w:rPr>
          <w:rFonts w:ascii="Times New Roman;serif" w:hAnsi="Times New Roman;serif"/>
          <w:b/>
          <w:i/>
          <w:sz w:val="20"/>
        </w:rPr>
        <w:t>Management’s Annual Report on Internal Control over Financial Reporting</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Management is responsible for establishing and maintaining adequate internal control over financial reporting (as defined in Rules 13a-15(f) under the Exchange Act). Management assessed the effectiveness of its internal control over financial reporting as of January 31, 2021. In making this assessment, management used the criteria set forth by the Committee of Sponsoring Organizations of the Treadway Commission (“COSO”) in the Internal Control-Integrated Framework (2013), or the COSO Report. Based on this assessment, management concluded that our internal control over financial reporting is effective as of January 31, 2021.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Because of its inherent limitations, internal control over financial reporting may not prevent or detect misstatements. Also, projections of any evaluation of effectiveness to future periods are subject to risk that controls may become inadequate because of changes in conditions, or that the degree of compliance with the policies or procedures may deteriorate.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Grant Thornton LLP, an independent registered public accounting firm, has audited the consolidated financial statements included in this Annual Report on Form 10-K and, as part of its audit, has issued an attestation report, included herein, on the effectiveness of our internal control over financial reporting.</w:t>
      </w:r>
    </w:p>
    <w:p>
      <w:pPr>
        <w:pStyle w:val="TextBody"/>
        <w:bidi w:val="0"/>
        <w:spacing w:lineRule="auto" w:line="259"/>
        <w:rPr>
          <w:rFonts w:ascii="Times New Roman;serif" w:hAnsi="Times New Roman;serif"/>
          <w:sz w:val="20"/>
        </w:rPr>
      </w:pPr>
      <w:r>
        <w:rPr>
          <w:rFonts w:ascii="Times New Roman;serif" w:hAnsi="Times New Roman;serif"/>
          <w:b/>
          <w:i/>
          <w:sz w:val="20"/>
        </w:rPr>
        <w:t>Changes in Internal Control Over Financial Reporting</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There was no change in our internal control over financial reporting (as defined in Rules 13a-15(d) and 15d-15(d) under the Exchange Act) that occurred during our fiscal fourth quarter that </w:t>
      </w:r>
      <w:r>
        <w:rPr>
          <w:rFonts w:ascii="Times New Roman;serif" w:hAnsi="Times New Roman;serif"/>
          <w:b w:val="false"/>
          <w:i w:val="false"/>
          <w:caps w:val="false"/>
          <w:smallCaps w:val="false"/>
          <w:color w:val="000000"/>
          <w:sz w:val="20"/>
        </w:rPr>
        <w:t>has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materially affected, or is reasonably likely to materially affect, our internal control over financial reporting.</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 were no material impacts, due to COVID-19 and the resulting need to close our books remotely, or our ability to maintain internal control over financial reporting and disclosure controls and procedures for the fiscal year ended January 31, 2021.</w:t>
      </w:r>
    </w:p>
    <w:p>
      <w:pPr>
        <w:pStyle w:val="TextBody"/>
        <w:bidi w:val="0"/>
        <w:spacing w:lineRule="auto" w:line="259"/>
        <w:rPr>
          <w:caps w:val="false"/>
          <w:smallCaps w:val="false"/>
        </w:rPr>
      </w:pPr>
      <w:r>
        <w:rPr>
          <w:caps w:val="false"/>
          <w:smallCaps w:val="false"/>
        </w:rPr>
        <w:t> </w:t>
      </w:r>
    </w:p>
    <w:tbl>
      <w:tblPr>
        <w:tblW w:w="3165" w:type="dxa"/>
        <w:jc w:val="left"/>
        <w:tblInd w:w="0" w:type="dxa"/>
        <w:tblCellMar>
          <w:top w:w="0" w:type="dxa"/>
          <w:left w:w="0" w:type="dxa"/>
          <w:bottom w:w="0" w:type="dxa"/>
          <w:right w:w="0" w:type="dxa"/>
        </w:tblCellMar>
      </w:tblPr>
      <w:tblGrid>
        <w:gridCol w:w="960"/>
        <w:gridCol w:w="2205"/>
      </w:tblGrid>
      <w:tr>
        <w:trPr/>
        <w:tc>
          <w:tcPr>
            <w:tcW w:w="960" w:type="dxa"/>
            <w:tcBorders/>
            <w:shd w:fill="auto" w:val="clear"/>
            <w:vAlign w:val="center"/>
          </w:tcPr>
          <w:p>
            <w:pPr>
              <w:pStyle w:val="TableContents"/>
              <w:spacing w:before="0" w:after="283"/>
              <w:rPr>
                <w:sz w:val="4"/>
                <w:szCs w:val="4"/>
              </w:rPr>
            </w:pPr>
            <w:r>
              <w:rPr>
                <w:sz w:val="4"/>
                <w:szCs w:val="4"/>
              </w:rPr>
            </w:r>
          </w:p>
        </w:tc>
        <w:tc>
          <w:tcPr>
            <w:tcW w:w="2205" w:type="dxa"/>
            <w:tcBorders/>
            <w:shd w:fill="auto" w:val="clear"/>
            <w:vAlign w:val="center"/>
          </w:tcPr>
          <w:p>
            <w:pPr>
              <w:pStyle w:val="TableContents"/>
              <w:spacing w:before="0" w:after="283"/>
              <w:rPr>
                <w:sz w:val="4"/>
                <w:szCs w:val="4"/>
              </w:rPr>
            </w:pPr>
            <w:r>
              <w:rPr>
                <w:sz w:val="4"/>
                <w:szCs w:val="4"/>
              </w:rPr>
            </w:r>
          </w:p>
        </w:tc>
      </w:tr>
      <w:tr>
        <w:trPr/>
        <w:tc>
          <w:tcPr>
            <w:tcW w:w="960" w:type="dxa"/>
            <w:tcBorders/>
            <w:shd w:fill="auto" w:val="clear"/>
            <w:vAlign w:val="center"/>
          </w:tcPr>
          <w:p>
            <w:pPr>
              <w:pStyle w:val="TableContents"/>
              <w:bidi w:val="0"/>
              <w:spacing w:lineRule="auto" w:line="259" w:before="0" w:after="22"/>
              <w:ind w:left="0" w:right="29" w:hanging="0"/>
              <w:jc w:val="left"/>
              <w:rPr>
                <w:rFonts w:ascii="Times New Roman;serif" w:hAnsi="Times New Roman;serif"/>
                <w:b w:val="false"/>
                <w:i w:val="false"/>
                <w:caps w:val="false"/>
                <w:smallCaps w:val="false"/>
                <w:color w:val="000000"/>
                <w:sz w:val="20"/>
              </w:rPr>
            </w:pPr>
            <w:bookmarkStart w:id="28" w:name="Item9BOtherInfo"/>
            <w:bookmarkEnd w:id="28"/>
            <w:r>
              <w:rPr>
                <w:rFonts w:ascii="Times New Roman;serif" w:hAnsi="Times New Roman;serif"/>
                <w:b w:val="false"/>
                <w:i w:val="false"/>
                <w:caps w:val="false"/>
                <w:smallCaps w:val="false"/>
                <w:color w:val="000000"/>
                <w:sz w:val="20"/>
              </w:rPr>
              <w:t>ITEM 9B.</w:t>
            </w:r>
          </w:p>
        </w:tc>
        <w:tc>
          <w:tcPr>
            <w:tcW w:w="2205" w:type="dxa"/>
            <w:tcBorders/>
            <w:shd w:fill="auto" w:val="clear"/>
            <w:vAlign w:val="center"/>
          </w:tcPr>
          <w:p>
            <w:pPr>
              <w:pStyle w:val="TableContents"/>
              <w:bidi w:val="0"/>
              <w:spacing w:lineRule="auto" w:line="259" w:before="0" w:after="22"/>
              <w:ind w:left="0" w:right="29"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INFORMATION</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None</w:t>
      </w:r>
      <w:r>
        <w:rPr>
          <w:rFonts w:ascii="Times New Roman;serif" w:hAnsi="Times New Roman;serif"/>
          <w:b w:val="false"/>
          <w:i w:val="false"/>
          <w:caps w:val="false"/>
          <w:smallCaps w:val="false"/>
          <w:color w:val="000000"/>
          <w:sz w:val="20"/>
        </w:rPr>
        <w:t>.</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PART III</w:t>
      </w:r>
    </w:p>
    <w:tbl>
      <w:tblPr>
        <w:tblW w:w="7320" w:type="dxa"/>
        <w:jc w:val="left"/>
        <w:tblInd w:w="0" w:type="dxa"/>
        <w:tblCellMar>
          <w:top w:w="0" w:type="dxa"/>
          <w:left w:w="0" w:type="dxa"/>
          <w:bottom w:w="0" w:type="dxa"/>
          <w:right w:w="0" w:type="dxa"/>
        </w:tblCellMar>
      </w:tblPr>
      <w:tblGrid>
        <w:gridCol w:w="930"/>
        <w:gridCol w:w="6390"/>
      </w:tblGrid>
      <w:tr>
        <w:trPr/>
        <w:tc>
          <w:tcPr>
            <w:tcW w:w="930" w:type="dxa"/>
            <w:tcBorders/>
            <w:shd w:fill="auto" w:val="clear"/>
            <w:vAlign w:val="center"/>
          </w:tcPr>
          <w:p>
            <w:pPr>
              <w:pStyle w:val="TableContents"/>
              <w:spacing w:before="0" w:after="283"/>
              <w:rPr>
                <w:sz w:val="4"/>
                <w:szCs w:val="4"/>
              </w:rPr>
            </w:pPr>
            <w:r>
              <w:rPr>
                <w:sz w:val="4"/>
                <w:szCs w:val="4"/>
              </w:rPr>
            </w:r>
          </w:p>
        </w:tc>
        <w:tc>
          <w:tcPr>
            <w:tcW w:w="6390" w:type="dxa"/>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vAlign w:val="center"/>
          </w:tcPr>
          <w:p>
            <w:pPr>
              <w:pStyle w:val="TableContents"/>
              <w:bidi w:val="0"/>
              <w:spacing w:lineRule="auto" w:line="259" w:before="0" w:after="22"/>
              <w:ind w:left="0" w:right="29" w:hanging="0"/>
              <w:jc w:val="left"/>
              <w:rPr>
                <w:rFonts w:ascii="Times New Roman;serif" w:hAnsi="Times New Roman;serif"/>
                <w:b w:val="false"/>
                <w:i w:val="false"/>
                <w:caps w:val="false"/>
                <w:smallCaps w:val="false"/>
                <w:color w:val="000000"/>
                <w:sz w:val="20"/>
              </w:rPr>
            </w:pPr>
            <w:bookmarkStart w:id="29" w:name="Item10DirectorsExecutiveOfficersandCorpG"/>
            <w:bookmarkEnd w:id="29"/>
            <w:r>
              <w:rPr>
                <w:rFonts w:ascii="Times New Roman;serif" w:hAnsi="Times New Roman;serif"/>
                <w:b w:val="false"/>
                <w:i w:val="false"/>
                <w:caps w:val="false"/>
                <w:smallCaps w:val="false"/>
                <w:color w:val="000000"/>
                <w:sz w:val="20"/>
              </w:rPr>
              <w:t>ITEM 10.</w:t>
            </w:r>
          </w:p>
        </w:tc>
        <w:tc>
          <w:tcPr>
            <w:tcW w:w="6390" w:type="dxa"/>
            <w:tcBorders/>
            <w:shd w:fill="auto" w:val="clear"/>
            <w:vAlign w:val="center"/>
          </w:tcPr>
          <w:p>
            <w:pPr>
              <w:pStyle w:val="TableContents"/>
              <w:bidi w:val="0"/>
              <w:spacing w:lineRule="auto" w:line="259" w:before="0" w:after="22"/>
              <w:ind w:left="0" w:right="29"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DIRECTORS, EXECUTIVE OFFICERS AND CORPORATE GOVERNANCE</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Information required by this Item concerning our directors, audit committee, and audit committee financial experts and compliance with Section 16(a) of the Exchange Act is incorporated by reference to information under the captions “Proposal One: Election of Directors” and “Delinquent Section 16(a) Reports” in our definitive proxy statement for our 2021 annual meeting of shareholders to be held on May 27, 2021 (the “Proxy Statement”). It is anticipated that our Proxy Statement will be filed with the Securities and Exchange Commission on or about April 9, 2021.</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67</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adopted a code of business conduct and ethics that applies to our directors, officers and employees, including our principal executive officer, principal financial officer and principal accounting officer. We have posted the code of business conduct and ethics on our website at http://ir.duluthtrading.com under the tab “Corporate Governance—Documents &amp; Charters—Code of Business Conduct and Ethics.” We intend to satisfy our disclosure requirements under Item 5.05 of Form 8-K regarding amendments to, or waiver of, any provisions of our code of business conduct and ethics that applies to our principal executive officer, principal financial officer and principal accounting officer and our directors by posting such information to our website.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code of business conduct and ethics is available in print for any shareholder who requests it by writing to: Secretary, Duluth Holdings Inc., 201 East Front Street, Mount Horeb, Wisconsin, 53572. We are not including the information available on or through our website as part of, or incorporating such information by reference into, this Annual Report on Form 10-K.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General Instruction G(3), certain information with respect to our executive officers is set forth under the caption “Information about Our Executive Officers” as of March 26, 2021 in this Annual Report on Form 10-K.</w:t>
      </w:r>
    </w:p>
    <w:p>
      <w:pPr>
        <w:pStyle w:val="TextBody"/>
        <w:bidi w:val="0"/>
        <w:spacing w:lineRule="auto" w:line="259"/>
        <w:rPr>
          <w:caps w:val="false"/>
          <w:smallCaps w:val="false"/>
        </w:rPr>
      </w:pPr>
      <w:r>
        <w:rPr>
          <w:caps w:val="false"/>
          <w:smallCaps w:val="false"/>
        </w:rPr>
        <w:t> </w:t>
      </w:r>
    </w:p>
    <w:tbl>
      <w:tblPr>
        <w:tblW w:w="3735" w:type="dxa"/>
        <w:jc w:val="left"/>
        <w:tblInd w:w="0" w:type="dxa"/>
        <w:tblCellMar>
          <w:top w:w="0" w:type="dxa"/>
          <w:left w:w="0" w:type="dxa"/>
          <w:bottom w:w="0" w:type="dxa"/>
          <w:right w:w="0" w:type="dxa"/>
        </w:tblCellMar>
      </w:tblPr>
      <w:tblGrid>
        <w:gridCol w:w="930"/>
        <w:gridCol w:w="2805"/>
      </w:tblGrid>
      <w:tr>
        <w:trPr/>
        <w:tc>
          <w:tcPr>
            <w:tcW w:w="930" w:type="dxa"/>
            <w:tcBorders/>
            <w:shd w:fill="auto" w:val="clear"/>
            <w:vAlign w:val="center"/>
          </w:tcPr>
          <w:p>
            <w:pPr>
              <w:pStyle w:val="TableContents"/>
              <w:spacing w:before="0" w:after="283"/>
              <w:rPr>
                <w:sz w:val="4"/>
                <w:szCs w:val="4"/>
              </w:rPr>
            </w:pPr>
            <w:r>
              <w:rPr>
                <w:sz w:val="4"/>
                <w:szCs w:val="4"/>
              </w:rPr>
            </w:r>
          </w:p>
        </w:tc>
        <w:tc>
          <w:tcPr>
            <w:tcW w:w="2805" w:type="dxa"/>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vAlign w:val="center"/>
          </w:tcPr>
          <w:p>
            <w:pPr>
              <w:pStyle w:val="TableContents"/>
              <w:bidi w:val="0"/>
              <w:spacing w:lineRule="auto" w:line="259" w:before="0" w:after="22"/>
              <w:ind w:left="0" w:right="29" w:hanging="0"/>
              <w:jc w:val="left"/>
              <w:rPr>
                <w:rFonts w:ascii="Times New Roman;serif" w:hAnsi="Times New Roman;serif"/>
                <w:b w:val="false"/>
                <w:i w:val="false"/>
                <w:caps w:val="false"/>
                <w:smallCaps w:val="false"/>
                <w:color w:val="000000"/>
                <w:sz w:val="20"/>
              </w:rPr>
            </w:pPr>
            <w:bookmarkStart w:id="30" w:name="Item11ExecutiveComp"/>
            <w:bookmarkEnd w:id="30"/>
            <w:r>
              <w:rPr>
                <w:rFonts w:ascii="Times New Roman;serif" w:hAnsi="Times New Roman;serif"/>
                <w:b w:val="false"/>
                <w:i w:val="false"/>
                <w:caps w:val="false"/>
                <w:smallCaps w:val="false"/>
                <w:color w:val="000000"/>
                <w:sz w:val="20"/>
              </w:rPr>
              <w:t>ITEM 11.</w:t>
            </w:r>
          </w:p>
        </w:tc>
        <w:tc>
          <w:tcPr>
            <w:tcW w:w="2805" w:type="dxa"/>
            <w:tcBorders/>
            <w:shd w:fill="auto" w:val="clear"/>
            <w:vAlign w:val="center"/>
          </w:tcPr>
          <w:p>
            <w:pPr>
              <w:pStyle w:val="TableContents"/>
              <w:bidi w:val="0"/>
              <w:spacing w:lineRule="auto" w:line="259" w:before="0" w:after="22"/>
              <w:ind w:left="0" w:right="29"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EXECUTIVE COMPENSATION</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Information required by this Item is incorporated by reference to the sections of the Proxy Statement entitled “Executive Compensation,” “Director Compensation,” and “Compensation Committee Interlocks and Insider Participation.”</w:t>
      </w:r>
    </w:p>
    <w:tbl>
      <w:tblPr>
        <w:tblW w:w="10205" w:type="dxa"/>
        <w:jc w:val="left"/>
        <w:tblInd w:w="0" w:type="dxa"/>
        <w:tblCellMar>
          <w:top w:w="0" w:type="dxa"/>
          <w:left w:w="0" w:type="dxa"/>
          <w:bottom w:w="0" w:type="dxa"/>
          <w:right w:w="0" w:type="dxa"/>
        </w:tblCellMar>
      </w:tblPr>
      <w:tblGrid>
        <w:gridCol w:w="921"/>
        <w:gridCol w:w="9284"/>
      </w:tblGrid>
      <w:tr>
        <w:trPr/>
        <w:tc>
          <w:tcPr>
            <w:tcW w:w="921" w:type="dxa"/>
            <w:tcBorders/>
            <w:shd w:fill="auto" w:val="clear"/>
            <w:vAlign w:val="center"/>
          </w:tcPr>
          <w:p>
            <w:pPr>
              <w:pStyle w:val="TableContents"/>
              <w:spacing w:before="0" w:after="283"/>
              <w:rPr>
                <w:sz w:val="4"/>
                <w:szCs w:val="4"/>
              </w:rPr>
            </w:pPr>
            <w:r>
              <w:rPr>
                <w:sz w:val="4"/>
                <w:szCs w:val="4"/>
              </w:rPr>
            </w:r>
          </w:p>
        </w:tc>
        <w:tc>
          <w:tcPr>
            <w:tcW w:w="9284" w:type="dxa"/>
            <w:tcBorders/>
            <w:shd w:fill="auto" w:val="clear"/>
            <w:vAlign w:val="center"/>
          </w:tcPr>
          <w:p>
            <w:pPr>
              <w:pStyle w:val="TableContents"/>
              <w:spacing w:before="0" w:after="283"/>
              <w:rPr>
                <w:sz w:val="4"/>
                <w:szCs w:val="4"/>
              </w:rPr>
            </w:pPr>
            <w:r>
              <w:rPr>
                <w:sz w:val="4"/>
                <w:szCs w:val="4"/>
              </w:rPr>
            </w:r>
          </w:p>
        </w:tc>
      </w:tr>
      <w:tr>
        <w:trPr/>
        <w:tc>
          <w:tcPr>
            <w:tcW w:w="921" w:type="dxa"/>
            <w:tcBorders/>
            <w:shd w:fill="auto" w:val="clear"/>
            <w:vAlign w:val="center"/>
          </w:tcPr>
          <w:p>
            <w:pPr>
              <w:pStyle w:val="TableContents"/>
              <w:bidi w:val="0"/>
              <w:spacing w:lineRule="auto" w:line="259" w:before="0" w:after="22"/>
              <w:ind w:left="0" w:right="29" w:hanging="0"/>
              <w:jc w:val="left"/>
              <w:rPr>
                <w:rFonts w:ascii="Times New Roman;serif" w:hAnsi="Times New Roman;serif"/>
                <w:b w:val="false"/>
                <w:i w:val="false"/>
                <w:caps w:val="false"/>
                <w:smallCaps w:val="false"/>
                <w:color w:val="000000"/>
                <w:sz w:val="20"/>
              </w:rPr>
            </w:pPr>
            <w:bookmarkStart w:id="31" w:name="Item12SecurityOwnership"/>
            <w:bookmarkEnd w:id="31"/>
            <w:r>
              <w:rPr>
                <w:rFonts w:ascii="Times New Roman;serif" w:hAnsi="Times New Roman;serif"/>
                <w:b w:val="false"/>
                <w:i w:val="false"/>
                <w:caps w:val="false"/>
                <w:smallCaps w:val="false"/>
                <w:color w:val="000000"/>
                <w:sz w:val="20"/>
              </w:rPr>
              <w:t>ITEM 12.</w:t>
            </w:r>
          </w:p>
        </w:tc>
        <w:tc>
          <w:tcPr>
            <w:tcW w:w="9284" w:type="dxa"/>
            <w:tcBorders/>
            <w:shd w:fill="auto" w:val="clear"/>
            <w:vAlign w:val="center"/>
          </w:tcPr>
          <w:p>
            <w:pPr>
              <w:pStyle w:val="TableContents"/>
              <w:bidi w:val="0"/>
              <w:spacing w:lineRule="auto" w:line="259" w:before="0" w:after="22"/>
              <w:ind w:left="0" w:right="29"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SECURITY OWNERSHIP OF CERTAIN BENEFICIAL OWNERS AND MANAGEMENT AND RELATED SHAREHOLDER MATTERS</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Information required by this Item is incorporated by reference to the sections of the Proxy Statement entitled “Security Ownership of Certain Beneficial Owners.”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Equity Compensation Plan Information</w:t>
      </w:r>
    </w:p>
    <w:tbl>
      <w:tblPr>
        <w:tblW w:w="9629" w:type="dxa"/>
        <w:jc w:val="left"/>
        <w:tblInd w:w="0" w:type="dxa"/>
        <w:tblCellMar>
          <w:top w:w="0" w:type="dxa"/>
          <w:left w:w="0" w:type="dxa"/>
          <w:bottom w:w="0" w:type="dxa"/>
          <w:right w:w="0" w:type="dxa"/>
        </w:tblCellMar>
      </w:tblPr>
      <w:tblGrid>
        <w:gridCol w:w="1865"/>
        <w:gridCol w:w="1645"/>
        <w:gridCol w:w="364"/>
        <w:gridCol w:w="1816"/>
        <w:gridCol w:w="109"/>
        <w:gridCol w:w="613"/>
        <w:gridCol w:w="1007"/>
        <w:gridCol w:w="109"/>
        <w:gridCol w:w="2101"/>
      </w:tblGrid>
      <w:tr>
        <w:trPr/>
        <w:tc>
          <w:tcPr>
            <w:tcW w:w="1865" w:type="dxa"/>
            <w:tcBorders/>
            <w:shd w:fill="FFFFFF" w:val="clear"/>
            <w:vAlign w:val="center"/>
          </w:tcPr>
          <w:p>
            <w:pPr>
              <w:pStyle w:val="TableContents"/>
              <w:spacing w:before="0" w:after="283"/>
              <w:rPr>
                <w:sz w:val="4"/>
                <w:szCs w:val="4"/>
              </w:rPr>
            </w:pPr>
            <w:r>
              <w:rPr>
                <w:sz w:val="4"/>
                <w:szCs w:val="4"/>
              </w:rPr>
            </w:r>
          </w:p>
        </w:tc>
        <w:tc>
          <w:tcPr>
            <w:tcW w:w="1645" w:type="dxa"/>
            <w:tcBorders/>
            <w:shd w:fill="FFFFFF" w:val="clear"/>
            <w:vAlign w:val="center"/>
          </w:tcPr>
          <w:p>
            <w:pPr>
              <w:pStyle w:val="TableContents"/>
              <w:spacing w:before="0" w:after="283"/>
              <w:rPr>
                <w:sz w:val="4"/>
                <w:szCs w:val="4"/>
              </w:rPr>
            </w:pPr>
            <w:r>
              <w:rPr>
                <w:sz w:val="4"/>
                <w:szCs w:val="4"/>
              </w:rPr>
            </w:r>
          </w:p>
        </w:tc>
        <w:tc>
          <w:tcPr>
            <w:tcW w:w="364" w:type="dxa"/>
            <w:tcBorders/>
            <w:shd w:fill="FFFFFF" w:val="clear"/>
            <w:vAlign w:val="center"/>
          </w:tcPr>
          <w:p>
            <w:pPr>
              <w:pStyle w:val="TableContents"/>
              <w:spacing w:before="0" w:after="283"/>
              <w:rPr>
                <w:sz w:val="4"/>
                <w:szCs w:val="4"/>
              </w:rPr>
            </w:pPr>
            <w:r>
              <w:rPr>
                <w:sz w:val="4"/>
                <w:szCs w:val="4"/>
              </w:rPr>
            </w:r>
          </w:p>
        </w:tc>
        <w:tc>
          <w:tcPr>
            <w:tcW w:w="181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13" w:type="dxa"/>
            <w:tcBorders/>
            <w:shd w:fill="FFFFFF" w:val="clear"/>
            <w:vAlign w:val="center"/>
          </w:tcPr>
          <w:p>
            <w:pPr>
              <w:pStyle w:val="TableContents"/>
              <w:spacing w:before="0" w:after="283"/>
              <w:rPr>
                <w:sz w:val="4"/>
                <w:szCs w:val="4"/>
              </w:rPr>
            </w:pPr>
            <w:r>
              <w:rPr>
                <w:sz w:val="4"/>
                <w:szCs w:val="4"/>
              </w:rPr>
            </w:r>
          </w:p>
        </w:tc>
        <w:tc>
          <w:tcPr>
            <w:tcW w:w="1007"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01" w:type="dxa"/>
            <w:tcBorders/>
            <w:shd w:fill="FFFFFF" w:val="clear"/>
            <w:vAlign w:val="center"/>
          </w:tcPr>
          <w:p>
            <w:pPr>
              <w:pStyle w:val="TableContents"/>
              <w:spacing w:before="0" w:after="283"/>
              <w:rPr>
                <w:sz w:val="4"/>
                <w:szCs w:val="4"/>
              </w:rPr>
            </w:pPr>
            <w:r>
              <w:rPr>
                <w:sz w:val="4"/>
                <w:szCs w:val="4"/>
              </w:rPr>
            </w:r>
          </w:p>
        </w:tc>
      </w:tr>
      <w:tr>
        <w:trPr/>
        <w:tc>
          <w:tcPr>
            <w:tcW w:w="1865" w:type="dxa"/>
            <w:tcBorders/>
            <w:shd w:fill="FFFFFF" w:val="clear"/>
            <w:vAlign w:val="center"/>
          </w:tcPr>
          <w:p>
            <w:pPr>
              <w:pStyle w:val="TableContents"/>
              <w:spacing w:before="0" w:after="283"/>
              <w:rPr>
                <w:sz w:val="4"/>
                <w:szCs w:val="4"/>
              </w:rPr>
            </w:pPr>
            <w:r>
              <w:rPr>
                <w:sz w:val="4"/>
                <w:szCs w:val="4"/>
              </w:rPr>
            </w:r>
          </w:p>
        </w:tc>
        <w:tc>
          <w:tcPr>
            <w:tcW w:w="1645" w:type="dxa"/>
            <w:tcBorders/>
            <w:shd w:fill="FFFFFF" w:val="clear"/>
            <w:vAlign w:val="center"/>
          </w:tcPr>
          <w:p>
            <w:pPr>
              <w:pStyle w:val="TableContents"/>
              <w:spacing w:before="0" w:after="283"/>
              <w:rPr>
                <w:sz w:val="4"/>
                <w:szCs w:val="4"/>
              </w:rPr>
            </w:pPr>
            <w:r>
              <w:rPr>
                <w:sz w:val="4"/>
                <w:szCs w:val="4"/>
              </w:rPr>
            </w:r>
          </w:p>
        </w:tc>
        <w:tc>
          <w:tcPr>
            <w:tcW w:w="364" w:type="dxa"/>
            <w:tcBorders/>
            <w:shd w:fill="FFFFFF" w:val="clear"/>
            <w:vAlign w:val="center"/>
          </w:tcPr>
          <w:p>
            <w:pPr>
              <w:pStyle w:val="TableContents"/>
              <w:spacing w:before="0" w:after="283"/>
              <w:rPr>
                <w:sz w:val="4"/>
                <w:szCs w:val="4"/>
              </w:rPr>
            </w:pPr>
            <w:r>
              <w:rPr>
                <w:sz w:val="4"/>
                <w:szCs w:val="4"/>
              </w:rPr>
            </w:r>
          </w:p>
        </w:tc>
        <w:tc>
          <w:tcPr>
            <w:tcW w:w="181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13" w:type="dxa"/>
            <w:tcBorders/>
            <w:shd w:fill="FFFFFF" w:val="clear"/>
            <w:vAlign w:val="center"/>
          </w:tcPr>
          <w:p>
            <w:pPr>
              <w:pStyle w:val="TableContents"/>
              <w:spacing w:before="0" w:after="283"/>
              <w:rPr>
                <w:sz w:val="4"/>
                <w:szCs w:val="4"/>
              </w:rPr>
            </w:pPr>
            <w:r>
              <w:rPr>
                <w:sz w:val="4"/>
                <w:szCs w:val="4"/>
              </w:rPr>
            </w:r>
          </w:p>
        </w:tc>
        <w:tc>
          <w:tcPr>
            <w:tcW w:w="1007"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01" w:type="dxa"/>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Number of securities</w:t>
            </w:r>
          </w:p>
        </w:tc>
      </w:tr>
      <w:tr>
        <w:trPr/>
        <w:tc>
          <w:tcPr>
            <w:tcW w:w="1865" w:type="dxa"/>
            <w:tcBorders/>
            <w:shd w:fill="FFFFFF" w:val="clear"/>
            <w:vAlign w:val="center"/>
          </w:tcPr>
          <w:p>
            <w:pPr>
              <w:pStyle w:val="TableContents"/>
              <w:spacing w:before="0" w:after="283"/>
              <w:rPr>
                <w:sz w:val="4"/>
                <w:szCs w:val="4"/>
              </w:rPr>
            </w:pPr>
            <w:r>
              <w:rPr>
                <w:sz w:val="4"/>
                <w:szCs w:val="4"/>
              </w:rPr>
            </w:r>
          </w:p>
        </w:tc>
        <w:tc>
          <w:tcPr>
            <w:tcW w:w="1645" w:type="dxa"/>
            <w:tcBorders/>
            <w:shd w:fill="FFFFFF" w:val="clear"/>
            <w:vAlign w:val="center"/>
          </w:tcPr>
          <w:p>
            <w:pPr>
              <w:pStyle w:val="TableContents"/>
              <w:spacing w:before="0" w:after="283"/>
              <w:rPr>
                <w:sz w:val="4"/>
                <w:szCs w:val="4"/>
              </w:rPr>
            </w:pPr>
            <w:r>
              <w:rPr>
                <w:sz w:val="4"/>
                <w:szCs w:val="4"/>
              </w:rPr>
            </w:r>
          </w:p>
        </w:tc>
        <w:tc>
          <w:tcPr>
            <w:tcW w:w="364" w:type="dxa"/>
            <w:tcBorders/>
            <w:shd w:fill="FFFFFF" w:val="clear"/>
            <w:vAlign w:val="center"/>
          </w:tcPr>
          <w:p>
            <w:pPr>
              <w:pStyle w:val="TableContents"/>
              <w:spacing w:before="0" w:after="283"/>
              <w:rPr>
                <w:sz w:val="4"/>
                <w:szCs w:val="4"/>
              </w:rPr>
            </w:pPr>
            <w:r>
              <w:rPr>
                <w:sz w:val="4"/>
                <w:szCs w:val="4"/>
              </w:rPr>
            </w:r>
          </w:p>
        </w:tc>
        <w:tc>
          <w:tcPr>
            <w:tcW w:w="181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13" w:type="dxa"/>
            <w:tcBorders/>
            <w:shd w:fill="FFFFFF" w:val="clear"/>
            <w:vAlign w:val="center"/>
          </w:tcPr>
          <w:p>
            <w:pPr>
              <w:pStyle w:val="TableContents"/>
              <w:spacing w:before="0" w:after="283"/>
              <w:rPr>
                <w:sz w:val="4"/>
                <w:szCs w:val="4"/>
              </w:rPr>
            </w:pPr>
            <w:r>
              <w:rPr>
                <w:sz w:val="4"/>
                <w:szCs w:val="4"/>
              </w:rPr>
            </w:r>
          </w:p>
        </w:tc>
        <w:tc>
          <w:tcPr>
            <w:tcW w:w="1007"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01" w:type="dxa"/>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remaining available for</w:t>
            </w:r>
          </w:p>
        </w:tc>
      </w:tr>
      <w:tr>
        <w:trPr/>
        <w:tc>
          <w:tcPr>
            <w:tcW w:w="1865" w:type="dxa"/>
            <w:tcBorders/>
            <w:shd w:fill="FFFFFF" w:val="clear"/>
            <w:vAlign w:val="center"/>
          </w:tcPr>
          <w:p>
            <w:pPr>
              <w:pStyle w:val="TableContents"/>
              <w:spacing w:before="0" w:after="283"/>
              <w:rPr>
                <w:sz w:val="4"/>
                <w:szCs w:val="4"/>
              </w:rPr>
            </w:pPr>
            <w:r>
              <w:rPr>
                <w:sz w:val="4"/>
                <w:szCs w:val="4"/>
              </w:rPr>
            </w:r>
          </w:p>
        </w:tc>
        <w:tc>
          <w:tcPr>
            <w:tcW w:w="1645" w:type="dxa"/>
            <w:tcBorders/>
            <w:shd w:fill="FFFFFF" w:val="clear"/>
            <w:vAlign w:val="center"/>
          </w:tcPr>
          <w:p>
            <w:pPr>
              <w:pStyle w:val="TableContents"/>
              <w:spacing w:before="0" w:after="283"/>
              <w:rPr>
                <w:sz w:val="4"/>
                <w:szCs w:val="4"/>
              </w:rPr>
            </w:pPr>
            <w:r>
              <w:rPr>
                <w:sz w:val="4"/>
                <w:szCs w:val="4"/>
              </w:rPr>
            </w:r>
          </w:p>
        </w:tc>
        <w:tc>
          <w:tcPr>
            <w:tcW w:w="364" w:type="dxa"/>
            <w:tcBorders/>
            <w:shd w:fill="FFFFFF" w:val="clear"/>
            <w:vAlign w:val="center"/>
          </w:tcPr>
          <w:p>
            <w:pPr>
              <w:pStyle w:val="TableContents"/>
              <w:spacing w:before="0" w:after="283"/>
              <w:rPr>
                <w:sz w:val="4"/>
                <w:szCs w:val="4"/>
              </w:rPr>
            </w:pPr>
            <w:r>
              <w:rPr>
                <w:sz w:val="4"/>
                <w:szCs w:val="4"/>
              </w:rPr>
            </w:r>
          </w:p>
        </w:tc>
        <w:tc>
          <w:tcPr>
            <w:tcW w:w="1816" w:type="dxa"/>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Number of securities to</w:t>
            </w:r>
          </w:p>
        </w:tc>
        <w:tc>
          <w:tcPr>
            <w:tcW w:w="109" w:type="dxa"/>
            <w:tcBorders/>
            <w:shd w:fill="FFFFFF" w:val="clear"/>
            <w:vAlign w:val="center"/>
          </w:tcPr>
          <w:p>
            <w:pPr>
              <w:pStyle w:val="TableContents"/>
              <w:spacing w:before="0" w:after="283"/>
              <w:rPr>
                <w:sz w:val="4"/>
                <w:szCs w:val="4"/>
              </w:rPr>
            </w:pPr>
            <w:r>
              <w:rPr>
                <w:sz w:val="4"/>
                <w:szCs w:val="4"/>
              </w:rPr>
            </w:r>
          </w:p>
        </w:tc>
        <w:tc>
          <w:tcPr>
            <w:tcW w:w="162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Weighted-average</w:t>
            </w:r>
          </w:p>
        </w:tc>
        <w:tc>
          <w:tcPr>
            <w:tcW w:w="109" w:type="dxa"/>
            <w:tcBorders/>
            <w:shd w:fill="FFFFFF" w:val="clear"/>
            <w:vAlign w:val="center"/>
          </w:tcPr>
          <w:p>
            <w:pPr>
              <w:pStyle w:val="TableContents"/>
              <w:spacing w:before="0" w:after="283"/>
              <w:rPr>
                <w:sz w:val="4"/>
                <w:szCs w:val="4"/>
              </w:rPr>
            </w:pPr>
            <w:r>
              <w:rPr>
                <w:sz w:val="4"/>
                <w:szCs w:val="4"/>
              </w:rPr>
            </w:r>
          </w:p>
        </w:tc>
        <w:tc>
          <w:tcPr>
            <w:tcW w:w="2101" w:type="dxa"/>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future issuance under</w:t>
            </w:r>
          </w:p>
        </w:tc>
      </w:tr>
      <w:tr>
        <w:trPr/>
        <w:tc>
          <w:tcPr>
            <w:tcW w:w="1865" w:type="dxa"/>
            <w:tcBorders/>
            <w:shd w:fill="FFFFFF" w:val="clear"/>
            <w:vAlign w:val="center"/>
          </w:tcPr>
          <w:p>
            <w:pPr>
              <w:pStyle w:val="TableContents"/>
              <w:spacing w:before="0" w:after="283"/>
              <w:rPr>
                <w:sz w:val="4"/>
                <w:szCs w:val="4"/>
              </w:rPr>
            </w:pPr>
            <w:r>
              <w:rPr>
                <w:sz w:val="4"/>
                <w:szCs w:val="4"/>
              </w:rPr>
            </w:r>
          </w:p>
        </w:tc>
        <w:tc>
          <w:tcPr>
            <w:tcW w:w="1645" w:type="dxa"/>
            <w:tcBorders/>
            <w:shd w:fill="FFFFFF" w:val="clear"/>
            <w:vAlign w:val="center"/>
          </w:tcPr>
          <w:p>
            <w:pPr>
              <w:pStyle w:val="TableContents"/>
              <w:spacing w:before="0" w:after="283"/>
              <w:rPr>
                <w:sz w:val="4"/>
                <w:szCs w:val="4"/>
              </w:rPr>
            </w:pPr>
            <w:r>
              <w:rPr>
                <w:sz w:val="4"/>
                <w:szCs w:val="4"/>
              </w:rPr>
            </w:r>
          </w:p>
        </w:tc>
        <w:tc>
          <w:tcPr>
            <w:tcW w:w="364" w:type="dxa"/>
            <w:tcBorders/>
            <w:shd w:fill="FFFFFF" w:val="clear"/>
            <w:vAlign w:val="center"/>
          </w:tcPr>
          <w:p>
            <w:pPr>
              <w:pStyle w:val="TableContents"/>
              <w:spacing w:before="0" w:after="283"/>
              <w:rPr>
                <w:sz w:val="4"/>
                <w:szCs w:val="4"/>
              </w:rPr>
            </w:pPr>
            <w:r>
              <w:rPr>
                <w:sz w:val="4"/>
                <w:szCs w:val="4"/>
              </w:rPr>
            </w:r>
          </w:p>
        </w:tc>
        <w:tc>
          <w:tcPr>
            <w:tcW w:w="1816" w:type="dxa"/>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be issued upon exercise </w:t>
            </w:r>
          </w:p>
        </w:tc>
        <w:tc>
          <w:tcPr>
            <w:tcW w:w="109" w:type="dxa"/>
            <w:tcBorders/>
            <w:shd w:fill="FFFFFF" w:val="clear"/>
            <w:vAlign w:val="center"/>
          </w:tcPr>
          <w:p>
            <w:pPr>
              <w:pStyle w:val="TableContents"/>
              <w:spacing w:before="0" w:after="283"/>
              <w:rPr>
                <w:sz w:val="4"/>
                <w:szCs w:val="4"/>
              </w:rPr>
            </w:pPr>
            <w:r>
              <w:rPr>
                <w:sz w:val="4"/>
                <w:szCs w:val="4"/>
              </w:rPr>
            </w:r>
          </w:p>
        </w:tc>
        <w:tc>
          <w:tcPr>
            <w:tcW w:w="162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exercise price of</w:t>
            </w:r>
          </w:p>
        </w:tc>
        <w:tc>
          <w:tcPr>
            <w:tcW w:w="109" w:type="dxa"/>
            <w:tcBorders/>
            <w:shd w:fill="FFFFFF" w:val="clear"/>
            <w:vAlign w:val="center"/>
          </w:tcPr>
          <w:p>
            <w:pPr>
              <w:pStyle w:val="TableContents"/>
              <w:spacing w:before="0" w:after="283"/>
              <w:rPr>
                <w:sz w:val="4"/>
                <w:szCs w:val="4"/>
              </w:rPr>
            </w:pPr>
            <w:r>
              <w:rPr>
                <w:sz w:val="4"/>
                <w:szCs w:val="4"/>
              </w:rPr>
            </w:r>
          </w:p>
        </w:tc>
        <w:tc>
          <w:tcPr>
            <w:tcW w:w="2101" w:type="dxa"/>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equity compensation plans</w:t>
            </w:r>
          </w:p>
        </w:tc>
      </w:tr>
      <w:tr>
        <w:trPr/>
        <w:tc>
          <w:tcPr>
            <w:tcW w:w="1865" w:type="dxa"/>
            <w:tcBorders/>
            <w:shd w:fill="FFFFFF" w:val="clear"/>
            <w:vAlign w:val="center"/>
          </w:tcPr>
          <w:p>
            <w:pPr>
              <w:pStyle w:val="TableContents"/>
              <w:spacing w:before="0" w:after="283"/>
              <w:rPr>
                <w:sz w:val="4"/>
                <w:szCs w:val="4"/>
              </w:rPr>
            </w:pPr>
            <w:r>
              <w:rPr>
                <w:sz w:val="4"/>
                <w:szCs w:val="4"/>
              </w:rPr>
            </w:r>
          </w:p>
        </w:tc>
        <w:tc>
          <w:tcPr>
            <w:tcW w:w="1645" w:type="dxa"/>
            <w:tcBorders/>
            <w:shd w:fill="FFFFFF" w:val="clear"/>
            <w:vAlign w:val="center"/>
          </w:tcPr>
          <w:p>
            <w:pPr>
              <w:pStyle w:val="TableContents"/>
              <w:spacing w:before="0" w:after="283"/>
              <w:rPr>
                <w:sz w:val="4"/>
                <w:szCs w:val="4"/>
              </w:rPr>
            </w:pPr>
            <w:r>
              <w:rPr>
                <w:sz w:val="4"/>
                <w:szCs w:val="4"/>
              </w:rPr>
            </w:r>
          </w:p>
        </w:tc>
        <w:tc>
          <w:tcPr>
            <w:tcW w:w="364" w:type="dxa"/>
            <w:tcBorders/>
            <w:shd w:fill="FFFFFF" w:val="clear"/>
            <w:vAlign w:val="center"/>
          </w:tcPr>
          <w:p>
            <w:pPr>
              <w:pStyle w:val="TableContents"/>
              <w:spacing w:before="0" w:after="283"/>
              <w:rPr>
                <w:sz w:val="4"/>
                <w:szCs w:val="4"/>
              </w:rPr>
            </w:pPr>
            <w:r>
              <w:rPr>
                <w:sz w:val="4"/>
                <w:szCs w:val="4"/>
              </w:rPr>
            </w:r>
          </w:p>
        </w:tc>
        <w:tc>
          <w:tcPr>
            <w:tcW w:w="1816" w:type="dxa"/>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of outstanding options, </w:t>
            </w:r>
          </w:p>
        </w:tc>
        <w:tc>
          <w:tcPr>
            <w:tcW w:w="109" w:type="dxa"/>
            <w:tcBorders/>
            <w:shd w:fill="FFFFFF" w:val="clear"/>
            <w:vAlign w:val="center"/>
          </w:tcPr>
          <w:p>
            <w:pPr>
              <w:pStyle w:val="TableContents"/>
              <w:spacing w:before="0" w:after="283"/>
              <w:rPr>
                <w:sz w:val="4"/>
                <w:szCs w:val="4"/>
              </w:rPr>
            </w:pPr>
            <w:r>
              <w:rPr>
                <w:sz w:val="4"/>
                <w:szCs w:val="4"/>
              </w:rPr>
            </w:r>
          </w:p>
        </w:tc>
        <w:tc>
          <w:tcPr>
            <w:tcW w:w="1620" w:type="dxa"/>
            <w:gridSpan w:val="2"/>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outstanding options, </w:t>
            </w:r>
          </w:p>
        </w:tc>
        <w:tc>
          <w:tcPr>
            <w:tcW w:w="109" w:type="dxa"/>
            <w:tcBorders/>
            <w:shd w:fill="FFFFFF" w:val="clear"/>
            <w:vAlign w:val="center"/>
          </w:tcPr>
          <w:p>
            <w:pPr>
              <w:pStyle w:val="TableContents"/>
              <w:spacing w:before="0" w:after="283"/>
              <w:rPr>
                <w:sz w:val="4"/>
                <w:szCs w:val="4"/>
              </w:rPr>
            </w:pPr>
            <w:r>
              <w:rPr>
                <w:sz w:val="4"/>
                <w:szCs w:val="4"/>
              </w:rPr>
            </w:r>
          </w:p>
        </w:tc>
        <w:tc>
          <w:tcPr>
            <w:tcW w:w="2101" w:type="dxa"/>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(excluding securities </w:t>
            </w:r>
          </w:p>
        </w:tc>
      </w:tr>
      <w:tr>
        <w:trPr/>
        <w:tc>
          <w:tcPr>
            <w:tcW w:w="3874" w:type="dxa"/>
            <w:gridSpan w:val="3"/>
            <w:tcBorders/>
            <w:shd w:fill="FFFFFF"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Plan category</w:t>
            </w:r>
          </w:p>
        </w:tc>
        <w:tc>
          <w:tcPr>
            <w:tcW w:w="181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warrants and rights</w:t>
            </w:r>
          </w:p>
        </w:tc>
        <w:tc>
          <w:tcPr>
            <w:tcW w:w="109" w:type="dxa"/>
            <w:tcBorders/>
            <w:shd w:fill="FFFFFF" w:val="clear"/>
            <w:vAlign w:val="center"/>
          </w:tcPr>
          <w:p>
            <w:pPr>
              <w:pStyle w:val="TableContents"/>
              <w:spacing w:before="0" w:after="283"/>
              <w:rPr>
                <w:sz w:val="4"/>
                <w:szCs w:val="4"/>
              </w:rPr>
            </w:pPr>
            <w:r>
              <w:rPr>
                <w:sz w:val="4"/>
                <w:szCs w:val="4"/>
              </w:rPr>
            </w:r>
          </w:p>
        </w:tc>
        <w:tc>
          <w:tcPr>
            <w:tcW w:w="162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warrants and rights</w:t>
            </w:r>
          </w:p>
        </w:tc>
        <w:tc>
          <w:tcPr>
            <w:tcW w:w="109" w:type="dxa"/>
            <w:tcBorders/>
            <w:shd w:fill="FFFFFF" w:val="clear"/>
            <w:vAlign w:val="center"/>
          </w:tcPr>
          <w:p>
            <w:pPr>
              <w:pStyle w:val="TableContents"/>
              <w:spacing w:before="0" w:after="283"/>
              <w:rPr>
                <w:sz w:val="4"/>
                <w:szCs w:val="4"/>
              </w:rPr>
            </w:pPr>
            <w:r>
              <w:rPr>
                <w:sz w:val="4"/>
                <w:szCs w:val="4"/>
              </w:rPr>
            </w:r>
          </w:p>
        </w:tc>
        <w:tc>
          <w:tcPr>
            <w:tcW w:w="2101"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reflected in first column)</w:t>
            </w:r>
            <w:r>
              <w:rPr>
                <w:rFonts w:ascii="Times New Roman;serif" w:hAnsi="Times New Roman;serif"/>
                <w:b/>
                <w:i w:val="false"/>
                <w:caps w:val="false"/>
                <w:smallCaps w:val="false"/>
                <w:position w:val="5"/>
                <w:sz w:val="13"/>
                <w:sz w:val="16"/>
              </w:rPr>
              <w:t>(1)</w:t>
            </w:r>
          </w:p>
        </w:tc>
      </w:tr>
      <w:tr>
        <w:trPr/>
        <w:tc>
          <w:tcPr>
            <w:tcW w:w="351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Equity compensation plans approved </w:t>
              <w:br/>
              <w:t>‎by security holders</w:t>
            </w:r>
          </w:p>
        </w:tc>
        <w:tc>
          <w:tcPr>
            <w:tcW w:w="364" w:type="dxa"/>
            <w:tcBorders/>
            <w:shd w:fill="CCEEFF" w:val="clear"/>
            <w:vAlign w:val="center"/>
          </w:tcPr>
          <w:p>
            <w:pPr>
              <w:pStyle w:val="TableContents"/>
              <w:spacing w:before="0" w:after="283"/>
              <w:rPr>
                <w:sz w:val="4"/>
                <w:szCs w:val="4"/>
              </w:rPr>
            </w:pPr>
            <w:r>
              <w:rPr>
                <w:sz w:val="4"/>
                <w:szCs w:val="4"/>
              </w:rPr>
            </w:r>
          </w:p>
        </w:tc>
        <w:tc>
          <w:tcPr>
            <w:tcW w:w="1816"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61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07"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1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4,031,532</w:t>
            </w:r>
          </w:p>
        </w:tc>
      </w:tr>
      <w:tr>
        <w:trPr/>
        <w:tc>
          <w:tcPr>
            <w:tcW w:w="3510" w:type="dxa"/>
            <w:gridSpan w:val="2"/>
            <w:tcBorders/>
            <w:shd w:fill="auto"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 xml:space="preserve">Equity compensation plans not approved </w:t>
              <w:br/>
              <w:t>‎by security holders</w:t>
            </w:r>
            <w:r>
              <w:rPr>
                <w:rFonts w:ascii="Times New Roman;serif" w:hAnsi="Times New Roman;serif"/>
                <w:b w:val="false"/>
                <w:i w:val="false"/>
                <w:caps w:val="false"/>
                <w:smallCaps w:val="false"/>
                <w:position w:val="7"/>
                <w:sz w:val="16"/>
                <w:sz w:val="20"/>
              </w:rPr>
              <w:t>(2)</w:t>
            </w:r>
          </w:p>
        </w:tc>
        <w:tc>
          <w:tcPr>
            <w:tcW w:w="364" w:type="dxa"/>
            <w:tcBorders/>
            <w:shd w:fill="auto" w:val="clear"/>
            <w:vAlign w:val="center"/>
          </w:tcPr>
          <w:p>
            <w:pPr>
              <w:pStyle w:val="TableContents"/>
              <w:spacing w:before="0" w:after="283"/>
              <w:rPr>
                <w:sz w:val="4"/>
                <w:szCs w:val="4"/>
              </w:rPr>
            </w:pPr>
            <w:r>
              <w:rPr>
                <w:sz w:val="4"/>
                <w:szCs w:val="4"/>
              </w:rPr>
            </w:r>
          </w:p>
        </w:tc>
        <w:tc>
          <w:tcPr>
            <w:tcW w:w="1816" w:type="dxa"/>
            <w:tcBorders>
              <w:bottom w:val="single" w:sz="8" w:space="0" w:color="000000"/>
            </w:tcBorders>
            <w:shd w:fill="auto"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613"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07" w:type="dxa"/>
            <w:tcBorders>
              <w:bottom w:val="single" w:sz="8" w:space="0" w:color="000000"/>
            </w:tcBorders>
            <w:shd w:fill="auto"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auto" w:val="clear"/>
            <w:vAlign w:val="center"/>
          </w:tcPr>
          <w:p>
            <w:pPr>
              <w:pStyle w:val="TableContents"/>
              <w:spacing w:before="0" w:after="283"/>
              <w:rPr>
                <w:sz w:val="4"/>
                <w:szCs w:val="4"/>
              </w:rPr>
            </w:pPr>
            <w:r>
              <w:rPr>
                <w:sz w:val="4"/>
                <w:szCs w:val="4"/>
              </w:rPr>
            </w:r>
          </w:p>
        </w:tc>
        <w:tc>
          <w:tcPr>
            <w:tcW w:w="2101" w:type="dxa"/>
            <w:tcBorders>
              <w:bottom w:val="single" w:sz="8" w:space="0" w:color="000000"/>
            </w:tcBorders>
            <w:shd w:fill="auto"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351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w:t>
            </w:r>
          </w:p>
        </w:tc>
        <w:tc>
          <w:tcPr>
            <w:tcW w:w="364" w:type="dxa"/>
            <w:tcBorders/>
            <w:shd w:fill="CCEEFF" w:val="clear"/>
            <w:vAlign w:val="center"/>
          </w:tcPr>
          <w:p>
            <w:pPr>
              <w:pStyle w:val="TableContents"/>
              <w:spacing w:before="0" w:after="283"/>
              <w:rPr>
                <w:sz w:val="4"/>
                <w:szCs w:val="4"/>
              </w:rPr>
            </w:pPr>
            <w:r>
              <w:rPr>
                <w:sz w:val="4"/>
                <w:szCs w:val="4"/>
              </w:rPr>
            </w:r>
          </w:p>
        </w:tc>
        <w:tc>
          <w:tcPr>
            <w:tcW w:w="181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61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0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spacing w:before="0" w:after="283"/>
              <w:rPr>
                <w:sz w:val="4"/>
                <w:szCs w:val="4"/>
              </w:rPr>
            </w:pPr>
            <w:r>
              <w:rPr>
                <w:sz w:val="4"/>
                <w:szCs w:val="4"/>
              </w:rPr>
            </w:r>
          </w:p>
        </w:tc>
        <w:tc>
          <w:tcPr>
            <w:tcW w:w="210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4,031,532</w:t>
            </w:r>
          </w:p>
        </w:tc>
      </w:tr>
    </w:tbl>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_____________________________</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 2,702,456 shares are available under the Company’s 2015 Equity Incentive Plan and 1,329,076 shares are available under the Company’s Employee Stock Purchase Plan.</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 All of our existing equity compensation plans have been approved by shareholders.</w:t>
      </w:r>
    </w:p>
    <w:tbl>
      <w:tblPr>
        <w:tblW w:w="9315" w:type="dxa"/>
        <w:jc w:val="left"/>
        <w:tblInd w:w="0" w:type="dxa"/>
        <w:tblCellMar>
          <w:top w:w="0" w:type="dxa"/>
          <w:left w:w="0" w:type="dxa"/>
          <w:bottom w:w="0" w:type="dxa"/>
          <w:right w:w="0" w:type="dxa"/>
        </w:tblCellMar>
      </w:tblPr>
      <w:tblGrid>
        <w:gridCol w:w="930"/>
        <w:gridCol w:w="8385"/>
      </w:tblGrid>
      <w:tr>
        <w:trPr/>
        <w:tc>
          <w:tcPr>
            <w:tcW w:w="930" w:type="dxa"/>
            <w:tcBorders/>
            <w:shd w:fill="auto" w:val="clear"/>
            <w:vAlign w:val="center"/>
          </w:tcPr>
          <w:p>
            <w:pPr>
              <w:pStyle w:val="TableContents"/>
              <w:spacing w:before="0" w:after="283"/>
              <w:rPr>
                <w:sz w:val="4"/>
                <w:szCs w:val="4"/>
              </w:rPr>
            </w:pPr>
            <w:r>
              <w:rPr>
                <w:sz w:val="4"/>
                <w:szCs w:val="4"/>
              </w:rPr>
            </w:r>
          </w:p>
        </w:tc>
        <w:tc>
          <w:tcPr>
            <w:tcW w:w="8385" w:type="dxa"/>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vAlign w:val="center"/>
          </w:tcPr>
          <w:p>
            <w:pPr>
              <w:pStyle w:val="TableContents"/>
              <w:bidi w:val="0"/>
              <w:spacing w:lineRule="auto" w:line="259" w:before="0" w:after="22"/>
              <w:ind w:left="0" w:right="29" w:hanging="0"/>
              <w:jc w:val="left"/>
              <w:rPr>
                <w:rFonts w:ascii="Times New Roman;serif" w:hAnsi="Times New Roman;serif"/>
                <w:b w:val="false"/>
                <w:i w:val="false"/>
                <w:caps w:val="false"/>
                <w:smallCaps w:val="false"/>
                <w:color w:val="000000"/>
                <w:sz w:val="20"/>
              </w:rPr>
            </w:pPr>
            <w:bookmarkStart w:id="32" w:name="Item13CertainRelationships"/>
            <w:bookmarkEnd w:id="32"/>
            <w:r>
              <w:rPr>
                <w:rFonts w:ascii="Times New Roman;serif" w:hAnsi="Times New Roman;serif"/>
                <w:b w:val="false"/>
                <w:i w:val="false"/>
                <w:caps w:val="false"/>
                <w:smallCaps w:val="false"/>
                <w:color w:val="000000"/>
                <w:sz w:val="20"/>
              </w:rPr>
              <w:t>ITEM 13.</w:t>
            </w:r>
          </w:p>
        </w:tc>
        <w:tc>
          <w:tcPr>
            <w:tcW w:w="8385" w:type="dxa"/>
            <w:tcBorders/>
            <w:shd w:fill="auto" w:val="clear"/>
            <w:vAlign w:val="center"/>
          </w:tcPr>
          <w:p>
            <w:pPr>
              <w:pStyle w:val="TableContents"/>
              <w:bidi w:val="0"/>
              <w:spacing w:lineRule="auto" w:line="259" w:before="0" w:after="22"/>
              <w:ind w:left="0" w:right="29"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CERTAIN RELATIONSHIPS AND RELATED TRANSACTIONS AND DIRECTOR INDEPENDENCE</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Information required by this Item is incorporated by reference to the sections of the Proxy Statement entitled “Certain Relationships and Related Party Transactions” and “Proposal One: Election of Directors.”</w:t>
      </w:r>
    </w:p>
    <w:tbl>
      <w:tblPr>
        <w:tblW w:w="5370" w:type="dxa"/>
        <w:jc w:val="left"/>
        <w:tblInd w:w="0" w:type="dxa"/>
        <w:tblCellMar>
          <w:top w:w="0" w:type="dxa"/>
          <w:left w:w="0" w:type="dxa"/>
          <w:bottom w:w="0" w:type="dxa"/>
          <w:right w:w="0" w:type="dxa"/>
        </w:tblCellMar>
      </w:tblPr>
      <w:tblGrid>
        <w:gridCol w:w="930"/>
        <w:gridCol w:w="4440"/>
      </w:tblGrid>
      <w:tr>
        <w:trPr/>
        <w:tc>
          <w:tcPr>
            <w:tcW w:w="930" w:type="dxa"/>
            <w:tcBorders/>
            <w:shd w:fill="auto" w:val="clear"/>
            <w:vAlign w:val="center"/>
          </w:tcPr>
          <w:p>
            <w:pPr>
              <w:pStyle w:val="TableContents"/>
              <w:spacing w:before="0" w:after="283"/>
              <w:rPr>
                <w:sz w:val="4"/>
                <w:szCs w:val="4"/>
              </w:rPr>
            </w:pPr>
            <w:r>
              <w:rPr>
                <w:sz w:val="4"/>
                <w:szCs w:val="4"/>
              </w:rPr>
            </w:r>
          </w:p>
        </w:tc>
        <w:tc>
          <w:tcPr>
            <w:tcW w:w="4440" w:type="dxa"/>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vAlign w:val="center"/>
          </w:tcPr>
          <w:p>
            <w:pPr>
              <w:pStyle w:val="TableContents"/>
              <w:bidi w:val="0"/>
              <w:spacing w:lineRule="auto" w:line="259" w:before="0" w:after="22"/>
              <w:ind w:left="0" w:right="29" w:hanging="0"/>
              <w:jc w:val="left"/>
              <w:rPr>
                <w:rFonts w:ascii="Times New Roman;serif" w:hAnsi="Times New Roman;serif"/>
                <w:b w:val="false"/>
                <w:i w:val="false"/>
                <w:caps w:val="false"/>
                <w:smallCaps w:val="false"/>
                <w:color w:val="000000"/>
                <w:sz w:val="20"/>
              </w:rPr>
            </w:pPr>
            <w:bookmarkStart w:id="33" w:name="Item14PrincipalAccountingFees"/>
            <w:bookmarkEnd w:id="33"/>
            <w:r>
              <w:rPr>
                <w:rFonts w:ascii="Times New Roman;serif" w:hAnsi="Times New Roman;serif"/>
                <w:b w:val="false"/>
                <w:i w:val="false"/>
                <w:caps w:val="false"/>
                <w:smallCaps w:val="false"/>
                <w:color w:val="000000"/>
                <w:sz w:val="20"/>
              </w:rPr>
              <w:t>ITEM 14.</w:t>
            </w:r>
          </w:p>
        </w:tc>
        <w:tc>
          <w:tcPr>
            <w:tcW w:w="4440" w:type="dxa"/>
            <w:tcBorders/>
            <w:shd w:fill="auto" w:val="clear"/>
            <w:vAlign w:val="center"/>
          </w:tcPr>
          <w:p>
            <w:pPr>
              <w:pStyle w:val="TableContents"/>
              <w:bidi w:val="0"/>
              <w:spacing w:lineRule="auto" w:line="259" w:before="0" w:after="22"/>
              <w:ind w:left="0" w:right="29"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PRINCIPAL ACCOUNTANT FEES AND SERVICES</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Information required by this Item is incorporated by reference to the section of the Proxy Statement entitled “Audit Committee Report.”</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68</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PART IV</w:t>
      </w:r>
    </w:p>
    <w:p>
      <w:pPr>
        <w:pStyle w:val="TextBody"/>
        <w:bidi w:val="0"/>
        <w:spacing w:lineRule="auto" w:line="259"/>
        <w:rPr>
          <w:caps w:val="false"/>
          <w:smallCaps w:val="false"/>
          <w:color w:val="000000"/>
        </w:rPr>
      </w:pPr>
      <w:r>
        <w:rPr>
          <w:caps w:val="false"/>
          <w:smallCaps w:val="false"/>
          <w:color w:val="000000"/>
        </w:rPr>
        <w:t> </w:t>
      </w:r>
    </w:p>
    <w:tbl>
      <w:tblPr>
        <w:tblW w:w="5895" w:type="dxa"/>
        <w:jc w:val="left"/>
        <w:tblInd w:w="0" w:type="dxa"/>
        <w:tblCellMar>
          <w:top w:w="0" w:type="dxa"/>
          <w:left w:w="0" w:type="dxa"/>
          <w:bottom w:w="0" w:type="dxa"/>
          <w:right w:w="0" w:type="dxa"/>
        </w:tblCellMar>
      </w:tblPr>
      <w:tblGrid>
        <w:gridCol w:w="930"/>
        <w:gridCol w:w="4965"/>
      </w:tblGrid>
      <w:tr>
        <w:trPr/>
        <w:tc>
          <w:tcPr>
            <w:tcW w:w="930" w:type="dxa"/>
            <w:tcBorders/>
            <w:shd w:fill="auto" w:val="clear"/>
            <w:vAlign w:val="center"/>
          </w:tcPr>
          <w:p>
            <w:pPr>
              <w:pStyle w:val="TableContents"/>
              <w:spacing w:before="0" w:after="283"/>
              <w:rPr>
                <w:sz w:val="4"/>
                <w:szCs w:val="4"/>
              </w:rPr>
            </w:pPr>
            <w:r>
              <w:rPr>
                <w:sz w:val="4"/>
                <w:szCs w:val="4"/>
              </w:rPr>
            </w:r>
          </w:p>
        </w:tc>
        <w:tc>
          <w:tcPr>
            <w:tcW w:w="4965" w:type="dxa"/>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vAlign w:val="center"/>
          </w:tcPr>
          <w:p>
            <w:pPr>
              <w:pStyle w:val="TableContents"/>
              <w:bidi w:val="0"/>
              <w:spacing w:lineRule="auto" w:line="259" w:before="0" w:after="22"/>
              <w:ind w:left="0" w:right="29" w:hanging="0"/>
              <w:jc w:val="left"/>
              <w:rPr>
                <w:rFonts w:ascii="Times New Roman;serif" w:hAnsi="Times New Roman;serif"/>
                <w:b w:val="false"/>
                <w:i w:val="false"/>
                <w:caps w:val="false"/>
                <w:smallCaps w:val="false"/>
                <w:color w:val="000000"/>
                <w:sz w:val="20"/>
              </w:rPr>
            </w:pPr>
            <w:bookmarkStart w:id="34" w:name="Item15ExhibitsFinStatementsSchedules"/>
            <w:bookmarkEnd w:id="34"/>
            <w:r>
              <w:rPr>
                <w:rFonts w:ascii="Times New Roman;serif" w:hAnsi="Times New Roman;serif"/>
                <w:b w:val="false"/>
                <w:i w:val="false"/>
                <w:caps w:val="false"/>
                <w:smallCaps w:val="false"/>
                <w:color w:val="000000"/>
                <w:sz w:val="20"/>
              </w:rPr>
              <w:t>ITEM 15.</w:t>
            </w:r>
          </w:p>
        </w:tc>
        <w:tc>
          <w:tcPr>
            <w:tcW w:w="4965" w:type="dxa"/>
            <w:tcBorders/>
            <w:shd w:fill="auto" w:val="clear"/>
            <w:vAlign w:val="center"/>
          </w:tcPr>
          <w:p>
            <w:pPr>
              <w:pStyle w:val="TableContents"/>
              <w:bidi w:val="0"/>
              <w:spacing w:lineRule="auto" w:line="259" w:before="0" w:after="22"/>
              <w:ind w:left="0" w:right="29"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EXHIBITS, FINANCIAL STATEMENTS AND SCHEDULE</w:t>
            </w:r>
          </w:p>
        </w:tc>
      </w:tr>
    </w:tbl>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Financial Statements and Financial Statement Schedule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“Index to Consolidated Financial Statements” in Part II, Item 8 of this Annual Report on Form 10-K. Schedule II is included in Part II, Item 8. All other financial statement schedules have been omitted because they are not required or are not applicable or because the information required in those schedules either is not material or is included in the consolidated financial statements or the accompanying notes.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Exhibits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exhibits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listed in the accompanying index to exhibits are filed or incorporated as part of this Annual Report on Form 10-K.</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E</w:t>
      </w:r>
      <w:r>
        <w:rPr>
          <w:rFonts w:ascii="Times New Roman;serif" w:hAnsi="Times New Roman;serif"/>
          <w:b/>
          <w:i w:val="false"/>
          <w:caps w:val="false"/>
          <w:smallCaps w:val="false"/>
          <w:color w:val="000000"/>
          <w:sz w:val="20"/>
        </w:rPr>
        <w:t>XHIBIT INDEX</w:t>
      </w:r>
    </w:p>
    <w:tbl>
      <w:tblPr>
        <w:tblW w:w="10205" w:type="dxa"/>
        <w:jc w:val="left"/>
        <w:tblInd w:w="0" w:type="dxa"/>
        <w:tblCellMar>
          <w:top w:w="0" w:type="dxa"/>
          <w:left w:w="0" w:type="dxa"/>
          <w:bottom w:w="0" w:type="dxa"/>
          <w:right w:w="0" w:type="dxa"/>
        </w:tblCellMar>
      </w:tblPr>
      <w:tblGrid>
        <w:gridCol w:w="837"/>
        <w:gridCol w:w="9368"/>
      </w:tblGrid>
      <w:tr>
        <w:trPr/>
        <w:tc>
          <w:tcPr>
            <w:tcW w:w="837" w:type="dxa"/>
            <w:tcBorders/>
            <w:shd w:fill="auto" w:val="clear"/>
            <w:vAlign w:val="center"/>
          </w:tcPr>
          <w:p>
            <w:pPr>
              <w:pStyle w:val="TableContents"/>
              <w:spacing w:before="0" w:after="283"/>
              <w:rPr>
                <w:sz w:val="4"/>
                <w:szCs w:val="4"/>
              </w:rPr>
            </w:pPr>
            <w:r>
              <w:rPr>
                <w:sz w:val="4"/>
                <w:szCs w:val="4"/>
              </w:rPr>
            </w:r>
          </w:p>
        </w:tc>
        <w:tc>
          <w:tcPr>
            <w:tcW w:w="9368" w:type="dxa"/>
            <w:tcBorders/>
            <w:shd w:fill="auto" w:val="clear"/>
            <w:vAlign w:val="center"/>
          </w:tcPr>
          <w:p>
            <w:pPr>
              <w:pStyle w:val="TableContents"/>
              <w:spacing w:before="0" w:after="283"/>
              <w:rPr>
                <w:sz w:val="4"/>
                <w:szCs w:val="4"/>
              </w:rPr>
            </w:pPr>
            <w:r>
              <w:rPr>
                <w:sz w:val="4"/>
                <w:szCs w:val="4"/>
              </w:rPr>
            </w:r>
          </w:p>
        </w:tc>
      </w:tr>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837" w:type="dxa"/>
            <w:tcBorders/>
            <w:shd w:fill="auto" w:val="clear"/>
            <w:vAlign w:val="center"/>
          </w:tcPr>
          <w:p>
            <w:pPr>
              <w:pStyle w:val="TableContents"/>
              <w:bidi w:val="0"/>
              <w:spacing w:lineRule="auto" w:line="276" w:before="0" w:after="283"/>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Exhibit No.</w:t>
            </w:r>
          </w:p>
        </w:tc>
        <w:tc>
          <w:tcPr>
            <w:tcW w:w="9368" w:type="dxa"/>
            <w:tcBorders/>
            <w:shd w:fill="auto" w:val="clear"/>
            <w:vAlign w:val="center"/>
          </w:tcPr>
          <w:p>
            <w:pPr>
              <w:pStyle w:val="TableContents"/>
              <w:spacing w:before="0" w:after="283"/>
              <w:rPr>
                <w:sz w:val="4"/>
                <w:szCs w:val="4"/>
              </w:rPr>
            </w:pPr>
            <w:r>
              <w:rPr>
                <w:sz w:val="4"/>
                <w:szCs w:val="4"/>
              </w:rPr>
            </w:r>
          </w:p>
        </w:tc>
      </w:tr>
      <w:tr>
        <w:trPr/>
        <w:tc>
          <w:tcPr>
            <w:tcW w:w="837" w:type="dxa"/>
            <w:tcBorders/>
            <w:shd w:fill="auto" w:val="clear"/>
            <w:vAlign w:val="center"/>
          </w:tcPr>
          <w:p>
            <w:pPr>
              <w:pStyle w:val="TableContents"/>
              <w:bidi w:val="0"/>
              <w:spacing w:lineRule="auto" w:line="276"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w:t>
            </w:r>
          </w:p>
        </w:tc>
        <w:tc>
          <w:tcPr>
            <w:tcW w:w="9368" w:type="dxa"/>
            <w:tcBorders/>
            <w:shd w:fill="auto" w:val="clear"/>
            <w:vAlign w:val="center"/>
          </w:tcPr>
          <w:p>
            <w:pPr>
              <w:pStyle w:val="TableContents"/>
              <w:bidi w:val="0"/>
              <w:spacing w:lineRule="auto" w:line="276" w:before="0" w:after="283"/>
              <w:rPr/>
            </w:pPr>
            <w:hyperlink r:id="rId3">
              <w:r>
                <w:rPr>
                  <w:rStyle w:val="InternetLink"/>
                  <w:rFonts w:ascii="Times New Roman;serif" w:hAnsi="Times New Roman;serif"/>
                  <w:b w:val="false"/>
                  <w:i w:val="false"/>
                  <w:caps w:val="false"/>
                  <w:smallCaps w:val="false"/>
                  <w:color w:val="0000FF"/>
                  <w:sz w:val="20"/>
                  <w:u w:val="single"/>
                </w:rPr>
                <w:t>Amended and Restated Articles of Incorporation of Duluth Holdings Inc., incorporated by reference to Exhibit 3.1 of Pre-Effective Amendment No. 2 to the Company’s Registration Statement on Form S-1 (File No. 333-207300), filed November 9, 2015.</w:t>
              </w:r>
            </w:hyperlink>
          </w:p>
        </w:tc>
      </w:tr>
      <w:tr>
        <w:trPr/>
        <w:tc>
          <w:tcPr>
            <w:tcW w:w="837" w:type="dxa"/>
            <w:tcBorders/>
            <w:shd w:fill="auto" w:val="clear"/>
            <w:vAlign w:val="center"/>
          </w:tcPr>
          <w:p>
            <w:pPr>
              <w:pStyle w:val="TableContents"/>
              <w:bidi w:val="0"/>
              <w:spacing w:lineRule="auto" w:line="276"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tc>
        <w:tc>
          <w:tcPr>
            <w:tcW w:w="9368" w:type="dxa"/>
            <w:tcBorders/>
            <w:shd w:fill="auto" w:val="clear"/>
            <w:vAlign w:val="center"/>
          </w:tcPr>
          <w:p>
            <w:pPr>
              <w:pStyle w:val="TableContents"/>
              <w:bidi w:val="0"/>
              <w:spacing w:lineRule="auto" w:line="276" w:before="0" w:after="283"/>
              <w:rPr/>
            </w:pPr>
            <w:hyperlink r:id="rId4">
              <w:r>
                <w:rPr>
                  <w:rStyle w:val="InternetLink"/>
                  <w:rFonts w:ascii="Times New Roman;serif" w:hAnsi="Times New Roman;serif"/>
                  <w:b w:val="false"/>
                  <w:i w:val="false"/>
                  <w:caps w:val="false"/>
                  <w:smallCaps w:val="false"/>
                  <w:color w:val="0000FF"/>
                  <w:sz w:val="20"/>
                  <w:u w:val="single"/>
                </w:rPr>
                <w:t>Amended and Restated Bylaws of Duluth Holdings Inc., incorporated by reference to Exhibit 3.2 of the Pre-Effective Amendment No. 2 to the Company’s Registration Statement on Form S-1 (File No. 333-207300), filed November 9, 2015.</w:t>
              </w:r>
            </w:hyperlink>
          </w:p>
        </w:tc>
      </w:tr>
      <w:tr>
        <w:trPr/>
        <w:tc>
          <w:tcPr>
            <w:tcW w:w="837" w:type="dxa"/>
            <w:tcBorders/>
            <w:shd w:fill="auto" w:val="clear"/>
            <w:vAlign w:val="center"/>
          </w:tcPr>
          <w:p>
            <w:pPr>
              <w:pStyle w:val="TableContents"/>
              <w:bidi w:val="0"/>
              <w:spacing w:lineRule="auto" w:line="276"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w:t>
            </w:r>
          </w:p>
        </w:tc>
        <w:tc>
          <w:tcPr>
            <w:tcW w:w="9368" w:type="dxa"/>
            <w:tcBorders/>
            <w:shd w:fill="auto" w:val="clear"/>
            <w:vAlign w:val="center"/>
          </w:tcPr>
          <w:p>
            <w:pPr>
              <w:pStyle w:val="TableContents"/>
              <w:bidi w:val="0"/>
              <w:spacing w:lineRule="auto" w:line="276" w:before="0" w:after="283"/>
              <w:rPr/>
            </w:pPr>
            <w:hyperlink r:id="rId5">
              <w:r>
                <w:rPr>
                  <w:rStyle w:val="InternetLink"/>
                  <w:rFonts w:ascii="Times New Roman;serif" w:hAnsi="Times New Roman;serif"/>
                  <w:b w:val="false"/>
                  <w:i w:val="false"/>
                  <w:caps w:val="false"/>
                  <w:smallCaps w:val="false"/>
                  <w:color w:val="0000FF"/>
                  <w:sz w:val="20"/>
                  <w:u w:val="single"/>
                </w:rPr>
                <w:t>Description of Registrant’s Securities.</w:t>
              </w:r>
            </w:hyperlink>
          </w:p>
        </w:tc>
      </w:tr>
      <w:tr>
        <w:trPr/>
        <w:tc>
          <w:tcPr>
            <w:tcW w:w="837" w:type="dxa"/>
            <w:tcBorders/>
            <w:shd w:fill="auto" w:val="clear"/>
            <w:vAlign w:val="center"/>
          </w:tcPr>
          <w:p>
            <w:pPr>
              <w:pStyle w:val="TableContents"/>
              <w:bidi w:val="0"/>
              <w:spacing w:lineRule="auto" w:line="276"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w:t>
            </w:r>
          </w:p>
        </w:tc>
        <w:tc>
          <w:tcPr>
            <w:tcW w:w="9368" w:type="dxa"/>
            <w:tcBorders/>
            <w:shd w:fill="auto" w:val="clear"/>
            <w:vAlign w:val="center"/>
          </w:tcPr>
          <w:p>
            <w:pPr>
              <w:pStyle w:val="TableContents"/>
              <w:bidi w:val="0"/>
              <w:spacing w:lineRule="auto" w:line="276" w:before="0" w:after="283"/>
              <w:rPr/>
            </w:pPr>
            <w:hyperlink r:id="rId6">
              <w:r>
                <w:rPr>
                  <w:rStyle w:val="InternetLink"/>
                  <w:rFonts w:ascii="Times New Roman;serif" w:hAnsi="Times New Roman;serif"/>
                  <w:b w:val="false"/>
                  <w:i w:val="false"/>
                  <w:caps w:val="false"/>
                  <w:smallCaps w:val="false"/>
                  <w:color w:val="0000FF"/>
                  <w:sz w:val="20"/>
                  <w:u w:val="single"/>
                </w:rPr>
                <w:t>Employment Agreement between Duluth Holdings Inc. and Stephen L. Schlecht, incorporated by reference to Exhibit 10.1 of the Company’s Registration Statement on Form S-1 (File No. 333-207300), filed October 6, 2015.</w:t>
              </w:r>
            </w:hyperlink>
          </w:p>
        </w:tc>
      </w:tr>
      <w:tr>
        <w:trPr/>
        <w:tc>
          <w:tcPr>
            <w:tcW w:w="837" w:type="dxa"/>
            <w:tcBorders/>
            <w:shd w:fill="auto" w:val="clear"/>
            <w:vAlign w:val="center"/>
          </w:tcPr>
          <w:p>
            <w:pPr>
              <w:pStyle w:val="TableContents"/>
              <w:bidi w:val="0"/>
              <w:spacing w:lineRule="auto" w:line="276"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10.10+</w:t>
            </w:r>
          </w:p>
        </w:tc>
        <w:tc>
          <w:tcPr>
            <w:tcW w:w="9368" w:type="dxa"/>
            <w:tcBorders/>
            <w:shd w:fill="auto" w:val="clear"/>
            <w:vAlign w:val="center"/>
          </w:tcPr>
          <w:p>
            <w:pPr>
              <w:pStyle w:val="TableContents"/>
              <w:bidi w:val="0"/>
              <w:spacing w:lineRule="auto" w:line="276" w:before="0" w:after="283"/>
              <w:rPr/>
            </w:pPr>
            <w:hyperlink r:id="rId7">
              <w:r>
                <w:rPr>
                  <w:rStyle w:val="InternetLink"/>
                  <w:rFonts w:ascii="Times New Roman;serif" w:hAnsi="Times New Roman;serif"/>
                  <w:b w:val="false"/>
                  <w:i w:val="false"/>
                  <w:caps w:val="false"/>
                  <w:smallCaps w:val="false"/>
                  <w:color w:val="0000FF"/>
                  <w:sz w:val="20"/>
                  <w:u w:val="single"/>
                </w:rPr>
                <w:t>Summary of Outside Director Compensation Program.</w:t>
              </w:r>
            </w:hyperlink>
          </w:p>
        </w:tc>
      </w:tr>
      <w:tr>
        <w:trPr/>
        <w:tc>
          <w:tcPr>
            <w:tcW w:w="837" w:type="dxa"/>
            <w:tcBorders/>
            <w:shd w:fill="auto" w:val="clear"/>
            <w:vAlign w:val="center"/>
          </w:tcPr>
          <w:p>
            <w:pPr>
              <w:pStyle w:val="TableContents"/>
              <w:bidi w:val="0"/>
              <w:spacing w:lineRule="auto" w:line="276"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10.11+</w:t>
            </w:r>
          </w:p>
        </w:tc>
        <w:tc>
          <w:tcPr>
            <w:tcW w:w="9368" w:type="dxa"/>
            <w:tcBorders/>
            <w:shd w:fill="auto" w:val="clear"/>
            <w:vAlign w:val="center"/>
          </w:tcPr>
          <w:p>
            <w:pPr>
              <w:pStyle w:val="TableContents"/>
              <w:bidi w:val="0"/>
              <w:spacing w:lineRule="auto" w:line="276" w:before="0" w:after="283"/>
              <w:rPr/>
            </w:pPr>
            <w:hyperlink r:id="rId8">
              <w:r>
                <w:rPr>
                  <w:rStyle w:val="InternetLink"/>
                  <w:rFonts w:ascii="Times New Roman;serif" w:hAnsi="Times New Roman;serif"/>
                  <w:b w:val="false"/>
                  <w:i w:val="false"/>
                  <w:caps w:val="false"/>
                  <w:smallCaps w:val="false"/>
                  <w:color w:val="0000FF"/>
                  <w:sz w:val="20"/>
                  <w:u w:val="single"/>
                </w:rPr>
                <w:t>2015 Equity Incentive Plan of Duluth Holdings Inc., incorporated by reference to Exhibit 10.7 of the Company’s Quarterly Report on Form 10-Q, filed December 18, 2015.</w:t>
              </w:r>
            </w:hyperlink>
          </w:p>
        </w:tc>
      </w:tr>
      <w:tr>
        <w:trPr/>
        <w:tc>
          <w:tcPr>
            <w:tcW w:w="837" w:type="dxa"/>
            <w:tcBorders/>
            <w:shd w:fill="auto" w:val="clear"/>
            <w:vAlign w:val="center"/>
          </w:tcPr>
          <w:p>
            <w:pPr>
              <w:pStyle w:val="TableContents"/>
              <w:bidi w:val="0"/>
              <w:spacing w:lineRule="auto" w:line="276"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10.12+</w:t>
            </w:r>
          </w:p>
        </w:tc>
        <w:tc>
          <w:tcPr>
            <w:tcW w:w="9368" w:type="dxa"/>
            <w:tcBorders/>
            <w:shd w:fill="auto" w:val="clear"/>
            <w:vAlign w:val="center"/>
          </w:tcPr>
          <w:p>
            <w:pPr>
              <w:pStyle w:val="TableContents"/>
              <w:bidi w:val="0"/>
              <w:spacing w:lineRule="auto" w:line="276" w:before="0" w:after="283"/>
              <w:rPr/>
            </w:pPr>
            <w:hyperlink r:id="rId9">
              <w:r>
                <w:rPr>
                  <w:rStyle w:val="InternetLink"/>
                  <w:rFonts w:ascii="Times New Roman;serif" w:hAnsi="Times New Roman;serif"/>
                  <w:b w:val="false"/>
                  <w:i w:val="false"/>
                  <w:caps w:val="false"/>
                  <w:smallCaps w:val="false"/>
                  <w:color w:val="0000FF"/>
                  <w:sz w:val="20"/>
                  <w:u w:val="single"/>
                </w:rPr>
                <w:t>Form of Restricted Stock Agreement for non-employee directors under the 2015 Equity Incentive Plan, incorporated by reference to Exhibit 10.17 of the Company’s Registration Statement on Form S-1 (File No. 333-207300), filed October 6, 2015.</w:t>
              </w:r>
            </w:hyperlink>
          </w:p>
        </w:tc>
      </w:tr>
      <w:tr>
        <w:trPr/>
        <w:tc>
          <w:tcPr>
            <w:tcW w:w="837" w:type="dxa"/>
            <w:tcBorders/>
            <w:shd w:fill="auto" w:val="clear"/>
            <w:vAlign w:val="center"/>
          </w:tcPr>
          <w:p>
            <w:pPr>
              <w:pStyle w:val="TableContents"/>
              <w:bidi w:val="0"/>
              <w:spacing w:lineRule="auto" w:line="276"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10.14</w:t>
            </w:r>
          </w:p>
        </w:tc>
        <w:tc>
          <w:tcPr>
            <w:tcW w:w="9368" w:type="dxa"/>
            <w:tcBorders/>
            <w:shd w:fill="auto" w:val="clear"/>
            <w:vAlign w:val="center"/>
          </w:tcPr>
          <w:p>
            <w:pPr>
              <w:pStyle w:val="TableContents"/>
              <w:bidi w:val="0"/>
              <w:spacing w:lineRule="auto" w:line="276" w:before="0" w:after="283"/>
              <w:rPr/>
            </w:pPr>
            <w:hyperlink r:id="rId10">
              <w:r>
                <w:rPr>
                  <w:rStyle w:val="InternetLink"/>
                  <w:rFonts w:ascii="Times New Roman;serif" w:hAnsi="Times New Roman;serif"/>
                  <w:b w:val="false"/>
                  <w:i w:val="false"/>
                  <w:caps w:val="false"/>
                  <w:smallCaps w:val="false"/>
                  <w:color w:val="0000FF"/>
                  <w:sz w:val="20"/>
                  <w:u w:val="single"/>
                </w:rPr>
                <w:t>Commercial Lease between Schlecht Retail Ventures LLC and Duluth Holdings Inc., dated February 14, 2010 (100 West Main Street, Mt. Horeb, Wisconsin), incorporated by reference to Exhibit 10.19 of the Company’s Registration Statement on Form S-1 (File No. 333-207300), filed October 6, 2015.</w:t>
              </w:r>
            </w:hyperlink>
          </w:p>
        </w:tc>
      </w:tr>
      <w:tr>
        <w:trPr/>
        <w:tc>
          <w:tcPr>
            <w:tcW w:w="837" w:type="dxa"/>
            <w:tcBorders/>
            <w:shd w:fill="auto" w:val="clear"/>
            <w:vAlign w:val="center"/>
          </w:tcPr>
          <w:p>
            <w:pPr>
              <w:pStyle w:val="TableContents"/>
              <w:bidi w:val="0"/>
              <w:spacing w:lineRule="auto" w:line="276"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10.15</w:t>
            </w:r>
          </w:p>
        </w:tc>
        <w:tc>
          <w:tcPr>
            <w:tcW w:w="9368" w:type="dxa"/>
            <w:tcBorders/>
            <w:shd w:fill="auto" w:val="clear"/>
            <w:vAlign w:val="center"/>
          </w:tcPr>
          <w:p>
            <w:pPr>
              <w:pStyle w:val="TableContents"/>
              <w:bidi w:val="0"/>
              <w:spacing w:lineRule="auto" w:line="276" w:before="0" w:after="283"/>
              <w:rPr/>
            </w:pPr>
            <w:hyperlink r:id="rId11">
              <w:r>
                <w:rPr>
                  <w:rStyle w:val="InternetLink"/>
                  <w:rFonts w:ascii="Times New Roman;serif" w:hAnsi="Times New Roman;serif"/>
                  <w:b w:val="false"/>
                  <w:i w:val="false"/>
                  <w:caps w:val="false"/>
                  <w:smallCaps w:val="false"/>
                  <w:color w:val="0000FF"/>
                  <w:sz w:val="20"/>
                  <w:u w:val="single"/>
                </w:rPr>
                <w:t>Retail Space Lease between LDC-728 Milwaukee, LLC and Duluth Holdings Inc., dated January 23, 2012 (108 North Franklin Street, Port Washington, Wisconsin), incorporated by reference to Exhibit 10.20 of the Company’s Registration Statement on Form S-1 (File No. 333-207300), filed October 6, 2015.</w:t>
              </w:r>
            </w:hyperlink>
          </w:p>
        </w:tc>
      </w:tr>
      <w:tr>
        <w:trPr/>
        <w:tc>
          <w:tcPr>
            <w:tcW w:w="837" w:type="dxa"/>
            <w:tcBorders/>
            <w:shd w:fill="auto" w:val="clear"/>
            <w:vAlign w:val="center"/>
          </w:tcPr>
          <w:p>
            <w:pPr>
              <w:pStyle w:val="TableContents"/>
              <w:bidi w:val="0"/>
              <w:spacing w:lineRule="auto" w:line="276"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10.16</w:t>
            </w:r>
          </w:p>
        </w:tc>
        <w:tc>
          <w:tcPr>
            <w:tcW w:w="9368" w:type="dxa"/>
            <w:tcBorders/>
            <w:shd w:fill="auto" w:val="clear"/>
            <w:vAlign w:val="center"/>
          </w:tcPr>
          <w:p>
            <w:pPr>
              <w:pStyle w:val="TableContents"/>
              <w:bidi w:val="0"/>
              <w:spacing w:lineRule="auto" w:line="276" w:before="0" w:after="283"/>
              <w:rPr/>
            </w:pPr>
            <w:hyperlink r:id="rId12">
              <w:r>
                <w:rPr>
                  <w:rStyle w:val="InternetLink"/>
                  <w:rFonts w:ascii="Times New Roman;serif" w:hAnsi="Times New Roman;serif"/>
                  <w:b w:val="false"/>
                  <w:i w:val="false"/>
                  <w:caps w:val="false"/>
                  <w:smallCaps w:val="false"/>
                  <w:color w:val="0000FF"/>
                  <w:sz w:val="20"/>
                  <w:u w:val="single"/>
                </w:rPr>
                <w:t>First Amendment to Retail Lease between LDC-728 Milwaukee, LLC and Duluth Holdings Inc., dated January 23, 2012 (108 North Franklin Street, Port Washington, Wisconsin), incorporated by reference to Exhibit 10.21 of the Company’s Registration Statement on Form S-1 (File No. 333-207300), filed October 6, 2015.</w:t>
              </w:r>
            </w:hyperlink>
          </w:p>
        </w:tc>
      </w:tr>
      <w:tr>
        <w:trPr/>
        <w:tc>
          <w:tcPr>
            <w:tcW w:w="837" w:type="dxa"/>
            <w:tcBorders/>
            <w:shd w:fill="auto" w:val="clear"/>
            <w:vAlign w:val="center"/>
          </w:tcPr>
          <w:p>
            <w:pPr>
              <w:pStyle w:val="TableContents"/>
              <w:bidi w:val="0"/>
              <w:spacing w:lineRule="auto" w:line="276"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10.17</w:t>
            </w:r>
          </w:p>
        </w:tc>
        <w:tc>
          <w:tcPr>
            <w:tcW w:w="9368" w:type="dxa"/>
            <w:tcBorders/>
            <w:shd w:fill="auto" w:val="clear"/>
            <w:vAlign w:val="center"/>
          </w:tcPr>
          <w:p>
            <w:pPr>
              <w:pStyle w:val="TableContents"/>
              <w:bidi w:val="0"/>
              <w:spacing w:lineRule="auto" w:line="276" w:before="0" w:after="283"/>
              <w:rPr/>
            </w:pPr>
            <w:hyperlink r:id="rId13">
              <w:r>
                <w:rPr>
                  <w:rStyle w:val="InternetLink"/>
                  <w:rFonts w:ascii="Times New Roman;serif" w:hAnsi="Times New Roman;serif"/>
                  <w:b w:val="false"/>
                  <w:i w:val="false"/>
                  <w:caps w:val="false"/>
                  <w:smallCaps w:val="false"/>
                  <w:color w:val="0000FF"/>
                  <w:sz w:val="20"/>
                  <w:u w:val="single"/>
                </w:rPr>
                <w:t>Second Amendment to Retail Lease between Schlecht Port Washington LLC and Duluth Holdings Inc., dated January 23, 2012 (108 North Franklin Street, Port Washington, Wisconsin), incorporated by reference to Exhibit 10.22 of the Company’s Registration Statement on Form S-1 (File No. 333-207300), filed October 6, 2015.</w:t>
              </w:r>
            </w:hyperlink>
          </w:p>
        </w:tc>
      </w:tr>
      <w:tr>
        <w:trPr/>
        <w:tc>
          <w:tcPr>
            <w:tcW w:w="837" w:type="dxa"/>
            <w:tcBorders/>
            <w:shd w:fill="auto" w:val="clear"/>
            <w:vAlign w:val="center"/>
          </w:tcPr>
          <w:p>
            <w:pPr>
              <w:pStyle w:val="TableContents"/>
              <w:bidi w:val="0"/>
              <w:spacing w:lineRule="auto" w:line="276"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10.18</w:t>
            </w:r>
          </w:p>
        </w:tc>
        <w:tc>
          <w:tcPr>
            <w:tcW w:w="9368" w:type="dxa"/>
            <w:tcBorders/>
            <w:shd w:fill="auto" w:val="clear"/>
            <w:vAlign w:val="center"/>
          </w:tcPr>
          <w:p>
            <w:pPr>
              <w:pStyle w:val="TableContents"/>
              <w:bidi w:val="0"/>
              <w:spacing w:lineRule="auto" w:line="276" w:before="0" w:after="283"/>
              <w:rPr/>
            </w:pPr>
            <w:hyperlink r:id="rId14">
              <w:r>
                <w:rPr>
                  <w:rStyle w:val="InternetLink"/>
                  <w:rFonts w:ascii="Times New Roman;serif" w:hAnsi="Times New Roman;serif"/>
                  <w:b w:val="false"/>
                  <w:i w:val="false"/>
                  <w:caps w:val="false"/>
                  <w:smallCaps w:val="false"/>
                  <w:color w:val="0000FF"/>
                  <w:sz w:val="20"/>
                  <w:u w:val="single"/>
                </w:rPr>
                <w:t>Form of S Corporation Termination, Tax Allocation and Indemnification Agreement among Duluth Holdings Inc. and shareholders of Duluth Holdings Inc., incorporated by reference to Exhibit 10.23 of Pre-Effective Amendment No. 1 to the Company’s Registration Statement on Form S-1 (File No. 333-207300), filed October 13, 2015.</w:t>
              </w:r>
            </w:hyperlink>
          </w:p>
        </w:tc>
      </w:tr>
      <w:tr>
        <w:trPr/>
        <w:tc>
          <w:tcPr>
            <w:tcW w:w="837" w:type="dxa"/>
            <w:tcBorders/>
            <w:shd w:fill="auto" w:val="clear"/>
            <w:vAlign w:val="center"/>
          </w:tcPr>
          <w:p>
            <w:pPr>
              <w:pStyle w:val="TableContents"/>
              <w:bidi w:val="0"/>
              <w:spacing w:lineRule="auto" w:line="276"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10.19+</w:t>
            </w:r>
          </w:p>
        </w:tc>
        <w:tc>
          <w:tcPr>
            <w:tcW w:w="9368" w:type="dxa"/>
            <w:tcBorders/>
            <w:shd w:fill="auto" w:val="clear"/>
            <w:vAlign w:val="center"/>
          </w:tcPr>
          <w:p>
            <w:pPr>
              <w:pStyle w:val="TableContents"/>
              <w:bidi w:val="0"/>
              <w:spacing w:lineRule="auto" w:line="276" w:before="0" w:after="283"/>
              <w:rPr/>
            </w:pPr>
            <w:hyperlink r:id="rId15">
              <w:r>
                <w:rPr>
                  <w:rStyle w:val="InternetLink"/>
                  <w:rFonts w:ascii="Times New Roman;serif" w:hAnsi="Times New Roman;serif"/>
                  <w:b w:val="false"/>
                  <w:i w:val="false"/>
                  <w:caps w:val="false"/>
                  <w:smallCaps w:val="false"/>
                  <w:color w:val="0000FF"/>
                  <w:sz w:val="20"/>
                  <w:u w:val="single"/>
                </w:rPr>
                <w:t>Annual Incentive Plan, As Amended February 21, 2018.</w:t>
              </w:r>
            </w:hyperlink>
          </w:p>
        </w:tc>
      </w:tr>
    </w:tbl>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69</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tbl>
      <w:tblPr>
        <w:tblW w:w="10205" w:type="dxa"/>
        <w:jc w:val="left"/>
        <w:tblInd w:w="0" w:type="dxa"/>
        <w:tblCellMar>
          <w:top w:w="0" w:type="dxa"/>
          <w:left w:w="0" w:type="dxa"/>
          <w:bottom w:w="0" w:type="dxa"/>
          <w:right w:w="0" w:type="dxa"/>
        </w:tblCellMar>
      </w:tblPr>
      <w:tblGrid>
        <w:gridCol w:w="895"/>
        <w:gridCol w:w="9310"/>
      </w:tblGrid>
      <w:tr>
        <w:trPr/>
        <w:tc>
          <w:tcPr>
            <w:tcW w:w="895" w:type="dxa"/>
            <w:tcBorders/>
            <w:shd w:fill="auto" w:val="clear"/>
            <w:vAlign w:val="center"/>
          </w:tcPr>
          <w:p>
            <w:pPr>
              <w:pStyle w:val="TableContents"/>
              <w:bidi w:val="0"/>
              <w:spacing w:lineRule="auto" w:line="276"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10.20+</w:t>
            </w:r>
          </w:p>
        </w:tc>
        <w:tc>
          <w:tcPr>
            <w:tcW w:w="9310" w:type="dxa"/>
            <w:tcBorders/>
            <w:shd w:fill="auto" w:val="clear"/>
            <w:vAlign w:val="center"/>
          </w:tcPr>
          <w:p>
            <w:pPr>
              <w:pStyle w:val="TableContents"/>
              <w:bidi w:val="0"/>
              <w:spacing w:lineRule="auto" w:line="276" w:before="0" w:after="283"/>
              <w:rPr/>
            </w:pPr>
            <w:hyperlink r:id="rId16">
              <w:r>
                <w:rPr>
                  <w:rStyle w:val="InternetLink"/>
                  <w:rFonts w:ascii="Times New Roman;serif" w:hAnsi="Times New Roman;serif"/>
                  <w:b w:val="false"/>
                  <w:i w:val="false"/>
                  <w:caps w:val="false"/>
                  <w:smallCaps w:val="false"/>
                  <w:color w:val="0000FF"/>
                  <w:sz w:val="20"/>
                  <w:u w:val="single"/>
                </w:rPr>
                <w:t>Form of Restricted Stock Agreement for executives under the 2015 Equity Incentive Plan, incorporated by reference to Exhibit 10.1 of the Company’s Quarterly Report on Form 10-Q dated May 1, 2016.</w:t>
              </w:r>
            </w:hyperlink>
          </w:p>
        </w:tc>
      </w:tr>
      <w:tr>
        <w:trPr/>
        <w:tc>
          <w:tcPr>
            <w:tcW w:w="895" w:type="dxa"/>
            <w:tcBorders/>
            <w:shd w:fill="auto" w:val="clear"/>
            <w:vAlign w:val="center"/>
          </w:tcPr>
          <w:p>
            <w:pPr>
              <w:pStyle w:val="TableContents"/>
              <w:bidi w:val="0"/>
              <w:spacing w:lineRule="auto" w:line="276"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10.21+</w:t>
            </w:r>
          </w:p>
        </w:tc>
        <w:tc>
          <w:tcPr>
            <w:tcW w:w="9310" w:type="dxa"/>
            <w:tcBorders/>
            <w:shd w:fill="auto" w:val="clear"/>
            <w:vAlign w:val="center"/>
          </w:tcPr>
          <w:p>
            <w:pPr>
              <w:pStyle w:val="TableContents"/>
              <w:bidi w:val="0"/>
              <w:spacing w:lineRule="auto" w:line="276" w:before="0" w:after="283"/>
              <w:rPr/>
            </w:pPr>
            <w:hyperlink r:id="rId17">
              <w:r>
                <w:rPr>
                  <w:rStyle w:val="InternetLink"/>
                  <w:rFonts w:ascii="Times New Roman;serif" w:hAnsi="Times New Roman;serif"/>
                  <w:b w:val="false"/>
                  <w:i w:val="false"/>
                  <w:caps w:val="false"/>
                  <w:smallCaps w:val="false"/>
                  <w:color w:val="0000FF"/>
                  <w:sz w:val="20"/>
                  <w:u w:val="single"/>
                </w:rPr>
                <w:t>Offer Letter Dated July 14, 2017 by and between Dave Loretta and Duluth Holdings Inc., incorporated by reference to Exhibit 10.1 of the Company’s Current Report on Form 8-K dated July 24, 2017.</w:t>
              </w:r>
            </w:hyperlink>
          </w:p>
        </w:tc>
      </w:tr>
      <w:tr>
        <w:trPr/>
        <w:tc>
          <w:tcPr>
            <w:tcW w:w="895" w:type="dxa"/>
            <w:tcBorders/>
            <w:shd w:fill="auto" w:val="clear"/>
            <w:vAlign w:val="center"/>
          </w:tcPr>
          <w:p>
            <w:pPr>
              <w:pStyle w:val="TableContents"/>
              <w:bidi w:val="0"/>
              <w:spacing w:lineRule="auto" w:line="276"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10.22+</w:t>
            </w:r>
          </w:p>
        </w:tc>
        <w:tc>
          <w:tcPr>
            <w:tcW w:w="9310" w:type="dxa"/>
            <w:tcBorders/>
            <w:shd w:fill="auto" w:val="clear"/>
            <w:vAlign w:val="center"/>
          </w:tcPr>
          <w:p>
            <w:pPr>
              <w:pStyle w:val="TableContents"/>
              <w:bidi w:val="0"/>
              <w:spacing w:lineRule="auto" w:line="276" w:before="0" w:after="283"/>
              <w:rPr/>
            </w:pPr>
            <w:hyperlink r:id="rId18">
              <w:r>
                <w:rPr>
                  <w:rStyle w:val="InternetLink"/>
                  <w:rFonts w:ascii="Times New Roman;serif" w:hAnsi="Times New Roman;serif"/>
                  <w:b w:val="false"/>
                  <w:i w:val="false"/>
                  <w:caps w:val="false"/>
                  <w:smallCaps w:val="false"/>
                  <w:color w:val="0000FF"/>
                  <w:sz w:val="20"/>
                  <w:u w:val="single"/>
                </w:rPr>
                <w:t>Form of Restrictive Covenant Agreement, incorporated by reference to Exhibit 10.2 of the Company’s Current Report on Form 8-K dated July 24, 2017.</w:t>
              </w:r>
            </w:hyperlink>
          </w:p>
        </w:tc>
      </w:tr>
      <w:tr>
        <w:trPr/>
        <w:tc>
          <w:tcPr>
            <w:tcW w:w="895" w:type="dxa"/>
            <w:tcBorders/>
            <w:shd w:fill="auto" w:val="clear"/>
            <w:vAlign w:val="center"/>
          </w:tcPr>
          <w:p>
            <w:pPr>
              <w:pStyle w:val="TableContents"/>
              <w:bidi w:val="0"/>
              <w:spacing w:lineRule="auto" w:line="276"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10.23</w:t>
            </w:r>
          </w:p>
        </w:tc>
        <w:tc>
          <w:tcPr>
            <w:tcW w:w="9310" w:type="dxa"/>
            <w:tcBorders/>
            <w:shd w:fill="auto" w:val="clear"/>
            <w:vAlign w:val="center"/>
          </w:tcPr>
          <w:p>
            <w:pPr>
              <w:pStyle w:val="TableContents"/>
              <w:bidi w:val="0"/>
              <w:spacing w:lineRule="auto" w:line="276" w:before="0" w:after="283"/>
              <w:rPr/>
            </w:pPr>
            <w:hyperlink r:id="rId19">
              <w:r>
                <w:rPr>
                  <w:rStyle w:val="InternetLink"/>
                  <w:rFonts w:ascii="Times New Roman;serif" w:hAnsi="Times New Roman;serif"/>
                  <w:b w:val="false"/>
                  <w:i w:val="false"/>
                  <w:caps w:val="false"/>
                  <w:smallCaps w:val="false"/>
                  <w:color w:val="0000FF"/>
                  <w:sz w:val="20"/>
                  <w:u w:val="single"/>
                </w:rPr>
                <w:t>Credit Agreement, dated as of May 17, 2018, among Duluth Holdings Inc., as the borrower, BMO Harris Bank N.A., as Administrative Agent, Swingline Lender and L/C Issuer, the Other Lenders Party Thereto, and BMO Capital Markets Corp., as Sole Lead Arranger and Sole Book Runner, incorporated by reference to Exhibit 10.1 of the Company’s Current Report on Form 8-K dated May 17, 2018.</w:t>
              </w:r>
            </w:hyperlink>
          </w:p>
        </w:tc>
      </w:tr>
      <w:tr>
        <w:trPr/>
        <w:tc>
          <w:tcPr>
            <w:tcW w:w="895" w:type="dxa"/>
            <w:tcBorders/>
            <w:shd w:fill="auto" w:val="clear"/>
            <w:vAlign w:val="center"/>
          </w:tcPr>
          <w:p>
            <w:pPr>
              <w:pStyle w:val="TableContents"/>
              <w:bidi w:val="0"/>
              <w:spacing w:lineRule="auto" w:line="276"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10.24</w:t>
            </w:r>
          </w:p>
        </w:tc>
        <w:tc>
          <w:tcPr>
            <w:tcW w:w="9310" w:type="dxa"/>
            <w:tcBorders/>
            <w:shd w:fill="auto" w:val="clear"/>
            <w:vAlign w:val="center"/>
          </w:tcPr>
          <w:p>
            <w:pPr>
              <w:pStyle w:val="TableContents"/>
              <w:bidi w:val="0"/>
              <w:spacing w:lineRule="auto" w:line="276" w:before="0" w:after="283"/>
              <w:rPr/>
            </w:pPr>
            <w:hyperlink r:id="rId20">
              <w:r>
                <w:rPr>
                  <w:rStyle w:val="InternetLink"/>
                  <w:rFonts w:ascii="Times New Roman;serif" w:hAnsi="Times New Roman;serif"/>
                  <w:b w:val="false"/>
                  <w:i w:val="false"/>
                  <w:caps w:val="false"/>
                  <w:smallCaps w:val="false"/>
                  <w:color w:val="0000FF"/>
                  <w:sz w:val="20"/>
                  <w:u w:val="single"/>
                </w:rPr>
                <w:t>General Security Agreement, dated of May 17, 2018, by and between Duluth Holdings Inc. and BMO Harris Bank N.A., incorporated by reference to Exhibit 10.2 of the Company’s Current Report on Form 8-K dated May 17, 2018.</w:t>
              </w:r>
            </w:hyperlink>
          </w:p>
        </w:tc>
      </w:tr>
      <w:tr>
        <w:trPr/>
        <w:tc>
          <w:tcPr>
            <w:tcW w:w="895" w:type="dxa"/>
            <w:tcBorders/>
            <w:shd w:fill="auto" w:val="clear"/>
            <w:vAlign w:val="center"/>
          </w:tcPr>
          <w:p>
            <w:pPr>
              <w:pStyle w:val="TableContents"/>
              <w:bidi w:val="0"/>
              <w:spacing w:lineRule="auto" w:line="276"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10.25</w:t>
            </w:r>
          </w:p>
        </w:tc>
        <w:tc>
          <w:tcPr>
            <w:tcW w:w="9310" w:type="dxa"/>
            <w:tcBorders/>
            <w:shd w:fill="auto" w:val="clear"/>
            <w:vAlign w:val="center"/>
          </w:tcPr>
          <w:p>
            <w:pPr>
              <w:pStyle w:val="TableContents"/>
              <w:bidi w:val="0"/>
              <w:spacing w:lineRule="auto" w:line="276" w:before="0" w:after="283"/>
              <w:rPr/>
            </w:pPr>
            <w:hyperlink r:id="rId21">
              <w:r>
                <w:rPr>
                  <w:rStyle w:val="InternetLink"/>
                  <w:rFonts w:ascii="Times New Roman;serif" w:hAnsi="Times New Roman;serif"/>
                  <w:b w:val="false"/>
                  <w:i w:val="false"/>
                  <w:caps w:val="false"/>
                  <w:smallCaps w:val="false"/>
                  <w:color w:val="0000FF"/>
                  <w:sz w:val="20"/>
                  <w:u w:val="single"/>
                </w:rPr>
                <w:t>Amendment No. 1, dated as of April 30, 2020, to Credit Agreement, dated as of May 17, 2018, among Duluth Holdings Inc., as the borrower, BMO Harris Bank N.A., as Administrative Agent, Swingline Lender and L/C Issuer, the Other Lender party thereto, and BMO Capital Markets Corp., as Sole Lead Arranger and Sole Bookrunner, incorporated by reference to Exhibit 10.1 to the Company’s Quarterly Report on Form 10-Q filed June 5, 2020.</w:t>
              </w:r>
            </w:hyperlink>
          </w:p>
        </w:tc>
      </w:tr>
      <w:tr>
        <w:trPr/>
        <w:tc>
          <w:tcPr>
            <w:tcW w:w="895" w:type="dxa"/>
            <w:tcBorders/>
            <w:shd w:fill="auto" w:val="clear"/>
            <w:vAlign w:val="center"/>
          </w:tcPr>
          <w:p>
            <w:pPr>
              <w:pStyle w:val="TableContents"/>
              <w:bidi w:val="0"/>
              <w:spacing w:lineRule="auto" w:line="276"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23.1</w:t>
            </w:r>
          </w:p>
        </w:tc>
        <w:tc>
          <w:tcPr>
            <w:tcW w:w="9310" w:type="dxa"/>
            <w:tcBorders/>
            <w:shd w:fill="auto" w:val="clear"/>
            <w:vAlign w:val="center"/>
          </w:tcPr>
          <w:p>
            <w:pPr>
              <w:pStyle w:val="TableContents"/>
              <w:bidi w:val="0"/>
              <w:spacing w:lineRule="auto" w:line="276" w:before="0" w:after="283"/>
              <w:rPr/>
            </w:pPr>
            <w:hyperlink w:anchor="dlth-20210131xex23_1.htm">
              <w:r>
                <w:rPr>
                  <w:rStyle w:val="InternetLink"/>
                  <w:rFonts w:ascii="Times New Roman;serif" w:hAnsi="Times New Roman;serif"/>
                  <w:b w:val="false"/>
                  <w:i w:val="false"/>
                  <w:caps w:val="false"/>
                  <w:smallCaps w:val="false"/>
                  <w:color w:val="0000FF"/>
                  <w:sz w:val="20"/>
                  <w:u w:val="single"/>
                </w:rPr>
                <w:t>Consent of Independent Registered Public Accounting Firm.*</w:t>
              </w:r>
            </w:hyperlink>
          </w:p>
        </w:tc>
      </w:tr>
      <w:tr>
        <w:trPr/>
        <w:tc>
          <w:tcPr>
            <w:tcW w:w="895" w:type="dxa"/>
            <w:tcBorders/>
            <w:shd w:fill="auto" w:val="clear"/>
            <w:vAlign w:val="center"/>
          </w:tcPr>
          <w:p>
            <w:pPr>
              <w:pStyle w:val="TableContents"/>
              <w:bidi w:val="0"/>
              <w:spacing w:lineRule="auto" w:line="276"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24.1</w:t>
            </w:r>
          </w:p>
        </w:tc>
        <w:tc>
          <w:tcPr>
            <w:tcW w:w="9310" w:type="dxa"/>
            <w:tcBorders/>
            <w:shd w:fill="auto" w:val="clear"/>
            <w:vAlign w:val="center"/>
          </w:tcPr>
          <w:p>
            <w:pPr>
              <w:pStyle w:val="TableContents"/>
              <w:bidi w:val="0"/>
              <w:spacing w:lineRule="auto" w:line="276" w:before="0" w:after="283"/>
              <w:rPr/>
            </w:pPr>
            <w:hyperlink w:anchor="dlth-20210131xex24_1.htm">
              <w:r>
                <w:rPr>
                  <w:rStyle w:val="InternetLink"/>
                  <w:rFonts w:ascii="Times New Roman;serif" w:hAnsi="Times New Roman;serif"/>
                  <w:b w:val="false"/>
                  <w:i w:val="false"/>
                  <w:caps w:val="false"/>
                  <w:smallCaps w:val="false"/>
                  <w:color w:val="0000FF"/>
                  <w:sz w:val="20"/>
                  <w:u w:val="single"/>
                </w:rPr>
                <w:t>Power of Attorney*</w:t>
              </w:r>
            </w:hyperlink>
          </w:p>
        </w:tc>
      </w:tr>
      <w:tr>
        <w:trPr/>
        <w:tc>
          <w:tcPr>
            <w:tcW w:w="895" w:type="dxa"/>
            <w:tcBorders/>
            <w:shd w:fill="auto" w:val="clear"/>
            <w:vAlign w:val="center"/>
          </w:tcPr>
          <w:p>
            <w:pPr>
              <w:pStyle w:val="TableContents"/>
              <w:bidi w:val="0"/>
              <w:spacing w:lineRule="auto" w:line="276"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31.1</w:t>
            </w:r>
          </w:p>
        </w:tc>
        <w:tc>
          <w:tcPr>
            <w:tcW w:w="9310" w:type="dxa"/>
            <w:tcBorders/>
            <w:shd w:fill="auto" w:val="clear"/>
            <w:vAlign w:val="center"/>
          </w:tcPr>
          <w:p>
            <w:pPr>
              <w:pStyle w:val="TableContents"/>
              <w:bidi w:val="0"/>
              <w:spacing w:lineRule="auto" w:line="276" w:before="0" w:after="283"/>
              <w:rPr/>
            </w:pPr>
            <w:hyperlink w:anchor="dlth-20210131xex31_1.htm">
              <w:r>
                <w:rPr>
                  <w:rStyle w:val="InternetLink"/>
                  <w:rFonts w:ascii="Times New Roman;serif" w:hAnsi="Times New Roman;serif"/>
                  <w:b w:val="false"/>
                  <w:i w:val="false"/>
                  <w:caps w:val="false"/>
                  <w:smallCaps w:val="false"/>
                  <w:color w:val="0000FF"/>
                  <w:sz w:val="20"/>
                  <w:u w:val="single"/>
                </w:rPr>
                <w:t>Certification of Chief Executive Officer pursuant to Rule 13a-14(a) and Rule 15d-14(a) of the Securities and Exchange Act, as amended.*</w:t>
              </w:r>
            </w:hyperlink>
          </w:p>
        </w:tc>
      </w:tr>
      <w:tr>
        <w:trPr/>
        <w:tc>
          <w:tcPr>
            <w:tcW w:w="895" w:type="dxa"/>
            <w:tcBorders/>
            <w:shd w:fill="auto" w:val="clear"/>
            <w:vAlign w:val="center"/>
          </w:tcPr>
          <w:p>
            <w:pPr>
              <w:pStyle w:val="TableContents"/>
              <w:bidi w:val="0"/>
              <w:spacing w:lineRule="auto" w:line="276"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31.2</w:t>
            </w:r>
          </w:p>
        </w:tc>
        <w:tc>
          <w:tcPr>
            <w:tcW w:w="9310" w:type="dxa"/>
            <w:tcBorders/>
            <w:shd w:fill="auto" w:val="clear"/>
            <w:vAlign w:val="center"/>
          </w:tcPr>
          <w:p>
            <w:pPr>
              <w:pStyle w:val="TableContents"/>
              <w:bidi w:val="0"/>
              <w:spacing w:lineRule="auto" w:line="276" w:before="0" w:after="283"/>
              <w:rPr/>
            </w:pPr>
            <w:hyperlink w:anchor="dlth-20210131xex31_2.htm">
              <w:r>
                <w:rPr>
                  <w:rStyle w:val="InternetLink"/>
                  <w:rFonts w:ascii="Times New Roman;serif" w:hAnsi="Times New Roman;serif"/>
                  <w:b w:val="false"/>
                  <w:i w:val="false"/>
                  <w:caps w:val="false"/>
                  <w:smallCaps w:val="false"/>
                  <w:color w:val="0000FF"/>
                  <w:sz w:val="20"/>
                  <w:u w:val="single"/>
                </w:rPr>
                <w:t>Certification of Chief Financial Officer pursuant to Rule 13a-14(a) and Rule 15d-14(a) of the Securities and Exchange Act of 1934, as amended.*</w:t>
              </w:r>
            </w:hyperlink>
          </w:p>
        </w:tc>
      </w:tr>
      <w:tr>
        <w:trPr/>
        <w:tc>
          <w:tcPr>
            <w:tcW w:w="895" w:type="dxa"/>
            <w:tcBorders/>
            <w:shd w:fill="auto" w:val="clear"/>
            <w:vAlign w:val="center"/>
          </w:tcPr>
          <w:p>
            <w:pPr>
              <w:pStyle w:val="TableContents"/>
              <w:bidi w:val="0"/>
              <w:spacing w:lineRule="auto" w:line="276"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32.1</w:t>
            </w:r>
          </w:p>
        </w:tc>
        <w:tc>
          <w:tcPr>
            <w:tcW w:w="9310" w:type="dxa"/>
            <w:tcBorders/>
            <w:shd w:fill="auto" w:val="clear"/>
            <w:vAlign w:val="center"/>
          </w:tcPr>
          <w:p>
            <w:pPr>
              <w:pStyle w:val="TableContents"/>
              <w:bidi w:val="0"/>
              <w:spacing w:lineRule="auto" w:line="276" w:before="0" w:after="283"/>
              <w:rPr/>
            </w:pPr>
            <w:hyperlink w:anchor="dlth-20210131xex32_1.htm">
              <w:r>
                <w:rPr>
                  <w:rStyle w:val="InternetLink"/>
                  <w:rFonts w:ascii="Times New Roman;serif" w:hAnsi="Times New Roman;serif"/>
                  <w:b w:val="false"/>
                  <w:i w:val="false"/>
                  <w:caps w:val="false"/>
                  <w:smallCaps w:val="false"/>
                  <w:color w:val="0000FF"/>
                  <w:sz w:val="20"/>
                  <w:u w:val="single"/>
                </w:rPr>
                <w:t>Certification of Chief Executive Officer pursuant to 18 U.S.C. Section 1350, as adopted pursuant to Section 906 of the Sarbanes-Oxley Act of 2002.*</w:t>
              </w:r>
            </w:hyperlink>
          </w:p>
        </w:tc>
      </w:tr>
      <w:tr>
        <w:trPr/>
        <w:tc>
          <w:tcPr>
            <w:tcW w:w="895" w:type="dxa"/>
            <w:tcBorders/>
            <w:shd w:fill="auto" w:val="clear"/>
            <w:vAlign w:val="center"/>
          </w:tcPr>
          <w:p>
            <w:pPr>
              <w:pStyle w:val="TableContents"/>
              <w:bidi w:val="0"/>
              <w:spacing w:lineRule="auto" w:line="276"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32.2</w:t>
            </w:r>
          </w:p>
        </w:tc>
        <w:tc>
          <w:tcPr>
            <w:tcW w:w="9310" w:type="dxa"/>
            <w:tcBorders/>
            <w:shd w:fill="auto" w:val="clear"/>
            <w:vAlign w:val="center"/>
          </w:tcPr>
          <w:p>
            <w:pPr>
              <w:pStyle w:val="TableContents"/>
              <w:bidi w:val="0"/>
              <w:spacing w:lineRule="auto" w:line="276" w:before="0" w:after="283"/>
              <w:rPr/>
            </w:pPr>
            <w:hyperlink w:anchor="dlth-20210131xex32_2.htm">
              <w:r>
                <w:rPr>
                  <w:rStyle w:val="InternetLink"/>
                  <w:rFonts w:ascii="Times New Roman;serif" w:hAnsi="Times New Roman;serif"/>
                  <w:b w:val="false"/>
                  <w:i w:val="false"/>
                  <w:caps w:val="false"/>
                  <w:smallCaps w:val="false"/>
                  <w:color w:val="0000FF"/>
                  <w:sz w:val="20"/>
                  <w:u w:val="single"/>
                </w:rPr>
                <w:t>Certification of Chief Financial Officer pursuant to 18 U.S.C. Section 1350, as adopted pursuant to Section 906 of the Sarbanes-Oxley Act of 2002.*</w:t>
              </w:r>
            </w:hyperlink>
          </w:p>
        </w:tc>
      </w:tr>
      <w:tr>
        <w:trPr/>
        <w:tc>
          <w:tcPr>
            <w:tcW w:w="895" w:type="dxa"/>
            <w:tcBorders/>
            <w:shd w:fill="auto" w:val="clear"/>
            <w:vAlign w:val="center"/>
          </w:tcPr>
          <w:p>
            <w:pPr>
              <w:pStyle w:val="TableContents"/>
              <w:bidi w:val="0"/>
              <w:spacing w:lineRule="auto" w:line="276"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101.INS</w:t>
            </w:r>
          </w:p>
        </w:tc>
        <w:tc>
          <w:tcPr>
            <w:tcW w:w="9310" w:type="dxa"/>
            <w:tcBorders/>
            <w:shd w:fill="auto" w:val="clear"/>
            <w:vAlign w:val="center"/>
          </w:tcPr>
          <w:p>
            <w:pPr>
              <w:pStyle w:val="TableContents"/>
              <w:bidi w:val="0"/>
              <w:spacing w:lineRule="auto" w:line="276"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XBRL Instance Document**</w:t>
            </w:r>
          </w:p>
        </w:tc>
      </w:tr>
      <w:tr>
        <w:trPr/>
        <w:tc>
          <w:tcPr>
            <w:tcW w:w="895" w:type="dxa"/>
            <w:tcBorders/>
            <w:shd w:fill="auto" w:val="clear"/>
            <w:vAlign w:val="center"/>
          </w:tcPr>
          <w:p>
            <w:pPr>
              <w:pStyle w:val="TableContents"/>
              <w:bidi w:val="0"/>
              <w:spacing w:lineRule="auto" w:line="276"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101.SCH</w:t>
            </w:r>
          </w:p>
        </w:tc>
        <w:tc>
          <w:tcPr>
            <w:tcW w:w="9310" w:type="dxa"/>
            <w:tcBorders/>
            <w:shd w:fill="auto" w:val="clear"/>
            <w:vAlign w:val="center"/>
          </w:tcPr>
          <w:p>
            <w:pPr>
              <w:pStyle w:val="TableContents"/>
              <w:bidi w:val="0"/>
              <w:spacing w:lineRule="auto" w:line="276"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XBRL Taxonomy Extension Schema Document**</w:t>
            </w:r>
          </w:p>
        </w:tc>
      </w:tr>
      <w:tr>
        <w:trPr/>
        <w:tc>
          <w:tcPr>
            <w:tcW w:w="895" w:type="dxa"/>
            <w:tcBorders/>
            <w:shd w:fill="auto" w:val="clear"/>
            <w:vAlign w:val="center"/>
          </w:tcPr>
          <w:p>
            <w:pPr>
              <w:pStyle w:val="TableContents"/>
              <w:bidi w:val="0"/>
              <w:spacing w:lineRule="auto" w:line="276"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101.CAL</w:t>
            </w:r>
          </w:p>
        </w:tc>
        <w:tc>
          <w:tcPr>
            <w:tcW w:w="9310" w:type="dxa"/>
            <w:tcBorders/>
            <w:shd w:fill="auto" w:val="clear"/>
            <w:vAlign w:val="center"/>
          </w:tcPr>
          <w:p>
            <w:pPr>
              <w:pStyle w:val="TableContents"/>
              <w:bidi w:val="0"/>
              <w:spacing w:lineRule="auto" w:line="276"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XBRL Taxonomy Extension Calculation Linkbase Document**</w:t>
            </w:r>
          </w:p>
        </w:tc>
      </w:tr>
      <w:tr>
        <w:trPr/>
        <w:tc>
          <w:tcPr>
            <w:tcW w:w="895" w:type="dxa"/>
            <w:tcBorders/>
            <w:shd w:fill="auto" w:val="clear"/>
            <w:vAlign w:val="center"/>
          </w:tcPr>
          <w:p>
            <w:pPr>
              <w:pStyle w:val="TableContents"/>
              <w:bidi w:val="0"/>
              <w:spacing w:lineRule="auto" w:line="276"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101.DEF</w:t>
            </w:r>
          </w:p>
        </w:tc>
        <w:tc>
          <w:tcPr>
            <w:tcW w:w="9310" w:type="dxa"/>
            <w:tcBorders/>
            <w:shd w:fill="auto" w:val="clear"/>
            <w:vAlign w:val="center"/>
          </w:tcPr>
          <w:p>
            <w:pPr>
              <w:pStyle w:val="TableContents"/>
              <w:bidi w:val="0"/>
              <w:spacing w:lineRule="auto" w:line="276"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XBRL Taxonomy Extension Definition Document**</w:t>
            </w:r>
          </w:p>
        </w:tc>
      </w:tr>
      <w:tr>
        <w:trPr/>
        <w:tc>
          <w:tcPr>
            <w:tcW w:w="895" w:type="dxa"/>
            <w:tcBorders/>
            <w:shd w:fill="auto" w:val="clear"/>
            <w:vAlign w:val="center"/>
          </w:tcPr>
          <w:p>
            <w:pPr>
              <w:pStyle w:val="TableContents"/>
              <w:bidi w:val="0"/>
              <w:spacing w:lineRule="auto" w:line="276"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101.LAB</w:t>
            </w:r>
          </w:p>
        </w:tc>
        <w:tc>
          <w:tcPr>
            <w:tcW w:w="9310" w:type="dxa"/>
            <w:tcBorders/>
            <w:shd w:fill="auto" w:val="clear"/>
            <w:vAlign w:val="center"/>
          </w:tcPr>
          <w:p>
            <w:pPr>
              <w:pStyle w:val="TableContents"/>
              <w:bidi w:val="0"/>
              <w:spacing w:lineRule="auto" w:line="276"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XBRL Taxonomy Extension Label Linkbase Document**</w:t>
            </w:r>
          </w:p>
        </w:tc>
      </w:tr>
      <w:tr>
        <w:trPr/>
        <w:tc>
          <w:tcPr>
            <w:tcW w:w="895" w:type="dxa"/>
            <w:tcBorders/>
            <w:shd w:fill="auto" w:val="clear"/>
            <w:vAlign w:val="center"/>
          </w:tcPr>
          <w:p>
            <w:pPr>
              <w:pStyle w:val="TableContents"/>
              <w:bidi w:val="0"/>
              <w:spacing w:lineRule="auto" w:line="276"/>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101.PRE</w:t>
            </w:r>
          </w:p>
          <w:p>
            <w:pPr>
              <w:pStyle w:val="TableContents"/>
              <w:bidi w:val="0"/>
              <w:spacing w:lineRule="auto" w:line="276"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w:t>
            </w:r>
          </w:p>
        </w:tc>
        <w:tc>
          <w:tcPr>
            <w:tcW w:w="9310" w:type="dxa"/>
            <w:tcBorders/>
            <w:shd w:fill="auto" w:val="clear"/>
            <w:vAlign w:val="center"/>
          </w:tcPr>
          <w:p>
            <w:pPr>
              <w:pStyle w:val="TableContents"/>
              <w:bidi w:val="0"/>
              <w:spacing w:lineRule="auto" w:line="276"/>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XBRL Taxonomy Extension Presentation Linkbase Document**</w:t>
            </w:r>
          </w:p>
          <w:p>
            <w:pPr>
              <w:pStyle w:val="TableContents"/>
              <w:bidi w:val="0"/>
              <w:spacing w:lineRule="auto" w:line="276"/>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Cover Page interactive data file (formatted as inline XBRL and contained in Exhibit 101)</w:t>
            </w:r>
          </w:p>
          <w:p>
            <w:pPr>
              <w:pStyle w:val="TableContents"/>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Indicates a management contract or compensation plan or arrangement</w:t>
            </w:r>
          </w:p>
          <w:p>
            <w:pPr>
              <w:pStyle w:val="TableContents"/>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     Filed herewith </w:t>
            </w:r>
          </w:p>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16"/>
              </w:rPr>
              <w:t>**   In accordance with Regulation S-T, the XBRL-related information in Exhibit 101 to this Annual Report on Form 10-K shall be deemed to be “furnished” and not “filed.”</w:t>
            </w:r>
            <w:r>
              <w:rPr>
                <w:rFonts w:ascii="Times New Roman;serif" w:hAnsi="Times New Roman;serif"/>
                <w:caps w:val="false"/>
                <w:smallCaps w:val="false"/>
                <w:color w:val="000000"/>
                <w:sz w:val="20"/>
              </w:rPr>
              <w:t> </w:t>
            </w:r>
          </w:p>
        </w:tc>
      </w:tr>
      <w:tr>
        <w:trPr/>
        <w:tc>
          <w:tcPr>
            <w:tcW w:w="895" w:type="dxa"/>
            <w:tcBorders/>
            <w:shd w:fill="auto" w:val="clear"/>
            <w:vAlign w:val="center"/>
          </w:tcPr>
          <w:p>
            <w:pPr>
              <w:pStyle w:val="TableContents"/>
              <w:spacing w:before="0" w:after="283"/>
              <w:rPr>
                <w:sz w:val="4"/>
                <w:szCs w:val="4"/>
              </w:rPr>
            </w:pPr>
            <w:r>
              <w:rPr>
                <w:sz w:val="4"/>
                <w:szCs w:val="4"/>
              </w:rPr>
            </w:r>
          </w:p>
        </w:tc>
        <w:tc>
          <w:tcPr>
            <w:tcW w:w="9310" w:type="dxa"/>
            <w:tcBorders/>
            <w:shd w:fill="auto" w:val="clear"/>
            <w:vAlign w:val="center"/>
          </w:tcPr>
          <w:p>
            <w:pPr>
              <w:pStyle w:val="TableContents"/>
              <w:spacing w:before="0" w:after="283"/>
              <w:rPr>
                <w:sz w:val="4"/>
                <w:szCs w:val="4"/>
              </w:rPr>
            </w:pPr>
            <w:r>
              <w:rPr>
                <w:sz w:val="4"/>
                <w:szCs w:val="4"/>
              </w:rPr>
            </w:r>
          </w:p>
        </w:tc>
      </w:tr>
      <w:tr>
        <w:trPr/>
        <w:tc>
          <w:tcPr>
            <w:tcW w:w="895" w:type="dxa"/>
            <w:tcBorders/>
            <w:shd w:fill="auto" w:val="clear"/>
            <w:vAlign w:val="center"/>
          </w:tcPr>
          <w:p>
            <w:pPr>
              <w:pStyle w:val="TableContents"/>
              <w:spacing w:before="0" w:after="283"/>
              <w:rPr>
                <w:sz w:val="4"/>
                <w:szCs w:val="4"/>
              </w:rPr>
            </w:pPr>
            <w:r>
              <w:rPr>
                <w:sz w:val="4"/>
                <w:szCs w:val="4"/>
              </w:rPr>
            </w:r>
          </w:p>
        </w:tc>
        <w:tc>
          <w:tcPr>
            <w:tcW w:w="9310" w:type="dxa"/>
            <w:tcBorders/>
            <w:shd w:fill="auto" w:val="clear"/>
            <w:vAlign w:val="center"/>
          </w:tcPr>
          <w:p>
            <w:pPr>
              <w:pStyle w:val="TableContents"/>
              <w:spacing w:before="0" w:after="283"/>
              <w:rPr>
                <w:sz w:val="4"/>
                <w:szCs w:val="4"/>
              </w:rPr>
            </w:pPr>
            <w:r>
              <w:rPr>
                <w:sz w:val="4"/>
                <w:szCs w:val="4"/>
              </w:rPr>
            </w:r>
          </w:p>
        </w:tc>
      </w:tr>
      <w:tr>
        <w:trPr/>
        <w:tc>
          <w:tcPr>
            <w:tcW w:w="895" w:type="dxa"/>
            <w:tcBorders/>
            <w:shd w:fill="auto" w:val="clear"/>
            <w:vAlign w:val="center"/>
          </w:tcPr>
          <w:p>
            <w:pPr>
              <w:pStyle w:val="TableContents"/>
              <w:bidi w:val="0"/>
              <w:spacing w:lineRule="auto" w:line="259" w:before="0" w:after="22"/>
              <w:ind w:left="0" w:right="29" w:hanging="0"/>
              <w:jc w:val="left"/>
              <w:rPr>
                <w:rFonts w:ascii="Times New Roman;serif" w:hAnsi="Times New Roman;serif"/>
                <w:b w:val="false"/>
                <w:i w:val="false"/>
                <w:caps w:val="false"/>
                <w:smallCaps w:val="false"/>
                <w:color w:val="000000"/>
                <w:sz w:val="20"/>
              </w:rPr>
            </w:pPr>
            <w:bookmarkStart w:id="35" w:name="Item16Form10KSummary"/>
            <w:bookmarkEnd w:id="35"/>
            <w:r>
              <w:rPr>
                <w:rFonts w:ascii="Times New Roman;serif" w:hAnsi="Times New Roman;serif"/>
                <w:b w:val="false"/>
                <w:i w:val="false"/>
                <w:caps w:val="false"/>
                <w:smallCaps w:val="false"/>
                <w:color w:val="000000"/>
                <w:sz w:val="20"/>
              </w:rPr>
              <w:t>ITEM 16.</w:t>
            </w:r>
          </w:p>
        </w:tc>
        <w:tc>
          <w:tcPr>
            <w:tcW w:w="9310" w:type="dxa"/>
            <w:tcBorders/>
            <w:shd w:fill="auto" w:val="clear"/>
            <w:vAlign w:val="center"/>
          </w:tcPr>
          <w:p>
            <w:pPr>
              <w:pStyle w:val="TableContents"/>
              <w:bidi w:val="0"/>
              <w:spacing w:lineRule="auto" w:line="259" w:before="0" w:after="22"/>
              <w:ind w:left="0" w:right="29"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FORM 10-K SUMMARY</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w:t>
      </w:r>
    </w:p>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16"/>
        </w:rPr>
      </w:pPr>
      <w:bookmarkStart w:id="36" w:name="Signatures"/>
      <w:bookmarkEnd w:id="36"/>
      <w:r>
        <w:rPr>
          <w:rFonts w:ascii="Times New Roman;serif" w:hAnsi="Times New Roman;serif"/>
          <w:b w:val="false"/>
          <w:i w:val="false"/>
          <w:caps w:val="false"/>
          <w:smallCaps w:val="false"/>
          <w:sz w:val="16"/>
        </w:rPr>
        <w:t>70</w:t>
      </w:r>
    </w:p>
    <w:p>
      <w:pPr>
        <w:pStyle w:val="HorizontalLine"/>
        <w:rPr/>
      </w:pPr>
      <w:r>
        <w:rPr/>
      </w:r>
    </w:p>
    <w:p>
      <w:pPr>
        <w:pStyle w:val="TextBody"/>
        <w:bidi w:val="0"/>
        <w:spacing w:lineRule="auto" w:line="259"/>
        <w:rPr/>
      </w:pPr>
      <w:hyperlink w:anchor="TOC">
        <w:r>
          <w:rPr>
            <w:rStyle w:val="InternetLink"/>
            <w:rFonts w:ascii="Times New Roman;serif" w:hAnsi="Times New Roman;serif"/>
            <w:b w:val="false"/>
            <w:i w:val="false"/>
            <w:caps w:val="false"/>
            <w:smallCaps w:val="false"/>
            <w:strike w:val="false"/>
            <w:dstrike w:val="false"/>
            <w:color w:val="0000FF"/>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Signatures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59"/>
        <w:rPr>
          <w:caps w:val="false"/>
          <w:smallCaps w:val="false"/>
          <w:color w:val="000000"/>
        </w:rPr>
      </w:pPr>
      <w:r>
        <w:rPr>
          <w:caps w:val="false"/>
          <w:smallCaps w:val="false"/>
          <w:color w:val="000000"/>
        </w:rPr>
        <w:t> </w:t>
      </w:r>
    </w:p>
    <w:tbl>
      <w:tblPr>
        <w:tblW w:w="4887" w:type="dxa"/>
        <w:jc w:val="left"/>
        <w:tblInd w:w="0" w:type="dxa"/>
        <w:tblCellMar>
          <w:top w:w="0" w:type="dxa"/>
          <w:left w:w="0" w:type="dxa"/>
          <w:bottom w:w="0" w:type="dxa"/>
          <w:right w:w="0" w:type="dxa"/>
        </w:tblCellMar>
      </w:tblPr>
      <w:tblGrid>
        <w:gridCol w:w="421"/>
        <w:gridCol w:w="146"/>
        <w:gridCol w:w="4320"/>
      </w:tblGrid>
      <w:tr>
        <w:trPr/>
        <w:tc>
          <w:tcPr>
            <w:tcW w:w="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20" w:type="dxa"/>
            <w:tcBorders/>
            <w:shd w:fill="auto" w:val="clear"/>
            <w:vAlign w:val="center"/>
          </w:tcPr>
          <w:p>
            <w:pPr>
              <w:pStyle w:val="TableContents"/>
              <w:spacing w:before="0" w:after="283"/>
              <w:rPr>
                <w:sz w:val="4"/>
                <w:szCs w:val="4"/>
              </w:rPr>
            </w:pPr>
            <w:r>
              <w:rPr>
                <w:sz w:val="4"/>
                <w:szCs w:val="4"/>
              </w:rPr>
            </w:r>
          </w:p>
        </w:tc>
      </w:tr>
      <w:tr>
        <w:trPr/>
        <w:tc>
          <w:tcPr>
            <w:tcW w:w="4887" w:type="dxa"/>
            <w:gridSpan w:val="3"/>
            <w:tcBorders/>
            <w:shd w:fill="auto" w:val="clear"/>
            <w:vAlign w:val="center"/>
          </w:tcPr>
          <w:p>
            <w:pPr>
              <w:pStyle w:val="TableContents"/>
              <w:bidi w:val="0"/>
              <w:spacing w:lineRule="auto" w:line="259" w:before="0" w:after="22"/>
              <w:ind w:left="72" w:right="29"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DULUTH HOLDINGS INC.</w:t>
            </w:r>
          </w:p>
        </w:tc>
      </w:tr>
      <w:tr>
        <w:trPr/>
        <w:tc>
          <w:tcPr>
            <w:tcW w:w="421" w:type="dxa"/>
            <w:tcBorders/>
            <w:shd w:fill="auto" w:val="clear"/>
            <w:vAlign w:val="center"/>
          </w:tcPr>
          <w:p>
            <w:pPr>
              <w:pStyle w:val="TableContents"/>
              <w:bidi w:val="0"/>
              <w:spacing w:lineRule="auto" w:line="259" w:before="0" w:after="22"/>
              <w:ind w:left="72" w:right="29" w:hanging="0"/>
              <w:jc w:val="left"/>
              <w:rPr>
                <w:caps w:val="false"/>
                <w:smallCaps w:val="false"/>
                <w:color w:val="000000"/>
              </w:rPr>
            </w:pPr>
            <w:r>
              <w:rPr>
                <w:caps w:val="false"/>
                <w:smallCaps w:val="false"/>
                <w:color w:val="000000"/>
              </w:rPr>
              <w:t> </w:t>
            </w:r>
          </w:p>
        </w:tc>
        <w:tc>
          <w:tcPr>
            <w:tcW w:w="4466" w:type="dxa"/>
            <w:gridSpan w:val="2"/>
            <w:tcBorders/>
            <w:shd w:fill="auto" w:val="clear"/>
            <w:vAlign w:val="center"/>
          </w:tcPr>
          <w:p>
            <w:pPr>
              <w:pStyle w:val="TableContents"/>
              <w:bidi w:val="0"/>
              <w:spacing w:lineRule="auto" w:line="259" w:before="0" w:after="22"/>
              <w:ind w:left="72" w:right="29" w:hanging="0"/>
              <w:jc w:val="left"/>
              <w:rPr>
                <w:caps w:val="false"/>
                <w:smallCaps w:val="false"/>
                <w:color w:val="000000"/>
              </w:rPr>
            </w:pPr>
            <w:r>
              <w:rPr>
                <w:caps w:val="false"/>
                <w:smallCaps w:val="false"/>
                <w:color w:val="000000"/>
              </w:rPr>
              <w:t> </w:t>
            </w:r>
          </w:p>
        </w:tc>
      </w:tr>
      <w:tr>
        <w:trPr/>
        <w:tc>
          <w:tcPr>
            <w:tcW w:w="42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By:</w:t>
            </w:r>
          </w:p>
        </w:tc>
        <w:tc>
          <w:tcPr>
            <w:tcW w:w="146" w:type="dxa"/>
            <w:tcBorders>
              <w:bottom w:val="single" w:sz="8" w:space="0" w:color="000000"/>
            </w:tcBorders>
            <w:shd w:fill="auto" w:val="clear"/>
            <w:tcMar>
              <w:bottom w:w="28" w:type="dxa"/>
            </w:tcMar>
            <w:vAlign w:val="center"/>
          </w:tcPr>
          <w:p>
            <w:pPr>
              <w:pStyle w:val="TableContents"/>
              <w:bidi w:val="0"/>
              <w:spacing w:lineRule="auto" w:line="259" w:before="0" w:after="283"/>
              <w:rPr>
                <w:caps w:val="false"/>
                <w:smallCaps w:val="false"/>
              </w:rPr>
            </w:pPr>
            <w:r>
              <w:rPr>
                <w:caps w:val="false"/>
                <w:smallCaps w:val="false"/>
              </w:rPr>
              <w:t> </w:t>
            </w:r>
          </w:p>
        </w:tc>
        <w:tc>
          <w:tcPr>
            <w:tcW w:w="4320"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sz w:val="20"/>
              </w:rPr>
            </w:pPr>
            <w:r>
              <w:rPr>
                <w:rFonts w:ascii="Times New Roman;serif" w:hAnsi="Times New Roman;serif"/>
                <w:b w:val="false"/>
                <w:i/>
                <w:sz w:val="20"/>
              </w:rPr>
              <w:t>/s/ Stephen L. Schlecht</w:t>
            </w:r>
          </w:p>
        </w:tc>
      </w:tr>
      <w:tr>
        <w:trPr/>
        <w:tc>
          <w:tcPr>
            <w:tcW w:w="421" w:type="dxa"/>
            <w:tcBorders>
              <w:top w:val="single" w:sz="8" w:space="0" w:color="000000"/>
            </w:tcBorders>
            <w:shd w:fill="auto" w:val="clear"/>
            <w:tcMar>
              <w:top w:w="28" w:type="dxa"/>
            </w:tcMar>
            <w:vAlign w:val="center"/>
          </w:tcPr>
          <w:p>
            <w:pPr>
              <w:pStyle w:val="TableContents"/>
              <w:spacing w:before="0" w:after="283"/>
              <w:ind w:left="72" w:right="29" w:hanging="0"/>
              <w:rPr>
                <w:sz w:val="4"/>
                <w:szCs w:val="4"/>
              </w:rPr>
            </w:pPr>
            <w:r>
              <w:rPr>
                <w:sz w:val="4"/>
                <w:szCs w:val="4"/>
              </w:rPr>
            </w:r>
          </w:p>
        </w:tc>
        <w:tc>
          <w:tcPr>
            <w:tcW w:w="146" w:type="dxa"/>
            <w:tcBorders>
              <w:top w:val="single" w:sz="8" w:space="0" w:color="000000"/>
            </w:tcBorders>
            <w:shd w:fill="auto" w:val="clear"/>
            <w:tcMar>
              <w:top w:w="28" w:type="dxa"/>
            </w:tcMar>
            <w:vAlign w:val="center"/>
          </w:tcPr>
          <w:p>
            <w:pPr>
              <w:pStyle w:val="TableContents"/>
              <w:spacing w:before="0" w:after="283"/>
              <w:ind w:left="72" w:right="29" w:hanging="0"/>
              <w:rPr>
                <w:sz w:val="4"/>
                <w:szCs w:val="4"/>
              </w:rPr>
            </w:pPr>
            <w:r>
              <w:rPr>
                <w:sz w:val="4"/>
                <w:szCs w:val="4"/>
              </w:rPr>
            </w:r>
          </w:p>
        </w:tc>
        <w:tc>
          <w:tcPr>
            <w:tcW w:w="4320" w:type="dxa"/>
            <w:tcBorders>
              <w:top w:val="single" w:sz="8" w:space="0" w:color="000000"/>
            </w:tcBorders>
            <w:shd w:fill="auto" w:val="clear"/>
            <w:tcMar>
              <w:top w:w="28" w:type="dxa"/>
            </w:tcMar>
            <w:vAlign w:val="center"/>
          </w:tcPr>
          <w:p>
            <w:pPr>
              <w:pStyle w:val="TableContents"/>
              <w:bidi w:val="0"/>
              <w:spacing w:lineRule="auto" w:line="259" w:before="0" w:after="22"/>
              <w:ind w:left="72" w:right="29" w:hanging="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Stephen L. Schlecht</w:t>
            </w:r>
          </w:p>
        </w:tc>
      </w:tr>
      <w:tr>
        <w:trPr/>
        <w:tc>
          <w:tcPr>
            <w:tcW w:w="421" w:type="dxa"/>
            <w:tcBorders/>
            <w:shd w:fill="auto" w:val="clear"/>
            <w:vAlign w:val="center"/>
          </w:tcPr>
          <w:p>
            <w:pPr>
              <w:pStyle w:val="TableContents"/>
              <w:spacing w:before="0" w:after="283"/>
              <w:ind w:left="72" w:right="29" w:hanging="0"/>
              <w:rPr>
                <w:sz w:val="4"/>
                <w:szCs w:val="4"/>
              </w:rPr>
            </w:pPr>
            <w:r>
              <w:rPr>
                <w:sz w:val="4"/>
                <w:szCs w:val="4"/>
              </w:rPr>
            </w:r>
          </w:p>
        </w:tc>
        <w:tc>
          <w:tcPr>
            <w:tcW w:w="146" w:type="dxa"/>
            <w:tcBorders/>
            <w:shd w:fill="auto" w:val="clear"/>
            <w:vAlign w:val="center"/>
          </w:tcPr>
          <w:p>
            <w:pPr>
              <w:pStyle w:val="TableContents"/>
              <w:spacing w:before="0" w:after="283"/>
              <w:ind w:left="72" w:right="29" w:hanging="0"/>
              <w:rPr>
                <w:sz w:val="4"/>
                <w:szCs w:val="4"/>
              </w:rPr>
            </w:pPr>
            <w:r>
              <w:rPr>
                <w:sz w:val="4"/>
                <w:szCs w:val="4"/>
              </w:rPr>
            </w:r>
          </w:p>
        </w:tc>
        <w:tc>
          <w:tcPr>
            <w:tcW w:w="4320" w:type="dxa"/>
            <w:tcBorders/>
            <w:shd w:fill="auto" w:val="clear"/>
            <w:vAlign w:val="center"/>
          </w:tcPr>
          <w:p>
            <w:pPr>
              <w:pStyle w:val="TableContents"/>
              <w:bidi w:val="0"/>
              <w:spacing w:lineRule="auto" w:line="259" w:before="0" w:after="22"/>
              <w:ind w:left="72" w:right="29" w:hanging="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Executive Chairman and Chief Executive Officer</w:t>
            </w:r>
          </w:p>
        </w:tc>
      </w:tr>
      <w:tr>
        <w:trPr/>
        <w:tc>
          <w:tcPr>
            <w:tcW w:w="4887" w:type="dxa"/>
            <w:gridSpan w:val="3"/>
            <w:tcBorders/>
            <w:shd w:fill="auto" w:val="clear"/>
            <w:vAlign w:val="center"/>
          </w:tcPr>
          <w:p>
            <w:pPr>
              <w:pStyle w:val="TableContents"/>
              <w:spacing w:before="0" w:after="283"/>
              <w:rPr>
                <w:sz w:val="4"/>
                <w:szCs w:val="4"/>
              </w:rPr>
            </w:pPr>
            <w:r>
              <w:rPr>
                <w:sz w:val="4"/>
                <w:szCs w:val="4"/>
              </w:rPr>
            </w:r>
          </w:p>
        </w:tc>
      </w:tr>
    </w:tbl>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DATE: March 26, 2021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Pursuant to </w:t>
      </w:r>
      <w:r>
        <w:rPr>
          <w:rFonts w:ascii="Times New Roman;serif" w:hAnsi="Times New Roman;serif"/>
          <w:b w:val="false"/>
          <w:i w:val="false"/>
          <w:caps w:val="false"/>
          <w:smallCaps w:val="false"/>
          <w:sz w:val="20"/>
        </w:rPr>
        <w:t>the</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requirements of the Securities Exchange Act of 1934, this report has been signed below by the following persons on behalf of the registrant and in the capacities indicated and on the dates indicated.</w:t>
      </w:r>
    </w:p>
    <w:p>
      <w:pPr>
        <w:pStyle w:val="TextBody"/>
        <w:bidi w:val="0"/>
        <w:spacing w:lineRule="auto" w:line="259"/>
        <w:rPr>
          <w:caps w:val="false"/>
          <w:smallCaps w:val="false"/>
          <w:color w:val="000000"/>
        </w:rPr>
      </w:pPr>
      <w:r>
        <w:rPr>
          <w:caps w:val="false"/>
          <w:smallCaps w:val="false"/>
          <w:color w:val="000000"/>
        </w:rPr>
        <w:t> </w:t>
      </w:r>
    </w:p>
    <w:tbl>
      <w:tblPr>
        <w:tblW w:w="6018" w:type="dxa"/>
        <w:jc w:val="left"/>
        <w:tblInd w:w="0" w:type="dxa"/>
        <w:tblCellMar>
          <w:top w:w="0" w:type="dxa"/>
          <w:left w:w="0" w:type="dxa"/>
          <w:bottom w:w="0" w:type="dxa"/>
          <w:right w:w="0" w:type="dxa"/>
        </w:tblCellMar>
      </w:tblPr>
      <w:tblGrid>
        <w:gridCol w:w="2011"/>
        <w:gridCol w:w="2566"/>
        <w:gridCol w:w="1441"/>
      </w:tblGrid>
      <w:tr>
        <w:trPr/>
        <w:tc>
          <w:tcPr>
            <w:tcW w:w="2011" w:type="dxa"/>
            <w:tcBorders/>
            <w:shd w:fill="auto" w:val="clear"/>
            <w:vAlign w:val="center"/>
          </w:tcPr>
          <w:p>
            <w:pPr>
              <w:pStyle w:val="TableContents"/>
              <w:spacing w:before="0" w:after="283"/>
              <w:rPr>
                <w:sz w:val="4"/>
                <w:szCs w:val="4"/>
              </w:rPr>
            </w:pPr>
            <w:r>
              <w:rPr>
                <w:sz w:val="4"/>
                <w:szCs w:val="4"/>
              </w:rPr>
            </w:r>
          </w:p>
        </w:tc>
        <w:tc>
          <w:tcPr>
            <w:tcW w:w="2566"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r>
      <w:tr>
        <w:trPr/>
        <w:tc>
          <w:tcPr>
            <w:tcW w:w="2011" w:type="dxa"/>
            <w:tcBorders/>
            <w:shd w:fill="auto" w:val="clear"/>
            <w:vAlign w:val="center"/>
          </w:tcPr>
          <w:p>
            <w:pPr>
              <w:pStyle w:val="TableContents"/>
              <w:bidi w:val="0"/>
              <w:spacing w:lineRule="auto" w:line="259" w:before="0" w:after="283"/>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Name</w:t>
            </w:r>
          </w:p>
        </w:tc>
        <w:tc>
          <w:tcPr>
            <w:tcW w:w="2566" w:type="dxa"/>
            <w:tcBorders/>
            <w:shd w:fill="auto" w:val="clear"/>
            <w:vAlign w:val="center"/>
          </w:tcPr>
          <w:p>
            <w:pPr>
              <w:pStyle w:val="TableContents"/>
              <w:bidi w:val="0"/>
              <w:spacing w:lineRule="auto" w:line="259" w:before="0" w:after="283"/>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Title</w:t>
            </w:r>
          </w:p>
        </w:tc>
        <w:tc>
          <w:tcPr>
            <w:tcW w:w="1441" w:type="dxa"/>
            <w:tcBorders/>
            <w:shd w:fill="auto" w:val="clear"/>
            <w:vAlign w:val="center"/>
          </w:tcPr>
          <w:p>
            <w:pPr>
              <w:pStyle w:val="TableContents"/>
              <w:bidi w:val="0"/>
              <w:spacing w:lineRule="auto" w:line="259" w:before="0" w:after="283"/>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Date</w:t>
            </w:r>
          </w:p>
        </w:tc>
      </w:tr>
      <w:tr>
        <w:trPr/>
        <w:tc>
          <w:tcPr>
            <w:tcW w:w="2011" w:type="dxa"/>
            <w:tcBorders/>
            <w:shd w:fill="auto" w:val="clear"/>
            <w:vAlign w:val="center"/>
          </w:tcPr>
          <w:p>
            <w:pPr>
              <w:pStyle w:val="TableContents"/>
              <w:bidi w:val="0"/>
              <w:spacing w:lineRule="auto" w:line="259"/>
              <w:rPr>
                <w:rFonts w:ascii="Times New Roman;serif" w:hAnsi="Times New Roman;serif"/>
                <w:b w:val="false"/>
                <w:i/>
                <w:sz w:val="20"/>
                <w:u w:val="single"/>
              </w:rPr>
            </w:pPr>
            <w:r>
              <w:rPr>
                <w:rFonts w:ascii="Times New Roman;serif" w:hAnsi="Times New Roman;serif"/>
                <w:b w:val="false"/>
                <w:i/>
                <w:sz w:val="20"/>
                <w:u w:val="single"/>
              </w:rPr>
              <w:t xml:space="preserve">/s/ Stephen L. Schlecht </w:t>
            </w:r>
          </w:p>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Stephen L. Schlecht</w:t>
            </w:r>
          </w:p>
        </w:tc>
        <w:tc>
          <w:tcPr>
            <w:tcW w:w="2566" w:type="dxa"/>
            <w:tcBorders/>
            <w:shd w:fill="auto" w:val="clear"/>
            <w:vAlign w:val="center"/>
          </w:tcPr>
          <w:p>
            <w:pPr>
              <w:pStyle w:val="TableContents"/>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Executive Chairman and </w:t>
            </w:r>
          </w:p>
          <w:p>
            <w:pPr>
              <w:pStyle w:val="TableContents"/>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Chief Executive Officer</w:t>
            </w:r>
          </w:p>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(Principal Executive Officer)</w:t>
            </w:r>
          </w:p>
        </w:tc>
        <w:tc>
          <w:tcPr>
            <w:tcW w:w="144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26, 2021</w:t>
            </w:r>
          </w:p>
        </w:tc>
      </w:tr>
      <w:tr>
        <w:trPr/>
        <w:tc>
          <w:tcPr>
            <w:tcW w:w="2011" w:type="dxa"/>
            <w:tcBorders/>
            <w:shd w:fill="auto" w:val="clear"/>
            <w:vAlign w:val="center"/>
          </w:tcPr>
          <w:p>
            <w:pPr>
              <w:pStyle w:val="TableContents"/>
              <w:bidi w:val="0"/>
              <w:spacing w:lineRule="auto" w:line="259"/>
              <w:rPr>
                <w:rFonts w:ascii="Times New Roman;serif" w:hAnsi="Times New Roman;serif"/>
                <w:b w:val="false"/>
                <w:i/>
                <w:sz w:val="20"/>
                <w:u w:val="single"/>
              </w:rPr>
            </w:pPr>
            <w:r>
              <w:rPr>
                <w:rFonts w:ascii="Times New Roman;serif" w:hAnsi="Times New Roman;serif"/>
                <w:b w:val="false"/>
                <w:i/>
                <w:sz w:val="20"/>
                <w:u w:val="single"/>
              </w:rPr>
              <w:t xml:space="preserve">/s/ David Loretta </w:t>
            </w:r>
          </w:p>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David Loretta</w:t>
            </w:r>
          </w:p>
        </w:tc>
        <w:tc>
          <w:tcPr>
            <w:tcW w:w="2566" w:type="dxa"/>
            <w:tcBorders/>
            <w:shd w:fill="auto" w:val="clear"/>
            <w:vAlign w:val="center"/>
          </w:tcPr>
          <w:p>
            <w:pPr>
              <w:pStyle w:val="TableContents"/>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Senior Vice President and </w:t>
            </w:r>
          </w:p>
          <w:p>
            <w:pPr>
              <w:pStyle w:val="TableContents"/>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Chief Financial Officer</w:t>
            </w:r>
          </w:p>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(Principal Financial Officer)</w:t>
            </w:r>
          </w:p>
        </w:tc>
        <w:tc>
          <w:tcPr>
            <w:tcW w:w="144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26, 2021</w:t>
            </w:r>
          </w:p>
        </w:tc>
      </w:tr>
      <w:tr>
        <w:trPr/>
        <w:tc>
          <w:tcPr>
            <w:tcW w:w="2011" w:type="dxa"/>
            <w:tcBorders/>
            <w:shd w:fill="auto" w:val="clear"/>
            <w:vAlign w:val="center"/>
          </w:tcPr>
          <w:p>
            <w:pPr>
              <w:pStyle w:val="TableContents"/>
              <w:bidi w:val="0"/>
              <w:spacing w:lineRule="auto" w:line="259"/>
              <w:rPr>
                <w:rFonts w:ascii="Times New Roman;serif" w:hAnsi="Times New Roman;serif"/>
                <w:b w:val="false"/>
                <w:i/>
                <w:sz w:val="20"/>
                <w:u w:val="single"/>
              </w:rPr>
            </w:pPr>
            <w:r>
              <w:rPr>
                <w:rFonts w:ascii="Times New Roman;serif" w:hAnsi="Times New Roman;serif"/>
                <w:b w:val="false"/>
                <w:i/>
                <w:sz w:val="20"/>
                <w:u w:val="single"/>
              </w:rPr>
              <w:t xml:space="preserve">/s/ Michael Murphy </w:t>
            </w:r>
          </w:p>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Michael Murphy</w:t>
            </w:r>
          </w:p>
        </w:tc>
        <w:tc>
          <w:tcPr>
            <w:tcW w:w="2566" w:type="dxa"/>
            <w:tcBorders/>
            <w:shd w:fill="auto" w:val="clear"/>
            <w:vAlign w:val="center"/>
          </w:tcPr>
          <w:p>
            <w:pPr>
              <w:pStyle w:val="TableContents"/>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Vice President and </w:t>
            </w:r>
          </w:p>
          <w:p>
            <w:pPr>
              <w:pStyle w:val="TableContents"/>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Chief Accounting Officer</w:t>
            </w:r>
          </w:p>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(Principal Accounting Officer)</w:t>
            </w:r>
          </w:p>
        </w:tc>
        <w:tc>
          <w:tcPr>
            <w:tcW w:w="144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26, 2021</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 xml:space="preserve">Directors: </w:t>
      </w:r>
      <w:r>
        <w:rPr>
          <w:rFonts w:ascii="Times New Roman;serif" w:hAnsi="Times New Roman;serif"/>
          <w:b w:val="false"/>
          <w:i w:val="false"/>
          <w:caps w:val="false"/>
          <w:smallCaps w:val="false"/>
          <w:sz w:val="20"/>
        </w:rPr>
        <w:t>Stephen L. Schlecht, E. David Coolidge III, Francesca M. Edwardson, Thomas G. Folliard, David C. Finch, Brenda I. Morris and Scott K. Williams.</w:t>
      </w:r>
    </w:p>
    <w:tbl>
      <w:tblPr>
        <w:tblW w:w="7450" w:type="dxa"/>
        <w:jc w:val="center"/>
        <w:tblInd w:w="0" w:type="dxa"/>
        <w:tblCellMar>
          <w:top w:w="0" w:type="dxa"/>
          <w:left w:w="0" w:type="dxa"/>
          <w:bottom w:w="0" w:type="dxa"/>
          <w:right w:w="0" w:type="dxa"/>
        </w:tblCellMar>
      </w:tblPr>
      <w:tblGrid>
        <w:gridCol w:w="161"/>
        <w:gridCol w:w="800"/>
        <w:gridCol w:w="3076"/>
        <w:gridCol w:w="287"/>
        <w:gridCol w:w="287"/>
        <w:gridCol w:w="2839"/>
      </w:tblGrid>
      <w:tr>
        <w:trPr/>
        <w:tc>
          <w:tcPr>
            <w:tcW w:w="161"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307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39"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307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39"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bidi w:val="0"/>
              <w:spacing w:lineRule="auto" w:line="259" w:before="0" w:after="283"/>
              <w:rPr>
                <w:caps w:val="false"/>
                <w:smallCaps w:val="false"/>
              </w:rPr>
            </w:pPr>
            <w:r>
              <w:rPr>
                <w:caps w:val="false"/>
                <w:smallCaps w:val="false"/>
              </w:rPr>
              <w:t> </w:t>
            </w:r>
          </w:p>
        </w:tc>
        <w:tc>
          <w:tcPr>
            <w:tcW w:w="800"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By:</w:t>
            </w:r>
          </w:p>
        </w:tc>
        <w:tc>
          <w:tcPr>
            <w:tcW w:w="307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sz w:val="20"/>
              </w:rPr>
            </w:pPr>
            <w:r>
              <w:rPr>
                <w:rFonts w:ascii="Times New Roman;serif" w:hAnsi="Times New Roman;serif"/>
                <w:b w:val="false"/>
                <w:i/>
                <w:sz w:val="20"/>
              </w:rPr>
              <w:t>/s/ Dave Loretta</w:t>
            </w:r>
          </w:p>
        </w:tc>
        <w:tc>
          <w:tcPr>
            <w:tcW w:w="287" w:type="dxa"/>
            <w:tcBorders/>
            <w:shd w:fill="auto" w:val="clear"/>
            <w:vAlign w:val="center"/>
          </w:tcPr>
          <w:p>
            <w:pPr>
              <w:pStyle w:val="TableContents"/>
              <w:bidi w:val="0"/>
              <w:spacing w:lineRule="auto" w:line="259" w:before="0" w:after="283"/>
              <w:rPr>
                <w:caps w:val="false"/>
                <w:smallCaps w:val="false"/>
              </w:rPr>
            </w:pPr>
            <w:r>
              <w:rPr>
                <w:caps w:val="false"/>
                <w:smallCaps w:val="false"/>
              </w:rPr>
              <w:t> </w:t>
            </w:r>
          </w:p>
        </w:tc>
        <w:tc>
          <w:tcPr>
            <w:tcW w:w="287" w:type="dxa"/>
            <w:tcBorders/>
            <w:shd w:fill="auto" w:val="clear"/>
            <w:vAlign w:val="center"/>
          </w:tcPr>
          <w:p>
            <w:pPr>
              <w:pStyle w:val="TableContents"/>
              <w:bidi w:val="0"/>
              <w:spacing w:lineRule="auto" w:line="259" w:before="0" w:after="283"/>
              <w:rPr>
                <w:caps w:val="false"/>
                <w:smallCaps w:val="false"/>
              </w:rPr>
            </w:pPr>
            <w:r>
              <w:rPr>
                <w:caps w:val="false"/>
                <w:smallCaps w:val="false"/>
              </w:rPr>
              <w:t> </w:t>
            </w:r>
          </w:p>
        </w:tc>
        <w:tc>
          <w:tcPr>
            <w:tcW w:w="2839"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26, 2021</w:t>
            </w:r>
          </w:p>
        </w:tc>
      </w:tr>
      <w:tr>
        <w:trPr/>
        <w:tc>
          <w:tcPr>
            <w:tcW w:w="161" w:type="dxa"/>
            <w:tcBorders/>
            <w:shd w:fill="auto" w:val="clear"/>
            <w:vAlign w:val="center"/>
          </w:tcPr>
          <w:p>
            <w:pPr>
              <w:pStyle w:val="TableContents"/>
              <w:bidi w:val="0"/>
              <w:spacing w:lineRule="auto" w:line="259" w:before="0" w:after="283"/>
              <w:rPr>
                <w:caps w:val="false"/>
                <w:smallCaps w:val="false"/>
              </w:rPr>
            </w:pPr>
            <w:r>
              <w:rPr>
                <w:caps w:val="false"/>
                <w:smallCaps w:val="false"/>
              </w:rPr>
              <w:t> </w:t>
            </w:r>
          </w:p>
        </w:tc>
        <w:tc>
          <w:tcPr>
            <w:tcW w:w="800" w:type="dxa"/>
            <w:tcBorders/>
            <w:shd w:fill="auto" w:val="clear"/>
            <w:vAlign w:val="center"/>
          </w:tcPr>
          <w:p>
            <w:pPr>
              <w:pStyle w:val="TableContents"/>
              <w:bidi w:val="0"/>
              <w:spacing w:lineRule="auto" w:line="259" w:before="0" w:after="283"/>
              <w:rPr>
                <w:caps w:val="false"/>
                <w:smallCaps w:val="false"/>
              </w:rPr>
            </w:pPr>
            <w:r>
              <w:rPr>
                <w:caps w:val="false"/>
                <w:smallCaps w:val="false"/>
              </w:rPr>
              <w:t> </w:t>
            </w:r>
          </w:p>
        </w:tc>
        <w:tc>
          <w:tcPr>
            <w:tcW w:w="3076" w:type="dxa"/>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David Loretta</w:t>
            </w:r>
          </w:p>
        </w:tc>
        <w:tc>
          <w:tcPr>
            <w:tcW w:w="287" w:type="dxa"/>
            <w:tcBorders/>
            <w:shd w:fill="auto" w:val="clear"/>
            <w:vAlign w:val="center"/>
          </w:tcPr>
          <w:p>
            <w:pPr>
              <w:pStyle w:val="TableContents"/>
              <w:bidi w:val="0"/>
              <w:spacing w:lineRule="auto" w:line="259" w:before="0" w:after="283"/>
              <w:rPr>
                <w:caps w:val="false"/>
                <w:smallCaps w:val="false"/>
              </w:rPr>
            </w:pPr>
            <w:r>
              <w:rPr>
                <w:caps w:val="false"/>
                <w:smallCaps w:val="false"/>
              </w:rPr>
              <w:t> </w:t>
            </w:r>
          </w:p>
        </w:tc>
        <w:tc>
          <w:tcPr>
            <w:tcW w:w="287" w:type="dxa"/>
            <w:tcBorders/>
            <w:shd w:fill="auto" w:val="clear"/>
            <w:vAlign w:val="center"/>
          </w:tcPr>
          <w:p>
            <w:pPr>
              <w:pStyle w:val="TableContents"/>
              <w:bidi w:val="0"/>
              <w:spacing w:lineRule="auto" w:line="259" w:before="0" w:after="283"/>
              <w:rPr>
                <w:caps w:val="false"/>
                <w:smallCaps w:val="false"/>
              </w:rPr>
            </w:pPr>
            <w:r>
              <w:rPr>
                <w:caps w:val="false"/>
                <w:smallCaps w:val="false"/>
              </w:rPr>
              <w:t> </w:t>
            </w:r>
          </w:p>
        </w:tc>
        <w:tc>
          <w:tcPr>
            <w:tcW w:w="2839" w:type="dxa"/>
            <w:tcBorders/>
            <w:shd w:fill="auto" w:val="clear"/>
            <w:vAlign w:val="center"/>
          </w:tcPr>
          <w:p>
            <w:pPr>
              <w:pStyle w:val="TableContents"/>
              <w:bidi w:val="0"/>
              <w:spacing w:lineRule="auto" w:line="259" w:before="0" w:after="283"/>
              <w:rPr>
                <w:caps w:val="false"/>
                <w:smallCaps w:val="false"/>
              </w:rPr>
            </w:pPr>
            <w:r>
              <w:rPr>
                <w:caps w:val="false"/>
                <w:smallCaps w:val="false"/>
              </w:rPr>
              <w:t> </w:t>
            </w:r>
          </w:p>
        </w:tc>
      </w:tr>
      <w:tr>
        <w:trPr/>
        <w:tc>
          <w:tcPr>
            <w:tcW w:w="161" w:type="dxa"/>
            <w:tcBorders/>
            <w:shd w:fill="auto" w:val="clear"/>
            <w:vAlign w:val="center"/>
          </w:tcPr>
          <w:p>
            <w:pPr>
              <w:pStyle w:val="TableContents"/>
              <w:bidi w:val="0"/>
              <w:spacing w:lineRule="auto" w:line="259" w:before="0" w:after="283"/>
              <w:rPr>
                <w:caps w:val="false"/>
                <w:smallCaps w:val="false"/>
              </w:rPr>
            </w:pPr>
            <w:r>
              <w:rPr>
                <w:caps w:val="false"/>
                <w:smallCaps w:val="false"/>
              </w:rPr>
              <w:t> </w:t>
            </w:r>
          </w:p>
        </w:tc>
        <w:tc>
          <w:tcPr>
            <w:tcW w:w="800" w:type="dxa"/>
            <w:tcBorders/>
            <w:shd w:fill="auto" w:val="clear"/>
            <w:vAlign w:val="center"/>
          </w:tcPr>
          <w:p>
            <w:pPr>
              <w:pStyle w:val="TableContents"/>
              <w:bidi w:val="0"/>
              <w:spacing w:lineRule="auto" w:line="259" w:before="0" w:after="283"/>
              <w:rPr>
                <w:caps w:val="false"/>
                <w:smallCaps w:val="false"/>
              </w:rPr>
            </w:pPr>
            <w:r>
              <w:rPr>
                <w:caps w:val="false"/>
                <w:smallCaps w:val="false"/>
              </w:rPr>
              <w:t> </w:t>
            </w:r>
          </w:p>
        </w:tc>
        <w:tc>
          <w:tcPr>
            <w:tcW w:w="3076" w:type="dxa"/>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Attorney-In-Fact*</w:t>
            </w:r>
          </w:p>
        </w:tc>
        <w:tc>
          <w:tcPr>
            <w:tcW w:w="287" w:type="dxa"/>
            <w:tcBorders/>
            <w:shd w:fill="auto" w:val="clear"/>
            <w:vAlign w:val="center"/>
          </w:tcPr>
          <w:p>
            <w:pPr>
              <w:pStyle w:val="TableContents"/>
              <w:bidi w:val="0"/>
              <w:spacing w:lineRule="auto" w:line="259" w:before="0" w:after="283"/>
              <w:rPr>
                <w:caps w:val="false"/>
                <w:smallCaps w:val="false"/>
              </w:rPr>
            </w:pPr>
            <w:r>
              <w:rPr>
                <w:caps w:val="false"/>
                <w:smallCaps w:val="false"/>
              </w:rPr>
              <w:t> </w:t>
            </w:r>
          </w:p>
        </w:tc>
        <w:tc>
          <w:tcPr>
            <w:tcW w:w="287" w:type="dxa"/>
            <w:tcBorders/>
            <w:shd w:fill="auto" w:val="clear"/>
            <w:vAlign w:val="center"/>
          </w:tcPr>
          <w:p>
            <w:pPr>
              <w:pStyle w:val="TableContents"/>
              <w:bidi w:val="0"/>
              <w:spacing w:lineRule="auto" w:line="259" w:before="0" w:after="283"/>
              <w:rPr>
                <w:caps w:val="false"/>
                <w:smallCaps w:val="false"/>
              </w:rPr>
            </w:pPr>
            <w:r>
              <w:rPr>
                <w:caps w:val="false"/>
                <w:smallCaps w:val="false"/>
              </w:rPr>
              <w:t> </w:t>
            </w:r>
          </w:p>
        </w:tc>
        <w:tc>
          <w:tcPr>
            <w:tcW w:w="2839" w:type="dxa"/>
            <w:tcBorders/>
            <w:shd w:fill="auto" w:val="clear"/>
            <w:vAlign w:val="center"/>
          </w:tcPr>
          <w:p>
            <w:pPr>
              <w:pStyle w:val="TableContents"/>
              <w:bidi w:val="0"/>
              <w:spacing w:lineRule="auto" w:line="259" w:before="0" w:after="283"/>
              <w:rPr>
                <w:caps w:val="false"/>
                <w:smallCaps w:val="false"/>
              </w:rPr>
            </w:pPr>
            <w:r>
              <w:rPr>
                <w:caps w:val="false"/>
                <w:smallCaps w:val="false"/>
              </w:rPr>
              <w:t> </w:t>
            </w:r>
          </w:p>
        </w:tc>
      </w:tr>
      <w:tr>
        <w:trPr/>
        <w:tc>
          <w:tcPr>
            <w:tcW w:w="161" w:type="dxa"/>
            <w:tcBorders/>
            <w:shd w:fill="auto" w:val="clear"/>
            <w:vAlign w:val="center"/>
          </w:tcPr>
          <w:p>
            <w:pPr>
              <w:pStyle w:val="TableContents"/>
              <w:bidi w:val="0"/>
              <w:spacing w:lineRule="auto" w:line="259" w:before="0" w:after="283"/>
              <w:rPr>
                <w:caps w:val="false"/>
                <w:smallCaps w:val="false"/>
              </w:rPr>
            </w:pPr>
            <w:r>
              <w:rPr>
                <w:caps w:val="false"/>
                <w:smallCaps w:val="false"/>
              </w:rPr>
              <w:t> </w:t>
            </w:r>
          </w:p>
        </w:tc>
        <w:tc>
          <w:tcPr>
            <w:tcW w:w="800" w:type="dxa"/>
            <w:tcBorders/>
            <w:shd w:fill="auto" w:val="clear"/>
            <w:vAlign w:val="center"/>
          </w:tcPr>
          <w:p>
            <w:pPr>
              <w:pStyle w:val="TableContents"/>
              <w:bidi w:val="0"/>
              <w:spacing w:lineRule="auto" w:line="259" w:before="0" w:after="283"/>
              <w:rPr>
                <w:caps w:val="false"/>
                <w:smallCaps w:val="false"/>
              </w:rPr>
            </w:pPr>
            <w:r>
              <w:rPr>
                <w:caps w:val="false"/>
                <w:smallCaps w:val="false"/>
              </w:rPr>
              <w:t> </w:t>
            </w:r>
          </w:p>
        </w:tc>
        <w:tc>
          <w:tcPr>
            <w:tcW w:w="3076" w:type="dxa"/>
            <w:tcBorders/>
            <w:shd w:fill="auto" w:val="clear"/>
            <w:vAlign w:val="center"/>
          </w:tcPr>
          <w:p>
            <w:pPr>
              <w:pStyle w:val="TableContents"/>
              <w:bidi w:val="0"/>
              <w:spacing w:lineRule="auto" w:line="259" w:before="0" w:after="283"/>
              <w:rPr>
                <w:caps w:val="false"/>
                <w:smallCaps w:val="false"/>
              </w:rPr>
            </w:pPr>
            <w:r>
              <w:rPr>
                <w:caps w:val="false"/>
                <w:smallCaps w:val="false"/>
              </w:rPr>
              <w:t> </w:t>
            </w:r>
          </w:p>
        </w:tc>
        <w:tc>
          <w:tcPr>
            <w:tcW w:w="287" w:type="dxa"/>
            <w:tcBorders/>
            <w:shd w:fill="auto" w:val="clear"/>
            <w:vAlign w:val="center"/>
          </w:tcPr>
          <w:p>
            <w:pPr>
              <w:pStyle w:val="TableContents"/>
              <w:bidi w:val="0"/>
              <w:spacing w:lineRule="auto" w:line="259" w:before="0" w:after="283"/>
              <w:rPr>
                <w:caps w:val="false"/>
                <w:smallCaps w:val="false"/>
              </w:rPr>
            </w:pPr>
            <w:r>
              <w:rPr>
                <w:caps w:val="false"/>
                <w:smallCaps w:val="false"/>
              </w:rPr>
              <w:t> </w:t>
            </w:r>
          </w:p>
        </w:tc>
        <w:tc>
          <w:tcPr>
            <w:tcW w:w="287" w:type="dxa"/>
            <w:tcBorders/>
            <w:shd w:fill="auto" w:val="clear"/>
            <w:vAlign w:val="center"/>
          </w:tcPr>
          <w:p>
            <w:pPr>
              <w:pStyle w:val="TableContents"/>
              <w:bidi w:val="0"/>
              <w:spacing w:lineRule="auto" w:line="259" w:before="0" w:after="283"/>
              <w:rPr>
                <w:caps w:val="false"/>
                <w:smallCaps w:val="false"/>
              </w:rPr>
            </w:pPr>
            <w:r>
              <w:rPr>
                <w:caps w:val="false"/>
                <w:smallCaps w:val="false"/>
              </w:rPr>
              <w:t> </w:t>
            </w:r>
          </w:p>
        </w:tc>
        <w:tc>
          <w:tcPr>
            <w:tcW w:w="2839" w:type="dxa"/>
            <w:tcBorders/>
            <w:shd w:fill="auto" w:val="clear"/>
            <w:vAlign w:val="center"/>
          </w:tcPr>
          <w:p>
            <w:pPr>
              <w:pStyle w:val="TableContents"/>
              <w:bidi w:val="0"/>
              <w:spacing w:lineRule="auto" w:line="259" w:before="0" w:after="283"/>
              <w:rPr>
                <w:caps w:val="false"/>
                <w:smallCaps w:val="false"/>
              </w:rPr>
            </w:pPr>
            <w:r>
              <w:rPr>
                <w:caps w:val="false"/>
                <w:smallCaps w:val="false"/>
              </w:rPr>
              <w:t> </w:t>
            </w:r>
          </w:p>
        </w:tc>
      </w:tr>
      <w:tr>
        <w:trPr/>
        <w:tc>
          <w:tcPr>
            <w:tcW w:w="161" w:type="dxa"/>
            <w:tcBorders/>
            <w:shd w:fill="auto" w:val="clear"/>
            <w:vAlign w:val="center"/>
          </w:tcPr>
          <w:p>
            <w:pPr>
              <w:pStyle w:val="TableContents"/>
              <w:bidi w:val="0"/>
              <w:spacing w:lineRule="auto" w:line="259" w:before="0" w:after="283"/>
              <w:rPr>
                <w:caps w:val="false"/>
                <w:smallCaps w:val="false"/>
              </w:rPr>
            </w:pPr>
            <w:r>
              <w:rPr>
                <w:caps w:val="false"/>
                <w:smallCaps w:val="false"/>
              </w:rPr>
              <w:t> </w:t>
            </w:r>
          </w:p>
        </w:tc>
        <w:tc>
          <w:tcPr>
            <w:tcW w:w="800" w:type="dxa"/>
            <w:tcBorders/>
            <w:shd w:fill="auto" w:val="clear"/>
            <w:vAlign w:val="center"/>
          </w:tcPr>
          <w:p>
            <w:pPr>
              <w:pStyle w:val="TableContents"/>
              <w:bidi w:val="0"/>
              <w:spacing w:lineRule="auto" w:line="259" w:before="0" w:after="283"/>
              <w:rPr>
                <w:caps w:val="false"/>
                <w:smallCaps w:val="false"/>
              </w:rPr>
            </w:pPr>
            <w:r>
              <w:rPr>
                <w:caps w:val="false"/>
                <w:smallCaps w:val="false"/>
              </w:rPr>
              <w:t> </w:t>
            </w:r>
          </w:p>
        </w:tc>
        <w:tc>
          <w:tcPr>
            <w:tcW w:w="3076" w:type="dxa"/>
            <w:tcBorders/>
            <w:shd w:fill="auto" w:val="clear"/>
            <w:vAlign w:val="center"/>
          </w:tcPr>
          <w:p>
            <w:pPr>
              <w:pStyle w:val="TableContents"/>
              <w:bidi w:val="0"/>
              <w:spacing w:lineRule="auto" w:line="259" w:before="0" w:after="283"/>
              <w:rPr>
                <w:caps w:val="false"/>
                <w:smallCaps w:val="false"/>
              </w:rPr>
            </w:pPr>
            <w:r>
              <w:rPr>
                <w:caps w:val="false"/>
                <w:smallCaps w:val="false"/>
              </w:rPr>
              <w:t> </w:t>
            </w:r>
          </w:p>
        </w:tc>
        <w:tc>
          <w:tcPr>
            <w:tcW w:w="287" w:type="dxa"/>
            <w:tcBorders/>
            <w:shd w:fill="auto" w:val="clear"/>
            <w:vAlign w:val="center"/>
          </w:tcPr>
          <w:p>
            <w:pPr>
              <w:pStyle w:val="TableContents"/>
              <w:bidi w:val="0"/>
              <w:spacing w:lineRule="auto" w:line="259" w:before="0" w:after="283"/>
              <w:rPr>
                <w:caps w:val="false"/>
                <w:smallCaps w:val="false"/>
              </w:rPr>
            </w:pPr>
            <w:r>
              <w:rPr>
                <w:caps w:val="false"/>
                <w:smallCaps w:val="false"/>
              </w:rPr>
              <w:t> </w:t>
            </w:r>
          </w:p>
        </w:tc>
        <w:tc>
          <w:tcPr>
            <w:tcW w:w="287" w:type="dxa"/>
            <w:tcBorders/>
            <w:shd w:fill="auto" w:val="clear"/>
            <w:vAlign w:val="center"/>
          </w:tcPr>
          <w:p>
            <w:pPr>
              <w:pStyle w:val="TableContents"/>
              <w:bidi w:val="0"/>
              <w:spacing w:lineRule="auto" w:line="259" w:before="0" w:after="283"/>
              <w:rPr>
                <w:caps w:val="false"/>
                <w:smallCaps w:val="false"/>
              </w:rPr>
            </w:pPr>
            <w:r>
              <w:rPr>
                <w:caps w:val="false"/>
                <w:smallCaps w:val="false"/>
              </w:rPr>
              <w:t> </w:t>
            </w:r>
          </w:p>
        </w:tc>
        <w:tc>
          <w:tcPr>
            <w:tcW w:w="2839" w:type="dxa"/>
            <w:tcBorders/>
            <w:shd w:fill="auto" w:val="clear"/>
            <w:vAlign w:val="center"/>
          </w:tcPr>
          <w:p>
            <w:pPr>
              <w:pStyle w:val="TableContents"/>
              <w:bidi w:val="0"/>
              <w:spacing w:lineRule="auto" w:line="259" w:before="0" w:after="283"/>
              <w:rPr>
                <w:caps w:val="false"/>
                <w:smallCaps w:val="false"/>
              </w:rPr>
            </w:pPr>
            <w:r>
              <w:rPr>
                <w:caps w:val="false"/>
                <w:smallCaps w:val="false"/>
              </w:rPr>
              <w:t> </w:t>
            </w:r>
          </w:p>
        </w:tc>
      </w:tr>
      <w:tr>
        <w:trPr/>
        <w:tc>
          <w:tcPr>
            <w:tcW w:w="161" w:type="dxa"/>
            <w:tcBorders/>
            <w:shd w:fill="auto" w:val="clear"/>
            <w:vAlign w:val="center"/>
          </w:tcPr>
          <w:p>
            <w:pPr>
              <w:pStyle w:val="TableContents"/>
              <w:bidi w:val="0"/>
              <w:spacing w:lineRule="auto" w:line="259" w:before="0" w:after="283"/>
              <w:rPr>
                <w:caps w:val="false"/>
                <w:smallCaps w:val="false"/>
              </w:rPr>
            </w:pPr>
            <w:r>
              <w:rPr>
                <w:caps w:val="false"/>
                <w:smallCaps w:val="false"/>
              </w:rPr>
              <w:t> </w:t>
            </w:r>
          </w:p>
        </w:tc>
        <w:tc>
          <w:tcPr>
            <w:tcW w:w="800" w:type="dxa"/>
            <w:tcBorders/>
            <w:shd w:fill="auto" w:val="clear"/>
            <w:vAlign w:val="center"/>
          </w:tcPr>
          <w:p>
            <w:pPr>
              <w:pStyle w:val="TableContents"/>
              <w:bidi w:val="0"/>
              <w:spacing w:lineRule="auto" w:line="259" w:before="0" w:after="283"/>
              <w:rPr>
                <w:caps w:val="false"/>
                <w:smallCaps w:val="false"/>
              </w:rPr>
            </w:pPr>
            <w:r>
              <w:rPr>
                <w:caps w:val="false"/>
                <w:smallCaps w:val="false"/>
              </w:rPr>
              <w:t> </w:t>
            </w:r>
          </w:p>
        </w:tc>
        <w:tc>
          <w:tcPr>
            <w:tcW w:w="3076" w:type="dxa"/>
            <w:tcBorders/>
            <w:shd w:fill="auto" w:val="clear"/>
            <w:vAlign w:val="center"/>
          </w:tcPr>
          <w:p>
            <w:pPr>
              <w:pStyle w:val="TableContents"/>
              <w:bidi w:val="0"/>
              <w:spacing w:lineRule="auto" w:line="259" w:before="0" w:after="283"/>
              <w:rPr>
                <w:caps w:val="false"/>
                <w:smallCaps w:val="false"/>
              </w:rPr>
            </w:pPr>
            <w:r>
              <w:rPr>
                <w:caps w:val="false"/>
                <w:smallCaps w:val="false"/>
              </w:rPr>
              <w:t> </w:t>
            </w:r>
          </w:p>
        </w:tc>
        <w:tc>
          <w:tcPr>
            <w:tcW w:w="287" w:type="dxa"/>
            <w:tcBorders/>
            <w:shd w:fill="auto" w:val="clear"/>
            <w:vAlign w:val="center"/>
          </w:tcPr>
          <w:p>
            <w:pPr>
              <w:pStyle w:val="TableContents"/>
              <w:bidi w:val="0"/>
              <w:spacing w:lineRule="auto" w:line="259" w:before="0" w:after="283"/>
              <w:rPr>
                <w:caps w:val="false"/>
                <w:smallCaps w:val="false"/>
              </w:rPr>
            </w:pPr>
            <w:r>
              <w:rPr>
                <w:caps w:val="false"/>
                <w:smallCaps w:val="false"/>
              </w:rPr>
              <w:t> </w:t>
            </w:r>
          </w:p>
        </w:tc>
        <w:tc>
          <w:tcPr>
            <w:tcW w:w="287" w:type="dxa"/>
            <w:tcBorders/>
            <w:shd w:fill="auto" w:val="clear"/>
            <w:vAlign w:val="center"/>
          </w:tcPr>
          <w:p>
            <w:pPr>
              <w:pStyle w:val="TableContents"/>
              <w:bidi w:val="0"/>
              <w:spacing w:lineRule="auto" w:line="259" w:before="0" w:after="283"/>
              <w:rPr>
                <w:caps w:val="false"/>
                <w:smallCaps w:val="false"/>
              </w:rPr>
            </w:pPr>
            <w:r>
              <w:rPr>
                <w:caps w:val="false"/>
                <w:smallCaps w:val="false"/>
              </w:rPr>
              <w:t> </w:t>
            </w:r>
          </w:p>
        </w:tc>
        <w:tc>
          <w:tcPr>
            <w:tcW w:w="2839" w:type="dxa"/>
            <w:tcBorders/>
            <w:shd w:fill="auto" w:val="clear"/>
            <w:vAlign w:val="center"/>
          </w:tcPr>
          <w:p>
            <w:pPr>
              <w:pStyle w:val="TableContents"/>
              <w:bidi w:val="0"/>
              <w:spacing w:lineRule="auto" w:line="259" w:before="0" w:after="283"/>
              <w:rPr>
                <w:caps w:val="false"/>
                <w:smallCaps w:val="false"/>
              </w:rPr>
            </w:pPr>
            <w:r>
              <w:rPr>
                <w:caps w:val="false"/>
                <w:smallCaps w:val="false"/>
              </w:rPr>
              <w:t> </w:t>
            </w:r>
          </w:p>
        </w:tc>
      </w:tr>
      <w:tr>
        <w:trPr/>
        <w:tc>
          <w:tcPr>
            <w:tcW w:w="161" w:type="dxa"/>
            <w:tcBorders/>
            <w:shd w:fill="auto" w:val="clear"/>
            <w:vAlign w:val="center"/>
          </w:tcPr>
          <w:p>
            <w:pPr>
              <w:pStyle w:val="TableContents"/>
              <w:bidi w:val="0"/>
              <w:spacing w:lineRule="auto" w:line="259" w:before="0" w:after="283"/>
              <w:rPr>
                <w:caps w:val="false"/>
                <w:smallCaps w:val="false"/>
              </w:rPr>
            </w:pPr>
            <w:r>
              <w:rPr>
                <w:caps w:val="false"/>
                <w:smallCaps w:val="false"/>
              </w:rPr>
              <w:t> </w:t>
            </w:r>
          </w:p>
        </w:tc>
        <w:tc>
          <w:tcPr>
            <w:tcW w:w="7289" w:type="dxa"/>
            <w:gridSpan w:val="5"/>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authority granted by powers of attorney, copies of which are filed herewith.</w:t>
            </w:r>
          </w:p>
        </w:tc>
      </w:tr>
      <w:tr>
        <w:trPr/>
        <w:tc>
          <w:tcPr>
            <w:tcW w:w="161" w:type="dxa"/>
            <w:tcBorders/>
            <w:shd w:fill="auto" w:val="clear"/>
            <w:vAlign w:val="center"/>
          </w:tcPr>
          <w:p>
            <w:pPr>
              <w:pStyle w:val="TableContents"/>
              <w:spacing w:before="0" w:after="283"/>
              <w:rPr>
                <w:sz w:val="4"/>
                <w:szCs w:val="4"/>
              </w:rPr>
            </w:pPr>
            <w:r>
              <w:rPr>
                <w:sz w:val="4"/>
                <w:szCs w:val="4"/>
              </w:rPr>
            </w:r>
          </w:p>
        </w:tc>
        <w:tc>
          <w:tcPr>
            <w:tcW w:w="7289" w:type="dxa"/>
            <w:gridSpan w:val="5"/>
            <w:tcBorders/>
            <w:shd w:fill="auto" w:val="clear"/>
            <w:vAlign w:val="center"/>
          </w:tcPr>
          <w:p>
            <w:pPr>
              <w:pStyle w:val="TableContents"/>
              <w:spacing w:before="0" w:after="283"/>
              <w:rPr>
                <w:sz w:val="4"/>
                <w:szCs w:val="4"/>
              </w:rPr>
            </w:pPr>
            <w:r>
              <w:rPr>
                <w:sz w:val="4"/>
                <w:szCs w:val="4"/>
              </w:rPr>
            </w:r>
          </w:p>
        </w:tc>
      </w:tr>
    </w:tbl>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71</w:t>
      </w:r>
      <w:r>
        <w:br w:type="page"/>
      </w:r>
    </w:p>
    <w:p>
      <w:pPr>
        <w:pStyle w:val="TextBody"/>
        <w:spacing w:lineRule="auto" w:line="254" w:before="0" w:after="0"/>
        <w:ind w:left="1440" w:right="1440" w:hanging="0"/>
        <w:rPr>
          <w:rFonts w:ascii="Times New Roman" w:hAnsi="Times New Roman"/>
          <w:b/>
          <w:sz w:val="22"/>
        </w:rPr>
      </w:pPr>
      <w:bookmarkStart w:id="37" w:name="dlth-20210131xex23_1.htm"/>
      <w:bookmarkStart w:id="38" w:name="ksdlth20210131xex23_1"/>
      <w:bookmarkEnd w:id="37"/>
      <w:bookmarkEnd w:id="38"/>
      <w:r>
        <w:rPr>
          <w:rFonts w:ascii="Times New Roman" w:hAnsi="Times New Roman"/>
          <w:b/>
          <w:sz w:val="22"/>
        </w:rPr>
        <w:t xml:space="preserve">CONSENT OF INDEPENDENT REGISTERED PUBLIC ACCOUNTING FIRM </w:t>
      </w:r>
    </w:p>
    <w:p>
      <w:pPr>
        <w:pStyle w:val="TextBody"/>
        <w:spacing w:lineRule="auto" w:line="254" w:before="0" w:after="0"/>
        <w:ind w:left="1440" w:right="1440" w:hanging="0"/>
        <w:rPr/>
      </w:pPr>
      <w:r>
        <w:rPr/>
        <w:t xml:space="preserve">  </w:t>
      </w:r>
    </w:p>
    <w:p>
      <w:pPr>
        <w:pStyle w:val="TextBody"/>
        <w:spacing w:lineRule="auto" w:line="254" w:before="0" w:after="0"/>
        <w:ind w:left="1440" w:right="1440" w:hanging="0"/>
        <w:rPr/>
      </w:pPr>
      <w:r>
        <w:rPr/>
        <w:t xml:space="preserve">  </w:t>
      </w:r>
    </w:p>
    <w:p>
      <w:pPr>
        <w:pStyle w:val="TextBody"/>
        <w:spacing w:lineRule="auto" w:line="254" w:before="0" w:after="0"/>
        <w:ind w:left="1440" w:right="1440" w:hanging="0"/>
        <w:rPr/>
      </w:pPr>
      <w:r>
        <w:rPr/>
        <w:t xml:space="preserve">  </w:t>
      </w:r>
    </w:p>
    <w:p>
      <w:pPr>
        <w:pStyle w:val="TextBody"/>
        <w:spacing w:lineRule="auto" w:line="240" w:before="0" w:after="0"/>
        <w:ind w:left="1440" w:right="1440" w:hanging="0"/>
        <w:jc w:val="both"/>
        <w:rPr>
          <w:rFonts w:ascii="Arial" w:hAnsi="Arial"/>
          <w:color w:val="000000"/>
          <w:sz w:val="20"/>
        </w:rPr>
      </w:pPr>
      <w:r>
        <w:rPr>
          <w:rFonts w:ascii="Times New Roman" w:hAnsi="Times New Roman"/>
          <w:color w:val="000000"/>
          <w:sz w:val="20"/>
        </w:rPr>
        <w:t>We have issued our report dated March 26, 2021</w:t>
      </w:r>
      <w:r>
        <w:rPr>
          <w:rFonts w:ascii="Arial" w:hAnsi="Arial"/>
          <w:color w:val="000000"/>
          <w:sz w:val="20"/>
        </w:rPr>
        <w:t xml:space="preserve"> </w:t>
      </w:r>
      <w:r>
        <w:rPr>
          <w:rFonts w:ascii="Times New Roman" w:hAnsi="Times New Roman"/>
          <w:color w:val="000000"/>
          <w:sz w:val="20"/>
        </w:rPr>
        <w:t>with respect to the consolidated financial statements included in the Annual Report of Duluth Holdings Inc. on Form 10-K for the year ended January 31, 2021. We consent to the incorporation by reference of said report in the Registration Statements of Duluth Holdings Inc. on Form S-8 (File No. 333-230064, File No. 333-225364, File No. 333-223217, File No. 333-209540, File No. 333-208185, and File No. 333-216128).</w:t>
      </w:r>
      <w:r>
        <w:rPr>
          <w:rFonts w:ascii="Arial" w:hAnsi="Arial"/>
          <w:color w:val="000000"/>
          <w:sz w:val="20"/>
        </w:rPr>
        <w:t xml:space="preserve"> </w:t>
      </w:r>
    </w:p>
    <w:p>
      <w:pPr>
        <w:pStyle w:val="TextBody"/>
        <w:spacing w:lineRule="auto" w:line="254" w:before="360" w:after="360"/>
        <w:ind w:left="1440" w:right="1440" w:hanging="0"/>
        <w:rPr/>
      </w:pPr>
      <w:r>
        <w:rPr/>
        <w:t> </w:t>
      </w:r>
      <w:r>
        <w:rPr>
          <w:rFonts w:ascii="Times New Roman" w:hAnsi="Times New Roman"/>
          <w:sz w:val="20"/>
        </w:rPr>
        <w:t>/S/ GRANT THORNTON LLP</w:t>
      </w:r>
      <w:r>
        <w:rPr>
          <w:rFonts w:ascii="Calibri" w:hAnsi="Calibri"/>
          <w:sz w:val="20"/>
        </w:rPr>
        <w:t xml:space="preserve"> </w:t>
      </w:r>
    </w:p>
    <w:p>
      <w:pPr>
        <w:pStyle w:val="TextBody"/>
        <w:spacing w:lineRule="auto" w:line="256" w:before="0" w:after="160"/>
        <w:ind w:left="1435" w:right="1440" w:hanging="0"/>
        <w:rPr>
          <w:rFonts w:ascii="Times New Roman" w:hAnsi="Times New Roman"/>
          <w:sz w:val="20"/>
        </w:rPr>
      </w:pPr>
      <w:r>
        <w:rPr>
          <w:rFonts w:ascii="Times New Roman" w:hAnsi="Times New Roman"/>
          <w:sz w:val="20"/>
        </w:rPr>
        <w:t xml:space="preserve">Chicago, Illinois </w:t>
      </w:r>
    </w:p>
    <w:p>
      <w:pPr>
        <w:pStyle w:val="TextBody"/>
        <w:spacing w:lineRule="auto" w:line="256" w:before="0" w:after="160"/>
        <w:ind w:left="1435" w:right="1440" w:hanging="0"/>
        <w:rPr>
          <w:rFonts w:ascii="Calibri" w:hAnsi="Calibri"/>
          <w:sz w:val="20"/>
        </w:rPr>
      </w:pPr>
      <w:r>
        <w:rPr>
          <w:rFonts w:ascii="Times New Roman" w:hAnsi="Times New Roman"/>
          <w:sz w:val="20"/>
        </w:rPr>
        <w:t>March 26, 2021</w:t>
      </w:r>
      <w:r>
        <w:rPr>
          <w:rFonts w:ascii="Calibri" w:hAnsi="Calibri"/>
          <w:sz w:val="20"/>
        </w:rPr>
        <w:t xml:space="preserve"> </w:t>
      </w:r>
    </w:p>
    <w:p>
      <w:pPr>
        <w:pStyle w:val="TextBody"/>
        <w:spacing w:lineRule="auto" w:line="256" w:before="0" w:after="160"/>
        <w:ind w:left="1440" w:right="1440" w:hanging="0"/>
        <w:rPr>
          <w:rFonts w:cs="Calibri"/>
          <w:szCs w:val="22"/>
        </w:rPr>
      </w:pPr>
      <w:r>
        <w:rPr>
          <w:rFonts w:cs="Calibri"/>
          <w:szCs w:val="22"/>
        </w:rPr>
        <w:t xml:space="preserve">﻿ </w:t>
      </w:r>
    </w:p>
    <w:p>
      <w:pPr>
        <w:pStyle w:val="HorizontalLine"/>
        <w:pBdr>
          <w:bottom w:val="double" w:sz="6" w:space="0" w:color="808080"/>
        </w:pBdr>
        <w:ind w:left="1440" w:right="1440" w:hanging="0"/>
        <w:rPr/>
      </w:pPr>
      <w:r>
        <w:rPr/>
      </w:r>
      <w:r>
        <w:br w:type="page"/>
      </w:r>
    </w:p>
    <w:p>
      <w:pPr>
        <w:pStyle w:val="TextBody"/>
        <w:spacing w:lineRule="auto" w:line="256" w:before="0" w:after="160"/>
        <w:ind w:left="1440" w:right="1440" w:hanging="0"/>
        <w:jc w:val="right"/>
        <w:rPr>
          <w:rFonts w:ascii="Calibri" w:hAnsi="Calibri"/>
          <w:sz w:val="24"/>
        </w:rPr>
      </w:pPr>
      <w:bookmarkStart w:id="39" w:name="dlth-20210131xex24_1.htm"/>
      <w:bookmarkStart w:id="40" w:name="ksdlth20210131xex24_1"/>
      <w:bookmarkEnd w:id="39"/>
      <w:bookmarkEnd w:id="40"/>
      <w:r>
        <w:rPr>
          <w:rFonts w:ascii="Times New Roman" w:hAnsi="Times New Roman"/>
          <w:b/>
          <w:sz w:val="24"/>
        </w:rPr>
        <w:t>Exhibit 24.1</w:t>
      </w:r>
      <w:r>
        <w:rPr>
          <w:rFonts w:ascii="Calibri" w:hAnsi="Calibri"/>
          <w:sz w:val="24"/>
        </w:rPr>
        <w:t xml:space="preserve"> </w:t>
      </w:r>
    </w:p>
    <w:p>
      <w:pPr>
        <w:pStyle w:val="TextBody"/>
        <w:pBdr/>
        <w:spacing w:lineRule="auto" w:line="240" w:before="0" w:after="480"/>
        <w:ind w:left="1440" w:right="1440" w:hanging="0"/>
        <w:jc w:val="center"/>
        <w:rPr>
          <w:rFonts w:ascii="Times New Roman" w:hAnsi="Times New Roman"/>
          <w:sz w:val="24"/>
        </w:rPr>
      </w:pPr>
      <w:r>
        <w:rPr>
          <w:rFonts w:ascii="Times New Roman" w:hAnsi="Times New Roman"/>
          <w:b/>
          <w:sz w:val="24"/>
        </w:rPr>
        <w:t>POWER OF ATTORNEY FOR ANNUAL REPORT ON FORM 10-K</w:t>
      </w:r>
      <w:r>
        <w:rPr>
          <w:rFonts w:ascii="Times New Roman" w:hAnsi="Times New Roman"/>
          <w:sz w:val="24"/>
        </w:rPr>
        <w:t xml:space="preserve"> </w:t>
      </w:r>
    </w:p>
    <w:p>
      <w:pPr>
        <w:pStyle w:val="TextBody"/>
        <w:pBdr/>
        <w:spacing w:lineRule="auto" w:line="240" w:before="0" w:after="240"/>
        <w:ind w:left="1440" w:right="1440" w:firstLine="720"/>
        <w:rPr>
          <w:rFonts w:ascii="Times New Roman" w:hAnsi="Times New Roman"/>
          <w:sz w:val="24"/>
        </w:rPr>
      </w:pPr>
      <w:r>
        <w:rPr>
          <w:rFonts w:ascii="Times New Roman" w:hAnsi="Times New Roman"/>
          <w:sz w:val="24"/>
        </w:rPr>
        <w:t xml:space="preserve">Each of the undersigned directors of Duluth Holdings Inc. (the “Corporation”) hereby designates and appoints Stephen Schlecht and David Loretta, and each of them, the undersigned’s true and lawful attorney-in-fact and agent, with full power of substitution and resubstitution, for the undersigned and in the undersigned’s name, place and stead to sign for the undersigned and in the undersigned’s name in the capacity as a director of the Corporation the Corporation’s Annual Report on Form 10-K for the year ended January 31, 2021,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 </w:t>
      </w:r>
    </w:p>
    <w:p>
      <w:pPr>
        <w:pStyle w:val="TextBody"/>
        <w:pBdr/>
        <w:spacing w:lineRule="auto" w:line="240" w:before="0" w:after="0"/>
        <w:ind w:left="1440" w:right="1440" w:firstLine="720"/>
        <w:rPr>
          <w:rFonts w:ascii="Times New Roman" w:hAnsi="Times New Roman"/>
          <w:sz w:val="24"/>
        </w:rPr>
      </w:pPr>
      <w:r>
        <w:rPr>
          <w:rFonts w:ascii="Times New Roman" w:hAnsi="Times New Roman"/>
          <w:sz w:val="24"/>
        </w:rPr>
        <w:t>IN WITNESS WHEREOF, the undersigned have each executed this Power of Attorney for Annual Report on Form 10-K, on one or more counterparts, as of the 19</w:t>
      </w:r>
      <w:r>
        <w:rPr>
          <w:rFonts w:ascii="Times New Roman" w:hAnsi="Times New Roman"/>
          <w:sz w:val="12"/>
        </w:rPr>
        <w:t>th</w:t>
      </w:r>
      <w:r>
        <w:rPr>
          <w:rFonts w:ascii="Times New Roman" w:hAnsi="Times New Roman"/>
          <w:sz w:val="24"/>
        </w:rPr>
        <w:t xml:space="preserve"> day of March, 2021. </w:t>
      </w:r>
    </w:p>
    <w:p>
      <w:pPr>
        <w:pStyle w:val="TextBody"/>
        <w:pBdr/>
        <w:spacing w:lineRule="auto" w:line="240" w:before="0" w:after="0"/>
        <w:ind w:left="1440" w:right="1440" w:firstLine="720"/>
        <w:rPr>
          <w:rFonts w:cs="Times New Roman"/>
          <w:szCs w:val="24"/>
        </w:rPr>
      </w:pPr>
      <w:r>
        <w:rPr>
          <w:rFonts w:cs="Times New Roman"/>
          <w:szCs w:val="24"/>
        </w:rPr>
        <w:t xml:space="preserve">﻿ </w:t>
      </w:r>
    </w:p>
    <w:p>
      <w:pPr>
        <w:pStyle w:val="TextBody"/>
        <w:pBdr/>
        <w:spacing w:lineRule="auto" w:line="240" w:before="0" w:after="0"/>
        <w:ind w:left="1440" w:right="1440" w:firstLine="720"/>
        <w:rPr>
          <w:rFonts w:cs="Times New Roman"/>
          <w:szCs w:val="24"/>
        </w:rPr>
      </w:pPr>
      <w:r>
        <w:rPr>
          <w:rFonts w:cs="Times New Roman"/>
          <w:szCs w:val="24"/>
        </w:rPr>
        <w:t xml:space="preserve">﻿ </w:t>
      </w:r>
    </w:p>
    <w:p>
      <w:pPr>
        <w:pStyle w:val="TextBody"/>
        <w:pBdr/>
        <w:spacing w:lineRule="auto" w:line="240" w:before="0" w:after="0"/>
        <w:ind w:left="1440" w:right="1440" w:hanging="0"/>
        <w:rPr>
          <w:rFonts w:cs="Times New Roman"/>
          <w:szCs w:val="24"/>
        </w:rPr>
      </w:pPr>
      <w:r>
        <w:rPr>
          <w:rFonts w:cs="Times New Roman"/>
          <w:szCs w:val="24"/>
          <w:u w:val="single"/>
        </w:rPr>
        <w:t>﻿</w:t>
      </w:r>
      <w:r>
        <w:rPr>
          <w:rFonts w:cs="Times New Roman"/>
          <w:szCs w:val="24"/>
        </w:rPr>
        <w:t xml:space="preserve"> </w:t>
      </w:r>
    </w:p>
    <w:p>
      <w:pPr>
        <w:pStyle w:val="TextBody"/>
        <w:spacing w:lineRule="auto" w:line="256" w:before="0" w:after="160"/>
        <w:ind w:left="1440" w:right="1440" w:hanging="0"/>
        <w:jc w:val="left"/>
        <w:rPr>
          <w:rFonts w:ascii="Calibri" w:hAnsi="Calibri"/>
          <w:sz w:val="22"/>
        </w:rPr>
      </w:pPr>
      <w:r>
        <w:rPr>
          <w:rFonts w:ascii="Times New Roman" w:hAnsi="Times New Roman"/>
          <w:i/>
          <w:sz w:val="22"/>
          <w:u w:val="single"/>
        </w:rPr>
        <w:t>/s/ Stephen L. Schlecht/s/ Thomas G. Folliard</w:t>
      </w:r>
      <w:r>
        <w:rPr>
          <w:rFonts w:ascii="Calibri" w:hAnsi="Calibri"/>
          <w:sz w:val="22"/>
        </w:rPr>
        <w:t xml:space="preserve"> </w:t>
      </w:r>
    </w:p>
    <w:p>
      <w:pPr>
        <w:pStyle w:val="TextBody"/>
        <w:spacing w:lineRule="auto" w:line="256" w:before="0" w:after="160"/>
        <w:ind w:left="1440" w:right="1440" w:hanging="0"/>
        <w:jc w:val="left"/>
        <w:rPr>
          <w:rFonts w:ascii="Calibri" w:hAnsi="Calibri"/>
          <w:sz w:val="22"/>
        </w:rPr>
      </w:pPr>
      <w:r>
        <w:rPr>
          <w:rFonts w:ascii="Times New Roman" w:hAnsi="Times New Roman"/>
          <w:sz w:val="22"/>
        </w:rPr>
        <w:t>Stephen L. SchlechtThomas G. Folliard</w:t>
      </w:r>
      <w:r>
        <w:rPr>
          <w:rFonts w:ascii="Calibri" w:hAnsi="Calibri"/>
          <w:sz w:val="22"/>
        </w:rPr>
        <w:t xml:space="preserve"> </w:t>
      </w:r>
    </w:p>
    <w:p>
      <w:pPr>
        <w:pStyle w:val="TextBody"/>
        <w:spacing w:lineRule="auto" w:line="256" w:before="0" w:after="160"/>
        <w:ind w:left="1440" w:right="1440" w:hanging="0"/>
        <w:rPr>
          <w:rFonts w:cs="Calibri"/>
          <w:szCs w:val="22"/>
        </w:rPr>
      </w:pPr>
      <w:r>
        <w:rPr>
          <w:rFonts w:cs="Times New Roman"/>
          <w:szCs w:val="22"/>
        </w:rPr>
        <w:t>﻿</w:t>
      </w:r>
      <w:r>
        <w:rPr>
          <w:rFonts w:cs="Calibri"/>
          <w:szCs w:val="22"/>
        </w:rPr>
        <w:t xml:space="preserve"> </w:t>
      </w:r>
    </w:p>
    <w:p>
      <w:pPr>
        <w:pStyle w:val="TextBody"/>
        <w:spacing w:lineRule="auto" w:line="256" w:before="0" w:after="160"/>
        <w:ind w:left="1440" w:right="1440" w:hanging="0"/>
        <w:jc w:val="left"/>
        <w:rPr>
          <w:rFonts w:ascii="Calibri" w:hAnsi="Calibri"/>
          <w:sz w:val="22"/>
        </w:rPr>
      </w:pPr>
      <w:r>
        <w:rPr>
          <w:rFonts w:ascii="Times New Roman" w:hAnsi="Times New Roman"/>
          <w:i/>
          <w:sz w:val="22"/>
          <w:u w:val="single"/>
        </w:rPr>
        <w:t>/s/ E. David Coolidge III/s/ Brenda I. Morris</w:t>
      </w:r>
      <w:r>
        <w:rPr>
          <w:rFonts w:ascii="Calibri" w:hAnsi="Calibri"/>
          <w:sz w:val="22"/>
        </w:rPr>
        <w:t xml:space="preserve"> </w:t>
      </w:r>
    </w:p>
    <w:p>
      <w:pPr>
        <w:pStyle w:val="TextBody"/>
        <w:spacing w:lineRule="auto" w:line="256" w:before="0" w:after="160"/>
        <w:ind w:left="1440" w:right="1440" w:hanging="0"/>
        <w:jc w:val="left"/>
        <w:rPr>
          <w:rFonts w:ascii="Calibri" w:hAnsi="Calibri"/>
          <w:sz w:val="22"/>
        </w:rPr>
      </w:pPr>
      <w:r>
        <w:rPr>
          <w:rFonts w:ascii="Times New Roman" w:hAnsi="Times New Roman"/>
          <w:sz w:val="22"/>
        </w:rPr>
        <w:t>E. David Coolidge IIIBrenda I. Morris</w:t>
      </w:r>
      <w:r>
        <w:rPr>
          <w:rFonts w:ascii="Calibri" w:hAnsi="Calibri"/>
          <w:sz w:val="22"/>
        </w:rPr>
        <w:t xml:space="preserve"> </w:t>
      </w:r>
    </w:p>
    <w:p>
      <w:pPr>
        <w:pStyle w:val="TextBody"/>
        <w:spacing w:lineRule="auto" w:line="256" w:before="0" w:after="160"/>
        <w:ind w:left="1440" w:right="1440" w:hanging="0"/>
        <w:rPr>
          <w:rFonts w:cs="Calibri"/>
          <w:szCs w:val="22"/>
        </w:rPr>
      </w:pPr>
      <w:r>
        <w:rPr>
          <w:rFonts w:cs="Times New Roman"/>
          <w:szCs w:val="22"/>
        </w:rPr>
        <w:t>﻿</w:t>
      </w:r>
      <w:r>
        <w:rPr>
          <w:rFonts w:cs="Calibri"/>
          <w:szCs w:val="22"/>
        </w:rPr>
        <w:t xml:space="preserve"> </w:t>
      </w:r>
    </w:p>
    <w:p>
      <w:pPr>
        <w:pStyle w:val="TextBody"/>
        <w:spacing w:lineRule="auto" w:line="256" w:before="0" w:after="160"/>
        <w:ind w:left="1440" w:right="1440" w:hanging="0"/>
        <w:jc w:val="left"/>
        <w:rPr>
          <w:rFonts w:ascii="Calibri" w:hAnsi="Calibri"/>
          <w:sz w:val="22"/>
        </w:rPr>
      </w:pPr>
      <w:r>
        <w:rPr>
          <w:rFonts w:ascii="Times New Roman" w:hAnsi="Times New Roman"/>
          <w:i/>
          <w:sz w:val="22"/>
          <w:u w:val="single"/>
        </w:rPr>
        <w:t>/s/ Francesca M. Edwardson/s/ Scott K. Williams</w:t>
      </w:r>
      <w:r>
        <w:rPr>
          <w:rFonts w:ascii="Calibri" w:hAnsi="Calibri"/>
          <w:sz w:val="22"/>
        </w:rPr>
        <w:t xml:space="preserve"> </w:t>
      </w:r>
    </w:p>
    <w:p>
      <w:pPr>
        <w:pStyle w:val="TextBody"/>
        <w:spacing w:lineRule="auto" w:line="256" w:before="0" w:after="160"/>
        <w:ind w:left="1440" w:right="1440" w:hanging="0"/>
        <w:jc w:val="left"/>
        <w:rPr>
          <w:rFonts w:ascii="Calibri" w:hAnsi="Calibri"/>
          <w:sz w:val="22"/>
        </w:rPr>
      </w:pPr>
      <w:r>
        <w:rPr>
          <w:rFonts w:ascii="Times New Roman" w:hAnsi="Times New Roman"/>
          <w:sz w:val="22"/>
        </w:rPr>
        <w:t>Francesca M. EdwardsonScott K. Williams</w:t>
      </w:r>
      <w:r>
        <w:rPr>
          <w:rFonts w:ascii="Calibri" w:hAnsi="Calibri"/>
          <w:sz w:val="22"/>
        </w:rPr>
        <w:t xml:space="preserve"> </w:t>
      </w:r>
    </w:p>
    <w:p>
      <w:pPr>
        <w:pStyle w:val="TextBody"/>
        <w:spacing w:lineRule="auto" w:line="256" w:before="0" w:after="160"/>
        <w:ind w:left="1440" w:right="1440" w:hanging="0"/>
        <w:rPr>
          <w:rFonts w:cs="Calibri"/>
          <w:szCs w:val="22"/>
        </w:rPr>
      </w:pPr>
      <w:r>
        <w:rPr>
          <w:rFonts w:cs="Times New Roman"/>
          <w:szCs w:val="22"/>
        </w:rPr>
        <w:t>﻿</w:t>
      </w:r>
      <w:r>
        <w:rPr>
          <w:rFonts w:cs="Calibri"/>
          <w:szCs w:val="22"/>
        </w:rPr>
        <w:t xml:space="preserve"> </w:t>
      </w:r>
    </w:p>
    <w:p>
      <w:pPr>
        <w:pStyle w:val="TextBody"/>
        <w:spacing w:lineRule="auto" w:line="256" w:before="0" w:after="160"/>
        <w:ind w:left="1440" w:right="1440" w:hanging="0"/>
        <w:rPr>
          <w:rFonts w:ascii="Calibri" w:hAnsi="Calibri"/>
          <w:sz w:val="22"/>
        </w:rPr>
      </w:pPr>
      <w:r>
        <w:rPr>
          <w:rFonts w:ascii="Times New Roman" w:hAnsi="Times New Roman"/>
          <w:i/>
          <w:sz w:val="22"/>
          <w:u w:val="single"/>
        </w:rPr>
        <w:t>/s/ David C. Finch</w:t>
      </w:r>
      <w:r>
        <w:rPr>
          <w:rFonts w:ascii="Calibri" w:hAnsi="Calibri"/>
          <w:sz w:val="22"/>
        </w:rPr>
        <w:t xml:space="preserve"> </w:t>
      </w:r>
    </w:p>
    <w:p>
      <w:pPr>
        <w:pStyle w:val="TextBody"/>
        <w:spacing w:lineRule="auto" w:line="256" w:before="0" w:after="160"/>
        <w:ind w:left="1440" w:right="1440" w:hanging="0"/>
        <w:rPr>
          <w:rFonts w:ascii="Calibri" w:hAnsi="Calibri"/>
          <w:sz w:val="22"/>
        </w:rPr>
      </w:pPr>
      <w:r>
        <w:rPr>
          <w:rFonts w:ascii="Times New Roman" w:hAnsi="Times New Roman"/>
          <w:sz w:val="22"/>
        </w:rPr>
        <w:t>David C. Finch</w:t>
      </w:r>
      <w:r>
        <w:rPr>
          <w:rFonts w:ascii="Calibri" w:hAnsi="Calibri"/>
          <w:sz w:val="22"/>
        </w:rPr>
        <w:t xml:space="preserve"> </w:t>
      </w:r>
    </w:p>
    <w:p>
      <w:pPr>
        <w:pStyle w:val="HorizontalLine"/>
        <w:pBdr>
          <w:bottom w:val="double" w:sz="6" w:space="0" w:color="808080"/>
        </w:pBdr>
        <w:ind w:left="1440" w:right="1440" w:hanging="0"/>
        <w:rPr/>
      </w:pPr>
      <w:r>
        <w:rPr/>
      </w:r>
      <w:r>
        <w:br w:type="page"/>
      </w:r>
    </w:p>
    <w:p>
      <w:pPr>
        <w:pStyle w:val="TextBody"/>
        <w:spacing w:lineRule="auto" w:line="288" w:before="0" w:after="0"/>
        <w:ind w:left="1000" w:right="1000" w:hanging="0"/>
        <w:jc w:val="right"/>
        <w:rPr>
          <w:rFonts w:ascii="Times New Roman" w:hAnsi="Times New Roman"/>
          <w:sz w:val="20"/>
        </w:rPr>
      </w:pPr>
      <w:bookmarkStart w:id="41" w:name="dlth-20210131xex31_1.htm"/>
      <w:bookmarkStart w:id="42" w:name="ksdlth20210131xex31_1"/>
      <w:bookmarkEnd w:id="41"/>
      <w:bookmarkEnd w:id="42"/>
      <w:r>
        <w:rPr>
          <w:rFonts w:ascii="Times New Roman" w:hAnsi="Times New Roman"/>
          <w:b/>
          <w:sz w:val="20"/>
        </w:rPr>
        <w:t>Exhibit 31.1</w:t>
      </w:r>
      <w:r>
        <w:rPr>
          <w:rFonts w:ascii="Times New Roman" w:hAnsi="Times New Roman"/>
          <w:sz w:val="20"/>
        </w:rPr>
        <w:t xml:space="preserve"> </w:t>
      </w:r>
    </w:p>
    <w:p>
      <w:pPr>
        <w:pStyle w:val="TextBody"/>
        <w:spacing w:lineRule="auto" w:line="288" w:before="360" w:after="0"/>
        <w:ind w:left="1000" w:right="1000" w:hanging="0"/>
        <w:jc w:val="center"/>
        <w:rPr>
          <w:rFonts w:ascii="Times New Roman" w:hAnsi="Times New Roman"/>
          <w:sz w:val="20"/>
        </w:rPr>
      </w:pPr>
      <w:r>
        <w:rPr>
          <w:rFonts w:ascii="Times New Roman" w:hAnsi="Times New Roman"/>
          <w:b/>
          <w:sz w:val="20"/>
        </w:rPr>
        <w:t>CERTIFICATIONS</w:t>
      </w:r>
      <w:r>
        <w:rPr>
          <w:rFonts w:ascii="Times New Roman" w:hAnsi="Times New Roman"/>
          <w:sz w:val="20"/>
        </w:rPr>
        <w:t xml:space="preserve"> </w:t>
      </w:r>
    </w:p>
    <w:p>
      <w:pPr>
        <w:pStyle w:val="TextBody"/>
        <w:spacing w:lineRule="auto" w:line="288" w:before="180" w:after="0"/>
        <w:ind w:left="1000" w:right="1000" w:hanging="0"/>
        <w:rPr>
          <w:rFonts w:ascii="Times New Roman" w:hAnsi="Times New Roman"/>
          <w:sz w:val="20"/>
        </w:rPr>
      </w:pPr>
      <w:r>
        <w:rPr>
          <w:rFonts w:ascii="Times New Roman" w:hAnsi="Times New Roman"/>
          <w:sz w:val="20"/>
        </w:rPr>
        <w:t xml:space="preserve">I, Stephen L. Schlecht, Chief Executive Officer, certify that: </w:t>
      </w:r>
    </w:p>
    <w:tbl>
      <w:tblPr>
        <w:tblW w:w="7826" w:type="dxa"/>
        <w:jc w:val="left"/>
        <w:tblInd w:w="1000" w:type="dxa"/>
        <w:tblCellMar>
          <w:top w:w="0" w:type="dxa"/>
          <w:left w:w="0" w:type="dxa"/>
          <w:bottom w:w="0" w:type="dxa"/>
          <w:right w:w="0" w:type="dxa"/>
        </w:tblCellMar>
      </w:tblPr>
      <w:tblGrid>
        <w:gridCol w:w="38"/>
        <w:gridCol w:w="215"/>
        <w:gridCol w:w="23"/>
        <w:gridCol w:w="7550"/>
      </w:tblGrid>
      <w:tr>
        <w:trPr/>
        <w:tc>
          <w:tcPr>
            <w:tcW w:w="38"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tcPr>
          <w:p>
            <w:pPr>
              <w:pStyle w:val="TableContents"/>
              <w:spacing w:lineRule="auto" w:line="288" w:before="180" w:after="0"/>
              <w:ind w:left="0" w:right="0" w:hanging="0"/>
              <w:jc w:val="left"/>
              <w:rPr>
                <w:rFonts w:ascii="Times New Roman" w:hAnsi="Times New Roman"/>
                <w:sz w:val="20"/>
              </w:rPr>
            </w:pPr>
            <w:r>
              <w:rPr>
                <w:rFonts w:ascii="Times New Roman" w:hAnsi="Times New Roman"/>
                <w:sz w:val="20"/>
              </w:rPr>
              <w:t xml:space="preserve">1. </w:t>
            </w:r>
          </w:p>
        </w:tc>
        <w:tc>
          <w:tcPr>
            <w:tcW w:w="23" w:type="dxa"/>
            <w:tcBorders/>
            <w:shd w:fill="auto" w:val="clear"/>
            <w:vAlign w:val="center"/>
          </w:tcPr>
          <w:p>
            <w:pPr>
              <w:pStyle w:val="TableContents"/>
              <w:spacing w:before="0" w:after="283"/>
              <w:rPr>
                <w:sz w:val="4"/>
                <w:szCs w:val="4"/>
              </w:rPr>
            </w:pPr>
            <w:r>
              <w:rPr>
                <w:sz w:val="4"/>
                <w:szCs w:val="4"/>
              </w:rPr>
            </w:r>
          </w:p>
        </w:tc>
        <w:tc>
          <w:tcPr>
            <w:tcW w:w="7550" w:type="dxa"/>
            <w:tcBorders/>
            <w:shd w:fill="auto" w:val="clear"/>
          </w:tcPr>
          <w:p>
            <w:pPr>
              <w:pStyle w:val="TableContents"/>
              <w:spacing w:lineRule="auto" w:line="288" w:before="180" w:after="0"/>
              <w:ind w:left="0" w:right="0" w:hanging="0"/>
              <w:jc w:val="left"/>
              <w:rPr>
                <w:rFonts w:ascii="Times New Roman" w:hAnsi="Times New Roman"/>
                <w:color w:val="000000"/>
                <w:sz w:val="20"/>
              </w:rPr>
            </w:pPr>
            <w:r>
              <w:rPr>
                <w:rFonts w:ascii="Times New Roman" w:hAnsi="Times New Roman"/>
                <w:color w:val="000000"/>
                <w:sz w:val="20"/>
              </w:rPr>
              <w:t>I have reviewed this Annual  Report on Form 10-K of Duluth Holdings Inc. (the “registrant”);</w:t>
            </w:r>
          </w:p>
        </w:tc>
      </w:tr>
    </w:tbl>
    <w:tbl>
      <w:tblPr>
        <w:tblW w:w="8205" w:type="dxa"/>
        <w:jc w:val="left"/>
        <w:tblInd w:w="1000" w:type="dxa"/>
        <w:tblCellMar>
          <w:top w:w="0" w:type="dxa"/>
          <w:left w:w="0" w:type="dxa"/>
          <w:bottom w:w="0" w:type="dxa"/>
          <w:right w:w="0" w:type="dxa"/>
        </w:tblCellMar>
      </w:tblPr>
      <w:tblGrid>
        <w:gridCol w:w="38"/>
        <w:gridCol w:w="151"/>
        <w:gridCol w:w="23"/>
        <w:gridCol w:w="7993"/>
      </w:tblGrid>
      <w:tr>
        <w:trPr/>
        <w:tc>
          <w:tcPr>
            <w:tcW w:w="3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tcPr>
          <w:p>
            <w:pPr>
              <w:pStyle w:val="TableContents"/>
              <w:spacing w:lineRule="auto" w:line="288" w:before="180" w:after="0"/>
              <w:ind w:left="0" w:right="0" w:hanging="0"/>
              <w:jc w:val="left"/>
              <w:rPr>
                <w:rFonts w:ascii="Times New Roman" w:hAnsi="Times New Roman"/>
                <w:sz w:val="20"/>
              </w:rPr>
            </w:pPr>
            <w:r>
              <w:rPr>
                <w:rFonts w:ascii="Times New Roman" w:hAnsi="Times New Roman"/>
                <w:sz w:val="20"/>
              </w:rPr>
              <w:t xml:space="preserve">2. </w:t>
            </w:r>
          </w:p>
        </w:tc>
        <w:tc>
          <w:tcPr>
            <w:tcW w:w="23" w:type="dxa"/>
            <w:tcBorders/>
            <w:shd w:fill="auto" w:val="clear"/>
            <w:vAlign w:val="center"/>
          </w:tcPr>
          <w:p>
            <w:pPr>
              <w:pStyle w:val="TableContents"/>
              <w:spacing w:before="0" w:after="283"/>
              <w:rPr>
                <w:sz w:val="4"/>
                <w:szCs w:val="4"/>
              </w:rPr>
            </w:pPr>
            <w:r>
              <w:rPr>
                <w:sz w:val="4"/>
                <w:szCs w:val="4"/>
              </w:rPr>
            </w:r>
          </w:p>
        </w:tc>
        <w:tc>
          <w:tcPr>
            <w:tcW w:w="7993" w:type="dxa"/>
            <w:tcBorders/>
            <w:shd w:fill="auto" w:val="clear"/>
          </w:tcPr>
          <w:p>
            <w:pPr>
              <w:pStyle w:val="TableContents"/>
              <w:spacing w:lineRule="auto" w:line="288" w:before="180" w:after="0"/>
              <w:ind w:left="0" w:right="0" w:hanging="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8205" w:type="dxa"/>
        <w:jc w:val="left"/>
        <w:tblInd w:w="1000" w:type="dxa"/>
        <w:tblCellMar>
          <w:top w:w="0" w:type="dxa"/>
          <w:left w:w="0" w:type="dxa"/>
          <w:bottom w:w="0" w:type="dxa"/>
          <w:right w:w="0" w:type="dxa"/>
        </w:tblCellMar>
      </w:tblPr>
      <w:tblGrid>
        <w:gridCol w:w="38"/>
        <w:gridCol w:w="155"/>
        <w:gridCol w:w="23"/>
        <w:gridCol w:w="7989"/>
      </w:tblGrid>
      <w:tr>
        <w:trPr/>
        <w:tc>
          <w:tcPr>
            <w:tcW w:w="3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tcPr>
          <w:p>
            <w:pPr>
              <w:pStyle w:val="TableContents"/>
              <w:spacing w:lineRule="auto" w:line="288" w:before="180" w:after="0"/>
              <w:ind w:left="0" w:right="0" w:hanging="0"/>
              <w:jc w:val="left"/>
              <w:rPr>
                <w:rFonts w:ascii="Times New Roman" w:hAnsi="Times New Roman"/>
                <w:sz w:val="20"/>
              </w:rPr>
            </w:pPr>
            <w:r>
              <w:rPr>
                <w:rFonts w:ascii="Times New Roman" w:hAnsi="Times New Roman"/>
                <w:sz w:val="20"/>
              </w:rPr>
              <w:t xml:space="preserve">3. </w:t>
            </w:r>
          </w:p>
        </w:tc>
        <w:tc>
          <w:tcPr>
            <w:tcW w:w="23" w:type="dxa"/>
            <w:tcBorders/>
            <w:shd w:fill="auto" w:val="clear"/>
            <w:vAlign w:val="center"/>
          </w:tcPr>
          <w:p>
            <w:pPr>
              <w:pStyle w:val="TableContents"/>
              <w:spacing w:before="0" w:after="283"/>
              <w:rPr>
                <w:sz w:val="4"/>
                <w:szCs w:val="4"/>
              </w:rPr>
            </w:pPr>
            <w:r>
              <w:rPr>
                <w:sz w:val="4"/>
                <w:szCs w:val="4"/>
              </w:rPr>
            </w:r>
          </w:p>
        </w:tc>
        <w:tc>
          <w:tcPr>
            <w:tcW w:w="7989" w:type="dxa"/>
            <w:tcBorders/>
            <w:shd w:fill="auto" w:val="clear"/>
          </w:tcPr>
          <w:p>
            <w:pPr>
              <w:pStyle w:val="TableContents"/>
              <w:spacing w:lineRule="auto" w:line="288" w:before="180" w:after="0"/>
              <w:ind w:left="0" w:right="0" w:hanging="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8205" w:type="dxa"/>
        <w:jc w:val="left"/>
        <w:tblInd w:w="1000" w:type="dxa"/>
        <w:tblCellMar>
          <w:top w:w="0" w:type="dxa"/>
          <w:left w:w="0" w:type="dxa"/>
          <w:bottom w:w="0" w:type="dxa"/>
          <w:right w:w="0" w:type="dxa"/>
        </w:tblCellMar>
      </w:tblPr>
      <w:tblGrid>
        <w:gridCol w:w="38"/>
        <w:gridCol w:w="149"/>
        <w:gridCol w:w="23"/>
        <w:gridCol w:w="7995"/>
      </w:tblGrid>
      <w:tr>
        <w:trPr/>
        <w:tc>
          <w:tcPr>
            <w:tcW w:w="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tcPr>
          <w:p>
            <w:pPr>
              <w:pStyle w:val="TableContents"/>
              <w:spacing w:lineRule="auto" w:line="288" w:before="180" w:after="0"/>
              <w:ind w:left="0" w:right="0" w:hanging="0"/>
              <w:jc w:val="left"/>
              <w:rPr>
                <w:rFonts w:ascii="Times New Roman" w:hAnsi="Times New Roman"/>
                <w:sz w:val="20"/>
              </w:rPr>
            </w:pPr>
            <w:r>
              <w:rPr>
                <w:rFonts w:ascii="Times New Roman" w:hAnsi="Times New Roman"/>
                <w:sz w:val="20"/>
              </w:rPr>
              <w:t xml:space="preserve">4. </w:t>
            </w:r>
          </w:p>
        </w:tc>
        <w:tc>
          <w:tcPr>
            <w:tcW w:w="23" w:type="dxa"/>
            <w:tcBorders/>
            <w:shd w:fill="auto" w:val="clear"/>
            <w:vAlign w:val="center"/>
          </w:tcPr>
          <w:p>
            <w:pPr>
              <w:pStyle w:val="TableContents"/>
              <w:spacing w:before="0" w:after="283"/>
              <w:rPr>
                <w:sz w:val="4"/>
                <w:szCs w:val="4"/>
              </w:rPr>
            </w:pPr>
            <w:r>
              <w:rPr>
                <w:sz w:val="4"/>
                <w:szCs w:val="4"/>
              </w:rPr>
            </w:r>
          </w:p>
        </w:tc>
        <w:tc>
          <w:tcPr>
            <w:tcW w:w="7995" w:type="dxa"/>
            <w:tcBorders/>
            <w:shd w:fill="auto" w:val="clear"/>
          </w:tcPr>
          <w:p>
            <w:pPr>
              <w:pStyle w:val="TableContents"/>
              <w:spacing w:lineRule="auto" w:line="288" w:before="180" w:after="0"/>
              <w:ind w:left="0" w:right="0" w:hanging="0"/>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8205" w:type="dxa"/>
        <w:jc w:val="left"/>
        <w:tblInd w:w="1000" w:type="dxa"/>
        <w:tblCellMar>
          <w:top w:w="0" w:type="dxa"/>
          <w:left w:w="0" w:type="dxa"/>
          <w:bottom w:w="0" w:type="dxa"/>
          <w:right w:w="0" w:type="dxa"/>
        </w:tblCellMar>
      </w:tblPr>
      <w:tblGrid>
        <w:gridCol w:w="38"/>
        <w:gridCol w:w="147"/>
        <w:gridCol w:w="23"/>
        <w:gridCol w:w="7997"/>
      </w:tblGrid>
      <w:tr>
        <w:trPr/>
        <w:tc>
          <w:tcPr>
            <w:tcW w:w="38"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tcPr>
          <w:p>
            <w:pPr>
              <w:pStyle w:val="TableContents"/>
              <w:spacing w:lineRule="auto" w:line="288" w:before="100" w:after="0"/>
              <w:ind w:left="0" w:right="0" w:hanging="0"/>
              <w:jc w:val="left"/>
              <w:rPr>
                <w:rFonts w:ascii="Times New Roman" w:hAnsi="Times New Roman"/>
                <w:sz w:val="20"/>
              </w:rPr>
            </w:pPr>
            <w:r>
              <w:rPr>
                <w:rFonts w:ascii="Times New Roman" w:hAnsi="Times New Roman"/>
                <w:sz w:val="20"/>
              </w:rPr>
              <w:t xml:space="preserve">a) </w:t>
            </w:r>
          </w:p>
        </w:tc>
        <w:tc>
          <w:tcPr>
            <w:tcW w:w="23" w:type="dxa"/>
            <w:tcBorders/>
            <w:shd w:fill="auto" w:val="clear"/>
            <w:vAlign w:val="center"/>
          </w:tcPr>
          <w:p>
            <w:pPr>
              <w:pStyle w:val="TableContents"/>
              <w:spacing w:before="0" w:after="283"/>
              <w:rPr>
                <w:sz w:val="4"/>
                <w:szCs w:val="4"/>
              </w:rPr>
            </w:pPr>
            <w:r>
              <w:rPr>
                <w:sz w:val="4"/>
                <w:szCs w:val="4"/>
              </w:rPr>
            </w:r>
          </w:p>
        </w:tc>
        <w:tc>
          <w:tcPr>
            <w:tcW w:w="7997" w:type="dxa"/>
            <w:tcBorders/>
            <w:shd w:fill="auto" w:val="clear"/>
          </w:tcPr>
          <w:p>
            <w:pPr>
              <w:pStyle w:val="TableContents"/>
              <w:spacing w:lineRule="auto" w:line="288" w:before="100" w:after="0"/>
              <w:ind w:left="0" w:right="0" w:hanging="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8205" w:type="dxa"/>
        <w:jc w:val="left"/>
        <w:tblInd w:w="1000" w:type="dxa"/>
        <w:tblCellMar>
          <w:top w:w="0" w:type="dxa"/>
          <w:left w:w="0" w:type="dxa"/>
          <w:bottom w:w="0" w:type="dxa"/>
          <w:right w:w="0" w:type="dxa"/>
        </w:tblCellMar>
      </w:tblPr>
      <w:tblGrid>
        <w:gridCol w:w="38"/>
        <w:gridCol w:w="151"/>
        <w:gridCol w:w="23"/>
        <w:gridCol w:w="7993"/>
      </w:tblGrid>
      <w:tr>
        <w:trPr/>
        <w:tc>
          <w:tcPr>
            <w:tcW w:w="3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tcPr>
          <w:p>
            <w:pPr>
              <w:pStyle w:val="TableContents"/>
              <w:spacing w:lineRule="auto" w:line="288" w:before="100" w:after="0"/>
              <w:ind w:left="0" w:right="0" w:hanging="0"/>
              <w:jc w:val="left"/>
              <w:rPr>
                <w:rFonts w:ascii="Times New Roman" w:hAnsi="Times New Roman"/>
                <w:sz w:val="20"/>
              </w:rPr>
            </w:pPr>
            <w:r>
              <w:rPr>
                <w:rFonts w:ascii="Times New Roman" w:hAnsi="Times New Roman"/>
                <w:sz w:val="20"/>
              </w:rPr>
              <w:t xml:space="preserve">b) </w:t>
            </w:r>
          </w:p>
        </w:tc>
        <w:tc>
          <w:tcPr>
            <w:tcW w:w="23" w:type="dxa"/>
            <w:tcBorders/>
            <w:shd w:fill="auto" w:val="clear"/>
            <w:vAlign w:val="center"/>
          </w:tcPr>
          <w:p>
            <w:pPr>
              <w:pStyle w:val="TableContents"/>
              <w:spacing w:before="0" w:after="283"/>
              <w:rPr>
                <w:sz w:val="4"/>
                <w:szCs w:val="4"/>
              </w:rPr>
            </w:pPr>
            <w:r>
              <w:rPr>
                <w:sz w:val="4"/>
                <w:szCs w:val="4"/>
              </w:rPr>
            </w:r>
          </w:p>
        </w:tc>
        <w:tc>
          <w:tcPr>
            <w:tcW w:w="7993" w:type="dxa"/>
            <w:tcBorders/>
            <w:shd w:fill="auto" w:val="clear"/>
          </w:tcPr>
          <w:p>
            <w:pPr>
              <w:pStyle w:val="TableContents"/>
              <w:spacing w:lineRule="auto" w:line="288" w:before="100" w:after="0"/>
              <w:ind w:left="0" w:right="0" w:hanging="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8205" w:type="dxa"/>
        <w:jc w:val="left"/>
        <w:tblInd w:w="1000" w:type="dxa"/>
        <w:tblCellMar>
          <w:top w:w="0" w:type="dxa"/>
          <w:left w:w="0" w:type="dxa"/>
          <w:bottom w:w="0" w:type="dxa"/>
          <w:right w:w="0" w:type="dxa"/>
        </w:tblCellMar>
      </w:tblPr>
      <w:tblGrid>
        <w:gridCol w:w="38"/>
        <w:gridCol w:w="154"/>
        <w:gridCol w:w="23"/>
        <w:gridCol w:w="7990"/>
      </w:tblGrid>
      <w:tr>
        <w:trPr/>
        <w:tc>
          <w:tcPr>
            <w:tcW w:w="38"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lineRule="auto" w:line="288" w:before="100" w:after="0"/>
              <w:ind w:left="0" w:right="0" w:hanging="0"/>
              <w:jc w:val="left"/>
              <w:rPr>
                <w:rFonts w:ascii="Times New Roman" w:hAnsi="Times New Roman"/>
                <w:sz w:val="20"/>
              </w:rPr>
            </w:pPr>
            <w:r>
              <w:rPr>
                <w:rFonts w:ascii="Times New Roman" w:hAnsi="Times New Roman"/>
                <w:sz w:val="20"/>
              </w:rPr>
              <w:t xml:space="preserve">c) </w:t>
            </w:r>
          </w:p>
        </w:tc>
        <w:tc>
          <w:tcPr>
            <w:tcW w:w="23" w:type="dxa"/>
            <w:tcBorders/>
            <w:shd w:fill="auto" w:val="clear"/>
            <w:vAlign w:val="center"/>
          </w:tcPr>
          <w:p>
            <w:pPr>
              <w:pStyle w:val="TableContents"/>
              <w:spacing w:before="0" w:after="283"/>
              <w:rPr>
                <w:sz w:val="4"/>
                <w:szCs w:val="4"/>
              </w:rPr>
            </w:pPr>
            <w:r>
              <w:rPr>
                <w:sz w:val="4"/>
                <w:szCs w:val="4"/>
              </w:rPr>
            </w:r>
          </w:p>
        </w:tc>
        <w:tc>
          <w:tcPr>
            <w:tcW w:w="7990" w:type="dxa"/>
            <w:tcBorders/>
            <w:shd w:fill="auto" w:val="clear"/>
          </w:tcPr>
          <w:p>
            <w:pPr>
              <w:pStyle w:val="TableContents"/>
              <w:spacing w:lineRule="auto" w:line="288" w:before="100" w:after="0"/>
              <w:ind w:left="0" w:right="0" w:hanging="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8205" w:type="dxa"/>
        <w:jc w:val="left"/>
        <w:tblInd w:w="1000" w:type="dxa"/>
        <w:tblCellMar>
          <w:top w:w="0" w:type="dxa"/>
          <w:left w:w="0" w:type="dxa"/>
          <w:bottom w:w="0" w:type="dxa"/>
          <w:right w:w="0" w:type="dxa"/>
        </w:tblCellMar>
      </w:tblPr>
      <w:tblGrid>
        <w:gridCol w:w="38"/>
        <w:gridCol w:w="151"/>
        <w:gridCol w:w="23"/>
        <w:gridCol w:w="7993"/>
      </w:tblGrid>
      <w:tr>
        <w:trPr/>
        <w:tc>
          <w:tcPr>
            <w:tcW w:w="3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tcPr>
          <w:p>
            <w:pPr>
              <w:pStyle w:val="TableContents"/>
              <w:spacing w:lineRule="auto" w:line="288" w:before="100" w:after="0"/>
              <w:ind w:left="0" w:right="0" w:hanging="0"/>
              <w:jc w:val="left"/>
              <w:rPr>
                <w:rFonts w:ascii="Times New Roman" w:hAnsi="Times New Roman"/>
                <w:sz w:val="20"/>
              </w:rPr>
            </w:pPr>
            <w:r>
              <w:rPr>
                <w:rFonts w:ascii="Times New Roman" w:hAnsi="Times New Roman"/>
                <w:sz w:val="20"/>
              </w:rPr>
              <w:t xml:space="preserve">d) </w:t>
            </w:r>
          </w:p>
        </w:tc>
        <w:tc>
          <w:tcPr>
            <w:tcW w:w="23" w:type="dxa"/>
            <w:tcBorders/>
            <w:shd w:fill="auto" w:val="clear"/>
            <w:vAlign w:val="center"/>
          </w:tcPr>
          <w:p>
            <w:pPr>
              <w:pStyle w:val="TableContents"/>
              <w:spacing w:before="0" w:after="283"/>
              <w:rPr>
                <w:sz w:val="4"/>
                <w:szCs w:val="4"/>
              </w:rPr>
            </w:pPr>
            <w:r>
              <w:rPr>
                <w:sz w:val="4"/>
                <w:szCs w:val="4"/>
              </w:rPr>
            </w:r>
          </w:p>
        </w:tc>
        <w:tc>
          <w:tcPr>
            <w:tcW w:w="7993" w:type="dxa"/>
            <w:tcBorders/>
            <w:shd w:fill="auto" w:val="clear"/>
          </w:tcPr>
          <w:p>
            <w:pPr>
              <w:pStyle w:val="TableContents"/>
              <w:spacing w:lineRule="auto" w:line="288" w:before="100" w:after="0"/>
              <w:ind w:left="0" w:right="0" w:hanging="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8205" w:type="dxa"/>
        <w:jc w:val="left"/>
        <w:tblInd w:w="1000" w:type="dxa"/>
        <w:tblCellMar>
          <w:top w:w="0" w:type="dxa"/>
          <w:left w:w="0" w:type="dxa"/>
          <w:bottom w:w="0" w:type="dxa"/>
          <w:right w:w="0" w:type="dxa"/>
        </w:tblCellMar>
      </w:tblPr>
      <w:tblGrid>
        <w:gridCol w:w="38"/>
        <w:gridCol w:w="152"/>
        <w:gridCol w:w="23"/>
        <w:gridCol w:w="7992"/>
      </w:tblGrid>
      <w:tr>
        <w:trPr/>
        <w:tc>
          <w:tcPr>
            <w:tcW w:w="38"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tcPr>
          <w:p>
            <w:pPr>
              <w:pStyle w:val="TableContents"/>
              <w:spacing w:lineRule="auto" w:line="288" w:before="180" w:after="0"/>
              <w:ind w:left="0" w:right="0" w:hanging="0"/>
              <w:jc w:val="left"/>
              <w:rPr>
                <w:rFonts w:ascii="Times New Roman" w:hAnsi="Times New Roman"/>
                <w:sz w:val="20"/>
              </w:rPr>
            </w:pPr>
            <w:r>
              <w:rPr>
                <w:rFonts w:ascii="Times New Roman" w:hAnsi="Times New Roman"/>
                <w:sz w:val="20"/>
              </w:rPr>
              <w:t xml:space="preserve">5. </w:t>
            </w:r>
          </w:p>
        </w:tc>
        <w:tc>
          <w:tcPr>
            <w:tcW w:w="23" w:type="dxa"/>
            <w:tcBorders/>
            <w:shd w:fill="auto" w:val="clear"/>
            <w:vAlign w:val="center"/>
          </w:tcPr>
          <w:p>
            <w:pPr>
              <w:pStyle w:val="TableContents"/>
              <w:spacing w:before="0" w:after="283"/>
              <w:rPr>
                <w:sz w:val="4"/>
                <w:szCs w:val="4"/>
              </w:rPr>
            </w:pPr>
            <w:r>
              <w:rPr>
                <w:sz w:val="4"/>
                <w:szCs w:val="4"/>
              </w:rPr>
            </w:r>
          </w:p>
        </w:tc>
        <w:tc>
          <w:tcPr>
            <w:tcW w:w="7992" w:type="dxa"/>
            <w:tcBorders/>
            <w:shd w:fill="auto" w:val="clear"/>
          </w:tcPr>
          <w:p>
            <w:pPr>
              <w:pStyle w:val="TableContents"/>
              <w:spacing w:lineRule="auto" w:line="288" w:before="180" w:after="0"/>
              <w:ind w:left="0" w:right="0" w:hanging="0"/>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8205" w:type="dxa"/>
        <w:jc w:val="left"/>
        <w:tblInd w:w="1000" w:type="dxa"/>
        <w:tblCellMar>
          <w:top w:w="0" w:type="dxa"/>
          <w:left w:w="0" w:type="dxa"/>
          <w:bottom w:w="0" w:type="dxa"/>
          <w:right w:w="0" w:type="dxa"/>
        </w:tblCellMar>
      </w:tblPr>
      <w:tblGrid>
        <w:gridCol w:w="38"/>
        <w:gridCol w:w="156"/>
        <w:gridCol w:w="23"/>
        <w:gridCol w:w="7988"/>
      </w:tblGrid>
      <w:tr>
        <w:trPr/>
        <w:tc>
          <w:tcPr>
            <w:tcW w:w="3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tcPr>
          <w:p>
            <w:pPr>
              <w:pStyle w:val="TableContents"/>
              <w:spacing w:lineRule="auto" w:line="288" w:before="100" w:after="0"/>
              <w:ind w:left="0" w:right="0" w:hanging="0"/>
              <w:jc w:val="left"/>
              <w:rPr>
                <w:rFonts w:ascii="Times New Roman" w:hAnsi="Times New Roman"/>
                <w:sz w:val="20"/>
              </w:rPr>
            </w:pPr>
            <w:r>
              <w:rPr>
                <w:rFonts w:ascii="Times New Roman" w:hAnsi="Times New Roman"/>
                <w:sz w:val="20"/>
              </w:rPr>
              <w:t xml:space="preserve">a) </w:t>
            </w:r>
          </w:p>
        </w:tc>
        <w:tc>
          <w:tcPr>
            <w:tcW w:w="23" w:type="dxa"/>
            <w:tcBorders/>
            <w:shd w:fill="auto" w:val="clear"/>
            <w:vAlign w:val="center"/>
          </w:tcPr>
          <w:p>
            <w:pPr>
              <w:pStyle w:val="TableContents"/>
              <w:spacing w:before="0" w:after="283"/>
              <w:rPr>
                <w:sz w:val="4"/>
                <w:szCs w:val="4"/>
              </w:rPr>
            </w:pPr>
            <w:r>
              <w:rPr>
                <w:sz w:val="4"/>
                <w:szCs w:val="4"/>
              </w:rPr>
            </w:r>
          </w:p>
        </w:tc>
        <w:tc>
          <w:tcPr>
            <w:tcW w:w="7988" w:type="dxa"/>
            <w:tcBorders/>
            <w:shd w:fill="auto" w:val="clear"/>
          </w:tcPr>
          <w:p>
            <w:pPr>
              <w:pStyle w:val="TableContents"/>
              <w:spacing w:lineRule="auto" w:line="288" w:before="100" w:after="0"/>
              <w:ind w:left="0" w:right="0" w:hanging="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8205" w:type="dxa"/>
        <w:jc w:val="left"/>
        <w:tblInd w:w="1000" w:type="dxa"/>
        <w:tblCellMar>
          <w:top w:w="0" w:type="dxa"/>
          <w:left w:w="0" w:type="dxa"/>
          <w:bottom w:w="0" w:type="dxa"/>
          <w:right w:w="0" w:type="dxa"/>
        </w:tblCellMar>
      </w:tblPr>
      <w:tblGrid>
        <w:gridCol w:w="38"/>
        <w:gridCol w:w="182"/>
        <w:gridCol w:w="23"/>
        <w:gridCol w:w="7962"/>
      </w:tblGrid>
      <w:tr>
        <w:trPr/>
        <w:tc>
          <w:tcPr>
            <w:tcW w:w="38"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tcPr>
          <w:p>
            <w:pPr>
              <w:pStyle w:val="TableContents"/>
              <w:spacing w:lineRule="auto" w:line="288" w:before="100" w:after="0"/>
              <w:ind w:left="0" w:right="0" w:hanging="0"/>
              <w:jc w:val="left"/>
              <w:rPr>
                <w:rFonts w:ascii="Times New Roman" w:hAnsi="Times New Roman"/>
                <w:sz w:val="20"/>
              </w:rPr>
            </w:pPr>
            <w:r>
              <w:rPr>
                <w:rFonts w:ascii="Times New Roman" w:hAnsi="Times New Roman"/>
                <w:sz w:val="20"/>
              </w:rPr>
              <w:t xml:space="preserve">b) </w:t>
            </w:r>
          </w:p>
        </w:tc>
        <w:tc>
          <w:tcPr>
            <w:tcW w:w="23" w:type="dxa"/>
            <w:tcBorders/>
            <w:shd w:fill="auto" w:val="clear"/>
            <w:vAlign w:val="center"/>
          </w:tcPr>
          <w:p>
            <w:pPr>
              <w:pStyle w:val="TableContents"/>
              <w:spacing w:before="0" w:after="283"/>
              <w:rPr>
                <w:sz w:val="4"/>
                <w:szCs w:val="4"/>
              </w:rPr>
            </w:pPr>
            <w:r>
              <w:rPr>
                <w:sz w:val="4"/>
                <w:szCs w:val="4"/>
              </w:rPr>
            </w:r>
          </w:p>
        </w:tc>
        <w:tc>
          <w:tcPr>
            <w:tcW w:w="7962" w:type="dxa"/>
            <w:tcBorders/>
            <w:shd w:fill="auto" w:val="clear"/>
          </w:tcPr>
          <w:p>
            <w:pPr>
              <w:pStyle w:val="TableContents"/>
              <w:spacing w:lineRule="auto" w:line="288" w:before="100" w:after="0"/>
              <w:ind w:left="0" w:right="0" w:hanging="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spacing w:lineRule="auto" w:line="288" w:before="180" w:after="0"/>
        <w:ind w:left="1000" w:right="1000" w:hanging="0"/>
        <w:rPr>
          <w:rFonts w:ascii="Times New Roman" w:hAnsi="Times New Roman"/>
          <w:sz w:val="20"/>
        </w:rPr>
      </w:pPr>
      <w:r>
        <w:rPr>
          <w:rFonts w:ascii="Times New Roman" w:hAnsi="Times New Roman"/>
          <w:color w:val="000000"/>
          <w:sz w:val="20"/>
        </w:rPr>
        <w:t>Date: March 26, 2021 </w:t>
      </w:r>
      <w:r>
        <w:rPr>
          <w:rFonts w:ascii="Times New Roman" w:hAnsi="Times New Roman"/>
          <w:sz w:val="20"/>
        </w:rPr>
        <w:t xml:space="preserve"> </w:t>
      </w:r>
    </w:p>
    <w:p>
      <w:pPr>
        <w:pStyle w:val="TextBody"/>
        <w:spacing w:lineRule="auto" w:line="288" w:before="0" w:after="0"/>
        <w:ind w:left="1000" w:right="1000" w:hanging="0"/>
        <w:rPr/>
      </w:pPr>
      <w:r>
        <w:rPr/>
        <w:t xml:space="preserve">  </w:t>
      </w:r>
    </w:p>
    <w:p>
      <w:pPr>
        <w:pStyle w:val="TextBody"/>
        <w:spacing w:lineRule="atLeast" w:line="200" w:before="0" w:after="0"/>
        <w:ind w:left="1000" w:right="1000" w:hanging="0"/>
        <w:rPr>
          <w:rFonts w:cs="Times New Roman"/>
          <w:szCs w:val="20"/>
        </w:rPr>
      </w:pPr>
      <w:r>
        <w:rPr>
          <w:rFonts w:cs="Times New Roman"/>
          <w:color w:val="000000"/>
          <w:szCs w:val="20"/>
        </w:rPr>
        <w:t>﻿</w:t>
      </w:r>
      <w:r>
        <w:rPr>
          <w:rFonts w:cs="Times New Roman"/>
          <w:szCs w:val="20"/>
        </w:rPr>
        <w:t xml:space="preserve"> </w:t>
      </w:r>
    </w:p>
    <w:tbl>
      <w:tblPr>
        <w:tblW w:w="1985" w:type="dxa"/>
        <w:jc w:val="left"/>
        <w:tblInd w:w="1000" w:type="dxa"/>
        <w:tblCellMar>
          <w:top w:w="0" w:type="dxa"/>
          <w:left w:w="0" w:type="dxa"/>
          <w:bottom w:w="0" w:type="dxa"/>
          <w:right w:w="0" w:type="dxa"/>
        </w:tblCellMar>
      </w:tblPr>
      <w:tblGrid>
        <w:gridCol w:w="1985"/>
      </w:tblGrid>
      <w:tr>
        <w:trPr/>
        <w:tc>
          <w:tcPr>
            <w:tcW w:w="1985" w:type="dxa"/>
            <w:tcBorders/>
            <w:shd w:fill="auto" w:val="clear"/>
            <w:vAlign w:val="bottom"/>
          </w:tcPr>
          <w:p>
            <w:pPr>
              <w:pStyle w:val="TableContents"/>
              <w:spacing w:before="0" w:after="0"/>
              <w:ind w:left="0" w:right="0" w:hanging="0"/>
              <w:rPr>
                <w:rFonts w:cs="Times New Roman"/>
                <w:color w:val="000000"/>
                <w:szCs w:val="2"/>
              </w:rPr>
            </w:pPr>
            <w:r>
              <w:rPr>
                <w:rFonts w:cs="Times New Roman"/>
                <w:color w:val="000000"/>
                <w:szCs w:val="2"/>
              </w:rPr>
              <w:t>﻿</w:t>
            </w:r>
          </w:p>
        </w:tc>
      </w:tr>
      <w:tr>
        <w:trPr/>
        <w:tc>
          <w:tcPr>
            <w:tcW w:w="1985"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color w:val="000000"/>
                <w:sz w:val="20"/>
              </w:rPr>
            </w:pPr>
            <w:r>
              <w:rPr>
                <w:rFonts w:ascii="Times New Roman" w:hAnsi="Times New Roman"/>
                <w:b/>
                <w:color w:val="000000"/>
                <w:sz w:val="20"/>
              </w:rPr>
              <w:t>/s/ Stephen L. Schlecht</w:t>
            </w:r>
          </w:p>
        </w:tc>
      </w:tr>
      <w:tr>
        <w:trPr/>
        <w:tc>
          <w:tcPr>
            <w:tcW w:w="1985" w:type="dxa"/>
            <w:tcBorders/>
            <w:shd w:fill="auto" w:val="clear"/>
          </w:tcPr>
          <w:p>
            <w:pPr>
              <w:pStyle w:val="TableContents"/>
              <w:spacing w:before="0" w:after="0"/>
              <w:ind w:left="0" w:right="0" w:hanging="0"/>
              <w:rPr>
                <w:rFonts w:ascii="Times New Roman" w:hAnsi="Times New Roman"/>
                <w:b/>
                <w:color w:val="000000"/>
                <w:sz w:val="20"/>
              </w:rPr>
            </w:pPr>
            <w:r>
              <w:rPr>
                <w:rFonts w:ascii="Times New Roman" w:hAnsi="Times New Roman"/>
                <w:b/>
                <w:color w:val="000000"/>
                <w:sz w:val="20"/>
              </w:rPr>
              <w:t>Stephen L. Schlecht</w:t>
            </w:r>
          </w:p>
        </w:tc>
      </w:tr>
      <w:tr>
        <w:trPr/>
        <w:tc>
          <w:tcPr>
            <w:tcW w:w="1985" w:type="dxa"/>
            <w:tcBorders/>
            <w:shd w:fill="auto" w:val="clear"/>
          </w:tcPr>
          <w:p>
            <w:pPr>
              <w:pStyle w:val="TableContents"/>
              <w:spacing w:before="0" w:after="0"/>
              <w:ind w:left="0" w:right="0" w:hanging="0"/>
              <w:rPr>
                <w:rFonts w:ascii="Times New Roman" w:hAnsi="Times New Roman"/>
                <w:b/>
                <w:i/>
                <w:color w:val="000000"/>
                <w:sz w:val="20"/>
              </w:rPr>
            </w:pPr>
            <w:r>
              <w:rPr>
                <w:rFonts w:ascii="Times New Roman" w:hAnsi="Times New Roman"/>
                <w:b/>
                <w:i/>
                <w:color w:val="000000"/>
                <w:sz w:val="20"/>
              </w:rPr>
              <w:t>Chief Executive Officer</w:t>
            </w:r>
          </w:p>
        </w:tc>
      </w:tr>
    </w:tbl>
    <w:p>
      <w:pPr>
        <w:pStyle w:val="TextBody"/>
        <w:spacing w:before="0" w:after="0"/>
        <w:ind w:left="1000" w:right="1000" w:hanging="0"/>
        <w:rPr>
          <w:rFonts w:cs="Times New Roman"/>
          <w:szCs w:val="20"/>
        </w:rPr>
      </w:pPr>
      <w:r>
        <w:rPr>
          <w:rFonts w:cs="Times New Roman"/>
          <w:color w:val="000000"/>
          <w:szCs w:val="20"/>
        </w:rPr>
        <w:t>﻿</w:t>
      </w:r>
      <w:r>
        <w:rPr>
          <w:rFonts w:cs="Times New Roman"/>
          <w:szCs w:val="20"/>
        </w:rPr>
        <w:t xml:space="preserve"> </w:t>
      </w:r>
    </w:p>
    <w:p>
      <w:pPr>
        <w:pStyle w:val="HorizontalLine"/>
        <w:pBdr>
          <w:bottom w:val="double" w:sz="6" w:space="0" w:color="808080"/>
        </w:pBdr>
        <w:ind w:left="1000" w:right="1000" w:hanging="0"/>
        <w:rPr/>
      </w:pPr>
      <w:r>
        <w:rPr/>
      </w:r>
      <w:r>
        <w:br w:type="page"/>
      </w:r>
    </w:p>
    <w:p>
      <w:pPr>
        <w:pStyle w:val="TextBody"/>
        <w:spacing w:lineRule="auto" w:line="288" w:before="0" w:after="0"/>
        <w:ind w:left="1000" w:right="1000" w:hanging="0"/>
        <w:jc w:val="right"/>
        <w:rPr>
          <w:rFonts w:ascii="Times New Roman" w:hAnsi="Times New Roman"/>
          <w:sz w:val="20"/>
        </w:rPr>
      </w:pPr>
      <w:bookmarkStart w:id="43" w:name="dlth-20210131xex31_2.htm"/>
      <w:bookmarkStart w:id="44" w:name="ksdlth20210131xex31_2"/>
      <w:bookmarkEnd w:id="43"/>
      <w:bookmarkEnd w:id="44"/>
      <w:r>
        <w:rPr>
          <w:rFonts w:ascii="Times New Roman" w:hAnsi="Times New Roman"/>
          <w:b/>
          <w:sz w:val="20"/>
        </w:rPr>
        <w:t>Exhibit 31.2</w:t>
      </w:r>
      <w:r>
        <w:rPr>
          <w:rFonts w:ascii="Times New Roman" w:hAnsi="Times New Roman"/>
          <w:sz w:val="20"/>
        </w:rPr>
        <w:t xml:space="preserve"> </w:t>
      </w:r>
    </w:p>
    <w:p>
      <w:pPr>
        <w:pStyle w:val="TextBody"/>
        <w:spacing w:lineRule="auto" w:line="288" w:before="360" w:after="0"/>
        <w:ind w:left="1000" w:right="1000" w:hanging="0"/>
        <w:jc w:val="center"/>
        <w:rPr>
          <w:rFonts w:ascii="Times New Roman" w:hAnsi="Times New Roman"/>
          <w:sz w:val="20"/>
        </w:rPr>
      </w:pPr>
      <w:r>
        <w:rPr>
          <w:rFonts w:ascii="Times New Roman" w:hAnsi="Times New Roman"/>
          <w:b/>
          <w:sz w:val="20"/>
        </w:rPr>
        <w:t>CERTIFICATIONS</w:t>
      </w:r>
      <w:r>
        <w:rPr>
          <w:rFonts w:ascii="Times New Roman" w:hAnsi="Times New Roman"/>
          <w:sz w:val="20"/>
        </w:rPr>
        <w:t xml:space="preserve"> </w:t>
      </w:r>
    </w:p>
    <w:p>
      <w:pPr>
        <w:pStyle w:val="TextBody"/>
        <w:spacing w:lineRule="auto" w:line="288" w:before="180" w:after="0"/>
        <w:ind w:left="1000" w:right="1000" w:hanging="0"/>
        <w:rPr>
          <w:rFonts w:ascii="Times New Roman" w:hAnsi="Times New Roman"/>
          <w:sz w:val="20"/>
        </w:rPr>
      </w:pPr>
      <w:r>
        <w:rPr>
          <w:rFonts w:ascii="Times New Roman" w:hAnsi="Times New Roman"/>
          <w:sz w:val="20"/>
        </w:rPr>
        <w:t xml:space="preserve">I, David Loretta, Chief Financial Officer, certify that: </w:t>
      </w:r>
    </w:p>
    <w:tbl>
      <w:tblPr>
        <w:tblW w:w="7826" w:type="dxa"/>
        <w:jc w:val="left"/>
        <w:tblInd w:w="1000" w:type="dxa"/>
        <w:tblCellMar>
          <w:top w:w="0" w:type="dxa"/>
          <w:left w:w="0" w:type="dxa"/>
          <w:bottom w:w="0" w:type="dxa"/>
          <w:right w:w="0" w:type="dxa"/>
        </w:tblCellMar>
      </w:tblPr>
      <w:tblGrid>
        <w:gridCol w:w="38"/>
        <w:gridCol w:w="215"/>
        <w:gridCol w:w="23"/>
        <w:gridCol w:w="7550"/>
      </w:tblGrid>
      <w:tr>
        <w:trPr/>
        <w:tc>
          <w:tcPr>
            <w:tcW w:w="38"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tcPr>
          <w:p>
            <w:pPr>
              <w:pStyle w:val="TableContents"/>
              <w:spacing w:lineRule="auto" w:line="288" w:before="180" w:after="0"/>
              <w:ind w:left="0" w:right="0" w:hanging="0"/>
              <w:jc w:val="left"/>
              <w:rPr>
                <w:rFonts w:ascii="Times New Roman" w:hAnsi="Times New Roman"/>
                <w:sz w:val="20"/>
              </w:rPr>
            </w:pPr>
            <w:r>
              <w:rPr>
                <w:rFonts w:ascii="Times New Roman" w:hAnsi="Times New Roman"/>
                <w:sz w:val="20"/>
              </w:rPr>
              <w:t xml:space="preserve">1. </w:t>
            </w:r>
          </w:p>
        </w:tc>
        <w:tc>
          <w:tcPr>
            <w:tcW w:w="23" w:type="dxa"/>
            <w:tcBorders/>
            <w:shd w:fill="auto" w:val="clear"/>
            <w:vAlign w:val="center"/>
          </w:tcPr>
          <w:p>
            <w:pPr>
              <w:pStyle w:val="TableContents"/>
              <w:spacing w:before="0" w:after="283"/>
              <w:rPr>
                <w:sz w:val="4"/>
                <w:szCs w:val="4"/>
              </w:rPr>
            </w:pPr>
            <w:r>
              <w:rPr>
                <w:sz w:val="4"/>
                <w:szCs w:val="4"/>
              </w:rPr>
            </w:r>
          </w:p>
        </w:tc>
        <w:tc>
          <w:tcPr>
            <w:tcW w:w="7550" w:type="dxa"/>
            <w:tcBorders/>
            <w:shd w:fill="auto" w:val="clear"/>
          </w:tcPr>
          <w:p>
            <w:pPr>
              <w:pStyle w:val="TableContents"/>
              <w:spacing w:lineRule="auto" w:line="288" w:before="180" w:after="0"/>
              <w:ind w:left="0" w:right="0" w:hanging="0"/>
              <w:jc w:val="left"/>
              <w:rPr>
                <w:rFonts w:ascii="Times New Roman" w:hAnsi="Times New Roman"/>
                <w:color w:val="000000"/>
                <w:sz w:val="20"/>
              </w:rPr>
            </w:pPr>
            <w:r>
              <w:rPr>
                <w:rFonts w:ascii="Times New Roman" w:hAnsi="Times New Roman"/>
                <w:color w:val="000000"/>
                <w:sz w:val="20"/>
              </w:rPr>
              <w:t>I have reviewed this Annual  Report on Form 10-K of Duluth Holdings Inc. (the “registrant”);</w:t>
            </w:r>
          </w:p>
        </w:tc>
      </w:tr>
    </w:tbl>
    <w:tbl>
      <w:tblPr>
        <w:tblW w:w="8205" w:type="dxa"/>
        <w:jc w:val="left"/>
        <w:tblInd w:w="1000" w:type="dxa"/>
        <w:tblCellMar>
          <w:top w:w="0" w:type="dxa"/>
          <w:left w:w="0" w:type="dxa"/>
          <w:bottom w:w="0" w:type="dxa"/>
          <w:right w:w="0" w:type="dxa"/>
        </w:tblCellMar>
      </w:tblPr>
      <w:tblGrid>
        <w:gridCol w:w="38"/>
        <w:gridCol w:w="151"/>
        <w:gridCol w:w="23"/>
        <w:gridCol w:w="7993"/>
      </w:tblGrid>
      <w:tr>
        <w:trPr/>
        <w:tc>
          <w:tcPr>
            <w:tcW w:w="3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tcPr>
          <w:p>
            <w:pPr>
              <w:pStyle w:val="TableContents"/>
              <w:spacing w:lineRule="auto" w:line="288" w:before="180" w:after="0"/>
              <w:ind w:left="0" w:right="0" w:hanging="0"/>
              <w:jc w:val="left"/>
              <w:rPr>
                <w:rFonts w:ascii="Times New Roman" w:hAnsi="Times New Roman"/>
                <w:sz w:val="20"/>
              </w:rPr>
            </w:pPr>
            <w:r>
              <w:rPr>
                <w:rFonts w:ascii="Times New Roman" w:hAnsi="Times New Roman"/>
                <w:sz w:val="20"/>
              </w:rPr>
              <w:t xml:space="preserve">2. </w:t>
            </w:r>
          </w:p>
        </w:tc>
        <w:tc>
          <w:tcPr>
            <w:tcW w:w="23" w:type="dxa"/>
            <w:tcBorders/>
            <w:shd w:fill="auto" w:val="clear"/>
            <w:vAlign w:val="center"/>
          </w:tcPr>
          <w:p>
            <w:pPr>
              <w:pStyle w:val="TableContents"/>
              <w:spacing w:before="0" w:after="283"/>
              <w:rPr>
                <w:sz w:val="4"/>
                <w:szCs w:val="4"/>
              </w:rPr>
            </w:pPr>
            <w:r>
              <w:rPr>
                <w:sz w:val="4"/>
                <w:szCs w:val="4"/>
              </w:rPr>
            </w:r>
          </w:p>
        </w:tc>
        <w:tc>
          <w:tcPr>
            <w:tcW w:w="7993" w:type="dxa"/>
            <w:tcBorders/>
            <w:shd w:fill="auto" w:val="clear"/>
          </w:tcPr>
          <w:p>
            <w:pPr>
              <w:pStyle w:val="TableContents"/>
              <w:spacing w:lineRule="auto" w:line="288" w:before="180" w:after="0"/>
              <w:ind w:left="0" w:right="0" w:hanging="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8205" w:type="dxa"/>
        <w:jc w:val="left"/>
        <w:tblInd w:w="1000" w:type="dxa"/>
        <w:tblCellMar>
          <w:top w:w="0" w:type="dxa"/>
          <w:left w:w="0" w:type="dxa"/>
          <w:bottom w:w="0" w:type="dxa"/>
          <w:right w:w="0" w:type="dxa"/>
        </w:tblCellMar>
      </w:tblPr>
      <w:tblGrid>
        <w:gridCol w:w="38"/>
        <w:gridCol w:w="155"/>
        <w:gridCol w:w="23"/>
        <w:gridCol w:w="7989"/>
      </w:tblGrid>
      <w:tr>
        <w:trPr/>
        <w:tc>
          <w:tcPr>
            <w:tcW w:w="3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tcPr>
          <w:p>
            <w:pPr>
              <w:pStyle w:val="TableContents"/>
              <w:spacing w:lineRule="auto" w:line="288" w:before="180" w:after="0"/>
              <w:ind w:left="0" w:right="0" w:hanging="0"/>
              <w:jc w:val="left"/>
              <w:rPr>
                <w:rFonts w:ascii="Times New Roman" w:hAnsi="Times New Roman"/>
                <w:sz w:val="20"/>
              </w:rPr>
            </w:pPr>
            <w:r>
              <w:rPr>
                <w:rFonts w:ascii="Times New Roman" w:hAnsi="Times New Roman"/>
                <w:sz w:val="20"/>
              </w:rPr>
              <w:t xml:space="preserve">3. </w:t>
            </w:r>
          </w:p>
        </w:tc>
        <w:tc>
          <w:tcPr>
            <w:tcW w:w="23" w:type="dxa"/>
            <w:tcBorders/>
            <w:shd w:fill="auto" w:val="clear"/>
            <w:vAlign w:val="center"/>
          </w:tcPr>
          <w:p>
            <w:pPr>
              <w:pStyle w:val="TableContents"/>
              <w:spacing w:before="0" w:after="283"/>
              <w:rPr>
                <w:sz w:val="4"/>
                <w:szCs w:val="4"/>
              </w:rPr>
            </w:pPr>
            <w:r>
              <w:rPr>
                <w:sz w:val="4"/>
                <w:szCs w:val="4"/>
              </w:rPr>
            </w:r>
          </w:p>
        </w:tc>
        <w:tc>
          <w:tcPr>
            <w:tcW w:w="7989" w:type="dxa"/>
            <w:tcBorders/>
            <w:shd w:fill="auto" w:val="clear"/>
          </w:tcPr>
          <w:p>
            <w:pPr>
              <w:pStyle w:val="TableContents"/>
              <w:spacing w:lineRule="auto" w:line="288" w:before="180" w:after="0"/>
              <w:ind w:left="0" w:right="0" w:hanging="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8205" w:type="dxa"/>
        <w:jc w:val="left"/>
        <w:tblInd w:w="1000" w:type="dxa"/>
        <w:tblCellMar>
          <w:top w:w="0" w:type="dxa"/>
          <w:left w:w="0" w:type="dxa"/>
          <w:bottom w:w="0" w:type="dxa"/>
          <w:right w:w="0" w:type="dxa"/>
        </w:tblCellMar>
      </w:tblPr>
      <w:tblGrid>
        <w:gridCol w:w="38"/>
        <w:gridCol w:w="149"/>
        <w:gridCol w:w="23"/>
        <w:gridCol w:w="7995"/>
      </w:tblGrid>
      <w:tr>
        <w:trPr/>
        <w:tc>
          <w:tcPr>
            <w:tcW w:w="3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tcPr>
          <w:p>
            <w:pPr>
              <w:pStyle w:val="TableContents"/>
              <w:spacing w:lineRule="auto" w:line="288" w:before="180" w:after="0"/>
              <w:ind w:left="0" w:right="0" w:hanging="0"/>
              <w:jc w:val="left"/>
              <w:rPr>
                <w:rFonts w:ascii="Times New Roman" w:hAnsi="Times New Roman"/>
                <w:sz w:val="20"/>
              </w:rPr>
            </w:pPr>
            <w:r>
              <w:rPr>
                <w:rFonts w:ascii="Times New Roman" w:hAnsi="Times New Roman"/>
                <w:sz w:val="20"/>
              </w:rPr>
              <w:t xml:space="preserve">4. </w:t>
            </w:r>
          </w:p>
        </w:tc>
        <w:tc>
          <w:tcPr>
            <w:tcW w:w="23" w:type="dxa"/>
            <w:tcBorders/>
            <w:shd w:fill="auto" w:val="clear"/>
            <w:vAlign w:val="center"/>
          </w:tcPr>
          <w:p>
            <w:pPr>
              <w:pStyle w:val="TableContents"/>
              <w:spacing w:before="0" w:after="283"/>
              <w:rPr>
                <w:sz w:val="4"/>
                <w:szCs w:val="4"/>
              </w:rPr>
            </w:pPr>
            <w:r>
              <w:rPr>
                <w:sz w:val="4"/>
                <w:szCs w:val="4"/>
              </w:rPr>
            </w:r>
          </w:p>
        </w:tc>
        <w:tc>
          <w:tcPr>
            <w:tcW w:w="7995" w:type="dxa"/>
            <w:tcBorders/>
            <w:shd w:fill="auto" w:val="clear"/>
          </w:tcPr>
          <w:p>
            <w:pPr>
              <w:pStyle w:val="TableContents"/>
              <w:spacing w:lineRule="auto" w:line="288" w:before="180" w:after="0"/>
              <w:ind w:left="0" w:right="0" w:hanging="0"/>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8205" w:type="dxa"/>
        <w:jc w:val="left"/>
        <w:tblInd w:w="1000" w:type="dxa"/>
        <w:tblCellMar>
          <w:top w:w="0" w:type="dxa"/>
          <w:left w:w="0" w:type="dxa"/>
          <w:bottom w:w="0" w:type="dxa"/>
          <w:right w:w="0" w:type="dxa"/>
        </w:tblCellMar>
      </w:tblPr>
      <w:tblGrid>
        <w:gridCol w:w="38"/>
        <w:gridCol w:w="147"/>
        <w:gridCol w:w="23"/>
        <w:gridCol w:w="7997"/>
      </w:tblGrid>
      <w:tr>
        <w:trPr/>
        <w:tc>
          <w:tcPr>
            <w:tcW w:w="38"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tcPr>
          <w:p>
            <w:pPr>
              <w:pStyle w:val="TableContents"/>
              <w:spacing w:lineRule="auto" w:line="288" w:before="100" w:after="0"/>
              <w:ind w:left="0" w:right="0" w:hanging="0"/>
              <w:jc w:val="left"/>
              <w:rPr>
                <w:rFonts w:ascii="Times New Roman" w:hAnsi="Times New Roman"/>
                <w:sz w:val="20"/>
              </w:rPr>
            </w:pPr>
            <w:r>
              <w:rPr>
                <w:rFonts w:ascii="Times New Roman" w:hAnsi="Times New Roman"/>
                <w:sz w:val="20"/>
              </w:rPr>
              <w:t xml:space="preserve">a) </w:t>
            </w:r>
          </w:p>
        </w:tc>
        <w:tc>
          <w:tcPr>
            <w:tcW w:w="23" w:type="dxa"/>
            <w:tcBorders/>
            <w:shd w:fill="auto" w:val="clear"/>
            <w:vAlign w:val="center"/>
          </w:tcPr>
          <w:p>
            <w:pPr>
              <w:pStyle w:val="TableContents"/>
              <w:spacing w:before="0" w:after="283"/>
              <w:rPr>
                <w:sz w:val="4"/>
                <w:szCs w:val="4"/>
              </w:rPr>
            </w:pPr>
            <w:r>
              <w:rPr>
                <w:sz w:val="4"/>
                <w:szCs w:val="4"/>
              </w:rPr>
            </w:r>
          </w:p>
        </w:tc>
        <w:tc>
          <w:tcPr>
            <w:tcW w:w="7997" w:type="dxa"/>
            <w:tcBorders/>
            <w:shd w:fill="auto" w:val="clear"/>
          </w:tcPr>
          <w:p>
            <w:pPr>
              <w:pStyle w:val="TableContents"/>
              <w:spacing w:lineRule="auto" w:line="288" w:before="100" w:after="0"/>
              <w:ind w:left="0" w:right="0" w:hanging="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8205" w:type="dxa"/>
        <w:jc w:val="left"/>
        <w:tblInd w:w="1000" w:type="dxa"/>
        <w:tblCellMar>
          <w:top w:w="0" w:type="dxa"/>
          <w:left w:w="0" w:type="dxa"/>
          <w:bottom w:w="0" w:type="dxa"/>
          <w:right w:w="0" w:type="dxa"/>
        </w:tblCellMar>
      </w:tblPr>
      <w:tblGrid>
        <w:gridCol w:w="38"/>
        <w:gridCol w:w="151"/>
        <w:gridCol w:w="23"/>
        <w:gridCol w:w="7993"/>
      </w:tblGrid>
      <w:tr>
        <w:trPr/>
        <w:tc>
          <w:tcPr>
            <w:tcW w:w="3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tcPr>
          <w:p>
            <w:pPr>
              <w:pStyle w:val="TableContents"/>
              <w:spacing w:lineRule="auto" w:line="288" w:before="100" w:after="0"/>
              <w:ind w:left="0" w:right="0" w:hanging="0"/>
              <w:jc w:val="left"/>
              <w:rPr>
                <w:rFonts w:ascii="Times New Roman" w:hAnsi="Times New Roman"/>
                <w:sz w:val="20"/>
              </w:rPr>
            </w:pPr>
            <w:r>
              <w:rPr>
                <w:rFonts w:ascii="Times New Roman" w:hAnsi="Times New Roman"/>
                <w:sz w:val="20"/>
              </w:rPr>
              <w:t xml:space="preserve">b) </w:t>
            </w:r>
          </w:p>
        </w:tc>
        <w:tc>
          <w:tcPr>
            <w:tcW w:w="23" w:type="dxa"/>
            <w:tcBorders/>
            <w:shd w:fill="auto" w:val="clear"/>
            <w:vAlign w:val="center"/>
          </w:tcPr>
          <w:p>
            <w:pPr>
              <w:pStyle w:val="TableContents"/>
              <w:spacing w:before="0" w:after="283"/>
              <w:rPr>
                <w:sz w:val="4"/>
                <w:szCs w:val="4"/>
              </w:rPr>
            </w:pPr>
            <w:r>
              <w:rPr>
                <w:sz w:val="4"/>
                <w:szCs w:val="4"/>
              </w:rPr>
            </w:r>
          </w:p>
        </w:tc>
        <w:tc>
          <w:tcPr>
            <w:tcW w:w="7993" w:type="dxa"/>
            <w:tcBorders/>
            <w:shd w:fill="auto" w:val="clear"/>
          </w:tcPr>
          <w:p>
            <w:pPr>
              <w:pStyle w:val="TableContents"/>
              <w:spacing w:lineRule="auto" w:line="288" w:before="100" w:after="0"/>
              <w:ind w:left="0" w:right="0" w:hanging="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8205" w:type="dxa"/>
        <w:jc w:val="left"/>
        <w:tblInd w:w="1000" w:type="dxa"/>
        <w:tblCellMar>
          <w:top w:w="0" w:type="dxa"/>
          <w:left w:w="0" w:type="dxa"/>
          <w:bottom w:w="0" w:type="dxa"/>
          <w:right w:w="0" w:type="dxa"/>
        </w:tblCellMar>
      </w:tblPr>
      <w:tblGrid>
        <w:gridCol w:w="38"/>
        <w:gridCol w:w="154"/>
        <w:gridCol w:w="23"/>
        <w:gridCol w:w="7990"/>
      </w:tblGrid>
      <w:tr>
        <w:trPr/>
        <w:tc>
          <w:tcPr>
            <w:tcW w:w="38"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lineRule="auto" w:line="288" w:before="100" w:after="0"/>
              <w:ind w:left="0" w:right="0" w:hanging="0"/>
              <w:jc w:val="left"/>
              <w:rPr>
                <w:rFonts w:ascii="Times New Roman" w:hAnsi="Times New Roman"/>
                <w:sz w:val="20"/>
              </w:rPr>
            </w:pPr>
            <w:r>
              <w:rPr>
                <w:rFonts w:ascii="Times New Roman" w:hAnsi="Times New Roman"/>
                <w:sz w:val="20"/>
              </w:rPr>
              <w:t xml:space="preserve">c) </w:t>
            </w:r>
          </w:p>
        </w:tc>
        <w:tc>
          <w:tcPr>
            <w:tcW w:w="23" w:type="dxa"/>
            <w:tcBorders/>
            <w:shd w:fill="auto" w:val="clear"/>
            <w:vAlign w:val="center"/>
          </w:tcPr>
          <w:p>
            <w:pPr>
              <w:pStyle w:val="TableContents"/>
              <w:spacing w:before="0" w:after="283"/>
              <w:rPr>
                <w:sz w:val="4"/>
                <w:szCs w:val="4"/>
              </w:rPr>
            </w:pPr>
            <w:r>
              <w:rPr>
                <w:sz w:val="4"/>
                <w:szCs w:val="4"/>
              </w:rPr>
            </w:r>
          </w:p>
        </w:tc>
        <w:tc>
          <w:tcPr>
            <w:tcW w:w="7990" w:type="dxa"/>
            <w:tcBorders/>
            <w:shd w:fill="auto" w:val="clear"/>
          </w:tcPr>
          <w:p>
            <w:pPr>
              <w:pStyle w:val="TableContents"/>
              <w:spacing w:lineRule="auto" w:line="288" w:before="100" w:after="0"/>
              <w:ind w:left="0" w:right="0" w:hanging="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8205" w:type="dxa"/>
        <w:jc w:val="left"/>
        <w:tblInd w:w="1000" w:type="dxa"/>
        <w:tblCellMar>
          <w:top w:w="0" w:type="dxa"/>
          <w:left w:w="0" w:type="dxa"/>
          <w:bottom w:w="0" w:type="dxa"/>
          <w:right w:w="0" w:type="dxa"/>
        </w:tblCellMar>
      </w:tblPr>
      <w:tblGrid>
        <w:gridCol w:w="38"/>
        <w:gridCol w:w="151"/>
        <w:gridCol w:w="23"/>
        <w:gridCol w:w="7993"/>
      </w:tblGrid>
      <w:tr>
        <w:trPr/>
        <w:tc>
          <w:tcPr>
            <w:tcW w:w="3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tcPr>
          <w:p>
            <w:pPr>
              <w:pStyle w:val="TableContents"/>
              <w:spacing w:lineRule="auto" w:line="288" w:before="100" w:after="0"/>
              <w:ind w:left="0" w:right="0" w:hanging="0"/>
              <w:jc w:val="left"/>
              <w:rPr>
                <w:rFonts w:ascii="Times New Roman" w:hAnsi="Times New Roman"/>
                <w:sz w:val="20"/>
              </w:rPr>
            </w:pPr>
            <w:r>
              <w:rPr>
                <w:rFonts w:ascii="Times New Roman" w:hAnsi="Times New Roman"/>
                <w:sz w:val="20"/>
              </w:rPr>
              <w:t xml:space="preserve">d) </w:t>
            </w:r>
          </w:p>
        </w:tc>
        <w:tc>
          <w:tcPr>
            <w:tcW w:w="23" w:type="dxa"/>
            <w:tcBorders/>
            <w:shd w:fill="auto" w:val="clear"/>
            <w:vAlign w:val="center"/>
          </w:tcPr>
          <w:p>
            <w:pPr>
              <w:pStyle w:val="TableContents"/>
              <w:spacing w:before="0" w:after="283"/>
              <w:rPr>
                <w:sz w:val="4"/>
                <w:szCs w:val="4"/>
              </w:rPr>
            </w:pPr>
            <w:r>
              <w:rPr>
                <w:sz w:val="4"/>
                <w:szCs w:val="4"/>
              </w:rPr>
            </w:r>
          </w:p>
        </w:tc>
        <w:tc>
          <w:tcPr>
            <w:tcW w:w="7993" w:type="dxa"/>
            <w:tcBorders/>
            <w:shd w:fill="auto" w:val="clear"/>
          </w:tcPr>
          <w:p>
            <w:pPr>
              <w:pStyle w:val="TableContents"/>
              <w:spacing w:lineRule="auto" w:line="288" w:before="100" w:after="0"/>
              <w:ind w:left="0" w:right="0" w:hanging="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8205" w:type="dxa"/>
        <w:jc w:val="left"/>
        <w:tblInd w:w="1000" w:type="dxa"/>
        <w:tblCellMar>
          <w:top w:w="0" w:type="dxa"/>
          <w:left w:w="0" w:type="dxa"/>
          <w:bottom w:w="0" w:type="dxa"/>
          <w:right w:w="0" w:type="dxa"/>
        </w:tblCellMar>
      </w:tblPr>
      <w:tblGrid>
        <w:gridCol w:w="38"/>
        <w:gridCol w:w="152"/>
        <w:gridCol w:w="23"/>
        <w:gridCol w:w="7992"/>
      </w:tblGrid>
      <w:tr>
        <w:trPr/>
        <w:tc>
          <w:tcPr>
            <w:tcW w:w="38"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tcPr>
          <w:p>
            <w:pPr>
              <w:pStyle w:val="TableContents"/>
              <w:spacing w:lineRule="auto" w:line="288" w:before="180" w:after="0"/>
              <w:ind w:left="0" w:right="0" w:hanging="0"/>
              <w:jc w:val="left"/>
              <w:rPr>
                <w:rFonts w:ascii="Times New Roman" w:hAnsi="Times New Roman"/>
                <w:sz w:val="20"/>
              </w:rPr>
            </w:pPr>
            <w:r>
              <w:rPr>
                <w:rFonts w:ascii="Times New Roman" w:hAnsi="Times New Roman"/>
                <w:sz w:val="20"/>
              </w:rPr>
              <w:t xml:space="preserve">5. </w:t>
            </w:r>
          </w:p>
        </w:tc>
        <w:tc>
          <w:tcPr>
            <w:tcW w:w="23" w:type="dxa"/>
            <w:tcBorders/>
            <w:shd w:fill="auto" w:val="clear"/>
            <w:vAlign w:val="center"/>
          </w:tcPr>
          <w:p>
            <w:pPr>
              <w:pStyle w:val="TableContents"/>
              <w:spacing w:before="0" w:after="283"/>
              <w:rPr>
                <w:sz w:val="4"/>
                <w:szCs w:val="4"/>
              </w:rPr>
            </w:pPr>
            <w:r>
              <w:rPr>
                <w:sz w:val="4"/>
                <w:szCs w:val="4"/>
              </w:rPr>
            </w:r>
          </w:p>
        </w:tc>
        <w:tc>
          <w:tcPr>
            <w:tcW w:w="7992" w:type="dxa"/>
            <w:tcBorders/>
            <w:shd w:fill="auto" w:val="clear"/>
          </w:tcPr>
          <w:p>
            <w:pPr>
              <w:pStyle w:val="TableContents"/>
              <w:spacing w:lineRule="auto" w:line="288" w:before="180" w:after="0"/>
              <w:ind w:left="0" w:right="0" w:hanging="0"/>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8205" w:type="dxa"/>
        <w:jc w:val="left"/>
        <w:tblInd w:w="1000" w:type="dxa"/>
        <w:tblCellMar>
          <w:top w:w="0" w:type="dxa"/>
          <w:left w:w="0" w:type="dxa"/>
          <w:bottom w:w="0" w:type="dxa"/>
          <w:right w:w="0" w:type="dxa"/>
        </w:tblCellMar>
      </w:tblPr>
      <w:tblGrid>
        <w:gridCol w:w="38"/>
        <w:gridCol w:w="156"/>
        <w:gridCol w:w="23"/>
        <w:gridCol w:w="7988"/>
      </w:tblGrid>
      <w:tr>
        <w:trPr/>
        <w:tc>
          <w:tcPr>
            <w:tcW w:w="3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tcPr>
          <w:p>
            <w:pPr>
              <w:pStyle w:val="TableContents"/>
              <w:spacing w:lineRule="auto" w:line="288" w:before="100" w:after="0"/>
              <w:ind w:left="0" w:right="0" w:hanging="0"/>
              <w:jc w:val="left"/>
              <w:rPr>
                <w:rFonts w:ascii="Times New Roman" w:hAnsi="Times New Roman"/>
                <w:sz w:val="20"/>
              </w:rPr>
            </w:pPr>
            <w:r>
              <w:rPr>
                <w:rFonts w:ascii="Times New Roman" w:hAnsi="Times New Roman"/>
                <w:sz w:val="20"/>
              </w:rPr>
              <w:t xml:space="preserve">a) </w:t>
            </w:r>
          </w:p>
        </w:tc>
        <w:tc>
          <w:tcPr>
            <w:tcW w:w="23" w:type="dxa"/>
            <w:tcBorders/>
            <w:shd w:fill="auto" w:val="clear"/>
            <w:vAlign w:val="center"/>
          </w:tcPr>
          <w:p>
            <w:pPr>
              <w:pStyle w:val="TableContents"/>
              <w:spacing w:before="0" w:after="283"/>
              <w:rPr>
                <w:sz w:val="4"/>
                <w:szCs w:val="4"/>
              </w:rPr>
            </w:pPr>
            <w:r>
              <w:rPr>
                <w:sz w:val="4"/>
                <w:szCs w:val="4"/>
              </w:rPr>
            </w:r>
          </w:p>
        </w:tc>
        <w:tc>
          <w:tcPr>
            <w:tcW w:w="7988" w:type="dxa"/>
            <w:tcBorders/>
            <w:shd w:fill="auto" w:val="clear"/>
          </w:tcPr>
          <w:p>
            <w:pPr>
              <w:pStyle w:val="TableContents"/>
              <w:spacing w:lineRule="auto" w:line="288" w:before="100" w:after="0"/>
              <w:ind w:left="0" w:right="0" w:hanging="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8205" w:type="dxa"/>
        <w:jc w:val="left"/>
        <w:tblInd w:w="1000" w:type="dxa"/>
        <w:tblCellMar>
          <w:top w:w="0" w:type="dxa"/>
          <w:left w:w="0" w:type="dxa"/>
          <w:bottom w:w="0" w:type="dxa"/>
          <w:right w:w="0" w:type="dxa"/>
        </w:tblCellMar>
      </w:tblPr>
      <w:tblGrid>
        <w:gridCol w:w="38"/>
        <w:gridCol w:w="182"/>
        <w:gridCol w:w="23"/>
        <w:gridCol w:w="7962"/>
      </w:tblGrid>
      <w:tr>
        <w:trPr/>
        <w:tc>
          <w:tcPr>
            <w:tcW w:w="38"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tcPr>
          <w:p>
            <w:pPr>
              <w:pStyle w:val="TableContents"/>
              <w:spacing w:lineRule="auto" w:line="288" w:before="100" w:after="0"/>
              <w:ind w:left="0" w:right="0" w:hanging="0"/>
              <w:jc w:val="left"/>
              <w:rPr>
                <w:rFonts w:ascii="Times New Roman" w:hAnsi="Times New Roman"/>
                <w:sz w:val="20"/>
              </w:rPr>
            </w:pPr>
            <w:r>
              <w:rPr>
                <w:rFonts w:ascii="Times New Roman" w:hAnsi="Times New Roman"/>
                <w:sz w:val="20"/>
              </w:rPr>
              <w:t xml:space="preserve">b) </w:t>
            </w:r>
          </w:p>
        </w:tc>
        <w:tc>
          <w:tcPr>
            <w:tcW w:w="23" w:type="dxa"/>
            <w:tcBorders/>
            <w:shd w:fill="auto" w:val="clear"/>
            <w:vAlign w:val="center"/>
          </w:tcPr>
          <w:p>
            <w:pPr>
              <w:pStyle w:val="TableContents"/>
              <w:spacing w:before="0" w:after="283"/>
              <w:rPr>
                <w:sz w:val="4"/>
                <w:szCs w:val="4"/>
              </w:rPr>
            </w:pPr>
            <w:r>
              <w:rPr>
                <w:sz w:val="4"/>
                <w:szCs w:val="4"/>
              </w:rPr>
            </w:r>
          </w:p>
        </w:tc>
        <w:tc>
          <w:tcPr>
            <w:tcW w:w="7962" w:type="dxa"/>
            <w:tcBorders/>
            <w:shd w:fill="auto" w:val="clear"/>
          </w:tcPr>
          <w:p>
            <w:pPr>
              <w:pStyle w:val="TableContents"/>
              <w:spacing w:lineRule="auto" w:line="288" w:before="100" w:after="0"/>
              <w:ind w:left="0" w:right="0" w:hanging="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spacing w:lineRule="auto" w:line="288" w:before="180" w:after="0"/>
        <w:ind w:left="1000" w:right="1000" w:hanging="0"/>
        <w:rPr>
          <w:rFonts w:ascii="Times New Roman" w:hAnsi="Times New Roman"/>
          <w:sz w:val="20"/>
        </w:rPr>
      </w:pPr>
      <w:r>
        <w:rPr>
          <w:rFonts w:ascii="Times New Roman" w:hAnsi="Times New Roman"/>
          <w:color w:val="000000"/>
          <w:sz w:val="20"/>
        </w:rPr>
        <w:t>Date: March 26, 2021</w:t>
      </w:r>
      <w:r>
        <w:rPr>
          <w:rFonts w:ascii="Times New Roman" w:hAnsi="Times New Roman"/>
          <w:sz w:val="20"/>
        </w:rPr>
        <w:t xml:space="preserve"> </w:t>
      </w:r>
    </w:p>
    <w:p>
      <w:pPr>
        <w:pStyle w:val="TextBody"/>
        <w:spacing w:lineRule="auto" w:line="288" w:before="0" w:after="0"/>
        <w:ind w:left="1000" w:right="1000" w:hanging="0"/>
        <w:rPr/>
      </w:pPr>
      <w:r>
        <w:rPr/>
        <w:t xml:space="preserve">  </w:t>
      </w:r>
    </w:p>
    <w:p>
      <w:pPr>
        <w:pStyle w:val="TextBody"/>
        <w:spacing w:lineRule="atLeast" w:line="200" w:before="0" w:after="0"/>
        <w:ind w:left="1000" w:right="1000" w:hanging="0"/>
        <w:rPr>
          <w:rFonts w:cs="Times New Roman"/>
          <w:szCs w:val="20"/>
        </w:rPr>
      </w:pPr>
      <w:r>
        <w:rPr>
          <w:rFonts w:cs="Times New Roman"/>
          <w:color w:val="000000"/>
          <w:szCs w:val="20"/>
        </w:rPr>
        <w:t>﻿</w:t>
      </w:r>
      <w:r>
        <w:rPr>
          <w:rFonts w:cs="Times New Roman"/>
          <w:szCs w:val="20"/>
        </w:rPr>
        <w:t xml:space="preserve"> </w:t>
      </w:r>
    </w:p>
    <w:tbl>
      <w:tblPr>
        <w:tblW w:w="1985" w:type="dxa"/>
        <w:jc w:val="left"/>
        <w:tblInd w:w="1000" w:type="dxa"/>
        <w:tblCellMar>
          <w:top w:w="0" w:type="dxa"/>
          <w:left w:w="0" w:type="dxa"/>
          <w:bottom w:w="0" w:type="dxa"/>
          <w:right w:w="0" w:type="dxa"/>
        </w:tblCellMar>
      </w:tblPr>
      <w:tblGrid>
        <w:gridCol w:w="1985"/>
      </w:tblGrid>
      <w:tr>
        <w:trPr/>
        <w:tc>
          <w:tcPr>
            <w:tcW w:w="1985" w:type="dxa"/>
            <w:tcBorders/>
            <w:shd w:fill="auto" w:val="clear"/>
            <w:vAlign w:val="bottom"/>
          </w:tcPr>
          <w:p>
            <w:pPr>
              <w:pStyle w:val="TableContents"/>
              <w:spacing w:before="0" w:after="0"/>
              <w:ind w:left="0" w:right="0" w:hanging="0"/>
              <w:rPr>
                <w:rFonts w:cs="Times New Roman"/>
                <w:color w:val="000000"/>
                <w:szCs w:val="2"/>
              </w:rPr>
            </w:pPr>
            <w:r>
              <w:rPr>
                <w:rFonts w:cs="Times New Roman"/>
                <w:color w:val="000000"/>
                <w:szCs w:val="2"/>
              </w:rPr>
              <w:t>﻿</w:t>
            </w:r>
          </w:p>
        </w:tc>
      </w:tr>
      <w:tr>
        <w:trPr/>
        <w:tc>
          <w:tcPr>
            <w:tcW w:w="1985"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color w:val="000000"/>
                <w:sz w:val="20"/>
              </w:rPr>
            </w:pPr>
            <w:r>
              <w:rPr>
                <w:rFonts w:ascii="Times New Roman" w:hAnsi="Times New Roman"/>
                <w:b/>
                <w:color w:val="000000"/>
                <w:sz w:val="20"/>
              </w:rPr>
              <w:t>/s/ David Loretta</w:t>
            </w:r>
          </w:p>
        </w:tc>
      </w:tr>
      <w:tr>
        <w:trPr/>
        <w:tc>
          <w:tcPr>
            <w:tcW w:w="1985" w:type="dxa"/>
            <w:tcBorders/>
            <w:shd w:fill="auto" w:val="clear"/>
          </w:tcPr>
          <w:p>
            <w:pPr>
              <w:pStyle w:val="TableContents"/>
              <w:spacing w:before="0" w:after="0"/>
              <w:ind w:left="0" w:right="0" w:hanging="0"/>
              <w:rPr>
                <w:rFonts w:ascii="Times New Roman" w:hAnsi="Times New Roman"/>
                <w:b/>
                <w:color w:val="000000"/>
                <w:sz w:val="20"/>
              </w:rPr>
            </w:pPr>
            <w:r>
              <w:rPr>
                <w:rFonts w:ascii="Times New Roman" w:hAnsi="Times New Roman"/>
                <w:b/>
                <w:color w:val="000000"/>
                <w:sz w:val="20"/>
              </w:rPr>
              <w:t>David Loretta</w:t>
            </w:r>
          </w:p>
        </w:tc>
      </w:tr>
      <w:tr>
        <w:trPr/>
        <w:tc>
          <w:tcPr>
            <w:tcW w:w="198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b/>
                <w:i/>
                <w:color w:val="000000"/>
                <w:sz w:val="20"/>
              </w:rPr>
              <w:t>Chief Financial</w:t>
            </w:r>
            <w:r>
              <w:rPr>
                <w:rFonts w:ascii="Times New Roman" w:hAnsi="Times New Roman"/>
                <w:color w:val="000000"/>
                <w:sz w:val="20"/>
              </w:rPr>
              <w:t xml:space="preserve"> </w:t>
            </w:r>
            <w:r>
              <w:rPr>
                <w:rFonts w:ascii="Times New Roman" w:hAnsi="Times New Roman"/>
                <w:b/>
                <w:i/>
                <w:color w:val="000000"/>
                <w:sz w:val="20"/>
              </w:rPr>
              <w:t>Officer</w:t>
            </w:r>
          </w:p>
        </w:tc>
      </w:tr>
    </w:tbl>
    <w:p>
      <w:pPr>
        <w:pStyle w:val="TextBody"/>
        <w:spacing w:before="0" w:after="0"/>
        <w:ind w:left="1000" w:right="1000" w:hanging="0"/>
        <w:rPr>
          <w:rFonts w:cs="Times New Roman"/>
          <w:szCs w:val="20"/>
        </w:rPr>
      </w:pPr>
      <w:r>
        <w:rPr>
          <w:rFonts w:cs="Times New Roman"/>
          <w:color w:val="000000"/>
          <w:szCs w:val="20"/>
        </w:rPr>
        <w:t>﻿</w:t>
      </w:r>
      <w:r>
        <w:rPr>
          <w:rFonts w:cs="Times New Roman"/>
          <w:szCs w:val="20"/>
        </w:rPr>
        <w:t xml:space="preserve"> </w:t>
      </w:r>
    </w:p>
    <w:p>
      <w:pPr>
        <w:pStyle w:val="HorizontalLine"/>
        <w:pBdr>
          <w:bottom w:val="double" w:sz="6" w:space="0" w:color="808080"/>
        </w:pBdr>
        <w:ind w:left="1000" w:right="1000" w:hanging="0"/>
        <w:rPr/>
      </w:pPr>
      <w:r>
        <w:rPr/>
      </w:r>
      <w:r>
        <w:br w:type="page"/>
      </w:r>
    </w:p>
    <w:p>
      <w:pPr>
        <w:pStyle w:val="TextBody"/>
        <w:spacing w:lineRule="auto" w:line="288" w:before="0" w:after="0"/>
        <w:ind w:left="1000" w:right="1000" w:hanging="0"/>
        <w:jc w:val="right"/>
        <w:rPr>
          <w:rFonts w:ascii="Times New Roman" w:hAnsi="Times New Roman"/>
          <w:sz w:val="20"/>
        </w:rPr>
      </w:pPr>
      <w:bookmarkStart w:id="45" w:name="dlth-20210131xex32_1.htm"/>
      <w:bookmarkStart w:id="46" w:name="ksdlth20210131xex32_1"/>
      <w:bookmarkEnd w:id="45"/>
      <w:bookmarkEnd w:id="46"/>
      <w:r>
        <w:rPr>
          <w:rFonts w:ascii="Times New Roman" w:hAnsi="Times New Roman"/>
          <w:b/>
          <w:sz w:val="20"/>
        </w:rPr>
        <w:t>Exhibit 32.1</w:t>
      </w:r>
      <w:r>
        <w:rPr>
          <w:rFonts w:ascii="Times New Roman" w:hAnsi="Times New Roman"/>
          <w:sz w:val="20"/>
        </w:rPr>
        <w:t xml:space="preserve"> </w:t>
      </w:r>
    </w:p>
    <w:p>
      <w:pPr>
        <w:pStyle w:val="TextBody"/>
        <w:spacing w:lineRule="auto" w:line="288" w:before="360" w:after="0"/>
        <w:ind w:left="1000" w:right="1000" w:hanging="0"/>
        <w:jc w:val="center"/>
        <w:rPr>
          <w:rFonts w:ascii="Times New Roman" w:hAnsi="Times New Roman"/>
          <w:sz w:val="20"/>
        </w:rPr>
      </w:pPr>
      <w:r>
        <w:rPr>
          <w:rFonts w:ascii="Times New Roman" w:hAnsi="Times New Roman"/>
          <w:b/>
          <w:sz w:val="20"/>
        </w:rPr>
        <w:t>CERTIFICATION OF THE CHIEF EXECUTIVE OFFICER PURSUANT TO</w:t>
      </w:r>
      <w:r>
        <w:rPr>
          <w:rFonts w:ascii="Times New Roman" w:hAnsi="Times New Roman"/>
          <w:sz w:val="20"/>
        </w:rPr>
        <w:t xml:space="preserve"> </w:t>
      </w:r>
    </w:p>
    <w:p>
      <w:pPr>
        <w:pStyle w:val="TextBody"/>
        <w:spacing w:lineRule="auto" w:line="288" w:before="0" w:after="0"/>
        <w:ind w:left="1000" w:right="1000" w:hanging="0"/>
        <w:jc w:val="center"/>
        <w:rPr>
          <w:rFonts w:ascii="Times New Roman" w:hAnsi="Times New Roman"/>
          <w:sz w:val="20"/>
        </w:rPr>
      </w:pPr>
      <w:r>
        <w:rPr>
          <w:rFonts w:ascii="Times New Roman" w:hAnsi="Times New Roman"/>
          <w:b/>
          <w:sz w:val="20"/>
        </w:rPr>
        <w:t>18 U.S.C. SECTION 1350,</w:t>
      </w:r>
      <w:r>
        <w:rPr>
          <w:rFonts w:ascii="Times New Roman" w:hAnsi="Times New Roman"/>
          <w:sz w:val="20"/>
        </w:rPr>
        <w:t xml:space="preserve"> </w:t>
      </w:r>
    </w:p>
    <w:p>
      <w:pPr>
        <w:pStyle w:val="TextBody"/>
        <w:spacing w:lineRule="auto" w:line="288" w:before="0" w:after="0"/>
        <w:ind w:left="1000" w:right="1000" w:hanging="0"/>
        <w:jc w:val="center"/>
        <w:rPr>
          <w:rFonts w:ascii="Times New Roman" w:hAnsi="Times New Roman"/>
          <w:sz w:val="20"/>
        </w:rPr>
      </w:pPr>
      <w:r>
        <w:rPr>
          <w:rFonts w:ascii="Times New Roman" w:hAnsi="Times New Roman"/>
          <w:b/>
          <w:sz w:val="20"/>
        </w:rPr>
        <w:t>AS ADOPTED PURSUANT TO</w:t>
      </w:r>
      <w:r>
        <w:rPr>
          <w:rFonts w:ascii="Times New Roman" w:hAnsi="Times New Roman"/>
          <w:sz w:val="20"/>
        </w:rPr>
        <w:t xml:space="preserve"> </w:t>
      </w:r>
    </w:p>
    <w:p>
      <w:pPr>
        <w:pStyle w:val="TextBody"/>
        <w:spacing w:lineRule="auto" w:line="288" w:before="0" w:after="0"/>
        <w:ind w:left="1000" w:right="1000" w:hanging="0"/>
        <w:jc w:val="center"/>
        <w:rPr>
          <w:rFonts w:ascii="Times New Roman" w:hAnsi="Times New Roman"/>
          <w:sz w:val="20"/>
        </w:rPr>
      </w:pPr>
      <w:r>
        <w:rPr>
          <w:rFonts w:ascii="Times New Roman" w:hAnsi="Times New Roman"/>
          <w:b/>
          <w:sz w:val="20"/>
        </w:rPr>
        <w:t>SECTION 906 OF THE SARBANES-OXLEY ACT OF 2002</w:t>
      </w:r>
      <w:r>
        <w:rPr>
          <w:rFonts w:ascii="Times New Roman" w:hAnsi="Times New Roman"/>
          <w:sz w:val="20"/>
        </w:rPr>
        <w:t xml:space="preserve"> </w:t>
      </w:r>
    </w:p>
    <w:p>
      <w:pPr>
        <w:pStyle w:val="TextBody"/>
        <w:spacing w:lineRule="auto" w:line="288" w:before="180" w:after="0"/>
        <w:ind w:left="1000" w:right="1000" w:firstLine="480"/>
        <w:rPr>
          <w:rFonts w:ascii="Times New Roman" w:hAnsi="Times New Roman"/>
          <w:sz w:val="20"/>
        </w:rPr>
      </w:pPr>
      <w:r>
        <w:rPr>
          <w:rFonts w:ascii="Times New Roman" w:hAnsi="Times New Roman"/>
          <w:sz w:val="20"/>
        </w:rPr>
        <w:t xml:space="preserve">In connection with the Annual Report on Form 10-K of Duluth Holdings Inc. (the “Company”) for the fiscal year ended January 31, 2021 as filed with the Securities and Exchange Commission on the date hereof (the “Report”), I, </w:t>
      </w:r>
      <w:r>
        <w:rPr>
          <w:rFonts w:ascii="Times New Roman" w:hAnsi="Times New Roman"/>
          <w:color w:val="000000"/>
          <w:sz w:val="20"/>
        </w:rPr>
        <w:t>Stephen L. Schlecht</w:t>
      </w:r>
      <w:r>
        <w:rPr>
          <w:rFonts w:ascii="Times New Roman" w:hAnsi="Times New Roman"/>
          <w:sz w:val="20"/>
        </w:rPr>
        <w:t xml:space="preserve">, as Chief Executive Officer of the Company, hereby certify, pursuant to 18 U.S.C. Section 1350, as adopted pursuant to Section 906 of the Sarbanes-Oxley Act of 2002, that, to the best of my knowledge: </w:t>
      </w:r>
    </w:p>
    <w:tbl>
      <w:tblPr>
        <w:tblW w:w="8205" w:type="dxa"/>
        <w:jc w:val="left"/>
        <w:tblInd w:w="1000" w:type="dxa"/>
        <w:tblCellMar>
          <w:top w:w="0" w:type="dxa"/>
          <w:left w:w="0" w:type="dxa"/>
          <w:bottom w:w="0" w:type="dxa"/>
          <w:right w:w="0" w:type="dxa"/>
        </w:tblCellMar>
      </w:tblPr>
      <w:tblGrid>
        <w:gridCol w:w="38"/>
        <w:gridCol w:w="179"/>
        <w:gridCol w:w="23"/>
        <w:gridCol w:w="7965"/>
      </w:tblGrid>
      <w:tr>
        <w:trPr/>
        <w:tc>
          <w:tcPr>
            <w:tcW w:w="3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tcPr>
          <w:p>
            <w:pPr>
              <w:pStyle w:val="TableContents"/>
              <w:spacing w:lineRule="auto" w:line="288" w:before="100" w:after="0"/>
              <w:ind w:left="0" w:right="0" w:hanging="0"/>
              <w:jc w:val="left"/>
              <w:rPr>
                <w:rFonts w:ascii="Times New Roman" w:hAnsi="Times New Roman"/>
                <w:sz w:val="20"/>
              </w:rPr>
            </w:pPr>
            <w:r>
              <w:rPr>
                <w:rFonts w:ascii="Times New Roman" w:hAnsi="Times New Roman"/>
                <w:sz w:val="20"/>
              </w:rPr>
              <w:t xml:space="preserve">1. </w:t>
            </w:r>
          </w:p>
        </w:tc>
        <w:tc>
          <w:tcPr>
            <w:tcW w:w="23" w:type="dxa"/>
            <w:tcBorders/>
            <w:shd w:fill="auto" w:val="clear"/>
            <w:vAlign w:val="center"/>
          </w:tcPr>
          <w:p>
            <w:pPr>
              <w:pStyle w:val="TableContents"/>
              <w:spacing w:before="0" w:after="283"/>
              <w:rPr>
                <w:sz w:val="4"/>
                <w:szCs w:val="4"/>
              </w:rPr>
            </w:pPr>
            <w:r>
              <w:rPr>
                <w:sz w:val="4"/>
                <w:szCs w:val="4"/>
              </w:rPr>
            </w:r>
          </w:p>
        </w:tc>
        <w:tc>
          <w:tcPr>
            <w:tcW w:w="7965" w:type="dxa"/>
            <w:tcBorders/>
            <w:shd w:fill="auto" w:val="clear"/>
          </w:tcPr>
          <w:p>
            <w:pPr>
              <w:pStyle w:val="TableContents"/>
              <w:spacing w:lineRule="auto" w:line="288" w:before="100" w:after="0"/>
              <w:ind w:left="0" w:right="0" w:hanging="0"/>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(the “Exchange Act”); and</w:t>
            </w:r>
          </w:p>
        </w:tc>
      </w:tr>
    </w:tbl>
    <w:tbl>
      <w:tblPr>
        <w:tblW w:w="8205" w:type="dxa"/>
        <w:jc w:val="left"/>
        <w:tblInd w:w="1000" w:type="dxa"/>
        <w:tblCellMar>
          <w:top w:w="0" w:type="dxa"/>
          <w:left w:w="0" w:type="dxa"/>
          <w:bottom w:w="0" w:type="dxa"/>
          <w:right w:w="0" w:type="dxa"/>
        </w:tblCellMar>
      </w:tblPr>
      <w:tblGrid>
        <w:gridCol w:w="38"/>
        <w:gridCol w:w="183"/>
        <w:gridCol w:w="23"/>
        <w:gridCol w:w="7961"/>
      </w:tblGrid>
      <w:tr>
        <w:trPr/>
        <w:tc>
          <w:tcPr>
            <w:tcW w:w="38"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tcPr>
          <w:p>
            <w:pPr>
              <w:pStyle w:val="TableContents"/>
              <w:spacing w:lineRule="auto" w:line="288" w:before="100" w:after="0"/>
              <w:ind w:left="0" w:right="0" w:hanging="0"/>
              <w:jc w:val="left"/>
              <w:rPr>
                <w:rFonts w:ascii="Times New Roman" w:hAnsi="Times New Roman"/>
                <w:sz w:val="20"/>
              </w:rPr>
            </w:pPr>
            <w:r>
              <w:rPr>
                <w:rFonts w:ascii="Times New Roman" w:hAnsi="Times New Roman"/>
                <w:sz w:val="20"/>
              </w:rPr>
              <w:t xml:space="preserve">2. </w:t>
            </w:r>
          </w:p>
        </w:tc>
        <w:tc>
          <w:tcPr>
            <w:tcW w:w="23" w:type="dxa"/>
            <w:tcBorders/>
            <w:shd w:fill="auto" w:val="clear"/>
            <w:vAlign w:val="center"/>
          </w:tcPr>
          <w:p>
            <w:pPr>
              <w:pStyle w:val="TableContents"/>
              <w:spacing w:before="0" w:after="283"/>
              <w:rPr>
                <w:sz w:val="4"/>
                <w:szCs w:val="4"/>
              </w:rPr>
            </w:pPr>
            <w:r>
              <w:rPr>
                <w:sz w:val="4"/>
                <w:szCs w:val="4"/>
              </w:rPr>
            </w:r>
          </w:p>
        </w:tc>
        <w:tc>
          <w:tcPr>
            <w:tcW w:w="7961" w:type="dxa"/>
            <w:tcBorders/>
            <w:shd w:fill="auto" w:val="clear"/>
          </w:tcPr>
          <w:p>
            <w:pPr>
              <w:pStyle w:val="TableContents"/>
              <w:spacing w:lineRule="auto" w:line="288" w:before="100" w:after="0"/>
              <w:ind w:left="0" w:right="0" w:hanging="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c>
      </w:tr>
    </w:tbl>
    <w:p>
      <w:pPr>
        <w:pStyle w:val="TextBody"/>
        <w:spacing w:lineRule="auto" w:line="288" w:before="0" w:after="0"/>
        <w:ind w:left="1000" w:right="1000" w:hanging="0"/>
        <w:rPr/>
      </w:pPr>
      <w:r>
        <w:rPr/>
        <w:t xml:space="preserve">  </w:t>
      </w:r>
    </w:p>
    <w:p>
      <w:pPr>
        <w:pStyle w:val="TextBody"/>
        <w:spacing w:lineRule="atLeast" w:line="200" w:before="0" w:after="0"/>
        <w:ind w:left="1000" w:right="1000" w:hanging="0"/>
        <w:rPr>
          <w:rFonts w:cs="Times New Roman"/>
          <w:szCs w:val="20"/>
        </w:rPr>
      </w:pPr>
      <w:r>
        <w:rPr>
          <w:rFonts w:cs="Times New Roman"/>
          <w:color w:val="000000"/>
          <w:szCs w:val="20"/>
        </w:rPr>
        <w:t>﻿</w:t>
      </w:r>
      <w:r>
        <w:rPr>
          <w:rFonts w:cs="Times New Roman"/>
          <w:szCs w:val="20"/>
        </w:rPr>
        <w:t xml:space="preserve"> </w:t>
      </w:r>
    </w:p>
    <w:tbl>
      <w:tblPr>
        <w:tblW w:w="2575" w:type="dxa"/>
        <w:jc w:val="left"/>
        <w:tblInd w:w="1000" w:type="dxa"/>
        <w:tblCellMar>
          <w:top w:w="0" w:type="dxa"/>
          <w:left w:w="0" w:type="dxa"/>
          <w:bottom w:w="0" w:type="dxa"/>
          <w:right w:w="0" w:type="dxa"/>
        </w:tblCellMar>
      </w:tblPr>
      <w:tblGrid>
        <w:gridCol w:w="560"/>
        <w:gridCol w:w="2015"/>
      </w:tblGrid>
      <w:tr>
        <w:trPr/>
        <w:tc>
          <w:tcPr>
            <w:tcW w:w="560" w:type="dxa"/>
            <w:tcBorders/>
            <w:shd w:fill="auto" w:val="clear"/>
            <w:vAlign w:val="bottom"/>
          </w:tcPr>
          <w:p>
            <w:pPr>
              <w:pStyle w:val="TableContents"/>
              <w:spacing w:before="0" w:after="0"/>
              <w:ind w:left="0" w:right="0" w:hanging="0"/>
              <w:rPr>
                <w:rFonts w:cs="Times New Roman"/>
                <w:color w:val="000000"/>
                <w:szCs w:val="2"/>
              </w:rPr>
            </w:pPr>
            <w:r>
              <w:rPr>
                <w:rFonts w:cs="Times New Roman"/>
                <w:color w:val="000000"/>
                <w:szCs w:val="2"/>
              </w:rPr>
              <w:t>﻿</w:t>
            </w:r>
          </w:p>
        </w:tc>
        <w:tc>
          <w:tcPr>
            <w:tcW w:w="2015" w:type="dxa"/>
            <w:tcBorders/>
            <w:shd w:fill="auto" w:val="clear"/>
            <w:vAlign w:val="bottom"/>
          </w:tcPr>
          <w:p>
            <w:pPr>
              <w:pStyle w:val="TableContents"/>
              <w:spacing w:before="0" w:after="0"/>
              <w:ind w:left="0" w:right="0" w:hanging="0"/>
              <w:rPr/>
            </w:pPr>
            <w:r>
              <w:rPr/>
              <w:t> </w:t>
            </w:r>
          </w:p>
        </w:tc>
      </w:tr>
      <w:tr>
        <w:trPr/>
        <w:tc>
          <w:tcPr>
            <w:tcW w:w="560" w:type="dxa"/>
            <w:tcBorders/>
            <w:shd w:fill="auto" w:val="clear"/>
            <w:vAlign w:val="bottom"/>
          </w:tcPr>
          <w:p>
            <w:pPr>
              <w:pStyle w:val="TableContents"/>
              <w:spacing w:before="0" w:after="0"/>
              <w:ind w:left="0" w:right="0" w:hanging="0"/>
              <w:rPr>
                <w:rFonts w:cs="Times New Roman"/>
                <w:color w:val="000000"/>
                <w:szCs w:val="2"/>
              </w:rPr>
            </w:pPr>
            <w:r>
              <w:rPr>
                <w:rFonts w:cs="Times New Roman"/>
                <w:color w:val="000000"/>
                <w:szCs w:val="2"/>
              </w:rPr>
              <w:t>﻿</w:t>
            </w:r>
          </w:p>
        </w:tc>
        <w:tc>
          <w:tcPr>
            <w:tcW w:w="2015" w:type="dxa"/>
            <w:tcBorders/>
            <w:shd w:fill="auto" w:val="clear"/>
            <w:vAlign w:val="bottom"/>
          </w:tcPr>
          <w:p>
            <w:pPr>
              <w:pStyle w:val="TableContents"/>
              <w:spacing w:before="0" w:after="0"/>
              <w:ind w:left="0" w:right="0" w:hanging="0"/>
              <w:rPr/>
            </w:pPr>
            <w:r>
              <w:rPr/>
              <w:t> </w:t>
            </w:r>
          </w:p>
        </w:tc>
      </w:tr>
      <w:tr>
        <w:trPr/>
        <w:tc>
          <w:tcPr>
            <w:tcW w:w="560" w:type="dxa"/>
            <w:tcBorders/>
            <w:shd w:fill="auto" w:val="clear"/>
            <w:vAlign w:val="bottom"/>
          </w:tcPr>
          <w:p>
            <w:pPr>
              <w:pStyle w:val="TableContents"/>
              <w:spacing w:before="0" w:after="0"/>
              <w:ind w:left="0" w:right="0" w:hanging="0"/>
              <w:rPr>
                <w:rFonts w:cs="Times New Roman"/>
                <w:color w:val="000000"/>
                <w:szCs w:val="20"/>
              </w:rPr>
            </w:pPr>
            <w:r>
              <w:rPr>
                <w:rFonts w:cs="Times New Roman"/>
                <w:color w:val="000000"/>
                <w:szCs w:val="20"/>
              </w:rPr>
              <w:t>﻿</w:t>
            </w:r>
          </w:p>
        </w:tc>
        <w:tc>
          <w:tcPr>
            <w:tcW w:w="2015"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color w:val="000000"/>
                <w:sz w:val="20"/>
              </w:rPr>
            </w:pPr>
            <w:r>
              <w:rPr>
                <w:rFonts w:ascii="Times New Roman" w:hAnsi="Times New Roman"/>
                <w:b/>
                <w:color w:val="000000"/>
                <w:sz w:val="20"/>
              </w:rPr>
              <w:t>/s/ Stephen L. Schlecht</w:t>
            </w:r>
          </w:p>
        </w:tc>
      </w:tr>
      <w:tr>
        <w:trPr/>
        <w:tc>
          <w:tcPr>
            <w:tcW w:w="560" w:type="dxa"/>
            <w:tcBorders/>
            <w:shd w:fill="auto" w:val="clear"/>
          </w:tcPr>
          <w:p>
            <w:pPr>
              <w:pStyle w:val="TableContents"/>
              <w:spacing w:before="0" w:after="0"/>
              <w:ind w:left="0" w:right="0" w:hanging="0"/>
              <w:rPr>
                <w:rFonts w:ascii="Times New Roman" w:hAnsi="Times New Roman"/>
                <w:color w:val="000000"/>
                <w:sz w:val="20"/>
              </w:rPr>
            </w:pPr>
            <w:r>
              <w:rPr>
                <w:rFonts w:ascii="Times New Roman" w:hAnsi="Times New Roman"/>
                <w:color w:val="000000"/>
                <w:sz w:val="20"/>
              </w:rPr>
              <w:t>Name:</w:t>
            </w:r>
          </w:p>
        </w:tc>
        <w:tc>
          <w:tcPr>
            <w:tcW w:w="2015" w:type="dxa"/>
            <w:tcBorders/>
            <w:shd w:fill="auto" w:val="clear"/>
            <w:vAlign w:val="bottom"/>
          </w:tcPr>
          <w:p>
            <w:pPr>
              <w:pStyle w:val="TableContents"/>
              <w:spacing w:before="0" w:after="0"/>
              <w:ind w:left="0" w:right="0" w:hanging="0"/>
              <w:rPr>
                <w:rFonts w:ascii="Times New Roman" w:hAnsi="Times New Roman"/>
                <w:b/>
                <w:color w:val="000000"/>
                <w:sz w:val="20"/>
              </w:rPr>
            </w:pPr>
            <w:r>
              <w:rPr>
                <w:rFonts w:ascii="Times New Roman" w:hAnsi="Times New Roman"/>
                <w:b/>
                <w:color w:val="000000"/>
                <w:sz w:val="20"/>
              </w:rPr>
              <w:t>Stephen L. Schlecht</w:t>
            </w:r>
          </w:p>
        </w:tc>
      </w:tr>
      <w:tr>
        <w:trPr/>
        <w:tc>
          <w:tcPr>
            <w:tcW w:w="560" w:type="dxa"/>
            <w:tcBorders/>
            <w:shd w:fill="auto" w:val="clear"/>
          </w:tcPr>
          <w:p>
            <w:pPr>
              <w:pStyle w:val="TableContents"/>
              <w:spacing w:before="0" w:after="0"/>
              <w:ind w:left="0" w:right="0" w:hanging="0"/>
              <w:rPr>
                <w:rFonts w:ascii="Times New Roman" w:hAnsi="Times New Roman"/>
                <w:color w:val="000000"/>
                <w:sz w:val="20"/>
              </w:rPr>
            </w:pPr>
            <w:r>
              <w:rPr>
                <w:rFonts w:ascii="Times New Roman" w:hAnsi="Times New Roman"/>
                <w:color w:val="000000"/>
                <w:sz w:val="20"/>
              </w:rPr>
              <w:t>Title:</w:t>
            </w:r>
          </w:p>
        </w:tc>
        <w:tc>
          <w:tcPr>
            <w:tcW w:w="2015" w:type="dxa"/>
            <w:tcBorders/>
            <w:shd w:fill="auto" w:val="clear"/>
            <w:vAlign w:val="bottom"/>
          </w:tcPr>
          <w:p>
            <w:pPr>
              <w:pStyle w:val="TableContents"/>
              <w:spacing w:before="0" w:after="0"/>
              <w:ind w:left="0" w:right="0" w:hanging="0"/>
              <w:rPr>
                <w:rFonts w:ascii="Times New Roman" w:hAnsi="Times New Roman"/>
                <w:b/>
                <w:color w:val="000000"/>
                <w:sz w:val="20"/>
              </w:rPr>
            </w:pPr>
            <w:r>
              <w:rPr>
                <w:rFonts w:ascii="Times New Roman" w:hAnsi="Times New Roman"/>
                <w:b/>
                <w:color w:val="000000"/>
                <w:sz w:val="20"/>
              </w:rPr>
              <w:t>Chief Executive Officer</w:t>
            </w:r>
          </w:p>
        </w:tc>
      </w:tr>
      <w:tr>
        <w:trPr/>
        <w:tc>
          <w:tcPr>
            <w:tcW w:w="560" w:type="dxa"/>
            <w:tcBorders/>
            <w:shd w:fill="auto" w:val="clear"/>
          </w:tcPr>
          <w:p>
            <w:pPr>
              <w:pStyle w:val="TableContents"/>
              <w:spacing w:before="0" w:after="0"/>
              <w:ind w:left="0" w:right="0" w:hanging="0"/>
              <w:rPr>
                <w:rFonts w:ascii="Times New Roman" w:hAnsi="Times New Roman"/>
                <w:color w:val="000000"/>
                <w:sz w:val="20"/>
              </w:rPr>
            </w:pPr>
            <w:r>
              <w:rPr>
                <w:rFonts w:ascii="Times New Roman" w:hAnsi="Times New Roman"/>
                <w:color w:val="000000"/>
                <w:sz w:val="20"/>
              </w:rPr>
              <w:t>Date:</w:t>
            </w:r>
          </w:p>
        </w:tc>
        <w:tc>
          <w:tcPr>
            <w:tcW w:w="2015" w:type="dxa"/>
            <w:tcBorders/>
            <w:shd w:fill="auto" w:val="clear"/>
            <w:vAlign w:val="bottom"/>
          </w:tcPr>
          <w:p>
            <w:pPr>
              <w:pStyle w:val="TableContents"/>
              <w:spacing w:before="0" w:after="0"/>
              <w:ind w:left="0" w:right="0" w:hanging="0"/>
              <w:rPr>
                <w:rFonts w:ascii="Times New Roman" w:hAnsi="Times New Roman"/>
                <w:b/>
                <w:color w:val="000000"/>
                <w:sz w:val="20"/>
              </w:rPr>
            </w:pPr>
            <w:r>
              <w:rPr>
                <w:rFonts w:ascii="Times New Roman" w:hAnsi="Times New Roman"/>
                <w:b/>
                <w:color w:val="000000"/>
                <w:sz w:val="20"/>
              </w:rPr>
              <w:t>March 26, 2021</w:t>
            </w:r>
          </w:p>
        </w:tc>
      </w:tr>
    </w:tbl>
    <w:p>
      <w:pPr>
        <w:pStyle w:val="TextBody"/>
        <w:spacing w:before="0" w:after="0"/>
        <w:ind w:left="1000" w:right="1000" w:hanging="0"/>
        <w:rPr>
          <w:rFonts w:cs="Times New Roman"/>
          <w:szCs w:val="20"/>
        </w:rPr>
      </w:pPr>
      <w:r>
        <w:rPr>
          <w:rFonts w:cs="Times New Roman"/>
          <w:color w:val="000000"/>
          <w:szCs w:val="20"/>
        </w:rPr>
        <w:t>﻿</w:t>
      </w:r>
      <w:r>
        <w:rPr>
          <w:rFonts w:cs="Times New Roman"/>
          <w:szCs w:val="20"/>
        </w:rPr>
        <w:t xml:space="preserve"> </w:t>
      </w:r>
    </w:p>
    <w:p>
      <w:pPr>
        <w:pStyle w:val="TextBody"/>
        <w:spacing w:lineRule="atLeast" w:line="220" w:before="180" w:after="0"/>
        <w:ind w:left="1000" w:right="1000" w:firstLine="480"/>
        <w:rPr>
          <w:rFonts w:ascii="Times New Roman" w:hAnsi="Times New Roman"/>
          <w:sz w:val="20"/>
        </w:rPr>
      </w:pPr>
      <w:r>
        <w:rPr>
          <w:rFonts w:ascii="Times New Roman" w:hAnsi="Times New Roman"/>
          <w:color w:val="000000"/>
          <w:sz w:val="20"/>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r>
        <w:rPr>
          <w:rFonts w:ascii="Times New Roman" w:hAnsi="Times New Roman"/>
          <w:sz w:val="20"/>
        </w:rPr>
        <w:t xml:space="preserve"> </w:t>
      </w:r>
    </w:p>
    <w:p>
      <w:pPr>
        <w:pStyle w:val="HorizontalLine"/>
        <w:pBdr>
          <w:bottom w:val="double" w:sz="6" w:space="0" w:color="808080"/>
        </w:pBdr>
        <w:ind w:left="1000" w:right="1000" w:hanging="0"/>
        <w:rPr/>
      </w:pPr>
      <w:r>
        <w:rPr/>
      </w:r>
      <w:r>
        <w:br w:type="page"/>
      </w:r>
    </w:p>
    <w:p>
      <w:pPr>
        <w:pStyle w:val="TextBody"/>
        <w:spacing w:lineRule="auto" w:line="288" w:before="0" w:after="0"/>
        <w:ind w:left="1000" w:right="1000" w:hanging="0"/>
        <w:jc w:val="right"/>
        <w:rPr>
          <w:rFonts w:ascii="Times New Roman" w:hAnsi="Times New Roman"/>
          <w:sz w:val="20"/>
        </w:rPr>
      </w:pPr>
      <w:bookmarkStart w:id="47" w:name="dlth-20210131xex32_2.htm"/>
      <w:bookmarkStart w:id="48" w:name="ksdlth20210131xex32_2"/>
      <w:bookmarkEnd w:id="47"/>
      <w:bookmarkEnd w:id="48"/>
      <w:r>
        <w:rPr>
          <w:rFonts w:ascii="Times New Roman" w:hAnsi="Times New Roman"/>
          <w:b/>
          <w:sz w:val="20"/>
        </w:rPr>
        <w:t>Exhibit 32.2</w:t>
      </w:r>
      <w:r>
        <w:rPr>
          <w:rFonts w:ascii="Times New Roman" w:hAnsi="Times New Roman"/>
          <w:sz w:val="20"/>
        </w:rPr>
        <w:t xml:space="preserve"> </w:t>
      </w:r>
    </w:p>
    <w:p>
      <w:pPr>
        <w:pStyle w:val="TextBody"/>
        <w:spacing w:lineRule="auto" w:line="288" w:before="360" w:after="0"/>
        <w:ind w:left="1000" w:right="1000" w:hanging="0"/>
        <w:jc w:val="center"/>
        <w:rPr>
          <w:rFonts w:ascii="Times New Roman" w:hAnsi="Times New Roman"/>
          <w:sz w:val="20"/>
        </w:rPr>
      </w:pPr>
      <w:r>
        <w:rPr>
          <w:rFonts w:ascii="Times New Roman" w:hAnsi="Times New Roman"/>
          <w:b/>
          <w:sz w:val="20"/>
        </w:rPr>
        <w:t>CERTIFICATION OF THE CHIEF FINANCIAL OFFICER PURSUANT TO</w:t>
      </w:r>
      <w:r>
        <w:rPr>
          <w:rFonts w:ascii="Times New Roman" w:hAnsi="Times New Roman"/>
          <w:sz w:val="20"/>
        </w:rPr>
        <w:t xml:space="preserve"> </w:t>
      </w:r>
    </w:p>
    <w:p>
      <w:pPr>
        <w:pStyle w:val="TextBody"/>
        <w:spacing w:lineRule="auto" w:line="288" w:before="0" w:after="0"/>
        <w:ind w:left="1000" w:right="1000" w:hanging="0"/>
        <w:jc w:val="center"/>
        <w:rPr>
          <w:rFonts w:ascii="Times New Roman" w:hAnsi="Times New Roman"/>
          <w:sz w:val="20"/>
        </w:rPr>
      </w:pPr>
      <w:r>
        <w:rPr>
          <w:rFonts w:ascii="Times New Roman" w:hAnsi="Times New Roman"/>
          <w:b/>
          <w:sz w:val="20"/>
        </w:rPr>
        <w:t>18 U.S.C. SECTION 1350,</w:t>
      </w:r>
      <w:r>
        <w:rPr>
          <w:rFonts w:ascii="Times New Roman" w:hAnsi="Times New Roman"/>
          <w:sz w:val="20"/>
        </w:rPr>
        <w:t xml:space="preserve"> </w:t>
      </w:r>
    </w:p>
    <w:p>
      <w:pPr>
        <w:pStyle w:val="TextBody"/>
        <w:spacing w:lineRule="auto" w:line="288" w:before="0" w:after="0"/>
        <w:ind w:left="1000" w:right="1000" w:hanging="0"/>
        <w:jc w:val="center"/>
        <w:rPr>
          <w:rFonts w:ascii="Times New Roman" w:hAnsi="Times New Roman"/>
          <w:sz w:val="20"/>
        </w:rPr>
      </w:pPr>
      <w:r>
        <w:rPr>
          <w:rFonts w:ascii="Times New Roman" w:hAnsi="Times New Roman"/>
          <w:b/>
          <w:sz w:val="20"/>
        </w:rPr>
        <w:t>AS ADOPTED PURSUANT TO</w:t>
      </w:r>
      <w:r>
        <w:rPr>
          <w:rFonts w:ascii="Times New Roman" w:hAnsi="Times New Roman"/>
          <w:sz w:val="20"/>
        </w:rPr>
        <w:t xml:space="preserve"> </w:t>
      </w:r>
    </w:p>
    <w:p>
      <w:pPr>
        <w:pStyle w:val="TextBody"/>
        <w:spacing w:lineRule="auto" w:line="288" w:before="0" w:after="0"/>
        <w:ind w:left="1000" w:right="1000" w:hanging="0"/>
        <w:jc w:val="center"/>
        <w:rPr>
          <w:rFonts w:ascii="Times New Roman" w:hAnsi="Times New Roman"/>
          <w:sz w:val="20"/>
        </w:rPr>
      </w:pPr>
      <w:r>
        <w:rPr>
          <w:rFonts w:ascii="Times New Roman" w:hAnsi="Times New Roman"/>
          <w:b/>
          <w:sz w:val="20"/>
        </w:rPr>
        <w:t>SECTION 906 OF THE SARBANES-OXLEY ACT OF 2002</w:t>
      </w:r>
      <w:r>
        <w:rPr>
          <w:rFonts w:ascii="Times New Roman" w:hAnsi="Times New Roman"/>
          <w:sz w:val="20"/>
        </w:rPr>
        <w:t xml:space="preserve"> </w:t>
      </w:r>
    </w:p>
    <w:p>
      <w:pPr>
        <w:pStyle w:val="TextBody"/>
        <w:spacing w:lineRule="auto" w:line="288" w:before="180" w:after="0"/>
        <w:ind w:left="1000" w:right="1000" w:firstLine="480"/>
        <w:rPr>
          <w:rFonts w:ascii="Times New Roman" w:hAnsi="Times New Roman"/>
          <w:sz w:val="20"/>
        </w:rPr>
      </w:pPr>
      <w:r>
        <w:rPr>
          <w:rFonts w:ascii="Times New Roman" w:hAnsi="Times New Roman"/>
          <w:sz w:val="20"/>
        </w:rPr>
        <w:t xml:space="preserve">In connection with the Annual Report on Form 10-K of Duluth Holdings Inc. (the “Company”) for the fiscal year ended January 31, 2021 as filed with the Securities and Exchange Commission on the date hereof (the “Report”), I, David Loretta, as Chief Financial Officer of the Company, hereby certify, pursuant to 18 U.S.C. Section 1350, as adopted pursuant to Section 906 of the Sarbanes-Oxley Act of 2002, that, to the best of my knowledge: </w:t>
      </w:r>
    </w:p>
    <w:tbl>
      <w:tblPr>
        <w:tblW w:w="8205" w:type="dxa"/>
        <w:jc w:val="left"/>
        <w:tblInd w:w="1000" w:type="dxa"/>
        <w:tblCellMar>
          <w:top w:w="0" w:type="dxa"/>
          <w:left w:w="0" w:type="dxa"/>
          <w:bottom w:w="0" w:type="dxa"/>
          <w:right w:w="0" w:type="dxa"/>
        </w:tblCellMar>
      </w:tblPr>
      <w:tblGrid>
        <w:gridCol w:w="38"/>
        <w:gridCol w:w="179"/>
        <w:gridCol w:w="23"/>
        <w:gridCol w:w="7965"/>
      </w:tblGrid>
      <w:tr>
        <w:trPr/>
        <w:tc>
          <w:tcPr>
            <w:tcW w:w="3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tcPr>
          <w:p>
            <w:pPr>
              <w:pStyle w:val="TableContents"/>
              <w:spacing w:lineRule="auto" w:line="288" w:before="100" w:after="0"/>
              <w:ind w:left="0" w:right="0" w:hanging="0"/>
              <w:jc w:val="left"/>
              <w:rPr>
                <w:rFonts w:ascii="Times New Roman" w:hAnsi="Times New Roman"/>
                <w:sz w:val="20"/>
              </w:rPr>
            </w:pPr>
            <w:r>
              <w:rPr>
                <w:rFonts w:ascii="Times New Roman" w:hAnsi="Times New Roman"/>
                <w:sz w:val="20"/>
              </w:rPr>
              <w:t xml:space="preserve">1. </w:t>
            </w:r>
          </w:p>
        </w:tc>
        <w:tc>
          <w:tcPr>
            <w:tcW w:w="23" w:type="dxa"/>
            <w:tcBorders/>
            <w:shd w:fill="auto" w:val="clear"/>
            <w:vAlign w:val="center"/>
          </w:tcPr>
          <w:p>
            <w:pPr>
              <w:pStyle w:val="TableContents"/>
              <w:spacing w:before="0" w:after="283"/>
              <w:rPr>
                <w:sz w:val="4"/>
                <w:szCs w:val="4"/>
              </w:rPr>
            </w:pPr>
            <w:r>
              <w:rPr>
                <w:sz w:val="4"/>
                <w:szCs w:val="4"/>
              </w:rPr>
            </w:r>
          </w:p>
        </w:tc>
        <w:tc>
          <w:tcPr>
            <w:tcW w:w="7965" w:type="dxa"/>
            <w:tcBorders/>
            <w:shd w:fill="auto" w:val="clear"/>
          </w:tcPr>
          <w:p>
            <w:pPr>
              <w:pStyle w:val="TableContents"/>
              <w:spacing w:lineRule="auto" w:line="288" w:before="100" w:after="0"/>
              <w:ind w:left="0" w:right="0" w:hanging="0"/>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(the “Exchange Act”); and</w:t>
            </w:r>
          </w:p>
        </w:tc>
      </w:tr>
    </w:tbl>
    <w:tbl>
      <w:tblPr>
        <w:tblW w:w="8205" w:type="dxa"/>
        <w:jc w:val="left"/>
        <w:tblInd w:w="1000" w:type="dxa"/>
        <w:tblCellMar>
          <w:top w:w="0" w:type="dxa"/>
          <w:left w:w="0" w:type="dxa"/>
          <w:bottom w:w="0" w:type="dxa"/>
          <w:right w:w="0" w:type="dxa"/>
        </w:tblCellMar>
      </w:tblPr>
      <w:tblGrid>
        <w:gridCol w:w="38"/>
        <w:gridCol w:w="183"/>
        <w:gridCol w:w="23"/>
        <w:gridCol w:w="7961"/>
      </w:tblGrid>
      <w:tr>
        <w:trPr/>
        <w:tc>
          <w:tcPr>
            <w:tcW w:w="38"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tcPr>
          <w:p>
            <w:pPr>
              <w:pStyle w:val="TableContents"/>
              <w:spacing w:lineRule="auto" w:line="288" w:before="100" w:after="0"/>
              <w:ind w:left="0" w:right="0" w:hanging="0"/>
              <w:jc w:val="left"/>
              <w:rPr>
                <w:rFonts w:ascii="Times New Roman" w:hAnsi="Times New Roman"/>
                <w:sz w:val="20"/>
              </w:rPr>
            </w:pPr>
            <w:r>
              <w:rPr>
                <w:rFonts w:ascii="Times New Roman" w:hAnsi="Times New Roman"/>
                <w:sz w:val="20"/>
              </w:rPr>
              <w:t xml:space="preserve">2. </w:t>
            </w:r>
          </w:p>
        </w:tc>
        <w:tc>
          <w:tcPr>
            <w:tcW w:w="23" w:type="dxa"/>
            <w:tcBorders/>
            <w:shd w:fill="auto" w:val="clear"/>
            <w:vAlign w:val="center"/>
          </w:tcPr>
          <w:p>
            <w:pPr>
              <w:pStyle w:val="TableContents"/>
              <w:spacing w:before="0" w:after="283"/>
              <w:rPr>
                <w:sz w:val="4"/>
                <w:szCs w:val="4"/>
              </w:rPr>
            </w:pPr>
            <w:r>
              <w:rPr>
                <w:sz w:val="4"/>
                <w:szCs w:val="4"/>
              </w:rPr>
            </w:r>
          </w:p>
        </w:tc>
        <w:tc>
          <w:tcPr>
            <w:tcW w:w="7961" w:type="dxa"/>
            <w:tcBorders/>
            <w:shd w:fill="auto" w:val="clear"/>
          </w:tcPr>
          <w:p>
            <w:pPr>
              <w:pStyle w:val="TableContents"/>
              <w:spacing w:lineRule="auto" w:line="288" w:before="100" w:after="0"/>
              <w:ind w:left="0" w:right="0" w:hanging="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c>
      </w:tr>
    </w:tbl>
    <w:p>
      <w:pPr>
        <w:pStyle w:val="TextBody"/>
        <w:spacing w:lineRule="auto" w:line="288" w:before="0" w:after="0"/>
        <w:ind w:left="1000" w:right="1000" w:hanging="0"/>
        <w:rPr/>
      </w:pPr>
      <w:r>
        <w:rPr/>
        <w:t xml:space="preserve">  </w:t>
      </w:r>
    </w:p>
    <w:p>
      <w:pPr>
        <w:pStyle w:val="TextBody"/>
        <w:spacing w:lineRule="atLeast" w:line="200" w:before="0" w:after="0"/>
        <w:ind w:left="1000" w:right="1000" w:hanging="0"/>
        <w:rPr>
          <w:rFonts w:cs="Times New Roman"/>
          <w:szCs w:val="20"/>
        </w:rPr>
      </w:pPr>
      <w:r>
        <w:rPr>
          <w:rFonts w:cs="Times New Roman"/>
          <w:color w:val="000000"/>
          <w:szCs w:val="20"/>
        </w:rPr>
        <w:t>﻿</w:t>
      </w:r>
      <w:r>
        <w:rPr>
          <w:rFonts w:cs="Times New Roman"/>
          <w:szCs w:val="20"/>
        </w:rPr>
        <w:t xml:space="preserve"> </w:t>
      </w:r>
    </w:p>
    <w:tbl>
      <w:tblPr>
        <w:tblW w:w="2545" w:type="dxa"/>
        <w:jc w:val="left"/>
        <w:tblInd w:w="1000" w:type="dxa"/>
        <w:tblCellMar>
          <w:top w:w="0" w:type="dxa"/>
          <w:left w:w="0" w:type="dxa"/>
          <w:bottom w:w="0" w:type="dxa"/>
          <w:right w:w="0" w:type="dxa"/>
        </w:tblCellMar>
      </w:tblPr>
      <w:tblGrid>
        <w:gridCol w:w="560"/>
        <w:gridCol w:w="1985"/>
      </w:tblGrid>
      <w:tr>
        <w:trPr/>
        <w:tc>
          <w:tcPr>
            <w:tcW w:w="560" w:type="dxa"/>
            <w:tcBorders/>
            <w:shd w:fill="auto" w:val="clear"/>
            <w:vAlign w:val="bottom"/>
          </w:tcPr>
          <w:p>
            <w:pPr>
              <w:pStyle w:val="TableContents"/>
              <w:spacing w:before="0" w:after="0"/>
              <w:ind w:left="0" w:right="0" w:hanging="0"/>
              <w:rPr>
                <w:rFonts w:cs="Times New Roman"/>
                <w:color w:val="000000"/>
                <w:szCs w:val="2"/>
              </w:rPr>
            </w:pPr>
            <w:r>
              <w:rPr>
                <w:rFonts w:cs="Times New Roman"/>
                <w:color w:val="000000"/>
                <w:szCs w:val="2"/>
              </w:rPr>
              <w:t>﻿</w:t>
            </w:r>
          </w:p>
        </w:tc>
        <w:tc>
          <w:tcPr>
            <w:tcW w:w="1985" w:type="dxa"/>
            <w:tcBorders/>
            <w:shd w:fill="auto" w:val="clear"/>
            <w:vAlign w:val="bottom"/>
          </w:tcPr>
          <w:p>
            <w:pPr>
              <w:pStyle w:val="TableContents"/>
              <w:spacing w:before="0" w:after="0"/>
              <w:ind w:left="0" w:right="0" w:hanging="0"/>
              <w:rPr/>
            </w:pPr>
            <w:r>
              <w:rPr/>
              <w:t> </w:t>
            </w:r>
          </w:p>
        </w:tc>
      </w:tr>
      <w:tr>
        <w:trPr/>
        <w:tc>
          <w:tcPr>
            <w:tcW w:w="560" w:type="dxa"/>
            <w:tcBorders/>
            <w:shd w:fill="auto" w:val="clear"/>
            <w:vAlign w:val="bottom"/>
          </w:tcPr>
          <w:p>
            <w:pPr>
              <w:pStyle w:val="TableContents"/>
              <w:spacing w:before="0" w:after="0"/>
              <w:ind w:left="0" w:right="0" w:hanging="0"/>
              <w:rPr>
                <w:rFonts w:cs="Times New Roman"/>
                <w:color w:val="000000"/>
                <w:szCs w:val="20"/>
              </w:rPr>
            </w:pPr>
            <w:r>
              <w:rPr>
                <w:rFonts w:cs="Times New Roman"/>
                <w:color w:val="000000"/>
                <w:szCs w:val="20"/>
              </w:rPr>
              <w:t>﻿</w:t>
            </w:r>
          </w:p>
        </w:tc>
        <w:tc>
          <w:tcPr>
            <w:tcW w:w="1985" w:type="dxa"/>
            <w:tcBorders>
              <w:bottom w:val="single" w:sz="8" w:space="0" w:color="000000"/>
            </w:tcBorders>
            <w:shd w:fill="auto" w:val="clear"/>
            <w:tcMar>
              <w:bottom w:w="28" w:type="dxa"/>
            </w:tcMar>
            <w:vAlign w:val="bottom"/>
          </w:tcPr>
          <w:p>
            <w:pPr>
              <w:pStyle w:val="TableContents"/>
              <w:spacing w:before="0" w:after="0"/>
              <w:ind w:left="0" w:right="0" w:hanging="0"/>
              <w:rPr/>
            </w:pPr>
            <w:r>
              <w:rPr>
                <w:color w:val="000000"/>
              </w:rPr>
              <w:t> </w:t>
            </w:r>
            <w:r>
              <w:rPr>
                <w:rFonts w:ascii="Times New Roman" w:hAnsi="Times New Roman"/>
                <w:b/>
                <w:color w:val="000000"/>
                <w:sz w:val="20"/>
              </w:rPr>
              <w:t>/s/ David Loretta</w:t>
            </w:r>
          </w:p>
        </w:tc>
      </w:tr>
      <w:tr>
        <w:trPr/>
        <w:tc>
          <w:tcPr>
            <w:tcW w:w="560" w:type="dxa"/>
            <w:tcBorders/>
            <w:shd w:fill="auto" w:val="clear"/>
          </w:tcPr>
          <w:p>
            <w:pPr>
              <w:pStyle w:val="TableContents"/>
              <w:spacing w:before="0" w:after="0"/>
              <w:ind w:left="0" w:right="0" w:hanging="0"/>
              <w:rPr>
                <w:rFonts w:ascii="Times New Roman" w:hAnsi="Times New Roman"/>
                <w:color w:val="000000"/>
                <w:sz w:val="20"/>
              </w:rPr>
            </w:pPr>
            <w:r>
              <w:rPr>
                <w:rFonts w:ascii="Times New Roman" w:hAnsi="Times New Roman"/>
                <w:color w:val="000000"/>
                <w:sz w:val="20"/>
              </w:rPr>
              <w:t>Name:</w:t>
            </w:r>
          </w:p>
        </w:tc>
        <w:tc>
          <w:tcPr>
            <w:tcW w:w="1985" w:type="dxa"/>
            <w:tcBorders/>
            <w:shd w:fill="auto" w:val="clear"/>
            <w:vAlign w:val="bottom"/>
          </w:tcPr>
          <w:p>
            <w:pPr>
              <w:pStyle w:val="TableContents"/>
              <w:spacing w:before="0" w:after="0"/>
              <w:ind w:left="0" w:right="0" w:hanging="0"/>
              <w:rPr>
                <w:rFonts w:ascii="Times New Roman" w:hAnsi="Times New Roman"/>
                <w:b/>
                <w:color w:val="000000"/>
                <w:sz w:val="20"/>
              </w:rPr>
            </w:pPr>
            <w:r>
              <w:rPr>
                <w:rFonts w:ascii="Times New Roman" w:hAnsi="Times New Roman"/>
                <w:b/>
                <w:color w:val="000000"/>
                <w:sz w:val="20"/>
              </w:rPr>
              <w:t>David Loretta</w:t>
            </w:r>
          </w:p>
        </w:tc>
      </w:tr>
      <w:tr>
        <w:trPr/>
        <w:tc>
          <w:tcPr>
            <w:tcW w:w="560" w:type="dxa"/>
            <w:tcBorders/>
            <w:shd w:fill="auto" w:val="clear"/>
          </w:tcPr>
          <w:p>
            <w:pPr>
              <w:pStyle w:val="TableContents"/>
              <w:spacing w:before="0" w:after="0"/>
              <w:ind w:left="0" w:right="0" w:hanging="0"/>
              <w:rPr>
                <w:rFonts w:ascii="Times New Roman" w:hAnsi="Times New Roman"/>
                <w:color w:val="000000"/>
                <w:sz w:val="20"/>
              </w:rPr>
            </w:pPr>
            <w:r>
              <w:rPr>
                <w:rFonts w:ascii="Times New Roman" w:hAnsi="Times New Roman"/>
                <w:color w:val="000000"/>
                <w:sz w:val="20"/>
              </w:rPr>
              <w:t>Title:</w:t>
            </w:r>
          </w:p>
        </w:tc>
        <w:tc>
          <w:tcPr>
            <w:tcW w:w="1985" w:type="dxa"/>
            <w:tcBorders/>
            <w:shd w:fill="auto" w:val="clear"/>
            <w:vAlign w:val="bottom"/>
          </w:tcPr>
          <w:p>
            <w:pPr>
              <w:pStyle w:val="TableContents"/>
              <w:spacing w:before="0" w:after="0"/>
              <w:ind w:left="0" w:right="0" w:hanging="0"/>
              <w:rPr>
                <w:rFonts w:ascii="Times New Roman" w:hAnsi="Times New Roman"/>
                <w:b/>
                <w:color w:val="000000"/>
                <w:sz w:val="20"/>
              </w:rPr>
            </w:pPr>
            <w:r>
              <w:rPr>
                <w:rFonts w:ascii="Times New Roman" w:hAnsi="Times New Roman"/>
                <w:b/>
                <w:color w:val="000000"/>
                <w:sz w:val="20"/>
              </w:rPr>
              <w:t>Chief Financial Officer</w:t>
            </w:r>
          </w:p>
        </w:tc>
      </w:tr>
      <w:tr>
        <w:trPr/>
        <w:tc>
          <w:tcPr>
            <w:tcW w:w="560" w:type="dxa"/>
            <w:tcBorders/>
            <w:shd w:fill="auto" w:val="clear"/>
          </w:tcPr>
          <w:p>
            <w:pPr>
              <w:pStyle w:val="TableContents"/>
              <w:spacing w:before="0" w:after="0"/>
              <w:ind w:left="0" w:right="0" w:hanging="0"/>
              <w:rPr>
                <w:rFonts w:ascii="Times New Roman" w:hAnsi="Times New Roman"/>
                <w:color w:val="000000"/>
                <w:sz w:val="20"/>
              </w:rPr>
            </w:pPr>
            <w:r>
              <w:rPr>
                <w:rFonts w:ascii="Times New Roman" w:hAnsi="Times New Roman"/>
                <w:color w:val="000000"/>
                <w:sz w:val="20"/>
              </w:rPr>
              <w:t>Date:</w:t>
            </w:r>
          </w:p>
        </w:tc>
        <w:tc>
          <w:tcPr>
            <w:tcW w:w="1985" w:type="dxa"/>
            <w:tcBorders/>
            <w:shd w:fill="auto" w:val="clear"/>
            <w:vAlign w:val="bottom"/>
          </w:tcPr>
          <w:p>
            <w:pPr>
              <w:pStyle w:val="TableContents"/>
              <w:spacing w:before="0" w:after="0"/>
              <w:ind w:left="0" w:right="0" w:hanging="0"/>
              <w:rPr>
                <w:rFonts w:ascii="Times New Roman" w:hAnsi="Times New Roman"/>
                <w:b/>
                <w:color w:val="000000"/>
                <w:sz w:val="20"/>
              </w:rPr>
            </w:pPr>
            <w:r>
              <w:rPr>
                <w:rFonts w:ascii="Times New Roman" w:hAnsi="Times New Roman"/>
                <w:b/>
                <w:color w:val="000000"/>
                <w:sz w:val="20"/>
              </w:rPr>
              <w:t>March 26, 2021</w:t>
            </w:r>
          </w:p>
        </w:tc>
      </w:tr>
    </w:tbl>
    <w:p>
      <w:pPr>
        <w:pStyle w:val="TextBody"/>
        <w:spacing w:before="0" w:after="0"/>
        <w:ind w:left="1000" w:right="1000" w:hanging="0"/>
        <w:rPr>
          <w:rFonts w:cs="Times New Roman"/>
          <w:szCs w:val="20"/>
        </w:rPr>
      </w:pPr>
      <w:r>
        <w:rPr>
          <w:rFonts w:cs="Times New Roman"/>
          <w:color w:val="000000"/>
          <w:szCs w:val="20"/>
        </w:rPr>
        <w:t>﻿</w:t>
      </w:r>
      <w:r>
        <w:rPr>
          <w:rFonts w:cs="Times New Roman"/>
          <w:szCs w:val="20"/>
        </w:rPr>
        <w:t xml:space="preserve"> </w:t>
      </w:r>
    </w:p>
    <w:p>
      <w:pPr>
        <w:pStyle w:val="TextBody"/>
        <w:spacing w:lineRule="atLeast" w:line="220" w:before="180" w:after="0"/>
        <w:ind w:left="1000" w:right="1000" w:firstLine="480"/>
        <w:rPr>
          <w:rFonts w:ascii="Times New Roman" w:hAnsi="Times New Roman"/>
          <w:sz w:val="20"/>
        </w:rPr>
      </w:pPr>
      <w:r>
        <w:rPr>
          <w:rFonts w:ascii="Times New Roman" w:hAnsi="Times New Roman"/>
          <w:color w:val="000000"/>
          <w:sz w:val="20"/>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r>
        <w:rPr>
          <w:rFonts w:ascii="Times New Roman" w:hAnsi="Times New Roman"/>
          <w:sz w:val="20"/>
        </w:rPr>
        <w:t xml:space="preserve"> </w:t>
      </w:r>
    </w:p>
    <w:p>
      <w:pPr>
        <w:pStyle w:val="HorizontalLine"/>
        <w:pBdr>
          <w:bottom w:val="double" w:sz="6" w:space="0" w:color="808080"/>
        </w:pBdr>
        <w:spacing w:before="0" w:after="283"/>
        <w:ind w:left="1000" w:right="1000" w:hanging="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Wingdings">
    <w:charset w:val="00"/>
    <w:family w:val="auto"/>
    <w:pitch w:val="default"/>
  </w:font>
  <w:font w:name="Courier New">
    <w:charset w:val="00"/>
    <w:family w:val="auto"/>
    <w:pitch w:val="default"/>
  </w:font>
  <w:font w:name="Symbol">
    <w:charset w:val="00"/>
    <w:family w:val="auto"/>
    <w:pitch w:val="default"/>
  </w:font>
  <w:font w:name="Times New Roman">
    <w:charset w:val="00"/>
    <w:family w:val="auto"/>
    <w:pitch w:val="default"/>
  </w:font>
  <w:font w:name="Arial">
    <w:charset w:val="00"/>
    <w:family w:val="auto"/>
    <w:pitch w:val="default"/>
  </w:font>
  <w:font w:name="Calibri">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49744/000164974420000008/dlth-20200202x10k.htm" TargetMode="External"/><Relationship Id="rId3" Type="http://schemas.openxmlformats.org/officeDocument/2006/relationships/hyperlink" Target="http://www.sec.gov/Archives/edgar/data/1649744/000119312515371181/d70652dex31.htm" TargetMode="External"/><Relationship Id="rId4" Type="http://schemas.openxmlformats.org/officeDocument/2006/relationships/hyperlink" Target="http://www.sec.gov/Archives/edgar/data/1649744/000119312515371181/d70652dex32.htm" TargetMode="External"/><Relationship Id="rId5" Type="http://schemas.openxmlformats.org/officeDocument/2006/relationships/hyperlink" Target="https://www.sec.gov/Archives/edgar/data/1649744/000164974420000008/dlth-20200202xex4_1.htm" TargetMode="External"/><Relationship Id="rId6" Type="http://schemas.openxmlformats.org/officeDocument/2006/relationships/hyperlink" Target="http://www.sec.gov/Archives/edgar/data/1649744/000119312515338287/d70652dex101.htm" TargetMode="External"/><Relationship Id="rId7" Type="http://schemas.openxmlformats.org/officeDocument/2006/relationships/hyperlink" Target="http://www.sec.gov/Archives/edgar/data/1649744/000164974419000010/dlth-20190203xex10_10.htm" TargetMode="External"/><Relationship Id="rId8" Type="http://schemas.openxmlformats.org/officeDocument/2006/relationships/hyperlink" Target="http://www.sec.gov/Archives/edgar/data/1649744/000164974415000014/dlth-20151101ex107695db3.htm" TargetMode="External"/><Relationship Id="rId9" Type="http://schemas.openxmlformats.org/officeDocument/2006/relationships/hyperlink" Target="http://www.sec.gov/Archives/edgar/data/1649744/000119312515338287/d70652dex1017.htm" TargetMode="External"/><Relationship Id="rId10" Type="http://schemas.openxmlformats.org/officeDocument/2006/relationships/hyperlink" Target="http://www.sec.gov/Archives/edgar/data/1649744/000119312515338287/d70652dex1019.htm" TargetMode="External"/><Relationship Id="rId11" Type="http://schemas.openxmlformats.org/officeDocument/2006/relationships/hyperlink" Target="http://www.sec.gov/Archives/edgar/data/1649744/000119312515338287/d70652dex1020.htm" TargetMode="External"/><Relationship Id="rId12" Type="http://schemas.openxmlformats.org/officeDocument/2006/relationships/hyperlink" Target="http://www.sec.gov/Archives/edgar/data/1649744/000119312515338287/d70652dex1021.htm" TargetMode="External"/><Relationship Id="rId13" Type="http://schemas.openxmlformats.org/officeDocument/2006/relationships/hyperlink" Target="http://www.sec.gov/Archives/edgar/data/1649744/000119312515338287/d70652dex1022.htm" TargetMode="External"/><Relationship Id="rId14" Type="http://schemas.openxmlformats.org/officeDocument/2006/relationships/hyperlink" Target="http://www.sec.gov/Archives/edgar/data/1649744/000119312515342675/d70652dex1023.htm" TargetMode="External"/><Relationship Id="rId15" Type="http://schemas.openxmlformats.org/officeDocument/2006/relationships/hyperlink" Target="http://www.sec.gov/Archives/edgar/data/1649744/000164974419000010/dlth-20190203xex10_19.htm" TargetMode="External"/><Relationship Id="rId16" Type="http://schemas.openxmlformats.org/officeDocument/2006/relationships/hyperlink" Target="http://www.sec.gov/Archives/edgar/data/1649744/000164974416000030/dlth-20160501xex10_1.htm" TargetMode="External"/><Relationship Id="rId17" Type="http://schemas.openxmlformats.org/officeDocument/2006/relationships/hyperlink" Target="http://www.sec.gov/Archives/edgar/data/1649744/000089271217000564/exhibit101.htm" TargetMode="External"/><Relationship Id="rId18" Type="http://schemas.openxmlformats.org/officeDocument/2006/relationships/hyperlink" Target="http://www.sec.gov/Archives/edgar/data/1649744/000089271217000564/exhibit102.htm" TargetMode="External"/><Relationship Id="rId19" Type="http://schemas.openxmlformats.org/officeDocument/2006/relationships/hyperlink" Target="http://www.sec.gov/Archives/edgar/data/1649744/000089271218000244/exhibit101.htm" TargetMode="External"/><Relationship Id="rId20" Type="http://schemas.openxmlformats.org/officeDocument/2006/relationships/hyperlink" Target="http://www.sec.gov/Archives/edgar/data/1649744/000089271218000244/exhibit102.htm" TargetMode="External"/><Relationship Id="rId21" Type="http://schemas.openxmlformats.org/officeDocument/2006/relationships/hyperlink" Target="https://www.sec.gov/Archives/edgar/data/0001649744/000164974420000015/dlth-20200503xex10_1.htm"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Pages>
  <Words>39152</Words>
  <CharactersWithSpaces>253491</CharactersWithSpaces>
  <Paragraphs>3384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