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jc w:val="center"/>
        <w:ind w:right="-19"/>
        <w:spacing w:after="0" w:line="231" w:lineRule="auto"/>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09" w:lineRule="exact"/>
        <w:rPr>
          <w:sz w:val="24"/>
          <w:szCs w:val="24"/>
          <w:color w:val="auto"/>
        </w:rPr>
      </w:pPr>
    </w:p>
    <w:p>
      <w:pPr>
        <w:ind w:left="380" w:hanging="359"/>
        <w:spacing w:after="0"/>
        <w:tabs>
          <w:tab w:leader="none" w:pos="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Fiscal Year Ended January 30, 2022</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27"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920" w:type="dxa"/>
            <w:vAlign w:val="bottom"/>
          </w:tcPr>
          <w:p>
            <w:pPr>
              <w:ind w:left="80"/>
              <w:spacing w:after="0"/>
              <w:rPr>
                <w:sz w:val="20"/>
                <w:szCs w:val="20"/>
                <w:color w:val="auto"/>
              </w:rPr>
            </w:pPr>
            <w:r>
              <w:rPr>
                <w:rFonts w:ascii="Arial" w:cs="Arial" w:eastAsia="Arial" w:hAnsi="Arial"/>
                <w:sz w:val="18"/>
                <w:szCs w:val="18"/>
                <w:b w:val="1"/>
                <w:bCs w:val="1"/>
                <w:color w:val="auto"/>
              </w:rPr>
              <w:t>For the transition period from</w:t>
            </w:r>
          </w:p>
        </w:tc>
        <w:tc>
          <w:tcPr>
            <w:tcW w:w="1580" w:type="dxa"/>
            <w:vAlign w:val="bottom"/>
          </w:tcPr>
          <w:p>
            <w:pPr>
              <w:ind w:left="100"/>
              <w:spacing w:after="0"/>
              <w:rPr>
                <w:sz w:val="20"/>
                <w:szCs w:val="20"/>
                <w:color w:val="auto"/>
              </w:rPr>
            </w:pPr>
            <w:r>
              <w:rPr>
                <w:rFonts w:ascii="Arial" w:cs="Arial" w:eastAsia="Arial" w:hAnsi="Arial"/>
                <w:sz w:val="18"/>
                <w:szCs w:val="18"/>
                <w:b w:val="1"/>
                <w:bCs w:val="1"/>
                <w:color w:val="auto"/>
              </w:rPr>
              <w:t>to</w:t>
            </w:r>
          </w:p>
        </w:tc>
        <w:tc>
          <w:tcPr>
            <w:tcW w:w="1760" w:type="dxa"/>
            <w:vAlign w:val="bottom"/>
          </w:tcPr>
          <w:p>
            <w:pPr>
              <w:spacing w:after="0"/>
              <w:rPr>
                <w:sz w:val="17"/>
                <w:szCs w:val="17"/>
                <w:color w:val="auto"/>
              </w:rPr>
            </w:pPr>
          </w:p>
        </w:tc>
      </w:tr>
      <w:tr>
        <w:trPr>
          <w:trHeight w:val="180"/>
        </w:trPr>
        <w:tc>
          <w:tcPr>
            <w:tcW w:w="6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920" w:type="dxa"/>
            <w:vAlign w:val="bottom"/>
          </w:tcPr>
          <w:p>
            <w:pPr>
              <w:jc w:val="center"/>
              <w:ind w:left="239"/>
              <w:spacing w:after="0" w:line="181" w:lineRule="exact"/>
              <w:rPr>
                <w:sz w:val="20"/>
                <w:szCs w:val="20"/>
                <w:color w:val="auto"/>
              </w:rPr>
            </w:pPr>
            <w:r>
              <w:rPr>
                <w:rFonts w:ascii="Arial" w:cs="Arial" w:eastAsia="Arial" w:hAnsi="Arial"/>
                <w:sz w:val="18"/>
                <w:szCs w:val="18"/>
                <w:b w:val="1"/>
                <w:bCs w:val="1"/>
                <w:color w:val="auto"/>
                <w:w w:val="89"/>
              </w:rPr>
              <w:t>Commission file No. 001-37641</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96"/>
        </w:trPr>
        <w:tc>
          <w:tcPr>
            <w:tcW w:w="660" w:type="dxa"/>
            <w:vAlign w:val="bottom"/>
          </w:tcPr>
          <w:p>
            <w:pPr>
              <w:spacing w:after="0"/>
              <w:rPr>
                <w:sz w:val="24"/>
                <w:szCs w:val="24"/>
                <w:color w:val="auto"/>
              </w:rPr>
            </w:pPr>
          </w:p>
        </w:tc>
        <w:tc>
          <w:tcPr>
            <w:tcW w:w="7500" w:type="dxa"/>
            <w:vAlign w:val="bottom"/>
            <w:gridSpan w:val="3"/>
          </w:tcPr>
          <w:p>
            <w:pPr>
              <w:jc w:val="center"/>
              <w:ind w:left="1653"/>
              <w:spacing w:after="0" w:line="395" w:lineRule="exact"/>
              <w:rPr>
                <w:sz w:val="20"/>
                <w:szCs w:val="20"/>
                <w:color w:val="auto"/>
              </w:rPr>
            </w:pPr>
            <w:r>
              <w:rPr>
                <w:rFonts w:ascii="Arial" w:cs="Arial" w:eastAsia="Arial" w:hAnsi="Arial"/>
                <w:sz w:val="36"/>
                <w:szCs w:val="36"/>
                <w:b w:val="1"/>
                <w:bCs w:val="1"/>
                <w:color w:val="auto"/>
              </w:rPr>
              <w:t>DULUTH HOLDINGS INC.</w:t>
            </w:r>
          </w:p>
        </w:tc>
        <w:tc>
          <w:tcPr>
            <w:tcW w:w="1760" w:type="dxa"/>
            <w:vAlign w:val="bottom"/>
          </w:tcPr>
          <w:p>
            <w:pPr>
              <w:spacing w:after="0"/>
              <w:rPr>
                <w:sz w:val="24"/>
                <w:szCs w:val="24"/>
                <w:color w:val="auto"/>
              </w:rPr>
            </w:pPr>
          </w:p>
        </w:tc>
      </w:tr>
      <w:tr>
        <w:trPr>
          <w:trHeight w:val="186"/>
        </w:trPr>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00" w:type="dxa"/>
            <w:vAlign w:val="bottom"/>
            <w:gridSpan w:val="2"/>
          </w:tcPr>
          <w:p>
            <w:pPr>
              <w:jc w:val="center"/>
              <w:ind w:right="116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760" w:type="dxa"/>
            <w:vAlign w:val="bottom"/>
          </w:tcPr>
          <w:p>
            <w:pPr>
              <w:spacing w:after="0"/>
              <w:rPr>
                <w:sz w:val="16"/>
                <w:szCs w:val="16"/>
                <w:color w:val="auto"/>
              </w:rPr>
            </w:pPr>
          </w:p>
        </w:tc>
      </w:tr>
      <w:tr>
        <w:trPr>
          <w:trHeight w:val="533"/>
        </w:trPr>
        <w:tc>
          <w:tcPr>
            <w:tcW w:w="660" w:type="dxa"/>
            <w:vAlign w:val="bottom"/>
          </w:tcPr>
          <w:p>
            <w:pPr>
              <w:spacing w:after="0"/>
              <w:rPr>
                <w:sz w:val="24"/>
                <w:szCs w:val="24"/>
                <w:color w:val="auto"/>
              </w:rPr>
            </w:pPr>
          </w:p>
        </w:tc>
        <w:tc>
          <w:tcPr>
            <w:tcW w:w="3000" w:type="dxa"/>
            <w:vAlign w:val="bottom"/>
          </w:tcPr>
          <w:p>
            <w:pPr>
              <w:jc w:val="center"/>
              <w:ind w:left="433"/>
              <w:spacing w:after="0"/>
              <w:rPr>
                <w:sz w:val="20"/>
                <w:szCs w:val="20"/>
                <w:color w:val="auto"/>
              </w:rPr>
            </w:pPr>
            <w:r>
              <w:rPr>
                <w:rFonts w:ascii="Arial" w:cs="Arial" w:eastAsia="Arial" w:hAnsi="Arial"/>
                <w:sz w:val="16"/>
                <w:szCs w:val="16"/>
                <w:b w:val="1"/>
                <w:bCs w:val="1"/>
                <w:color w:val="auto"/>
                <w:w w:val="89"/>
              </w:rPr>
              <w:t>Wisconsin</w:t>
            </w:r>
          </w:p>
        </w:tc>
        <w:tc>
          <w:tcPr>
            <w:tcW w:w="2920" w:type="dxa"/>
            <w:vAlign w:val="bottom"/>
          </w:tcPr>
          <w:p>
            <w:pPr>
              <w:spacing w:after="0"/>
              <w:rPr>
                <w:sz w:val="24"/>
                <w:szCs w:val="24"/>
                <w:color w:val="auto"/>
              </w:rPr>
            </w:pPr>
          </w:p>
        </w:tc>
        <w:tc>
          <w:tcPr>
            <w:tcW w:w="334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39-1564801</w:t>
            </w:r>
          </w:p>
        </w:tc>
      </w:tr>
      <w:tr>
        <w:trPr>
          <w:trHeight w:val="213"/>
        </w:trPr>
        <w:tc>
          <w:tcPr>
            <w:tcW w:w="660" w:type="dxa"/>
            <w:vAlign w:val="bottom"/>
          </w:tcPr>
          <w:p>
            <w:pPr>
              <w:spacing w:after="0"/>
              <w:rPr>
                <w:sz w:val="18"/>
                <w:szCs w:val="18"/>
                <w:color w:val="auto"/>
              </w:rPr>
            </w:pPr>
          </w:p>
        </w:tc>
        <w:tc>
          <w:tcPr>
            <w:tcW w:w="3000" w:type="dxa"/>
            <w:vAlign w:val="bottom"/>
          </w:tcPr>
          <w:p>
            <w:pPr>
              <w:jc w:val="center"/>
              <w:ind w:left="433"/>
              <w:spacing w:after="0"/>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60" w:type="dxa"/>
            <w:vAlign w:val="bottom"/>
          </w:tcPr>
          <w:p>
            <w:pPr>
              <w:spacing w:after="0"/>
              <w:rPr>
                <w:sz w:val="16"/>
                <w:szCs w:val="16"/>
                <w:color w:val="auto"/>
              </w:rPr>
            </w:pPr>
          </w:p>
        </w:tc>
        <w:tc>
          <w:tcPr>
            <w:tcW w:w="3000" w:type="dxa"/>
            <w:vAlign w:val="bottom"/>
          </w:tcPr>
          <w:p>
            <w:pPr>
              <w:jc w:val="center"/>
              <w:ind w:left="433"/>
              <w:spacing w:after="0"/>
              <w:rPr>
                <w:sz w:val="20"/>
                <w:szCs w:val="20"/>
                <w:color w:val="auto"/>
              </w:rPr>
            </w:pPr>
            <w:r>
              <w:rPr>
                <w:rFonts w:ascii="Arial" w:cs="Arial" w:eastAsia="Arial" w:hAnsi="Arial"/>
                <w:sz w:val="14"/>
                <w:szCs w:val="14"/>
                <w:b w:val="1"/>
                <w:bCs w:val="1"/>
                <w:color w:val="auto"/>
                <w:w w:val="94"/>
              </w:rPr>
              <w:t>incorporation or organization)</w:t>
            </w:r>
          </w:p>
        </w:tc>
        <w:tc>
          <w:tcPr>
            <w:tcW w:w="2920" w:type="dxa"/>
            <w:vAlign w:val="bottom"/>
          </w:tcPr>
          <w:p>
            <w:pPr>
              <w:spacing w:after="0"/>
              <w:rPr>
                <w:sz w:val="16"/>
                <w:szCs w:val="16"/>
                <w:color w:val="auto"/>
              </w:rPr>
            </w:pPr>
          </w:p>
        </w:tc>
        <w:tc>
          <w:tcPr>
            <w:tcW w:w="3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Identification Number)</w:t>
            </w:r>
          </w:p>
        </w:tc>
      </w:tr>
      <w:tr>
        <w:trPr>
          <w:trHeight w:val="371"/>
        </w:trPr>
        <w:tc>
          <w:tcPr>
            <w:tcW w:w="660" w:type="dxa"/>
            <w:vAlign w:val="bottom"/>
          </w:tcPr>
          <w:p>
            <w:pPr>
              <w:spacing w:after="0"/>
              <w:rPr>
                <w:sz w:val="24"/>
                <w:szCs w:val="24"/>
                <w:color w:val="auto"/>
              </w:rPr>
            </w:pPr>
          </w:p>
        </w:tc>
        <w:tc>
          <w:tcPr>
            <w:tcW w:w="5920" w:type="dxa"/>
            <w:vAlign w:val="bottom"/>
            <w:gridSpan w:val="2"/>
          </w:tcPr>
          <w:p>
            <w:pPr>
              <w:jc w:val="center"/>
              <w:ind w:right="2319"/>
              <w:spacing w:after="0"/>
              <w:rPr>
                <w:sz w:val="20"/>
                <w:szCs w:val="20"/>
                <w:color w:val="auto"/>
              </w:rPr>
            </w:pPr>
            <w:r>
              <w:rPr>
                <w:rFonts w:ascii="Arial" w:cs="Arial" w:eastAsia="Arial" w:hAnsi="Arial"/>
                <w:sz w:val="16"/>
                <w:szCs w:val="16"/>
                <w:b w:val="1"/>
                <w:bCs w:val="1"/>
                <w:color w:val="auto"/>
                <w:w w:val="91"/>
              </w:rPr>
              <w:t>201 East Front Street, Mount Horeb, Wisconsin</w:t>
            </w:r>
          </w:p>
        </w:tc>
        <w:tc>
          <w:tcPr>
            <w:tcW w:w="3340" w:type="dxa"/>
            <w:vAlign w:val="bottom"/>
            <w:gridSpan w:val="2"/>
          </w:tcPr>
          <w:p>
            <w:pPr>
              <w:jc w:val="right"/>
              <w:ind w:right="1399"/>
              <w:spacing w:after="0"/>
              <w:rPr>
                <w:sz w:val="20"/>
                <w:szCs w:val="20"/>
                <w:color w:val="auto"/>
              </w:rPr>
            </w:pPr>
            <w:r>
              <w:rPr>
                <w:rFonts w:ascii="Arial" w:cs="Arial" w:eastAsia="Arial" w:hAnsi="Arial"/>
                <w:sz w:val="16"/>
                <w:szCs w:val="16"/>
                <w:b w:val="1"/>
                <w:bCs w:val="1"/>
                <w:color w:val="auto"/>
              </w:rPr>
              <w:t>53572</w:t>
            </w:r>
          </w:p>
        </w:tc>
      </w:tr>
      <w:tr>
        <w:trPr>
          <w:trHeight w:val="210"/>
        </w:trPr>
        <w:tc>
          <w:tcPr>
            <w:tcW w:w="660" w:type="dxa"/>
            <w:vAlign w:val="bottom"/>
          </w:tcPr>
          <w:p>
            <w:pPr>
              <w:spacing w:after="0"/>
              <w:rPr>
                <w:sz w:val="18"/>
                <w:szCs w:val="18"/>
                <w:color w:val="auto"/>
              </w:rPr>
            </w:pPr>
          </w:p>
        </w:tc>
        <w:tc>
          <w:tcPr>
            <w:tcW w:w="3000" w:type="dxa"/>
            <w:vAlign w:val="bottom"/>
          </w:tcPr>
          <w:p>
            <w:pPr>
              <w:jc w:val="center"/>
              <w:ind w:left="45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96"/>
        </w:trPr>
        <w:tc>
          <w:tcPr>
            <w:tcW w:w="660" w:type="dxa"/>
            <w:vAlign w:val="bottom"/>
          </w:tcPr>
          <w:p>
            <w:pPr>
              <w:spacing w:after="0"/>
              <w:rPr>
                <w:sz w:val="24"/>
                <w:szCs w:val="24"/>
                <w:color w:val="auto"/>
              </w:rPr>
            </w:pPr>
          </w:p>
        </w:tc>
        <w:tc>
          <w:tcPr>
            <w:tcW w:w="7500" w:type="dxa"/>
            <w:vAlign w:val="bottom"/>
            <w:gridSpan w:val="3"/>
          </w:tcPr>
          <w:p>
            <w:pPr>
              <w:jc w:val="center"/>
              <w:ind w:left="1673"/>
              <w:spacing w:after="0"/>
              <w:rPr>
                <w:sz w:val="20"/>
                <w:szCs w:val="20"/>
                <w:color w:val="auto"/>
              </w:rPr>
            </w:pPr>
            <w:r>
              <w:rPr>
                <w:rFonts w:ascii="Arial" w:cs="Arial" w:eastAsia="Arial" w:hAnsi="Arial"/>
                <w:sz w:val="16"/>
                <w:szCs w:val="16"/>
                <w:b w:val="1"/>
                <w:bCs w:val="1"/>
                <w:color w:val="auto"/>
                <w:w w:val="90"/>
              </w:rPr>
              <w:t>Registrant’s telephone number, including area code: (608) 424-1544</w:t>
            </w:r>
          </w:p>
        </w:tc>
        <w:tc>
          <w:tcPr>
            <w:tcW w:w="17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7500" w:type="dxa"/>
            <w:vAlign w:val="bottom"/>
            <w:gridSpan w:val="3"/>
          </w:tcPr>
          <w:p>
            <w:pPr>
              <w:jc w:val="center"/>
              <w:ind w:left="165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760" w:type="dxa"/>
            <w:vAlign w:val="bottom"/>
          </w:tcPr>
          <w:p>
            <w:pPr>
              <w:spacing w:after="0"/>
              <w:rPr>
                <w:sz w:val="18"/>
                <w:szCs w:val="18"/>
                <w:color w:val="auto"/>
              </w:rPr>
            </w:pPr>
          </w:p>
        </w:tc>
      </w:tr>
      <w:tr>
        <w:trPr>
          <w:trHeight w:val="208"/>
        </w:trPr>
        <w:tc>
          <w:tcPr>
            <w:tcW w:w="660" w:type="dxa"/>
            <w:vAlign w:val="bottom"/>
          </w:tcPr>
          <w:p>
            <w:pPr>
              <w:spacing w:after="0"/>
              <w:rPr>
                <w:sz w:val="18"/>
                <w:szCs w:val="18"/>
                <w:color w:val="auto"/>
              </w:rPr>
            </w:pPr>
          </w:p>
        </w:tc>
        <w:tc>
          <w:tcPr>
            <w:tcW w:w="3000" w:type="dxa"/>
            <w:vAlign w:val="bottom"/>
            <w:tcBorders>
              <w:bottom w:val="single" w:sz="8" w:color="auto"/>
            </w:tcBorders>
          </w:tcPr>
          <w:p>
            <w:pPr>
              <w:jc w:val="center"/>
              <w:ind w:left="153"/>
              <w:spacing w:after="0"/>
              <w:rPr>
                <w:sz w:val="20"/>
                <w:szCs w:val="20"/>
                <w:color w:val="auto"/>
              </w:rPr>
            </w:pPr>
            <w:r>
              <w:rPr>
                <w:rFonts w:ascii="Arial" w:cs="Arial" w:eastAsia="Arial" w:hAnsi="Arial"/>
                <w:sz w:val="14"/>
                <w:szCs w:val="14"/>
                <w:b w:val="1"/>
                <w:bCs w:val="1"/>
                <w:color w:val="auto"/>
                <w:w w:val="89"/>
              </w:rPr>
              <w:t>Title of each class</w:t>
            </w:r>
          </w:p>
        </w:tc>
        <w:tc>
          <w:tcPr>
            <w:tcW w:w="292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94"/>
              </w:rPr>
              <w:t>Trading Symbol</w:t>
            </w:r>
          </w:p>
        </w:tc>
        <w:tc>
          <w:tcPr>
            <w:tcW w:w="3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660" w:type="dxa"/>
            <w:vAlign w:val="bottom"/>
          </w:tcPr>
          <w:p>
            <w:pPr>
              <w:spacing w:after="0"/>
              <w:rPr>
                <w:sz w:val="20"/>
                <w:szCs w:val="20"/>
                <w:color w:val="auto"/>
              </w:rPr>
            </w:pPr>
          </w:p>
        </w:tc>
        <w:tc>
          <w:tcPr>
            <w:tcW w:w="3000" w:type="dxa"/>
            <w:vAlign w:val="bottom"/>
          </w:tcPr>
          <w:p>
            <w:pPr>
              <w:jc w:val="center"/>
              <w:ind w:left="173"/>
              <w:spacing w:after="0"/>
              <w:rPr>
                <w:sz w:val="20"/>
                <w:szCs w:val="20"/>
                <w:color w:val="auto"/>
              </w:rPr>
            </w:pPr>
            <w:r>
              <w:rPr>
                <w:rFonts w:ascii="Arial" w:cs="Arial" w:eastAsia="Arial" w:hAnsi="Arial"/>
                <w:sz w:val="16"/>
                <w:szCs w:val="16"/>
                <w:color w:val="auto"/>
                <w:w w:val="91"/>
              </w:rPr>
              <w:t>Class B Common Stock, No Par Value</w:t>
            </w:r>
          </w:p>
        </w:tc>
        <w:tc>
          <w:tcPr>
            <w:tcW w:w="2920" w:type="dxa"/>
            <w:vAlign w:val="bottom"/>
          </w:tcPr>
          <w:p>
            <w:pPr>
              <w:jc w:val="center"/>
              <w:ind w:left="259"/>
              <w:spacing w:after="0"/>
              <w:rPr>
                <w:sz w:val="20"/>
                <w:szCs w:val="20"/>
                <w:color w:val="auto"/>
              </w:rPr>
            </w:pPr>
            <w:r>
              <w:rPr>
                <w:rFonts w:ascii="Arial" w:cs="Arial" w:eastAsia="Arial" w:hAnsi="Arial"/>
                <w:sz w:val="16"/>
                <w:szCs w:val="16"/>
                <w:color w:val="auto"/>
              </w:rPr>
              <w:t>DLTH</w:t>
            </w:r>
          </w:p>
        </w:tc>
        <w:tc>
          <w:tcPr>
            <w:tcW w:w="3340" w:type="dxa"/>
            <w:vAlign w:val="bottom"/>
            <w:gridSpan w:val="2"/>
          </w:tcPr>
          <w:p>
            <w:pPr>
              <w:jc w:val="center"/>
              <w:ind w:left="2"/>
              <w:spacing w:after="0"/>
              <w:rPr>
                <w:sz w:val="20"/>
                <w:szCs w:val="20"/>
                <w:color w:val="auto"/>
              </w:rPr>
            </w:pPr>
            <w:r>
              <w:rPr>
                <w:rFonts w:ascii="Arial" w:cs="Arial" w:eastAsia="Arial" w:hAnsi="Arial"/>
                <w:sz w:val="16"/>
                <w:szCs w:val="16"/>
                <w:color w:val="auto"/>
                <w:w w:val="95"/>
              </w:rPr>
              <w:t>NASDAQ Global Select Market</w:t>
            </w:r>
          </w:p>
        </w:tc>
      </w:tr>
      <w:tr>
        <w:trPr>
          <w:trHeight w:val="236"/>
        </w:trPr>
        <w:tc>
          <w:tcPr>
            <w:tcW w:w="660" w:type="dxa"/>
            <w:vAlign w:val="bottom"/>
          </w:tcPr>
          <w:p>
            <w:pPr>
              <w:spacing w:after="0"/>
              <w:rPr>
                <w:sz w:val="20"/>
                <w:szCs w:val="20"/>
                <w:color w:val="auto"/>
              </w:rPr>
            </w:pPr>
          </w:p>
        </w:tc>
        <w:tc>
          <w:tcPr>
            <w:tcW w:w="7500" w:type="dxa"/>
            <w:vAlign w:val="bottom"/>
            <w:gridSpan w:val="3"/>
          </w:tcPr>
          <w:p>
            <w:pPr>
              <w:jc w:val="center"/>
              <w:ind w:left="1653"/>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760" w:type="dxa"/>
            <w:vAlign w:val="bottom"/>
          </w:tcPr>
          <w:p>
            <w:pPr>
              <w:spacing w:after="0"/>
              <w:rPr>
                <w:sz w:val="20"/>
                <w:szCs w:val="20"/>
                <w:color w:val="auto"/>
              </w:rPr>
            </w:pPr>
          </w:p>
        </w:tc>
      </w:tr>
      <w:tr>
        <w:trPr>
          <w:trHeight w:val="190"/>
        </w:trPr>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92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None</w:t>
            </w: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8160" w:type="dxa"/>
            <w:vAlign w:val="bottom"/>
            <w:gridSpan w:val="4"/>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1760" w:type="dxa"/>
            <w:vAlign w:val="bottom"/>
          </w:tcPr>
          <w:p>
            <w:pPr>
              <w:ind w:left="140"/>
              <w:spacing w:after="0"/>
              <w:rPr>
                <w:sz w:val="20"/>
                <w:szCs w:val="20"/>
                <w:color w:val="auto"/>
              </w:rPr>
            </w:pPr>
            <w:r>
              <w:rPr>
                <w:rFonts w:ascii="Arial" w:cs="Arial" w:eastAsia="Arial" w:hAnsi="Arial"/>
                <w:sz w:val="16"/>
                <w:szCs w:val="16"/>
                <w:color w:val="auto"/>
              </w:rPr>
              <w:t>No x</w:t>
            </w:r>
          </w:p>
        </w:tc>
      </w:tr>
      <w:tr>
        <w:trPr>
          <w:trHeight w:val="254"/>
        </w:trPr>
        <w:tc>
          <w:tcPr>
            <w:tcW w:w="816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7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tc>
      </w:tr>
    </w:tbl>
    <w:p>
      <w:pPr>
        <w:jc w:val="both"/>
        <w:ind w:right="360" w:firstLine="324"/>
        <w:spacing w:after="0" w:line="18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 w:lineRule="exact"/>
        <w:rPr>
          <w:sz w:val="24"/>
          <w:szCs w:val="24"/>
          <w:color w:val="auto"/>
        </w:rPr>
      </w:pPr>
    </w:p>
    <w:p>
      <w:pPr>
        <w:ind w:right="80" w:firstLine="324"/>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1" w:lineRule="exact"/>
        <w:rPr>
          <w:sz w:val="24"/>
          <w:szCs w:val="24"/>
          <w:color w:val="auto"/>
        </w:rPr>
      </w:pPr>
    </w:p>
    <w:p>
      <w:pPr>
        <w:ind w:right="300" w:firstLine="324"/>
        <w:spacing w:after="0" w:line="22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60" w:type="dxa"/>
            <w:vAlign w:val="bottom"/>
          </w:tcPr>
          <w:p>
            <w:pPr>
              <w:ind w:left="360"/>
              <w:spacing w:after="0"/>
              <w:rPr>
                <w:sz w:val="20"/>
                <w:szCs w:val="20"/>
                <w:color w:val="auto"/>
              </w:rPr>
            </w:pPr>
            <w:r>
              <w:rPr>
                <w:rFonts w:ascii="Arial" w:cs="Arial" w:eastAsia="Arial" w:hAnsi="Arial"/>
                <w:sz w:val="16"/>
                <w:szCs w:val="16"/>
                <w:color w:val="auto"/>
              </w:rPr>
              <w:t>o</w:t>
            </w:r>
          </w:p>
        </w:tc>
        <w:tc>
          <w:tcPr>
            <w:tcW w:w="4840" w:type="dxa"/>
            <w:vAlign w:val="bottom"/>
          </w:tcPr>
          <w:p>
            <w:pPr>
              <w:ind w:left="25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540"/>
              <w:spacing w:after="0"/>
              <w:rPr>
                <w:sz w:val="20"/>
                <w:szCs w:val="20"/>
                <w:color w:val="auto"/>
              </w:rPr>
            </w:pPr>
            <w:r>
              <w:rPr>
                <w:rFonts w:ascii="Arial" w:cs="Arial" w:eastAsia="Arial" w:hAnsi="Arial"/>
                <w:sz w:val="16"/>
                <w:szCs w:val="16"/>
                <w:color w:val="auto"/>
                <w:w w:val="74"/>
              </w:rPr>
              <w:t>x</w:t>
            </w:r>
          </w:p>
        </w:tc>
      </w:tr>
      <w:tr>
        <w:trPr>
          <w:trHeight w:val="351"/>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960" w:type="dxa"/>
            <w:vAlign w:val="bottom"/>
          </w:tcPr>
          <w:p>
            <w:pPr>
              <w:ind w:left="360"/>
              <w:spacing w:after="0"/>
              <w:rPr>
                <w:sz w:val="20"/>
                <w:szCs w:val="20"/>
                <w:color w:val="auto"/>
              </w:rPr>
            </w:pPr>
            <w:r>
              <w:rPr>
                <w:rFonts w:ascii="Arial" w:cs="Arial" w:eastAsia="Arial" w:hAnsi="Arial"/>
                <w:sz w:val="16"/>
                <w:szCs w:val="16"/>
                <w:color w:val="auto"/>
              </w:rPr>
              <w:t>o</w:t>
            </w:r>
          </w:p>
        </w:tc>
        <w:tc>
          <w:tcPr>
            <w:tcW w:w="4840" w:type="dxa"/>
            <w:vAlign w:val="bottom"/>
          </w:tcPr>
          <w:p>
            <w:pPr>
              <w:ind w:left="25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540"/>
              <w:spacing w:after="0"/>
              <w:rPr>
                <w:sz w:val="20"/>
                <w:szCs w:val="20"/>
                <w:color w:val="auto"/>
              </w:rPr>
            </w:pPr>
            <w:r>
              <w:rPr>
                <w:rFonts w:ascii="Arial" w:cs="Arial" w:eastAsia="Arial" w:hAnsi="Arial"/>
                <w:sz w:val="16"/>
                <w:szCs w:val="16"/>
                <w:color w:val="auto"/>
                <w:w w:val="74"/>
              </w:rPr>
              <w:t>x</w:t>
            </w:r>
          </w:p>
        </w:tc>
      </w:tr>
      <w:tr>
        <w:trPr>
          <w:trHeight w:val="243"/>
        </w:trPr>
        <w:tc>
          <w:tcPr>
            <w:tcW w:w="22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60" w:type="dxa"/>
            <w:vAlign w:val="bottom"/>
          </w:tcPr>
          <w:p>
            <w:pPr>
              <w:ind w:left="360"/>
              <w:spacing w:after="0"/>
              <w:rPr>
                <w:sz w:val="20"/>
                <w:szCs w:val="20"/>
                <w:color w:val="auto"/>
              </w:rPr>
            </w:pPr>
            <w:r>
              <w:rPr>
                <w:rFonts w:ascii="Arial" w:cs="Arial" w:eastAsia="Arial" w:hAnsi="Arial"/>
                <w:sz w:val="16"/>
                <w:szCs w:val="16"/>
                <w:color w:val="auto"/>
              </w:rPr>
              <w:t>o</w:t>
            </w:r>
          </w:p>
        </w:tc>
        <w:tc>
          <w:tcPr>
            <w:tcW w:w="484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23" w:lineRule="exact"/>
        <w:rPr>
          <w:sz w:val="24"/>
          <w:szCs w:val="24"/>
          <w:color w:val="auto"/>
        </w:rPr>
      </w:pPr>
    </w:p>
    <w:p>
      <w:pPr>
        <w:ind w:right="260" w:firstLine="324"/>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220" w:firstLine="324"/>
        <w:spacing w:after="0" w:line="268"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ind w:left="340"/>
        <w:spacing w:after="0" w:line="184" w:lineRule="exact"/>
        <w:tabs>
          <w:tab w:leader="none" w:pos="7820" w:val="left"/>
          <w:tab w:leader="none" w:pos="8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50" w:lineRule="exact"/>
        <w:rPr>
          <w:sz w:val="24"/>
          <w:szCs w:val="24"/>
          <w:color w:val="auto"/>
        </w:rPr>
      </w:pPr>
    </w:p>
    <w:p>
      <w:pPr>
        <w:ind w:right="100" w:firstLine="324"/>
        <w:spacing w:after="0" w:line="234"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$178.7 million based upon the closing price on the last business day of the registrant’s most recently completed second fiscal quarter (August 1, 2021).</w:t>
      </w:r>
    </w:p>
    <w:p>
      <w:pPr>
        <w:spacing w:after="0" w:line="11" w:lineRule="exact"/>
        <w:rPr>
          <w:sz w:val="24"/>
          <w:szCs w:val="24"/>
          <w:color w:val="auto"/>
        </w:rPr>
      </w:pPr>
    </w:p>
    <w:p>
      <w:pPr>
        <w:ind w:right="100" w:firstLine="324"/>
        <w:spacing w:after="0"/>
        <w:rPr>
          <w:sz w:val="20"/>
          <w:szCs w:val="20"/>
          <w:color w:val="auto"/>
        </w:rPr>
      </w:pPr>
      <w:r>
        <w:rPr>
          <w:rFonts w:ascii="Arial" w:cs="Arial" w:eastAsia="Arial" w:hAnsi="Arial"/>
          <w:sz w:val="16"/>
          <w:szCs w:val="16"/>
          <w:color w:val="auto"/>
        </w:rPr>
        <w:t>The number of shares outstanding of the Registrant’s Class A common stock, no par value, as of March 23, 2022, was 3,364,200. The number of shares outstanding of the Registrant’s Class B common stock, no par value, as of March 23, 2022 was 29,688,320.</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firstLine="324"/>
        <w:spacing w:after="0"/>
        <w:rPr>
          <w:sz w:val="20"/>
          <w:szCs w:val="20"/>
          <w:color w:val="auto"/>
        </w:rPr>
      </w:pPr>
      <w:r>
        <w:rPr>
          <w:rFonts w:ascii="Arial" w:cs="Arial" w:eastAsia="Arial" w:hAnsi="Arial"/>
          <w:sz w:val="16"/>
          <w:szCs w:val="16"/>
          <w:color w:val="auto"/>
        </w:rPr>
        <w:t>Portions of the registrant’s definitive proxy statement to be filed within 120 days of January 30, 2022 are incorporated by reference in this Annual Report on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20" w:type="dxa"/>
            <w:vAlign w:val="bottom"/>
            <w:gridSpan w:val="12"/>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gridSpan w:val="11"/>
            <w:vMerge w:val="restart"/>
          </w:tcPr>
          <w:p>
            <w:pPr>
              <w:jc w:val="center"/>
              <w:ind w:right="3880"/>
              <w:spacing w:after="0"/>
              <w:rPr>
                <w:sz w:val="20"/>
                <w:szCs w:val="20"/>
                <w:color w:val="auto"/>
              </w:rPr>
            </w:pPr>
            <w:r>
              <w:rPr>
                <w:rFonts w:ascii="Arial" w:cs="Arial" w:eastAsia="Arial" w:hAnsi="Arial"/>
                <w:sz w:val="18"/>
                <w:szCs w:val="18"/>
                <w:b w:val="1"/>
                <w:bCs w:val="1"/>
                <w:color w:val="auto"/>
                <w:w w:val="98"/>
              </w:rPr>
              <w:t>PART I</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1"/>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40" w:type="dxa"/>
            <w:vAlign w:val="bottom"/>
            <w:gridSpan w:val="11"/>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20" w:type="dxa"/>
            <w:vAlign w:val="bottom"/>
            <w:gridSpan w:val="3"/>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8920" w:type="dxa"/>
            <w:vAlign w:val="bottom"/>
            <w:gridSpan w:val="26"/>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w w:val="90"/>
              </w:rPr>
            </w:pPr>
            <w:hyperlink w:anchor="page10">
              <w:r>
                <w:rPr>
                  <w:rFonts w:ascii="Arial" w:cs="Arial" w:eastAsia="Arial" w:hAnsi="Arial"/>
                  <w:sz w:val="18"/>
                  <w:szCs w:val="18"/>
                  <w:color w:val="0000FF"/>
                  <w:w w:val="90"/>
                </w:rPr>
                <w:t>ITEM 1A.</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1B.</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UNRESOLVED STAFF COMMENTS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PROPERTIES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8920" w:type="dxa"/>
            <w:vAlign w:val="bottom"/>
            <w:gridSpan w:val="2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4.</w:t>
              </w:r>
            </w:hyperlink>
          </w:p>
        </w:tc>
        <w:tc>
          <w:tcPr>
            <w:tcW w:w="8920" w:type="dxa"/>
            <w:vAlign w:val="bottom"/>
            <w:gridSpan w:val="2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MINE SAFETY DISCLOSURES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INFORMATION ABOUT OUR EXECUTIVE OFFICERS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gridSpan w:val="11"/>
          </w:tcPr>
          <w:p>
            <w:pPr>
              <w:jc w:val="center"/>
              <w:ind w:right="3880"/>
              <w:spacing w:after="0"/>
              <w:rPr>
                <w:sz w:val="20"/>
                <w:szCs w:val="20"/>
                <w:color w:val="auto"/>
              </w:rPr>
            </w:pPr>
            <w:r>
              <w:rPr>
                <w:rFonts w:ascii="Arial" w:cs="Arial" w:eastAsia="Arial" w:hAnsi="Arial"/>
                <w:sz w:val="18"/>
                <w:szCs w:val="18"/>
                <w:b w:val="1"/>
                <w:bCs w:val="1"/>
                <w:color w:val="auto"/>
              </w:rPr>
              <w:t>PART II</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20" w:type="dxa"/>
            <w:vAlign w:val="bottom"/>
            <w:gridSpan w:val="3"/>
          </w:tcPr>
          <w:p>
            <w:pPr>
              <w:spacing w:after="0" w:line="190" w:lineRule="exact"/>
              <w:rPr>
                <w:rFonts w:ascii="Arial" w:cs="Arial" w:eastAsia="Arial" w:hAnsi="Arial"/>
                <w:sz w:val="18"/>
                <w:szCs w:val="18"/>
                <w:color w:val="0000FF"/>
              </w:rPr>
            </w:pPr>
            <w:hyperlink w:anchor="page27">
              <w:r>
                <w:rPr>
                  <w:rFonts w:ascii="Arial" w:cs="Arial" w:eastAsia="Arial" w:hAnsi="Arial"/>
                  <w:sz w:val="18"/>
                  <w:szCs w:val="18"/>
                  <w:color w:val="0000FF"/>
                </w:rPr>
                <w:t>ITEM 5.</w:t>
              </w:r>
            </w:hyperlink>
          </w:p>
        </w:tc>
        <w:tc>
          <w:tcPr>
            <w:tcW w:w="8920" w:type="dxa"/>
            <w:vAlign w:val="bottom"/>
            <w:gridSpan w:val="26"/>
          </w:tcPr>
          <w:p>
            <w:pPr>
              <w:spacing w:after="0" w:line="190" w:lineRule="exact"/>
              <w:rPr>
                <w:rFonts w:ascii="Arial" w:cs="Arial" w:eastAsia="Arial" w:hAnsi="Arial"/>
                <w:sz w:val="18"/>
                <w:szCs w:val="18"/>
                <w:color w:val="0000FF"/>
                <w:w w:val="99"/>
              </w:rPr>
            </w:pPr>
            <w:hyperlink w:anchor="page27">
              <w:r>
                <w:rPr>
                  <w:rFonts w:ascii="Arial" w:cs="Arial" w:eastAsia="Arial" w:hAnsi="Arial"/>
                  <w:sz w:val="18"/>
                  <w:szCs w:val="18"/>
                  <w:color w:val="0000FF"/>
                  <w:w w:val="99"/>
                </w:rPr>
                <w:t>MARKET FOR THE REGISTRANT’S COMMON EQUITY, RELATED SHAREHOLDER MATTERS AND ISSUER</w:t>
              </w:r>
            </w:hyperlink>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27">
              <w:r>
                <w:rPr>
                  <w:rFonts w:ascii="Arial" w:cs="Arial" w:eastAsia="Arial" w:hAnsi="Arial"/>
                  <w:sz w:val="18"/>
                  <w:szCs w:val="18"/>
                  <w:color w:val="0000FF"/>
                </w:rPr>
                <w:t>PURCHASES OF EQUITY SECURITIES</w:t>
              </w:r>
            </w:hyperlink>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7.</w:t>
              </w:r>
            </w:hyperlink>
          </w:p>
        </w:tc>
        <w:tc>
          <w:tcPr>
            <w:tcW w:w="8920" w:type="dxa"/>
            <w:vAlign w:val="bottom"/>
            <w:gridSpan w:val="2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w:anchor="page28">
              <w:r>
                <w:rPr>
                  <w:rFonts w:ascii="Arial" w:cs="Arial" w:eastAsia="Arial" w:hAnsi="Arial"/>
                  <w:sz w:val="18"/>
                  <w:szCs w:val="18"/>
                  <w:color w:val="0000FF"/>
                  <w:w w:val="91"/>
                </w:rPr>
                <w:t>OPERATIONS</w:t>
              </w:r>
            </w:hyperlink>
          </w:p>
        </w:tc>
        <w:tc>
          <w:tcPr>
            <w:tcW w:w="6700" w:type="dxa"/>
            <w:vAlign w:val="bottom"/>
            <w:tcBorders>
              <w:top w:val="single" w:sz="8" w:color="0000FF"/>
            </w:tcBorders>
            <w:gridSpan w:val="17"/>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2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8.</w:t>
              </w:r>
            </w:hyperlink>
          </w:p>
        </w:tc>
        <w:tc>
          <w:tcPr>
            <w:tcW w:w="8920" w:type="dxa"/>
            <w:vAlign w:val="bottom"/>
            <w:gridSpan w:val="2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FINANCIAL STATEMENTS AND SUPPLEMENTARY DATA</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3"/>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ITEM 9.</w:t>
              </w:r>
            </w:hyperlink>
          </w:p>
        </w:tc>
        <w:tc>
          <w:tcPr>
            <w:tcW w:w="8920" w:type="dxa"/>
            <w:vAlign w:val="bottom"/>
            <w:gridSpan w:val="2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CHANGES IN AND DISAGREEMENTS WITH ACCOUNTANTS ON ACCOUNTING AND FINANCIAL</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2"/>
              </w:rPr>
            </w:pPr>
            <w:hyperlink w:anchor="page67">
              <w:r>
                <w:rPr>
                  <w:rFonts w:ascii="Arial" w:cs="Arial" w:eastAsia="Arial" w:hAnsi="Arial"/>
                  <w:sz w:val="18"/>
                  <w:szCs w:val="18"/>
                  <w:color w:val="0000FF"/>
                  <w:w w:val="92"/>
                </w:rPr>
                <w:t>DISCLOSURE</w:t>
              </w:r>
            </w:hyperlink>
          </w:p>
        </w:tc>
        <w:tc>
          <w:tcPr>
            <w:tcW w:w="6880" w:type="dxa"/>
            <w:vAlign w:val="bottom"/>
            <w:tcBorders>
              <w:top w:val="single" w:sz="8" w:color="0000FF"/>
            </w:tcBorders>
            <w:gridSpan w:val="18"/>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ITEM 9A.</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CONTROLS AND PROCEDURES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ITEM 9B.</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OTHER INFORMATION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3"/>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ITEM 9C.</w:t>
              </w:r>
            </w:hyperlink>
          </w:p>
        </w:tc>
        <w:tc>
          <w:tcPr>
            <w:tcW w:w="8920" w:type="dxa"/>
            <w:vAlign w:val="bottom"/>
            <w:gridSpan w:val="2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DISCLOSURE REGARDING FOREIGN JURISDICTIONS THAT PREVENT INSPECTIONS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3"/>
        </w:trPr>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980" w:type="dxa"/>
            <w:vAlign w:val="bottom"/>
            <w:tcBorders>
              <w:top w:val="single" w:sz="8" w:color="0000FF"/>
            </w:tcBorders>
            <w:gridSpan w:val="5"/>
          </w:tcPr>
          <w:p>
            <w:pPr>
              <w:jc w:val="center"/>
              <w:ind w:right="1940"/>
              <w:spacing w:after="0"/>
              <w:rPr>
                <w:sz w:val="20"/>
                <w:szCs w:val="20"/>
                <w:color w:val="auto"/>
              </w:rPr>
            </w:pPr>
            <w:r>
              <w:rPr>
                <w:rFonts w:ascii="Arial" w:cs="Arial" w:eastAsia="Arial" w:hAnsi="Arial"/>
                <w:sz w:val="18"/>
                <w:szCs w:val="18"/>
                <w:b w:val="1"/>
                <w:bCs w:val="1"/>
                <w:color w:val="auto"/>
              </w:rPr>
              <w:t>PART III</w:t>
            </w:r>
          </w:p>
        </w:tc>
        <w:tc>
          <w:tcPr>
            <w:tcW w:w="196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20" w:type="dxa"/>
            <w:vAlign w:val="bottom"/>
            <w:gridSpan w:val="2"/>
          </w:tcPr>
          <w:p>
            <w:pPr>
              <w:spacing w:after="0" w:line="190" w:lineRule="exact"/>
              <w:rPr>
                <w:rFonts w:ascii="Arial" w:cs="Arial" w:eastAsia="Arial" w:hAnsi="Arial"/>
                <w:sz w:val="18"/>
                <w:szCs w:val="18"/>
                <w:color w:val="0000FF"/>
                <w:w w:val="93"/>
              </w:rPr>
            </w:pPr>
            <w:hyperlink w:anchor="page67">
              <w:r>
                <w:rPr>
                  <w:rFonts w:ascii="Arial" w:cs="Arial" w:eastAsia="Arial" w:hAnsi="Arial"/>
                  <w:sz w:val="18"/>
                  <w:szCs w:val="18"/>
                  <w:color w:val="0000FF"/>
                  <w:w w:val="93"/>
                </w:rPr>
                <w:t>ITEM 10.</w:t>
              </w:r>
            </w:hyperlink>
          </w:p>
        </w:tc>
        <w:tc>
          <w:tcPr>
            <w:tcW w:w="400" w:type="dxa"/>
            <w:vAlign w:val="bottom"/>
          </w:tcPr>
          <w:p>
            <w:pPr>
              <w:spacing w:after="0"/>
              <w:rPr>
                <w:sz w:val="16"/>
                <w:szCs w:val="16"/>
                <w:color w:val="auto"/>
              </w:rPr>
            </w:pPr>
          </w:p>
        </w:tc>
        <w:tc>
          <w:tcPr>
            <w:tcW w:w="8920" w:type="dxa"/>
            <w:vAlign w:val="bottom"/>
            <w:gridSpan w:val="26"/>
          </w:tcPr>
          <w:p>
            <w:pPr>
              <w:spacing w:after="0" w:line="190" w:lineRule="exact"/>
              <w:rPr>
                <w:rFonts w:ascii="Arial" w:cs="Arial" w:eastAsia="Arial" w:hAnsi="Arial"/>
                <w:sz w:val="18"/>
                <w:szCs w:val="18"/>
                <w:color w:val="0000FF"/>
              </w:rPr>
            </w:pPr>
            <w:hyperlink w:anchor="page67">
              <w:r>
                <w:rPr>
                  <w:rFonts w:ascii="Arial" w:cs="Arial" w:eastAsia="Arial" w:hAnsi="Arial"/>
                  <w:sz w:val="18"/>
                  <w:szCs w:val="18"/>
                  <w:color w:val="0000FF"/>
                </w:rPr>
                <w:t>DIRECTORS, EXECUTIVE OFFICERS AND CORPORATE GOVERNANCE</w:t>
              </w:r>
            </w:hyperlink>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ITEM 11.</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EXECUTIVE COMPENSATION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ITEM 12.</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SECURITY OWNERSHIP OF CERTAIN BENEFICIAL OWNERS AND MANAGEMENT AND RELATED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18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4"/>
              </w:rPr>
            </w:pPr>
            <w:hyperlink w:anchor="page68">
              <w:r>
                <w:rPr>
                  <w:rFonts w:ascii="Arial" w:cs="Arial" w:eastAsia="Arial" w:hAnsi="Arial"/>
                  <w:sz w:val="18"/>
                  <w:szCs w:val="18"/>
                  <w:color w:val="0000FF"/>
                  <w:w w:val="94"/>
                </w:rPr>
                <w:t>SHAREHOLDER MATTERS</w:t>
              </w:r>
            </w:hyperlink>
          </w:p>
        </w:tc>
        <w:tc>
          <w:tcPr>
            <w:tcW w:w="5860" w:type="dxa"/>
            <w:vAlign w:val="bottom"/>
            <w:tcBorders>
              <w:top w:val="single" w:sz="8" w:color="0000FF"/>
            </w:tcBorders>
            <w:gridSpan w:val="15"/>
          </w:tcPr>
          <w:p>
            <w:pPr>
              <w:spacing w:after="0"/>
              <w:rPr>
                <w:sz w:val="14"/>
                <w:szCs w:val="14"/>
                <w:color w:val="auto"/>
              </w:rPr>
            </w:pPr>
          </w:p>
        </w:tc>
        <w:tc>
          <w:tcPr>
            <w:tcW w:w="8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ITEM 13.</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CERTAIN RELATIONSHIPS AND RELATED TRANSACTIONS AND DIRECTOR INDEPENDENCE</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2"/>
          </w:tcPr>
          <w:p>
            <w:pPr>
              <w:spacing w:after="0"/>
              <w:rPr>
                <w:rFonts w:ascii="Arial" w:cs="Arial" w:eastAsia="Arial" w:hAnsi="Arial"/>
                <w:sz w:val="18"/>
                <w:szCs w:val="18"/>
                <w:color w:val="0000FF"/>
                <w:w w:val="93"/>
              </w:rPr>
            </w:pPr>
            <w:hyperlink w:anchor="page69">
              <w:r>
                <w:rPr>
                  <w:rFonts w:ascii="Arial" w:cs="Arial" w:eastAsia="Arial" w:hAnsi="Arial"/>
                  <w:sz w:val="18"/>
                  <w:szCs w:val="18"/>
                  <w:color w:val="0000FF"/>
                  <w:w w:val="93"/>
                </w:rPr>
                <w:t>ITEM 14.</w:t>
              </w:r>
            </w:hyperlink>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PRINCIPAL ACCOUNTANT FEES AND SERVICES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8"/>
        </w:trPr>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4940" w:type="dxa"/>
            <w:vAlign w:val="bottom"/>
            <w:gridSpan w:val="11"/>
          </w:tcPr>
          <w:p>
            <w:pPr>
              <w:jc w:val="center"/>
              <w:ind w:right="3900"/>
              <w:spacing w:after="0" w:line="168" w:lineRule="exact"/>
              <w:rPr>
                <w:sz w:val="20"/>
                <w:szCs w:val="20"/>
                <w:color w:val="auto"/>
              </w:rPr>
            </w:pPr>
            <w:r>
              <w:rPr>
                <w:rFonts w:ascii="Arial" w:cs="Arial" w:eastAsia="Arial" w:hAnsi="Arial"/>
                <w:sz w:val="18"/>
                <w:szCs w:val="18"/>
                <w:b w:val="1"/>
                <w:bCs w:val="1"/>
                <w:color w:val="auto"/>
              </w:rPr>
              <w:t>PART IV</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0" w:type="dxa"/>
            <w:vAlign w:val="bottom"/>
            <w:gridSpan w:val="2"/>
          </w:tcPr>
          <w:p>
            <w:pPr>
              <w:spacing w:after="0" w:line="190" w:lineRule="exact"/>
              <w:rPr>
                <w:rFonts w:ascii="Arial" w:cs="Arial" w:eastAsia="Arial" w:hAnsi="Arial"/>
                <w:sz w:val="18"/>
                <w:szCs w:val="18"/>
                <w:color w:val="0000FF"/>
                <w:w w:val="93"/>
              </w:rPr>
            </w:pPr>
            <w:hyperlink w:anchor="page70">
              <w:r>
                <w:rPr>
                  <w:rFonts w:ascii="Arial" w:cs="Arial" w:eastAsia="Arial" w:hAnsi="Arial"/>
                  <w:sz w:val="18"/>
                  <w:szCs w:val="18"/>
                  <w:color w:val="0000FF"/>
                  <w:w w:val="93"/>
                </w:rPr>
                <w:t>ITEM 15.</w:t>
              </w:r>
            </w:hyperlink>
          </w:p>
        </w:tc>
        <w:tc>
          <w:tcPr>
            <w:tcW w:w="400" w:type="dxa"/>
            <w:vAlign w:val="bottom"/>
          </w:tcPr>
          <w:p>
            <w:pPr>
              <w:spacing w:after="0"/>
              <w:rPr>
                <w:sz w:val="16"/>
                <w:szCs w:val="16"/>
                <w:color w:val="auto"/>
              </w:rPr>
            </w:pPr>
          </w:p>
        </w:tc>
        <w:tc>
          <w:tcPr>
            <w:tcW w:w="8920" w:type="dxa"/>
            <w:vAlign w:val="bottom"/>
            <w:gridSpan w:val="26"/>
          </w:tcPr>
          <w:p>
            <w:pPr>
              <w:spacing w:after="0" w:line="190" w:lineRule="exact"/>
              <w:rPr>
                <w:rFonts w:ascii="Arial" w:cs="Arial" w:eastAsia="Arial" w:hAnsi="Arial"/>
                <w:sz w:val="18"/>
                <w:szCs w:val="18"/>
                <w:color w:val="0000FF"/>
              </w:rPr>
            </w:pPr>
            <w:hyperlink w:anchor="page70">
              <w:r>
                <w:rPr>
                  <w:rFonts w:ascii="Arial" w:cs="Arial" w:eastAsia="Arial" w:hAnsi="Arial"/>
                  <w:sz w:val="18"/>
                  <w:szCs w:val="18"/>
                  <w:color w:val="0000FF"/>
                </w:rPr>
                <w:t>EXHIBITS, FINANCIAL STATEMENTS AND SCHEDULE</w:t>
              </w:r>
            </w:hyperlink>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580" w:type="dxa"/>
            <w:vAlign w:val="bottom"/>
            <w:gridSpan w:val="9"/>
            <w:shd w:val="clear" w:color="auto" w:fill="0000FF"/>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2"/>
          </w:tcPr>
          <w:p>
            <w:pPr>
              <w:spacing w:after="0"/>
              <w:rPr>
                <w:sz w:val="20"/>
                <w:szCs w:val="20"/>
                <w:color w:val="auto"/>
              </w:rPr>
            </w:pPr>
            <w:r>
              <w:rPr>
                <w:rFonts w:ascii="Arial" w:cs="Arial" w:eastAsia="Arial" w:hAnsi="Arial"/>
                <w:sz w:val="18"/>
                <w:szCs w:val="18"/>
                <w:color w:val="0000FF"/>
                <w:w w:val="93"/>
              </w:rPr>
              <w:t>ITEM 16.</w:t>
            </w:r>
          </w:p>
        </w:tc>
        <w:tc>
          <w:tcPr>
            <w:tcW w:w="400" w:type="dxa"/>
            <w:vAlign w:val="bottom"/>
          </w:tcPr>
          <w:p>
            <w:pPr>
              <w:spacing w:after="0"/>
              <w:rPr>
                <w:sz w:val="24"/>
                <w:szCs w:val="24"/>
                <w:color w:val="auto"/>
              </w:rPr>
            </w:pPr>
          </w:p>
        </w:tc>
        <w:tc>
          <w:tcPr>
            <w:tcW w:w="8920" w:type="dxa"/>
            <w:vAlign w:val="bottom"/>
            <w:gridSpan w:val="26"/>
          </w:tcPr>
          <w:p>
            <w:pPr>
              <w:spacing w:after="0"/>
              <w:rPr>
                <w:sz w:val="20"/>
                <w:szCs w:val="20"/>
                <w:color w:val="auto"/>
              </w:rPr>
            </w:pPr>
            <w:r>
              <w:rPr>
                <w:rFonts w:ascii="Arial" w:cs="Arial" w:eastAsia="Arial" w:hAnsi="Arial"/>
                <w:sz w:val="18"/>
                <w:szCs w:val="18"/>
                <w:color w:val="0000FF"/>
              </w:rPr>
              <w:t>FORM 10-K SUMMARY</w:t>
            </w: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20" w:type="dxa"/>
            <w:vAlign w:val="bottom"/>
            <w:gridSpan w:val="26"/>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SIGNATURES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886"/>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3560" w:type="dxa"/>
            <w:vAlign w:val="bottom"/>
            <w:gridSpan w:val="14"/>
          </w:tcPr>
          <w:p>
            <w:pPr>
              <w:jc w:val="center"/>
              <w:ind w:left="3168"/>
              <w:spacing w:after="0"/>
              <w:rPr>
                <w:sz w:val="20"/>
                <w:szCs w:val="20"/>
                <w:color w:val="auto"/>
              </w:rPr>
            </w:pPr>
            <w:r>
              <w:rPr>
                <w:rFonts w:ascii="Arial" w:cs="Arial" w:eastAsia="Arial" w:hAnsi="Arial"/>
                <w:sz w:val="14"/>
                <w:szCs w:val="14"/>
                <w:color w:val="auto"/>
              </w:rPr>
              <w:t>1</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firstLine="440"/>
        <w:spacing w:after="0" w:line="236"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that are subject to risks and uncertainties. All statements other than statements of historical or current fact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880" w:right="1580"/>
        <w:spacing w:after="0" w:line="360" w:lineRule="auto"/>
        <w:rPr>
          <w:sz w:val="20"/>
          <w:szCs w:val="20"/>
          <w:color w:val="auto"/>
        </w:rPr>
      </w:pPr>
      <w:r>
        <w:rPr>
          <w:rFonts w:ascii="Arial" w:cs="Arial" w:eastAsia="Arial" w:hAnsi="Arial"/>
          <w:sz w:val="18"/>
          <w:szCs w:val="18"/>
          <w:color w:val="auto"/>
        </w:rPr>
        <w:t>prolonged effects of COVID-19 on store traffic and disruptions to our distribution network, supply chains and operations; our ability to maintain and enhance a strong brand and sub-brand image; our ability to successfully open new stores;</w:t>
      </w:r>
    </w:p>
    <w:p>
      <w:pPr>
        <w:ind w:left="880" w:right="3180"/>
        <w:spacing w:after="0" w:line="360" w:lineRule="auto"/>
        <w:rPr>
          <w:sz w:val="20"/>
          <w:szCs w:val="20"/>
          <w:color w:val="auto"/>
        </w:rPr>
      </w:pPr>
      <w:r>
        <w:rPr>
          <w:rFonts w:ascii="Arial" w:cs="Arial" w:eastAsia="Arial" w:hAnsi="Arial"/>
          <w:sz w:val="18"/>
          <w:szCs w:val="18"/>
          <w:color w:val="auto"/>
        </w:rPr>
        <w:t>effectively adapting to new challenges associated with our expansion into new geographic markets; our ability to meet customer delivery time expectations;</w:t>
      </w:r>
    </w:p>
    <w:p>
      <w:pPr>
        <w:ind w:left="880" w:right="280"/>
        <w:spacing w:after="0" w:line="261" w:lineRule="auto"/>
        <w:rPr>
          <w:sz w:val="20"/>
          <w:szCs w:val="20"/>
          <w:color w:val="auto"/>
        </w:rPr>
      </w:pPr>
      <w:r>
        <w:rPr>
          <w:rFonts w:ascii="Arial" w:cs="Arial" w:eastAsia="Arial" w:hAnsi="Arial"/>
          <w:sz w:val="18"/>
          <w:szCs w:val="18"/>
          <w:color w:val="auto"/>
        </w:rPr>
        <w:t>natural disasters, unusually adverse weather conditions, boycotts, prolonged public health crises, epidemics or pandemics and unanticipated events;</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generating adequate cash from our existing stores to support our growth;</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impact of changes in corporate tax regulations and sales tax;</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identifying and responding to new and changing customer preferences;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success of the locations in which our stores are located;</w:t>
      </w:r>
    </w:p>
    <w:p>
      <w:pPr>
        <w:spacing w:after="0" w:line="104" w:lineRule="exact"/>
        <w:rPr>
          <w:sz w:val="20"/>
          <w:szCs w:val="20"/>
          <w:color w:val="auto"/>
        </w:rPr>
      </w:pPr>
    </w:p>
    <w:p>
      <w:pPr>
        <w:ind w:left="880" w:right="3720"/>
        <w:spacing w:after="0" w:line="360" w:lineRule="auto"/>
        <w:rPr>
          <w:sz w:val="20"/>
          <w:szCs w:val="20"/>
          <w:color w:val="auto"/>
        </w:rPr>
      </w:pPr>
      <w:r>
        <w:rPr>
          <w:rFonts w:ascii="Arial" w:cs="Arial" w:eastAsia="Arial" w:hAnsi="Arial"/>
          <w:sz w:val="18"/>
          <w:szCs w:val="18"/>
          <w:color w:val="auto"/>
        </w:rPr>
        <w:t>adapting to declines in consumer confidence, inflation and decreases in consumer spending; competing effectively in an environment of intense competition;</w:t>
      </w:r>
    </w:p>
    <w:p>
      <w:pPr>
        <w:ind w:left="880"/>
        <w:spacing w:after="0"/>
        <w:rPr>
          <w:sz w:val="20"/>
          <w:szCs w:val="20"/>
          <w:color w:val="auto"/>
        </w:rPr>
      </w:pPr>
      <w:r>
        <w:rPr>
          <w:rFonts w:ascii="Arial" w:cs="Arial" w:eastAsia="Arial" w:hAnsi="Arial"/>
          <w:sz w:val="18"/>
          <w:szCs w:val="18"/>
          <w:color w:val="auto"/>
        </w:rPr>
        <w:t>our ability to adapt to significant changes in sales due to the seasonality of our business;</w:t>
      </w:r>
    </w:p>
    <w:p>
      <w:pPr>
        <w:spacing w:after="0" w:line="104" w:lineRule="exact"/>
        <w:rPr>
          <w:sz w:val="20"/>
          <w:szCs w:val="20"/>
          <w:color w:val="auto"/>
        </w:rPr>
      </w:pPr>
    </w:p>
    <w:p>
      <w:pPr>
        <w:ind w:left="880" w:right="440"/>
        <w:spacing w:after="0" w:line="261" w:lineRule="auto"/>
        <w:rPr>
          <w:sz w:val="20"/>
          <w:szCs w:val="20"/>
          <w:color w:val="auto"/>
        </w:rPr>
      </w:pPr>
      <w:r>
        <w:rPr>
          <w:rFonts w:ascii="Arial" w:cs="Arial" w:eastAsia="Arial" w:hAnsi="Arial"/>
          <w:sz w:val="18"/>
          <w:szCs w:val="18"/>
          <w:color w:val="auto"/>
        </w:rPr>
        <w:t>price reductions or inventory shortages resulting from failure to purchase the appropriate amount of inventory in advance of the season in which it will be sold due to global market constraints;</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potential for further increases in price and availability of raw materials;</w:t>
      </w:r>
    </w:p>
    <w:p>
      <w:pPr>
        <w:spacing w:after="0" w:line="104" w:lineRule="exact"/>
        <w:rPr>
          <w:sz w:val="20"/>
          <w:szCs w:val="20"/>
          <w:color w:val="auto"/>
        </w:rPr>
      </w:pPr>
    </w:p>
    <w:p>
      <w:pPr>
        <w:ind w:left="880" w:right="2080"/>
        <w:spacing w:after="0" w:line="381" w:lineRule="auto"/>
        <w:rPr>
          <w:sz w:val="20"/>
          <w:szCs w:val="20"/>
          <w:color w:val="auto"/>
        </w:rPr>
      </w:pPr>
      <w:r>
        <w:rPr>
          <w:rFonts w:ascii="Arial" w:cs="Arial" w:eastAsia="Arial" w:hAnsi="Arial"/>
          <w:sz w:val="17"/>
          <w:szCs w:val="17"/>
          <w:color w:val="auto"/>
        </w:rPr>
        <w:t>our dependence on third-party vendors to provide us with sufficient quantities of merchandise at acceptable prices; increases in costs of fuel or other energy, transportation or utility costs and in the costs of labor and employment; the susceptibility of the price and availability of our merchandise to international trade conditions; failure of our vendors and their manufacturing sources to use acceptable labor or other practices;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dependence upon key executive management or our inability to hire or retain the talent required for our business;</w:t>
      </w:r>
    </w:p>
    <w:p>
      <w:pPr>
        <w:spacing w:after="0" w:line="104" w:lineRule="exact"/>
        <w:rPr>
          <w:sz w:val="20"/>
          <w:szCs w:val="20"/>
          <w:color w:val="auto"/>
        </w:rPr>
      </w:pPr>
    </w:p>
    <w:p>
      <w:pPr>
        <w:ind w:left="880" w:right="940"/>
        <w:spacing w:after="0" w:line="360" w:lineRule="auto"/>
        <w:rPr>
          <w:sz w:val="20"/>
          <w:szCs w:val="20"/>
          <w:color w:val="auto"/>
        </w:rPr>
      </w:pPr>
      <w:r>
        <w:rPr>
          <w:rFonts w:ascii="Arial" w:cs="Arial" w:eastAsia="Arial" w:hAnsi="Arial"/>
          <w:sz w:val="18"/>
          <w:szCs w:val="18"/>
          <w:color w:val="auto"/>
        </w:rPr>
        <w:t>failure of our information technology systems to support our current and growing business, before and after our planned upgrades; disruptions in our supply chain and distribution centers;</w:t>
      </w:r>
    </w:p>
    <w:p>
      <w:pPr>
        <w:ind w:left="880"/>
        <w:spacing w:after="0"/>
        <w:rPr>
          <w:sz w:val="20"/>
          <w:szCs w:val="20"/>
          <w:color w:val="auto"/>
        </w:rPr>
      </w:pPr>
      <w:r>
        <w:rPr>
          <w:rFonts w:ascii="Arial" w:cs="Arial" w:eastAsia="Arial" w:hAnsi="Arial"/>
          <w:sz w:val="18"/>
          <w:szCs w:val="18"/>
          <w:color w:val="auto"/>
        </w:rPr>
        <w:t>our inability to protect our trademarks or other intellectual property rights;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infringement on the intellectual property of third parties;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acts of war, terrorism or civil unrest;</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impact of governmental laws and regulations and the outcomes of legal proceedings;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80" w:right="360"/>
        <w:spacing w:after="0" w:line="261" w:lineRule="auto"/>
        <w:rPr>
          <w:sz w:val="20"/>
          <w:szCs w:val="20"/>
          <w:color w:val="auto"/>
        </w:rPr>
      </w:pPr>
      <w:r>
        <w:rPr>
          <w:rFonts w:ascii="Arial" w:cs="Arial" w:eastAsia="Arial" w:hAnsi="Arial"/>
          <w:sz w:val="18"/>
          <w:szCs w:val="18"/>
          <w:color w:val="auto"/>
        </w:rPr>
        <w:t>changes in U.S. and non-U.S. laws affecting the importation and taxation of goods, including imposition of unilateral tariffs on imported goods;</w:t>
      </w:r>
    </w:p>
    <w:p>
      <w:pPr>
        <w:spacing w:after="0" w:line="49" w:lineRule="exact"/>
        <w:rPr>
          <w:sz w:val="20"/>
          <w:szCs w:val="20"/>
          <w:color w:val="auto"/>
        </w:rPr>
      </w:pPr>
    </w:p>
    <w:p>
      <w:pPr>
        <w:ind w:left="880" w:right="320"/>
        <w:spacing w:after="0" w:line="261" w:lineRule="auto"/>
        <w:rPr>
          <w:sz w:val="20"/>
          <w:szCs w:val="20"/>
          <w:color w:val="auto"/>
        </w:rPr>
      </w:pPr>
      <w:r>
        <w:rPr>
          <w:rFonts w:ascii="Arial" w:cs="Arial" w:eastAsia="Arial" w:hAnsi="Arial"/>
          <w:sz w:val="18"/>
          <w:szCs w:val="18"/>
          <w:color w:val="auto"/>
        </w:rPr>
        <w:t>our ability to secure the personal and/or financial information of our customers and comply with the security standards for the credit card industry; and</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failure to maintain adequate internal controls over our financial and management systems.</w:t>
      </w:r>
    </w:p>
    <w:p>
      <w:pPr>
        <w:spacing w:after="0" w:line="171"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48" w:lineRule="exact"/>
        <w:rPr>
          <w:sz w:val="20"/>
          <w:szCs w:val="20"/>
          <w:color w:val="auto"/>
        </w:rPr>
      </w:pPr>
    </w:p>
    <w:p>
      <w:pPr>
        <w:ind w:right="20" w:firstLine="440"/>
        <w:spacing w:after="0" w:line="231" w:lineRule="auto"/>
        <w:rPr>
          <w:sz w:val="20"/>
          <w:szCs w:val="20"/>
          <w:color w:val="auto"/>
        </w:rPr>
      </w:pPr>
      <w:r>
        <w:rPr>
          <w:rFonts w:ascii="Arial" w:cs="Arial" w:eastAsia="Arial" w:hAnsi="Arial"/>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35" w:lineRule="exact"/>
        <w:rPr>
          <w:sz w:val="20"/>
          <w:szCs w:val="20"/>
          <w:color w:val="auto"/>
        </w:rPr>
      </w:pPr>
    </w:p>
    <w:p>
      <w:pPr>
        <w:jc w:val="both"/>
        <w:ind w:right="200" w:firstLine="440"/>
        <w:spacing w:after="0" w:line="276" w:lineRule="auto"/>
        <w:rPr>
          <w:sz w:val="20"/>
          <w:szCs w:val="20"/>
          <w:color w:val="auto"/>
        </w:rPr>
      </w:pPr>
      <w:r>
        <w:rPr>
          <w:rFonts w:ascii="Arial" w:cs="Arial" w:eastAsia="Arial" w:hAnsi="Arial"/>
          <w:sz w:val="16"/>
          <w:szCs w:val="16"/>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2" w:right="4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BUSINESS</w:t>
      </w:r>
    </w:p>
    <w:p>
      <w:pPr>
        <w:spacing w:after="0" w:line="212"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i w:val="1"/>
          <w:iCs w:val="1"/>
          <w:color w:val="auto"/>
        </w:rPr>
        <w:t>Unless the context indicates otherwise, the terms the “Company,” “Duluth,” “Duluth Trading,” “Duluth Holdings,” “Duluth Trading Co.,” “we,” “our” or “us” are used to refer to Duluth Holdings Inc.</w:t>
      </w:r>
    </w:p>
    <w:p>
      <w:pPr>
        <w:spacing w:after="0" w:line="143" w:lineRule="exact"/>
        <w:rPr>
          <w:sz w:val="20"/>
          <w:szCs w:val="20"/>
          <w:color w:val="auto"/>
        </w:rPr>
      </w:pPr>
    </w:p>
    <w:p>
      <w:pPr>
        <w:ind w:right="100" w:firstLine="440"/>
        <w:spacing w:after="0" w:line="246" w:lineRule="auto"/>
        <w:rPr>
          <w:sz w:val="20"/>
          <w:szCs w:val="20"/>
          <w:color w:val="auto"/>
        </w:rPr>
      </w:pPr>
      <w:r>
        <w:rPr>
          <w:rFonts w:ascii="Arial" w:cs="Arial" w:eastAsia="Arial" w:hAnsi="Arial"/>
          <w:sz w:val="18"/>
          <w:szCs w:val="18"/>
          <w:i w:val="1"/>
          <w:iCs w:val="1"/>
          <w:color w:val="auto"/>
        </w:rPr>
        <w:t>The following discussion contains references to fiscal years 2021 and 2020, which refer to our fiscal years ended January 30, 2022 and January 31, 2021, respectively. Fiscal years 2021 and 2020 were 52-week periods.</w:t>
      </w:r>
    </w:p>
    <w:p>
      <w:pPr>
        <w:spacing w:after="0" w:line="129" w:lineRule="exact"/>
        <w:rPr>
          <w:sz w:val="20"/>
          <w:szCs w:val="20"/>
          <w:color w:val="auto"/>
        </w:rPr>
      </w:pPr>
    </w:p>
    <w:p>
      <w:pPr>
        <w:ind w:firstLine="440"/>
        <w:spacing w:after="0" w:line="253" w:lineRule="auto"/>
        <w:rPr>
          <w:sz w:val="20"/>
          <w:szCs w:val="20"/>
          <w:color w:val="auto"/>
        </w:rPr>
      </w:pPr>
      <w:r>
        <w:rPr>
          <w:rFonts w:ascii="Arial" w:cs="Arial" w:eastAsia="Arial" w:hAnsi="Arial"/>
          <w:sz w:val="17"/>
          <w:szCs w:val="17"/>
          <w:color w:val="auto"/>
        </w:rPr>
        <w:t>Duluth Trading is a lifestyle brand of men’s and women’s casual wear, workwear and accessories primarily sold through our own omnichannel platform. We offer products nationwide through our website and catalog. In 2010, we initiated our omnichannel platform with the opening of our first store. Since then, we have expanded our retail presence, and as of January 30, 2022, we operated 62 retail stores and three outlet stores.</w:t>
      </w:r>
    </w:p>
    <w:p>
      <w:pPr>
        <w:spacing w:after="0" w:line="124" w:lineRule="exact"/>
        <w:rPr>
          <w:sz w:val="20"/>
          <w:szCs w:val="20"/>
          <w:color w:val="auto"/>
        </w:rPr>
      </w:pPr>
    </w:p>
    <w:p>
      <w:pPr>
        <w:ind w:firstLine="440"/>
        <w:spacing w:after="0" w:line="237" w:lineRule="auto"/>
        <w:rPr>
          <w:sz w:val="20"/>
          <w:szCs w:val="20"/>
          <w:color w:val="auto"/>
        </w:rPr>
      </w:pPr>
      <w:r>
        <w:rPr>
          <w:rFonts w:ascii="Arial" w:cs="Arial" w:eastAsia="Arial" w:hAnsi="Arial"/>
          <w:sz w:val="17"/>
          <w:szCs w:val="17"/>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spacing w:after="0" w:line="149" w:lineRule="exact"/>
        <w:rPr>
          <w:sz w:val="20"/>
          <w:szCs w:val="20"/>
          <w:color w:val="auto"/>
        </w:rPr>
      </w:pPr>
    </w:p>
    <w:p>
      <w:pPr>
        <w:ind w:right="200" w:firstLine="440"/>
        <w:spacing w:after="0" w:line="231" w:lineRule="auto"/>
        <w:rPr>
          <w:sz w:val="20"/>
          <w:szCs w:val="20"/>
          <w:color w:val="auto"/>
        </w:rPr>
      </w:pPr>
      <w:r>
        <w:rPr>
          <w:rFonts w:ascii="Arial" w:cs="Arial" w:eastAsia="Arial" w:hAnsi="Arial"/>
          <w:sz w:val="18"/>
          <w:szCs w:val="18"/>
          <w:color w:val="auto"/>
        </w:rPr>
        <w:t xml:space="preserve">From what began as an idea aimed at those working in the building trades, Duluth Trading has become a widely recognized brand and proprietary line of innovative and functional apparel and gear. We have created strong brand awareness, built a loyal customer base and generated robust sales momentum. We believe the foundation of our success is our culture of “poking average in the eye” </w:t>
      </w:r>
      <w:r>
        <w:rPr>
          <w:rFonts w:ascii="Arial" w:cs="Arial" w:eastAsia="Arial" w:hAnsi="Arial"/>
          <w:sz w:val="18"/>
          <w:szCs w:val="18"/>
          <w:i w:val="1"/>
          <w:iCs w:val="1"/>
          <w:color w:val="auto"/>
        </w:rPr>
        <w:t>by seeing things for what they could be and should be</w:t>
      </w:r>
      <w:r>
        <w:rPr>
          <w:rFonts w:ascii="Arial" w:cs="Arial" w:eastAsia="Arial" w:hAnsi="Arial"/>
          <w:sz w:val="18"/>
          <w:szCs w:val="18"/>
          <w:color w:val="auto"/>
        </w:rPr>
        <w:t xml:space="preserve"> </w:t>
      </w:r>
      <w:r>
        <w:rPr>
          <w:rFonts w:ascii="Arial" w:cs="Arial" w:eastAsia="Arial" w:hAnsi="Arial"/>
          <w:sz w:val="18"/>
          <w:szCs w:val="18"/>
          <w:i w:val="1"/>
          <w:iCs w:val="1"/>
          <w:color w:val="auto"/>
        </w:rPr>
        <w:t>and finding a way to make them exactly that, and we like to do it all with a big, toothy grin.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94" w:lineRule="exact"/>
        <w:rPr>
          <w:sz w:val="20"/>
          <w:szCs w:val="20"/>
          <w:color w:val="auto"/>
        </w:rPr>
      </w:pPr>
    </w:p>
    <w:p>
      <w:pPr>
        <w:jc w:val="both"/>
        <w:ind w:right="200" w:firstLine="440"/>
        <w:spacing w:after="0" w:line="235" w:lineRule="auto"/>
        <w:rPr>
          <w:sz w:val="20"/>
          <w:szCs w:val="20"/>
          <w:color w:val="auto"/>
        </w:rPr>
      </w:pPr>
      <w:r>
        <w:rPr>
          <w:rFonts w:ascii="Arial" w:cs="Arial" w:eastAsia="Arial" w:hAnsi="Arial"/>
          <w:sz w:val="18"/>
          <w:szCs w:val="18"/>
          <w:color w:val="auto"/>
        </w:rPr>
        <w:t>The Company has completed a comprehensive review of current operations, logistics networks, marketing and technology capabilities, and unique brands and products. The Company formulated the “Big Dam Blueprint”, which management believes will unlock the Company’s full potential for long-term, sustainable grow growth.</w:t>
      </w:r>
    </w:p>
    <w:p>
      <w:pPr>
        <w:spacing w:after="0" w:line="63" w:lineRule="exact"/>
        <w:rPr>
          <w:sz w:val="20"/>
          <w:szCs w:val="20"/>
          <w:color w:val="auto"/>
        </w:rPr>
      </w:pPr>
    </w:p>
    <w:p>
      <w:pPr>
        <w:ind w:left="880" w:right="500"/>
        <w:spacing w:after="0" w:line="266" w:lineRule="auto"/>
        <w:rPr>
          <w:sz w:val="20"/>
          <w:szCs w:val="20"/>
          <w:color w:val="auto"/>
        </w:rPr>
      </w:pPr>
      <w:r>
        <w:rPr>
          <w:rFonts w:ascii="Arial" w:cs="Arial" w:eastAsia="Arial" w:hAnsi="Arial"/>
          <w:sz w:val="18"/>
          <w:szCs w:val="18"/>
          <w:b w:val="1"/>
          <w:bCs w:val="1"/>
          <w:color w:val="auto"/>
        </w:rPr>
        <w:t xml:space="preserve">Begin with a digital-first mindset </w:t>
      </w:r>
      <w:r>
        <w:rPr>
          <w:rFonts w:ascii="Arial" w:cs="Arial" w:eastAsia="Arial" w:hAnsi="Arial"/>
          <w:sz w:val="18"/>
          <w:szCs w:val="18"/>
          <w:color w:val="auto"/>
        </w:rPr>
        <w:t>that integrates technology into all areas of the business, fundamentally changing how we operate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value to customers.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Intensify efforts to optimize Duluth Trading’s owned retail channels </w:t>
      </w:r>
      <w:r>
        <w:rPr>
          <w:rFonts w:ascii="Arial" w:cs="Arial" w:eastAsia="Arial" w:hAnsi="Arial"/>
          <w:sz w:val="17"/>
          <w:szCs w:val="17"/>
          <w:color w:val="auto"/>
        </w:rPr>
        <w:t>by increasing focus and investments in our direct channel as our</w:t>
      </w:r>
    </w:p>
    <w:p>
      <w:pPr>
        <w:spacing w:after="0" w:line="27" w:lineRule="exact"/>
        <w:rPr>
          <w:sz w:val="20"/>
          <w:szCs w:val="20"/>
          <w:color w:val="auto"/>
        </w:rPr>
      </w:pPr>
    </w:p>
    <w:p>
      <w:pPr>
        <w:ind w:left="880" w:right="240"/>
        <w:spacing w:after="0" w:line="233" w:lineRule="auto"/>
        <w:rPr>
          <w:sz w:val="20"/>
          <w:szCs w:val="20"/>
          <w:color w:val="auto"/>
        </w:rPr>
      </w:pPr>
      <w:r>
        <w:rPr>
          <w:rFonts w:ascii="Arial" w:cs="Arial" w:eastAsia="Arial" w:hAnsi="Arial"/>
          <w:sz w:val="18"/>
          <w:szCs w:val="18"/>
          <w:color w:val="auto"/>
        </w:rPr>
        <w:t>primary growth vehicle. We are conducting strategic research that will inform decisions on future stores regarding new locations and market share potential, size and layout.</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Evolve the Company’s multi-brand platform as a new pathway to grow the business. </w:t>
      </w:r>
      <w:r>
        <w:rPr>
          <w:rFonts w:ascii="Arial" w:cs="Arial" w:eastAsia="Arial" w:hAnsi="Arial"/>
          <w:sz w:val="16"/>
          <w:szCs w:val="16"/>
          <w:color w:val="auto"/>
        </w:rPr>
        <w:t>Create unique brand positions, across men’s and</w:t>
      </w:r>
    </w:p>
    <w:p>
      <w:pPr>
        <w:spacing w:after="0" w:line="39" w:lineRule="exact"/>
        <w:rPr>
          <w:sz w:val="20"/>
          <w:szCs w:val="20"/>
          <w:color w:val="auto"/>
        </w:rPr>
      </w:pPr>
    </w:p>
    <w:p>
      <w:pPr>
        <w:ind w:left="880"/>
        <w:spacing w:after="0" w:line="228" w:lineRule="auto"/>
        <w:rPr>
          <w:sz w:val="20"/>
          <w:szCs w:val="20"/>
          <w:color w:val="auto"/>
        </w:rPr>
      </w:pPr>
      <w:r>
        <w:rPr>
          <w:rFonts w:ascii="Arial" w:cs="Arial" w:eastAsia="Arial" w:hAnsi="Arial"/>
          <w:sz w:val="18"/>
          <w:szCs w:val="18"/>
          <w:color w:val="auto"/>
        </w:rPr>
        <w:t>women’s, for Duluth, Alaskan Hardgear, Buck Naked, and Best Made to address customer needs for various occasions including work, outdoor recreation, casual lifestyle, and first layer. Invest in the evolution of the Duluth Trading platform to enable the integration of new brands, expand our offerings and broaden our customer base.</w:t>
      </w:r>
    </w:p>
    <w:p>
      <w:pPr>
        <w:spacing w:after="0" w:line="65" w:lineRule="exact"/>
        <w:rPr>
          <w:sz w:val="20"/>
          <w:szCs w:val="20"/>
          <w:color w:val="auto"/>
        </w:rPr>
      </w:pPr>
    </w:p>
    <w:p>
      <w:pPr>
        <w:ind w:left="880" w:right="580"/>
        <w:spacing w:after="0" w:line="266" w:lineRule="auto"/>
        <w:rPr>
          <w:sz w:val="20"/>
          <w:szCs w:val="20"/>
          <w:color w:val="auto"/>
        </w:rPr>
      </w:pPr>
      <w:r>
        <w:rPr>
          <w:rFonts w:ascii="Arial" w:cs="Arial" w:eastAsia="Arial" w:hAnsi="Arial"/>
          <w:sz w:val="18"/>
          <w:szCs w:val="18"/>
          <w:b w:val="1"/>
          <w:bCs w:val="1"/>
          <w:color w:val="auto"/>
        </w:rPr>
        <w:t xml:space="preserve">Carefully test and learn to unlock long-term growth potential. </w:t>
      </w:r>
      <w:r>
        <w:rPr>
          <w:rFonts w:ascii="Arial" w:cs="Arial" w:eastAsia="Arial" w:hAnsi="Arial"/>
          <w:sz w:val="18"/>
          <w:szCs w:val="18"/>
          <w:color w:val="auto"/>
        </w:rPr>
        <w:t>Explore new opportunities to engage current and potential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products, services and touchpoints that they expect and value.</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Increase and, in some areas, accelerate investments to future proof the business. </w:t>
      </w:r>
      <w:r>
        <w:rPr>
          <w:rFonts w:ascii="Arial" w:cs="Arial" w:eastAsia="Arial" w:hAnsi="Arial"/>
          <w:sz w:val="16"/>
          <w:szCs w:val="16"/>
          <w:color w:val="auto"/>
        </w:rPr>
        <w:t>Areas under analysis include greater automation across</w:t>
      </w:r>
    </w:p>
    <w:p>
      <w:pPr>
        <w:spacing w:after="0" w:line="39" w:lineRule="exact"/>
        <w:rPr>
          <w:sz w:val="20"/>
          <w:szCs w:val="20"/>
          <w:color w:val="auto"/>
        </w:rPr>
      </w:pPr>
    </w:p>
    <w:p>
      <w:pPr>
        <w:ind w:left="880" w:right="520"/>
        <w:spacing w:after="0" w:line="228" w:lineRule="auto"/>
        <w:rPr>
          <w:sz w:val="20"/>
          <w:szCs w:val="20"/>
          <w:color w:val="auto"/>
        </w:rPr>
      </w:pPr>
      <w:r>
        <w:rPr>
          <w:rFonts w:ascii="Arial" w:cs="Arial" w:eastAsia="Arial" w:hAnsi="Arial"/>
          <w:sz w:val="18"/>
          <w:szCs w:val="18"/>
          <w:color w:val="auto"/>
        </w:rPr>
        <w:t>the logistics network; technology that will improve operations, generate positive impact and sustainable returns; support growth through multiple brands and seamlessly integrate new brands into the portfolio, and attract the talent, skillsets and expertise needed to scale the business.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Omnichannel</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firstLine="440"/>
        <w:spacing w:after="0" w:line="231" w:lineRule="auto"/>
        <w:rPr>
          <w:sz w:val="20"/>
          <w:szCs w:val="20"/>
          <w:color w:val="auto"/>
        </w:rPr>
      </w:pPr>
      <w:r>
        <w:rPr>
          <w:rFonts w:ascii="Arial" w:cs="Arial" w:eastAsia="Arial" w:hAnsi="Arial"/>
          <w:sz w:val="18"/>
          <w:szCs w:val="18"/>
          <w:color w:val="auto"/>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catalogs and customer contact centers. Our omnichannel services include order-in-store, buy-online-pickup-in-store, and ship-from-store as well as retail store and mobile shopping experiences.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Store Environment</w:t>
      </w:r>
    </w:p>
    <w:p>
      <w:pPr>
        <w:spacing w:after="0" w:line="162"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Our retail stores are designed to bring our brand to life by creating a unique and entertaining experience, including engaging sales associates, a compelling and complete product assortment, custom made fixtures to fit our brand, free wireless Internet and complimentary coffee and water.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right="20" w:firstLine="440"/>
        <w:spacing w:after="0" w:line="273" w:lineRule="auto"/>
        <w:rPr>
          <w:sz w:val="20"/>
          <w:szCs w:val="20"/>
          <w:color w:val="auto"/>
        </w:rPr>
      </w:pPr>
      <w:r>
        <w:rPr>
          <w:rFonts w:ascii="Arial" w:cs="Arial" w:eastAsia="Arial" w:hAnsi="Arial"/>
          <w:sz w:val="16"/>
          <w:szCs w:val="16"/>
          <w:color w:val="auto"/>
        </w:rPr>
        <w:t>We offer a comprehensive line of innovative, durable and functional casual wear, workwear and accessories for both men and women. Our product assortment includes shirts, pants, underwear, outerwear, footwear, accessories and hard goods. Our products feature proprietary designs and distinct names,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as our Longtail T® shirts, Buck Naked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underwear, Fire Hose® work pants and No-Yank</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Tank.</w:t>
      </w:r>
    </w:p>
    <w:p>
      <w:pPr>
        <w:spacing w:after="0" w:line="57" w:lineRule="exact"/>
        <w:rPr>
          <w:sz w:val="20"/>
          <w:szCs w:val="20"/>
          <w:color w:val="auto"/>
        </w:rPr>
      </w:pPr>
    </w:p>
    <w:p>
      <w:pPr>
        <w:jc w:val="both"/>
        <w:ind w:right="180" w:firstLine="440"/>
        <w:spacing w:after="0" w:line="235" w:lineRule="auto"/>
        <w:rPr>
          <w:sz w:val="20"/>
          <w:szCs w:val="20"/>
          <w:color w:val="auto"/>
        </w:rPr>
      </w:pPr>
      <w:r>
        <w:rPr>
          <w:rFonts w:ascii="Arial" w:cs="Arial" w:eastAsia="Arial" w:hAnsi="Arial"/>
          <w:sz w:val="18"/>
          <w:szCs w:val="18"/>
          <w:color w:val="auto"/>
        </w:rPr>
        <w:t>Our product assortment appeals to our customers for their everyday and on-the-job use. The majority of our products represent enduring styles that go beyond short-lived fashion trends. We believe many of our customers’ purchases are driven by our thoughtful design and high quality craftsmanship, and our best-selling styles tend to be items that carry over year to year with only minor updates.</w:t>
      </w:r>
    </w:p>
    <w:p>
      <w:pPr>
        <w:spacing w:after="0" w:line="134" w:lineRule="exact"/>
        <w:rPr>
          <w:sz w:val="20"/>
          <w:szCs w:val="20"/>
          <w:color w:val="auto"/>
        </w:rPr>
      </w:pPr>
    </w:p>
    <w:p>
      <w:pPr>
        <w:ind w:right="80" w:firstLine="440"/>
        <w:spacing w:after="0" w:line="260" w:lineRule="auto"/>
        <w:rPr>
          <w:sz w:val="20"/>
          <w:szCs w:val="20"/>
          <w:color w:val="auto"/>
        </w:rPr>
      </w:pPr>
      <w:r>
        <w:rPr>
          <w:rFonts w:ascii="Arial" w:cs="Arial" w:eastAsia="Arial" w:hAnsi="Arial"/>
          <w:sz w:val="16"/>
          <w:szCs w:val="16"/>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w:t>
      </w:r>
    </w:p>
    <w:p>
      <w:pPr>
        <w:ind w:right="1500"/>
        <w:spacing w:after="0" w:line="359" w:lineRule="auto"/>
        <w:rPr>
          <w:sz w:val="20"/>
          <w:szCs w:val="20"/>
          <w:color w:val="auto"/>
        </w:rPr>
      </w:pPr>
      <w:r>
        <w:rPr>
          <w:rFonts w:ascii="Arial" w:cs="Arial" w:eastAsia="Arial" w:hAnsi="Arial"/>
          <w:sz w:val="18"/>
          <w:szCs w:val="18"/>
          <w:color w:val="auto"/>
        </w:rPr>
        <w:t>Duluthflex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Fire Hose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cotton canvas into products to provide strength and abrasion resistance with stretch for freedom of movement. </w:t>
      </w:r>
      <w:r>
        <w:rPr>
          <w:rFonts w:ascii="Arial" w:cs="Arial" w:eastAsia="Arial" w:hAnsi="Arial"/>
          <w:sz w:val="18"/>
          <w:szCs w:val="18"/>
          <w:b w:val="1"/>
          <w:bCs w:val="1"/>
          <w:color w:val="auto"/>
        </w:rPr>
        <w:t>Product Development</w:t>
      </w:r>
    </w:p>
    <w:p>
      <w:pPr>
        <w:spacing w:after="0" w:line="2" w:lineRule="exact"/>
        <w:rPr>
          <w:sz w:val="20"/>
          <w:szCs w:val="20"/>
          <w:color w:val="auto"/>
        </w:rPr>
      </w:pPr>
    </w:p>
    <w:p>
      <w:pPr>
        <w:ind w:right="40" w:firstLine="440"/>
        <w:spacing w:after="0" w:line="266" w:lineRule="auto"/>
        <w:rPr>
          <w:sz w:val="20"/>
          <w:szCs w:val="20"/>
          <w:color w:val="auto"/>
        </w:rPr>
      </w:pPr>
      <w:r>
        <w:rPr>
          <w:rFonts w:ascii="Arial" w:cs="Arial" w:eastAsia="Arial" w:hAnsi="Arial"/>
          <w:sz w:val="16"/>
          <w:szCs w:val="16"/>
          <w:color w:val="auto"/>
        </w:rPr>
        <w:t>We are focused on developing apparel and gear that builds upon the Duluth Trading brand’s product heritage of “there’s gotta be a better way,” resulting in distinctive products with enhanced features.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62" w:lineRule="exact"/>
        <w:rPr>
          <w:sz w:val="20"/>
          <w:szCs w:val="20"/>
          <w:color w:val="auto"/>
        </w:rPr>
      </w:pPr>
    </w:p>
    <w:p>
      <w:pPr>
        <w:ind w:right="120" w:firstLine="440"/>
        <w:spacing w:after="0"/>
        <w:rPr>
          <w:sz w:val="20"/>
          <w:szCs w:val="20"/>
          <w:color w:val="auto"/>
        </w:rPr>
      </w:pPr>
      <w:r>
        <w:rPr>
          <w:rFonts w:ascii="Arial" w:cs="Arial" w:eastAsia="Arial" w:hAnsi="Arial"/>
          <w:sz w:val="17"/>
          <w:szCs w:val="17"/>
          <w:color w:val="auto"/>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pursue our marketing strategy through multiple forms of media, which gives our products an identity and enhances our brand:</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Digital and Email Marketing</w:t>
      </w:r>
      <w:r>
        <w:rPr>
          <w:rFonts w:ascii="Arial" w:cs="Arial" w:eastAsia="Arial" w:hAnsi="Arial"/>
          <w:sz w:val="18"/>
          <w:szCs w:val="18"/>
          <w:color w:val="auto"/>
        </w:rPr>
        <w:t>. We employ a variety of digital and online advertising strategies. These efforts include display advertising,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video advertising, search engine marketing and optimization and targeted email, which we send to customers to introduce new products and offer promotions on select merchandise.</w:t>
      </w:r>
    </w:p>
    <w:p>
      <w:pPr>
        <w:spacing w:after="0" w:line="68" w:lineRule="exact"/>
        <w:rPr>
          <w:sz w:val="20"/>
          <w:szCs w:val="20"/>
          <w:color w:val="auto"/>
        </w:rPr>
      </w:pPr>
    </w:p>
    <w:p>
      <w:pPr>
        <w:ind w:left="880" w:right="120"/>
        <w:spacing w:after="0" w:line="229" w:lineRule="auto"/>
        <w:rPr>
          <w:sz w:val="20"/>
          <w:szCs w:val="20"/>
          <w:color w:val="auto"/>
        </w:rPr>
      </w:pPr>
      <w:r>
        <w:rPr>
          <w:rFonts w:ascii="Arial" w:cs="Arial" w:eastAsia="Arial" w:hAnsi="Arial"/>
          <w:sz w:val="18"/>
          <w:szCs w:val="18"/>
          <w:i w:val="1"/>
          <w:iCs w:val="1"/>
          <w:color w:val="auto"/>
        </w:rPr>
        <w:t>Television</w:t>
      </w:r>
      <w:r>
        <w:rPr>
          <w:rFonts w:ascii="Arial" w:cs="Arial" w:eastAsia="Arial" w:hAnsi="Arial"/>
          <w:sz w:val="18"/>
          <w:szCs w:val="18"/>
          <w:color w:val="auto"/>
        </w:rPr>
        <w:t>. We advertise on cable and broadcast television networks to build brand awareness for both men’s and women’s products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reach a large, national audience. These advertisements feature both our animated characters and female models, and are intended to be humorous, irreverent and quirky in order to grab the viewer’s attention, while highlighting the particularly innovative, solution-based features of our core products and the Duluth Trading name.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880" w:right="20"/>
        <w:spacing w:after="0" w:line="291" w:lineRule="auto"/>
        <w:rPr>
          <w:sz w:val="20"/>
          <w:szCs w:val="20"/>
          <w:color w:val="auto"/>
        </w:rPr>
      </w:pPr>
      <w:r>
        <w:rPr>
          <w:rFonts w:ascii="Arial" w:cs="Arial" w:eastAsia="Arial" w:hAnsi="Arial"/>
          <w:sz w:val="17"/>
          <w:szCs w:val="17"/>
          <w:i w:val="1"/>
          <w:iCs w:val="1"/>
          <w:color w:val="auto"/>
        </w:rPr>
        <w:t>Social Media</w:t>
      </w:r>
      <w:r>
        <w:rPr>
          <w:rFonts w:ascii="Arial" w:cs="Arial" w:eastAsia="Arial" w:hAnsi="Arial"/>
          <w:sz w:val="17"/>
          <w:szCs w:val="17"/>
          <w:color w:val="auto"/>
        </w:rPr>
        <w:t>. We have an engaged social media community, which allows us to personally connect with our customers online, and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raises brand awareness. We maintain a social media presence on Facebook, Instagram, Pinterest, YouTube and Twitter.</w:t>
      </w:r>
    </w:p>
    <w:p>
      <w:pPr>
        <w:spacing w:after="0" w:line="25" w:lineRule="exact"/>
        <w:rPr>
          <w:sz w:val="20"/>
          <w:szCs w:val="20"/>
          <w:color w:val="auto"/>
        </w:rPr>
      </w:pPr>
    </w:p>
    <w:p>
      <w:pPr>
        <w:ind w:left="880" w:right="100"/>
        <w:spacing w:after="0" w:line="261" w:lineRule="auto"/>
        <w:rPr>
          <w:sz w:val="20"/>
          <w:szCs w:val="20"/>
          <w:color w:val="auto"/>
        </w:rPr>
      </w:pPr>
      <w:r>
        <w:rPr>
          <w:rFonts w:ascii="Arial" w:cs="Arial" w:eastAsia="Arial" w:hAnsi="Arial"/>
          <w:sz w:val="18"/>
          <w:szCs w:val="18"/>
          <w:i w:val="1"/>
          <w:iCs w:val="1"/>
          <w:color w:val="auto"/>
        </w:rPr>
        <w:t>Catalogs</w:t>
      </w:r>
      <w:r>
        <w:rPr>
          <w:rFonts w:ascii="Arial" w:cs="Arial" w:eastAsia="Arial" w:hAnsi="Arial"/>
          <w:sz w:val="18"/>
          <w:szCs w:val="18"/>
          <w:color w:val="auto"/>
        </w:rPr>
        <w:t>. Our catalogs are an important part of our heritage and represent a tangible vehicle for our authentic and humorous storytelling.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catalogs serve as an important customer acquisition tool by driving visits to our website and retail stores.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75" w:lineRule="exact"/>
        <w:rPr>
          <w:sz w:val="20"/>
          <w:szCs w:val="20"/>
          <w:color w:val="auto"/>
        </w:rPr>
      </w:pPr>
    </w:p>
    <w:p>
      <w:pPr>
        <w:ind w:firstLine="440"/>
        <w:spacing w:after="0" w:line="242" w:lineRule="auto"/>
        <w:rPr>
          <w:sz w:val="20"/>
          <w:szCs w:val="20"/>
          <w:color w:val="auto"/>
        </w:rPr>
      </w:pPr>
      <w:r>
        <w:rPr>
          <w:rFonts w:ascii="Arial" w:cs="Arial" w:eastAsia="Arial" w:hAnsi="Arial"/>
          <w:sz w:val="17"/>
          <w:szCs w:val="17"/>
          <w:color w:val="auto"/>
        </w:rPr>
        <w:t>We are committed to providing outstanding customer service and believe in treating our customers like next-door neighbors. Our retail stores are stocked with a comprehensive assortment of our products and staffed with knowledgeable and well trained sales associates. We stand behind all purchases with our “No Bull Guarantee.” Our call center is open for calls from 5 A.M. to 1 A.M. Central Time, seven days a week and is staffed with friendly, knowledgeable representatives dedicated to making every customer experience positive. As a convenience to our customers, we offer live chat through our website, which is available from 7 A.M. to 8 P.M. Central Time on weekdays and 8 A.M. to 5 P.M. Central Time on weekends.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ind w:right="60" w:firstLine="440"/>
        <w:spacing w:after="0" w:line="261" w:lineRule="auto"/>
        <w:rPr>
          <w:sz w:val="20"/>
          <w:szCs w:val="20"/>
          <w:color w:val="auto"/>
        </w:rPr>
      </w:pPr>
      <w:r>
        <w:rPr>
          <w:rFonts w:ascii="Arial" w:cs="Arial" w:eastAsia="Arial" w:hAnsi="Arial"/>
          <w:sz w:val="16"/>
          <w:szCs w:val="16"/>
          <w:color w:val="auto"/>
        </w:rPr>
        <w:t>We do not own or operate any manufacturing facilities. Instead, we arrange with third-party vendors for the manufacturing of our merchandise. We have built strong, long-term relationships with our vendors. In fiscal 2021, 53% of our purchases came from our largest supplier, an agent partner in Hong Kong who manages multiple factories across Asia, including Cambodia, China, Indonesia and Vietnam. We believe sourcing inventory through these agents allows us to leverage the agents’ purchasing power with multiple factories, as well as transportation and logistics capabilities, allowing our internal team to focus on our core competencies of product development, storytelling and serving customers, rather than factory and mill management or logistics.</w:t>
      </w:r>
    </w:p>
    <w:p>
      <w:pPr>
        <w:spacing w:after="0" w:line="134" w:lineRule="exact"/>
        <w:rPr>
          <w:sz w:val="20"/>
          <w:szCs w:val="20"/>
          <w:color w:val="auto"/>
        </w:rPr>
      </w:pPr>
    </w:p>
    <w:p>
      <w:pPr>
        <w:ind w:right="40" w:firstLine="440"/>
        <w:spacing w:after="0" w:line="261" w:lineRule="auto"/>
        <w:rPr>
          <w:sz w:val="20"/>
          <w:szCs w:val="20"/>
          <w:color w:val="auto"/>
        </w:rPr>
      </w:pPr>
      <w:r>
        <w:rPr>
          <w:rFonts w:ascii="Arial" w:cs="Arial" w:eastAsia="Arial" w:hAnsi="Arial"/>
          <w:sz w:val="16"/>
          <w:szCs w:val="16"/>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agent partners. All of our products are produced according to our specifications, and we require all of our manufacturers to adhere to strict regulatory compliance and standards of conduct. We seek to ensure the consistent quality by employing Duluth Trading-certified factory auditors to selectively examine pre-production samples, conduct periodic site visits to certain of our vendors’ production facilities and inspect inbound shipments at our distribution centers.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162"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We operate distribution centers located in Belleville, Wisconsin, Dubuque, Iowa and Salt Lake City, Utah. The approximate square footage of each facility is included in Item 2 of Part I of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62" w:lineRule="exact"/>
        <w:rPr>
          <w:sz w:val="20"/>
          <w:szCs w:val="20"/>
          <w:color w:val="auto"/>
        </w:rPr>
      </w:pPr>
    </w:p>
    <w:p>
      <w:pPr>
        <w:jc w:val="both"/>
        <w:ind w:right="20" w:firstLine="440"/>
        <w:spacing w:after="0" w:line="235" w:lineRule="auto"/>
        <w:rPr>
          <w:sz w:val="20"/>
          <w:szCs w:val="20"/>
          <w:color w:val="auto"/>
        </w:rPr>
      </w:pPr>
      <w:r>
        <w:rPr>
          <w:rFonts w:ascii="Arial" w:cs="Arial" w:eastAsia="Arial" w:hAnsi="Arial"/>
          <w:sz w:val="18"/>
          <w:szCs w:val="18"/>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40" w:firstLine="440"/>
        <w:spacing w:after="0" w:line="228" w:lineRule="auto"/>
        <w:rPr>
          <w:sz w:val="20"/>
          <w:szCs w:val="20"/>
          <w:color w:val="auto"/>
        </w:rPr>
      </w:pPr>
      <w:r>
        <w:rPr>
          <w:rFonts w:ascii="Arial" w:cs="Arial" w:eastAsia="Arial" w:hAnsi="Arial"/>
          <w:sz w:val="18"/>
          <w:szCs w:val="18"/>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right="120" w:firstLine="440"/>
        <w:spacing w:after="0" w:line="225" w:lineRule="auto"/>
        <w:rPr>
          <w:sz w:val="20"/>
          <w:szCs w:val="20"/>
          <w:color w:val="auto"/>
        </w:rPr>
      </w:pPr>
      <w:r>
        <w:rPr>
          <w:rFonts w:ascii="Arial" w:cs="Arial" w:eastAsia="Arial" w:hAnsi="Arial"/>
          <w:sz w:val="18"/>
          <w:szCs w:val="18"/>
          <w:color w:val="auto"/>
        </w:rPr>
        <w:t>Our trademarks are important to our marketing efforts. We own or have the rights to use certain trademarks, service marks and trade names that are registered with the U.S. Patent and Trademark Office, trademark offices in other jurisdictions, or exist under common law in the United States and other jurisdictions. The “Duluth Trading Co” trade name and trademark is used both in the United States and internationally and is material to our business. Trademarks that are important in identifying</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and distinguishing our products and services are Alaskan Hardgear</w:t>
      </w:r>
      <w:r>
        <w:rPr>
          <w:rFonts w:ascii="Arial" w:cs="Arial" w:eastAsia="Arial" w:hAnsi="Arial"/>
          <w:sz w:val="22"/>
          <w:szCs w:val="22"/>
          <w:color w:val="auto"/>
          <w:vertAlign w:val="superscript"/>
        </w:rPr>
        <w:t>®</w:t>
      </w:r>
      <w:r>
        <w:rPr>
          <w:rFonts w:ascii="Arial" w:cs="Arial" w:eastAsia="Arial" w:hAnsi="Arial"/>
          <w:sz w:val="16"/>
          <w:szCs w:val="16"/>
          <w:color w:val="auto"/>
        </w:rPr>
        <w:t>, Armachillo</w:t>
      </w:r>
      <w:r>
        <w:rPr>
          <w:rFonts w:ascii="Arial" w:cs="Arial" w:eastAsia="Arial" w:hAnsi="Arial"/>
          <w:sz w:val="22"/>
          <w:szCs w:val="22"/>
          <w:color w:val="auto"/>
          <w:vertAlign w:val="superscript"/>
        </w:rPr>
        <w:t>®</w:t>
      </w:r>
      <w:r>
        <w:rPr>
          <w:rFonts w:ascii="Arial" w:cs="Arial" w:eastAsia="Arial" w:hAnsi="Arial"/>
          <w:sz w:val="16"/>
          <w:szCs w:val="16"/>
          <w:color w:val="auto"/>
        </w:rPr>
        <w:t>, Ballroom</w:t>
      </w:r>
      <w:r>
        <w:rPr>
          <w:rFonts w:ascii="Arial" w:cs="Arial" w:eastAsia="Arial" w:hAnsi="Arial"/>
          <w:sz w:val="22"/>
          <w:szCs w:val="22"/>
          <w:color w:val="auto"/>
          <w:vertAlign w:val="superscript"/>
        </w:rPr>
        <w:t>®</w:t>
      </w:r>
      <w:r>
        <w:rPr>
          <w:rFonts w:ascii="Arial" w:cs="Arial" w:eastAsia="Arial" w:hAnsi="Arial"/>
          <w:sz w:val="16"/>
          <w:szCs w:val="16"/>
          <w:color w:val="auto"/>
        </w:rPr>
        <w:t>, Cab Commander</w:t>
      </w:r>
      <w:r>
        <w:rPr>
          <w:rFonts w:ascii="Arial" w:cs="Arial" w:eastAsia="Arial" w:hAnsi="Arial"/>
          <w:sz w:val="22"/>
          <w:szCs w:val="22"/>
          <w:color w:val="auto"/>
          <w:vertAlign w:val="superscript"/>
        </w:rPr>
        <w:t>®</w:t>
      </w:r>
      <w:r>
        <w:rPr>
          <w:rFonts w:ascii="Arial" w:cs="Arial" w:eastAsia="Arial" w:hAnsi="Arial"/>
          <w:sz w:val="16"/>
          <w:szCs w:val="16"/>
          <w:color w:val="auto"/>
        </w:rPr>
        <w:t>, Crouch Gusset</w:t>
      </w:r>
      <w:r>
        <w:rPr>
          <w:rFonts w:ascii="Arial" w:cs="Arial" w:eastAsia="Arial" w:hAnsi="Arial"/>
          <w:sz w:val="22"/>
          <w:szCs w:val="22"/>
          <w:color w:val="auto"/>
          <w:vertAlign w:val="superscript"/>
        </w:rPr>
        <w:t>®</w:t>
      </w:r>
      <w:r>
        <w:rPr>
          <w:rFonts w:ascii="Arial" w:cs="Arial" w:eastAsia="Arial" w:hAnsi="Arial"/>
          <w:sz w:val="16"/>
          <w:szCs w:val="16"/>
          <w:color w:val="auto"/>
        </w:rPr>
        <w:t>, Dry on the Fly</w:t>
      </w:r>
      <w:r>
        <w:rPr>
          <w:rFonts w:ascii="Arial" w:cs="Arial" w:eastAsia="Arial" w:hAnsi="Arial"/>
          <w:sz w:val="22"/>
          <w:szCs w:val="22"/>
          <w:color w:val="auto"/>
          <w:vertAlign w:val="superscript"/>
        </w:rPr>
        <w:t>®</w:t>
      </w:r>
      <w:r>
        <w:rPr>
          <w:rFonts w:ascii="Arial" w:cs="Arial" w:eastAsia="Arial" w:hAnsi="Arial"/>
          <w:sz w:val="16"/>
          <w:szCs w:val="16"/>
          <w:color w:val="auto"/>
        </w:rPr>
        <w:t>,</w:t>
      </w:r>
    </w:p>
    <w:p>
      <w:pPr>
        <w:ind w:right="20"/>
        <w:spacing w:after="0" w:line="199" w:lineRule="auto"/>
        <w:rPr>
          <w:sz w:val="20"/>
          <w:szCs w:val="20"/>
          <w:color w:val="auto"/>
        </w:rPr>
      </w:pPr>
      <w:r>
        <w:rPr>
          <w:rFonts w:ascii="Arial" w:cs="Arial" w:eastAsia="Arial" w:hAnsi="Arial"/>
          <w:sz w:val="18"/>
          <w:szCs w:val="18"/>
          <w:color w:val="auto"/>
        </w:rPr>
        <w:t>Duluth Trading Co</w:t>
      </w:r>
      <w:r>
        <w:rPr>
          <w:rFonts w:ascii="Arial" w:cs="Arial" w:eastAsia="Arial" w:hAnsi="Arial"/>
          <w:sz w:val="25"/>
          <w:szCs w:val="25"/>
          <w:color w:val="auto"/>
          <w:vertAlign w:val="superscript"/>
        </w:rPr>
        <w:t>®</w:t>
      </w:r>
      <w:r>
        <w:rPr>
          <w:rFonts w:ascii="Arial" w:cs="Arial" w:eastAsia="Arial" w:hAnsi="Arial"/>
          <w:sz w:val="18"/>
          <w:szCs w:val="18"/>
          <w:color w:val="auto"/>
        </w:rPr>
        <w:t>, Duluthflex</w:t>
      </w:r>
      <w:r>
        <w:rPr>
          <w:rFonts w:ascii="Arial" w:cs="Arial" w:eastAsia="Arial" w:hAnsi="Arial"/>
          <w:sz w:val="25"/>
          <w:szCs w:val="25"/>
          <w:color w:val="auto"/>
          <w:vertAlign w:val="superscript"/>
        </w:rPr>
        <w:t>®</w:t>
      </w:r>
      <w:r>
        <w:rPr>
          <w:rFonts w:ascii="Arial" w:cs="Arial" w:eastAsia="Arial" w:hAnsi="Arial"/>
          <w:sz w:val="18"/>
          <w:szCs w:val="18"/>
          <w:color w:val="auto"/>
        </w:rPr>
        <w:t>, Fire Hose</w:t>
      </w:r>
      <w:r>
        <w:rPr>
          <w:rFonts w:ascii="Arial" w:cs="Arial" w:eastAsia="Arial" w:hAnsi="Arial"/>
          <w:sz w:val="25"/>
          <w:szCs w:val="25"/>
          <w:color w:val="auto"/>
          <w:vertAlign w:val="superscript"/>
        </w:rPr>
        <w:t>®</w:t>
      </w:r>
      <w:r>
        <w:rPr>
          <w:rFonts w:ascii="Arial" w:cs="Arial" w:eastAsia="Arial" w:hAnsi="Arial"/>
          <w:sz w:val="18"/>
          <w:szCs w:val="18"/>
          <w:color w:val="auto"/>
        </w:rPr>
        <w:t>, Longtail T</w:t>
      </w:r>
      <w:r>
        <w:rPr>
          <w:rFonts w:ascii="Arial" w:cs="Arial" w:eastAsia="Arial" w:hAnsi="Arial"/>
          <w:sz w:val="25"/>
          <w:szCs w:val="25"/>
          <w:color w:val="auto"/>
          <w:vertAlign w:val="superscript"/>
        </w:rPr>
        <w:t>®</w:t>
      </w:r>
      <w:r>
        <w:rPr>
          <w:rFonts w:ascii="Arial" w:cs="Arial" w:eastAsia="Arial" w:hAnsi="Arial"/>
          <w:sz w:val="18"/>
          <w:szCs w:val="18"/>
          <w:color w:val="auto"/>
        </w:rPr>
        <w:t>, No Polo Shirt</w:t>
      </w:r>
      <w:r>
        <w:rPr>
          <w:rFonts w:ascii="Arial" w:cs="Arial" w:eastAsia="Arial" w:hAnsi="Arial"/>
          <w:sz w:val="25"/>
          <w:szCs w:val="25"/>
          <w:color w:val="auto"/>
          <w:vertAlign w:val="superscript"/>
        </w:rPr>
        <w:t>®</w:t>
      </w:r>
      <w:r>
        <w:rPr>
          <w:rFonts w:ascii="Arial" w:cs="Arial" w:eastAsia="Arial" w:hAnsi="Arial"/>
          <w:sz w:val="18"/>
          <w:szCs w:val="18"/>
          <w:color w:val="auto"/>
        </w:rPr>
        <w:t>, No Yank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Wild Boar Mocs</w:t>
      </w:r>
      <w:r>
        <w:rPr>
          <w:rFonts w:ascii="Arial" w:cs="Arial" w:eastAsia="Arial" w:hAnsi="Arial"/>
          <w:sz w:val="25"/>
          <w:szCs w:val="25"/>
          <w:color w:val="auto"/>
          <w:vertAlign w:val="superscript"/>
        </w:rPr>
        <w:t>®</w:t>
      </w:r>
      <w:r>
        <w:rPr>
          <w:rFonts w:ascii="Arial" w:cs="Arial" w:eastAsia="Arial" w:hAnsi="Arial"/>
          <w:sz w:val="18"/>
          <w:szCs w:val="18"/>
          <w:color w:val="auto"/>
        </w:rPr>
        <w:t>. Our rights to some of these trademarks may be limited to select markets. We also own domain names, including “duluthtrading.com.”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firstLine="440"/>
        <w:spacing w:after="0" w:line="253" w:lineRule="auto"/>
        <w:rPr>
          <w:sz w:val="20"/>
          <w:szCs w:val="20"/>
          <w:color w:val="auto"/>
        </w:rPr>
      </w:pPr>
      <w:r>
        <w:rPr>
          <w:rFonts w:ascii="Arial" w:cs="Arial" w:eastAsia="Arial" w:hAnsi="Arial"/>
          <w:sz w:val="17"/>
          <w:szCs w:val="17"/>
          <w:color w:val="auto"/>
        </w:rPr>
        <w:t>As of January 30, 2022, we employed 1,106 full-time and 1,905 part-time and flexible part-time employees, 1,636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340" w:firstLine="440"/>
        <w:spacing w:after="0" w:line="274" w:lineRule="auto"/>
        <w:rPr>
          <w:sz w:val="20"/>
          <w:szCs w:val="20"/>
          <w:color w:val="auto"/>
        </w:rPr>
      </w:pPr>
      <w:r>
        <w:rPr>
          <w:rFonts w:ascii="Arial" w:cs="Arial" w:eastAsia="Arial" w:hAnsi="Arial"/>
          <w:sz w:val="17"/>
          <w:szCs w:val="17"/>
          <w:color w:val="auto"/>
        </w:rPr>
        <w:t>Our business experiences seasonal fluctuations. Our net sales and net income are generally highest in the fourth fiscal quarter, which includes the holiday sales period. The following table presents net sales and net income for the fourth quarter as a percentage of the fiscal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6"/>
              </w:rPr>
              <w:t>4Q</w:t>
            </w:r>
          </w:p>
        </w:tc>
        <w:tc>
          <w:tcPr>
            <w:tcW w:w="2040" w:type="dxa"/>
            <w:vAlign w:val="bottom"/>
          </w:tcPr>
          <w:p>
            <w:pPr>
              <w:jc w:val="right"/>
              <w:ind w:right="539"/>
              <w:spacing w:after="0"/>
              <w:rPr>
                <w:sz w:val="20"/>
                <w:szCs w:val="20"/>
                <w:color w:val="auto"/>
              </w:rPr>
            </w:pPr>
            <w:r>
              <w:rPr>
                <w:rFonts w:ascii="Arial" w:cs="Arial" w:eastAsia="Arial" w:hAnsi="Arial"/>
                <w:sz w:val="14"/>
                <w:szCs w:val="14"/>
                <w:b w:val="1"/>
                <w:bCs w:val="1"/>
                <w:color w:val="auto"/>
              </w:rPr>
              <w:t>4Q Net Sales</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4Q</w:t>
            </w:r>
          </w:p>
        </w:tc>
        <w:tc>
          <w:tcPr>
            <w:tcW w:w="2200" w:type="dxa"/>
            <w:vAlign w:val="bottom"/>
          </w:tcPr>
          <w:p>
            <w:pPr>
              <w:jc w:val="right"/>
              <w:ind w:right="559"/>
              <w:spacing w:after="0"/>
              <w:rPr>
                <w:sz w:val="20"/>
                <w:szCs w:val="20"/>
                <w:color w:val="auto"/>
              </w:rPr>
            </w:pPr>
            <w:r>
              <w:rPr>
                <w:rFonts w:ascii="Arial" w:cs="Arial" w:eastAsia="Arial" w:hAnsi="Arial"/>
                <w:sz w:val="14"/>
                <w:szCs w:val="14"/>
                <w:b w:val="1"/>
                <w:bCs w:val="1"/>
                <w:color w:val="auto"/>
              </w:rPr>
              <w:t>4Q Net Income</w:t>
            </w:r>
          </w:p>
        </w:tc>
      </w:tr>
      <w:tr>
        <w:trPr>
          <w:trHeight w:val="188"/>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Net Sales</w:t>
            </w:r>
          </w:p>
        </w:tc>
        <w:tc>
          <w:tcPr>
            <w:tcW w:w="2040" w:type="dxa"/>
            <w:vAlign w:val="bottom"/>
          </w:tcPr>
          <w:p>
            <w:pPr>
              <w:jc w:val="right"/>
              <w:ind w:right="439"/>
              <w:spacing w:after="0"/>
              <w:rPr>
                <w:sz w:val="20"/>
                <w:szCs w:val="20"/>
                <w:color w:val="auto"/>
              </w:rPr>
            </w:pPr>
            <w:r>
              <w:rPr>
                <w:rFonts w:ascii="Arial" w:cs="Arial" w:eastAsia="Arial" w:hAnsi="Arial"/>
                <w:sz w:val="14"/>
                <w:szCs w:val="14"/>
                <w:b w:val="1"/>
                <w:bCs w:val="1"/>
                <w:color w:val="auto"/>
              </w:rPr>
              <w:t>% of Fiscal year</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Net Income</w:t>
            </w:r>
          </w:p>
        </w:tc>
        <w:tc>
          <w:tcPr>
            <w:tcW w:w="2200" w:type="dxa"/>
            <w:vAlign w:val="bottom"/>
          </w:tcPr>
          <w:p>
            <w:pPr>
              <w:jc w:val="right"/>
              <w:ind w:right="519"/>
              <w:spacing w:after="0"/>
              <w:rPr>
                <w:sz w:val="20"/>
                <w:szCs w:val="20"/>
                <w:color w:val="auto"/>
              </w:rPr>
            </w:pPr>
            <w:r>
              <w:rPr>
                <w:rFonts w:ascii="Arial" w:cs="Arial" w:eastAsia="Arial" w:hAnsi="Arial"/>
                <w:sz w:val="14"/>
                <w:szCs w:val="14"/>
                <w:b w:val="1"/>
                <w:bCs w:val="1"/>
                <w:color w:val="auto"/>
              </w:rPr>
              <w:t>% of Fiscal Year</w:t>
            </w:r>
          </w:p>
        </w:tc>
      </w:tr>
      <w:tr>
        <w:trPr>
          <w:trHeight w:val="168"/>
        </w:trPr>
        <w:tc>
          <w:tcPr>
            <w:tcW w:w="19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r>
      <w:tr>
        <w:trPr>
          <w:trHeight w:val="203"/>
        </w:trPr>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89"/>
              </w:rPr>
              <w:t>2021</w:t>
            </w: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270,761</w:t>
            </w:r>
          </w:p>
        </w:tc>
        <w:tc>
          <w:tcPr>
            <w:tcW w:w="400" w:type="dxa"/>
            <w:vAlign w:val="bottom"/>
          </w:tcPr>
          <w:p>
            <w:pPr>
              <w:spacing w:after="0"/>
              <w:rPr>
                <w:sz w:val="17"/>
                <w:szCs w:val="17"/>
                <w:color w:val="auto"/>
              </w:rPr>
            </w:pPr>
          </w:p>
        </w:tc>
        <w:tc>
          <w:tcPr>
            <w:tcW w:w="204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38.8 %</w:t>
            </w: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17,359</w:t>
            </w:r>
          </w:p>
        </w:tc>
        <w:tc>
          <w:tcPr>
            <w:tcW w:w="400" w:type="dxa"/>
            <w:vAlign w:val="bottom"/>
          </w:tcPr>
          <w:p>
            <w:pPr>
              <w:spacing w:after="0"/>
              <w:rPr>
                <w:sz w:val="17"/>
                <w:szCs w:val="17"/>
                <w:color w:val="auto"/>
              </w:rPr>
            </w:pPr>
          </w:p>
        </w:tc>
        <w:tc>
          <w:tcPr>
            <w:tcW w:w="220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58.4 %</w:t>
            </w:r>
          </w:p>
        </w:tc>
      </w:tr>
      <w:tr>
        <w:trPr>
          <w:trHeight w:val="230"/>
        </w:trPr>
        <w:tc>
          <w:tcPr>
            <w:tcW w:w="1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255,960</w:t>
            </w:r>
          </w:p>
        </w:tc>
        <w:tc>
          <w:tcPr>
            <w:tcW w:w="400" w:type="dxa"/>
            <w:vAlign w:val="bottom"/>
          </w:tcPr>
          <w:p>
            <w:pPr>
              <w:spacing w:after="0"/>
              <w:rPr>
                <w:sz w:val="20"/>
                <w:szCs w:val="20"/>
                <w:color w:val="auto"/>
              </w:rPr>
            </w:pPr>
          </w:p>
        </w:tc>
        <w:tc>
          <w:tcPr>
            <w:tcW w:w="2040" w:type="dxa"/>
            <w:vAlign w:val="bottom"/>
          </w:tcPr>
          <w:p>
            <w:pPr>
              <w:jc w:val="right"/>
              <w:ind w:right="199"/>
              <w:spacing w:after="0"/>
              <w:rPr>
                <w:sz w:val="20"/>
                <w:szCs w:val="20"/>
                <w:color w:val="auto"/>
              </w:rPr>
            </w:pPr>
            <w:r>
              <w:rPr>
                <w:rFonts w:ascii="Arial" w:cs="Arial" w:eastAsia="Arial" w:hAnsi="Arial"/>
                <w:sz w:val="18"/>
                <w:szCs w:val="18"/>
                <w:color w:val="auto"/>
              </w:rPr>
              <w:t>40.1 %</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21,831</w:t>
            </w:r>
          </w:p>
        </w:tc>
        <w:tc>
          <w:tcPr>
            <w:tcW w:w="400" w:type="dxa"/>
            <w:vAlign w:val="bottom"/>
          </w:tcPr>
          <w:p>
            <w:pPr>
              <w:spacing w:after="0"/>
              <w:rPr>
                <w:sz w:val="20"/>
                <w:szCs w:val="20"/>
                <w:color w:val="auto"/>
              </w:rPr>
            </w:pPr>
          </w:p>
        </w:tc>
        <w:tc>
          <w:tcPr>
            <w:tcW w:w="2200" w:type="dxa"/>
            <w:vAlign w:val="bottom"/>
          </w:tcPr>
          <w:p>
            <w:pPr>
              <w:jc w:val="right"/>
              <w:ind w:right="199"/>
              <w:spacing w:after="0"/>
              <w:rPr>
                <w:sz w:val="20"/>
                <w:szCs w:val="20"/>
                <w:color w:val="auto"/>
              </w:rPr>
            </w:pPr>
            <w:r>
              <w:rPr>
                <w:rFonts w:ascii="Arial" w:cs="Arial" w:eastAsia="Arial" w:hAnsi="Arial"/>
                <w:sz w:val="18"/>
                <w:szCs w:val="18"/>
                <w:color w:val="auto"/>
              </w:rPr>
              <w:t>160.8 %</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Legislation</w:t>
      </w:r>
    </w:p>
    <w:p>
      <w:pPr>
        <w:spacing w:after="0" w:line="162" w:lineRule="exact"/>
        <w:rPr>
          <w:sz w:val="20"/>
          <w:szCs w:val="20"/>
          <w:color w:val="auto"/>
        </w:rPr>
      </w:pPr>
    </w:p>
    <w:p>
      <w:pPr>
        <w:jc w:val="both"/>
        <w:ind w:right="160" w:firstLine="440"/>
        <w:spacing w:after="0" w:line="235" w:lineRule="auto"/>
        <w:rPr>
          <w:sz w:val="20"/>
          <w:szCs w:val="20"/>
          <w:color w:val="auto"/>
        </w:rPr>
      </w:pPr>
      <w:r>
        <w:rPr>
          <w:rFonts w:ascii="Arial" w:cs="Arial" w:eastAsia="Arial" w:hAnsi="Arial"/>
          <w:sz w:val="18"/>
          <w:szCs w:val="18"/>
          <w:color w:val="auto"/>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ind w:right="260" w:firstLine="440"/>
        <w:spacing w:after="0" w:line="276"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under the “Investors” tab as soon as reasonably practicable after such reports are filed with, or furnished to the SEC.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ind w:right="120" w:firstLine="492"/>
        <w:spacing w:after="0" w:line="225" w:lineRule="auto"/>
        <w:rPr>
          <w:sz w:val="20"/>
          <w:szCs w:val="20"/>
          <w:color w:val="auto"/>
        </w:rPr>
      </w:pPr>
      <w:r>
        <w:rPr>
          <w:rFonts w:ascii="Arial" w:cs="Arial" w:eastAsia="Arial" w:hAnsi="Arial"/>
          <w:sz w:val="18"/>
          <w:szCs w:val="18"/>
          <w:color w:val="auto"/>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 The Company has focused on protecting the health and safety of our employees, customers and suppliers, working with our customers, landlords, suppliers and vendors to minimize potential disruptions and supporting our community, while managing our business in these unprecedented times. All retail stores were temporarily closed beginning March 20, 2020 and began re-opening the first week of May through the third week of June. All of our retail stores are open, but prolonged COVID-19 safety concerns has continued to impact store traffic.</w:t>
      </w:r>
    </w:p>
    <w:p>
      <w:pPr>
        <w:spacing w:after="0" w:line="140" w:lineRule="exact"/>
        <w:rPr>
          <w:sz w:val="20"/>
          <w:szCs w:val="20"/>
          <w:color w:val="auto"/>
        </w:rPr>
      </w:pPr>
    </w:p>
    <w:p>
      <w:pPr>
        <w:ind w:right="200" w:firstLine="492"/>
        <w:spacing w:after="0" w:line="231" w:lineRule="auto"/>
        <w:rPr>
          <w:sz w:val="20"/>
          <w:szCs w:val="20"/>
          <w:color w:val="auto"/>
        </w:rPr>
      </w:pPr>
      <w:r>
        <w:rPr>
          <w:rFonts w:ascii="Arial" w:cs="Arial" w:eastAsia="Arial" w:hAnsi="Arial"/>
          <w:sz w:val="18"/>
          <w:szCs w:val="18"/>
          <w:color w:val="auto"/>
        </w:rPr>
        <w:t>The ultimate impact of COVID-19 on our operational and financial performance still depends on future developments outside of our control, including the duration and spread of the pandemic and related actions taken by federal, state and local government officials, international governments to prevent disease spread, and the availability, safety and efficiency of a vaccine. We continue to actively evaluate all federal, state and local regulations to ensure compliance with store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200" w:lineRule="exact"/>
        <w:rPr>
          <w:sz w:val="20"/>
          <w:szCs w:val="20"/>
          <w:color w:val="auto"/>
        </w:rPr>
      </w:pPr>
    </w:p>
    <w:p>
      <w:pPr>
        <w:spacing w:after="0" w:line="214" w:lineRule="exact"/>
        <w:rPr>
          <w:sz w:val="20"/>
          <w:szCs w:val="20"/>
          <w:color w:val="auto"/>
        </w:rPr>
      </w:pPr>
    </w:p>
    <w:p>
      <w:pPr>
        <w:ind w:right="40" w:firstLine="440"/>
        <w:spacing w:after="0"/>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fail to offer products that customers want to purchase, our business and results of operations could be adversely affected.</w:t>
      </w:r>
    </w:p>
    <w:p>
      <w:pPr>
        <w:spacing w:after="0" w:line="158" w:lineRule="exact"/>
        <w:rPr>
          <w:sz w:val="20"/>
          <w:szCs w:val="20"/>
          <w:color w:val="auto"/>
        </w:rPr>
      </w:pPr>
    </w:p>
    <w:p>
      <w:pPr>
        <w:jc w:val="both"/>
        <w:ind w:right="160" w:firstLine="440"/>
        <w:spacing w:after="0" w:line="253" w:lineRule="auto"/>
        <w:rPr>
          <w:sz w:val="20"/>
          <w:szCs w:val="20"/>
          <w:color w:val="auto"/>
        </w:rPr>
      </w:pPr>
      <w:r>
        <w:rPr>
          <w:rFonts w:ascii="Arial" w:cs="Arial" w:eastAsia="Arial" w:hAnsi="Arial"/>
          <w:sz w:val="17"/>
          <w:szCs w:val="17"/>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24"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could affect our ability to accurately forecast consumer demand for our products include:</w:t>
      </w:r>
    </w:p>
    <w:p>
      <w:pPr>
        <w:spacing w:after="0" w:line="90" w:lineRule="exact"/>
        <w:rPr>
          <w:sz w:val="20"/>
          <w:szCs w:val="20"/>
          <w:color w:val="auto"/>
        </w:rPr>
      </w:pPr>
    </w:p>
    <w:p>
      <w:pPr>
        <w:ind w:left="880" w:right="360"/>
        <w:spacing w:after="0" w:line="261" w:lineRule="auto"/>
        <w:rPr>
          <w:sz w:val="20"/>
          <w:szCs w:val="20"/>
          <w:color w:val="auto"/>
        </w:rPr>
      </w:pPr>
      <w:r>
        <w:rPr>
          <w:rFonts w:ascii="Arial" w:cs="Arial" w:eastAsia="Arial" w:hAnsi="Arial"/>
          <w:sz w:val="18"/>
          <w:szCs w:val="18"/>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49" w:lineRule="exact"/>
        <w:rPr>
          <w:sz w:val="20"/>
          <w:szCs w:val="20"/>
          <w:color w:val="auto"/>
        </w:rPr>
      </w:pPr>
    </w:p>
    <w:p>
      <w:pPr>
        <w:ind w:left="880" w:right="500"/>
        <w:spacing w:after="0" w:line="261" w:lineRule="auto"/>
        <w:rPr>
          <w:sz w:val="20"/>
          <w:szCs w:val="20"/>
          <w:color w:val="auto"/>
        </w:rPr>
      </w:pPr>
      <w:r>
        <w:rPr>
          <w:rFonts w:ascii="Arial" w:cs="Arial" w:eastAsia="Arial" w:hAnsi="Arial"/>
          <w:sz w:val="18"/>
          <w:szCs w:val="18"/>
          <w:color w:val="auto"/>
        </w:rPr>
        <w:t>customer unwillingness to attribute premium value to our new products or product features we design relative to the commonly available apparel and gear they were intended to replace;</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well-received product introductions by competitors;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weak economic conditions or consumer confidence, which reduce demand for our products; and</w:t>
      </w:r>
    </w:p>
    <w:p>
      <w:pPr>
        <w:spacing w:after="0" w:line="104" w:lineRule="exact"/>
        <w:rPr>
          <w:sz w:val="20"/>
          <w:szCs w:val="20"/>
          <w:color w:val="auto"/>
        </w:rPr>
      </w:pPr>
    </w:p>
    <w:p>
      <w:pPr>
        <w:ind w:left="880" w:right="800"/>
        <w:spacing w:after="0" w:line="261" w:lineRule="auto"/>
        <w:rPr>
          <w:sz w:val="20"/>
          <w:szCs w:val="20"/>
          <w:color w:val="auto"/>
        </w:rPr>
      </w:pPr>
      <w:r>
        <w:rPr>
          <w:rFonts w:ascii="Arial" w:cs="Arial" w:eastAsia="Arial" w:hAnsi="Arial"/>
          <w:sz w:val="18"/>
          <w:szCs w:val="18"/>
          <w:color w:val="auto"/>
        </w:rPr>
        <w:t>terrorism, civil unrest or acts of war, or the threat thereof, which adversely affect consumer confidence and spending and/or interrupt production and distribution of products and raw materials.</w:t>
      </w:r>
    </w:p>
    <w:p>
      <w:pPr>
        <w:spacing w:after="0" w:line="117" w:lineRule="exact"/>
        <w:rPr>
          <w:sz w:val="20"/>
          <w:szCs w:val="20"/>
          <w:color w:val="auto"/>
        </w:rPr>
      </w:pPr>
    </w:p>
    <w:p>
      <w:pPr>
        <w:ind w:right="240" w:firstLine="440"/>
        <w:spacing w:after="0" w:line="307" w:lineRule="auto"/>
        <w:rPr>
          <w:sz w:val="20"/>
          <w:szCs w:val="20"/>
          <w:color w:val="auto"/>
        </w:rPr>
      </w:pPr>
      <w:r>
        <w:rPr>
          <w:rFonts w:ascii="Arial" w:cs="Arial" w:eastAsia="Arial" w:hAnsi="Arial"/>
          <w:sz w:val="16"/>
          <w:szCs w:val="16"/>
          <w:color w:val="auto"/>
        </w:rPr>
        <w:t>There can be no assurance that we will be able to successfully anticipate or identify our customers’ needs and preferences and design products and product features in response. These risks could have a material adverse effect on our brand as well as our results of operations and financial condition.</w:t>
      </w:r>
    </w:p>
    <w:p>
      <w:pPr>
        <w:spacing w:after="0" w:line="83" w:lineRule="exact"/>
        <w:rPr>
          <w:sz w:val="20"/>
          <w:szCs w:val="20"/>
          <w:color w:val="auto"/>
        </w:rPr>
      </w:pPr>
    </w:p>
    <w:p>
      <w:pPr>
        <w:ind w:right="200" w:firstLine="259"/>
        <w:spacing w:after="0" w:line="235" w:lineRule="auto"/>
        <w:rPr>
          <w:sz w:val="20"/>
          <w:szCs w:val="20"/>
          <w:color w:val="auto"/>
        </w:rPr>
      </w:pPr>
      <w:r>
        <w:rPr>
          <w:rFonts w:ascii="Arial" w:cs="Arial" w:eastAsia="Arial" w:hAnsi="Arial"/>
          <w:sz w:val="18"/>
          <w:szCs w:val="18"/>
          <w:b w:val="1"/>
          <w:bCs w:val="1"/>
          <w:i w:val="1"/>
          <w:iCs w:val="1"/>
          <w:color w:val="auto"/>
        </w:rPr>
        <w:t>Our business depends on our ability to maintain strong brands. We may not be able to maintain and enhance the Duluth Trading brands if we receive unfavorable complaints, negative publicity or otherwise fail to live up to consumers’ expectations, which could materially adversely affect our business, results of operations and growth prospects.</w:t>
      </w:r>
    </w:p>
    <w:p>
      <w:pPr>
        <w:spacing w:after="0" w:line="148" w:lineRule="exact"/>
        <w:rPr>
          <w:sz w:val="20"/>
          <w:szCs w:val="20"/>
          <w:color w:val="auto"/>
        </w:rPr>
      </w:pPr>
    </w:p>
    <w:p>
      <w:pPr>
        <w:ind w:right="40" w:firstLine="440"/>
        <w:spacing w:after="0"/>
        <w:rPr>
          <w:sz w:val="20"/>
          <w:szCs w:val="20"/>
          <w:color w:val="auto"/>
        </w:rPr>
      </w:pPr>
      <w:r>
        <w:rPr>
          <w:rFonts w:ascii="Arial" w:cs="Arial" w:eastAsia="Arial" w:hAnsi="Arial"/>
          <w:sz w:val="17"/>
          <w:szCs w:val="17"/>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37" w:lineRule="exact"/>
        <w:rPr>
          <w:sz w:val="20"/>
          <w:szCs w:val="20"/>
          <w:color w:val="auto"/>
        </w:rPr>
      </w:pPr>
    </w:p>
    <w:p>
      <w:pPr>
        <w:ind w:right="20" w:firstLine="440"/>
        <w:spacing w:after="0" w:line="224" w:lineRule="auto"/>
        <w:rPr>
          <w:sz w:val="20"/>
          <w:szCs w:val="20"/>
          <w:color w:val="auto"/>
        </w:rPr>
      </w:pPr>
      <w:r>
        <w:rPr>
          <w:rFonts w:ascii="Arial" w:cs="Arial" w:eastAsia="Arial" w:hAnsi="Arial"/>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w:t>
      </w: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feel a personal connection with the Duluth Trading brand, which could result in the loss of customers and materially adversely affect our business, results of operations and growth prospects.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face risks and new challenges associated with our geographic expansion.</w:t>
      </w:r>
    </w:p>
    <w:p>
      <w:pPr>
        <w:spacing w:after="0" w:line="158" w:lineRule="exact"/>
        <w:rPr>
          <w:sz w:val="20"/>
          <w:szCs w:val="20"/>
          <w:color w:val="auto"/>
        </w:rPr>
      </w:pPr>
    </w:p>
    <w:p>
      <w:pPr>
        <w:ind w:firstLine="440"/>
        <w:spacing w:after="0" w:line="224" w:lineRule="auto"/>
        <w:rPr>
          <w:sz w:val="20"/>
          <w:szCs w:val="20"/>
          <w:color w:val="auto"/>
        </w:rPr>
      </w:pPr>
      <w:r>
        <w:rPr>
          <w:rFonts w:ascii="Arial" w:cs="Arial" w:eastAsia="Arial" w:hAnsi="Arial"/>
          <w:sz w:val="18"/>
          <w:szCs w:val="18"/>
          <w:color w:val="auto"/>
        </w:rPr>
        <w:t>Our expansion into new geographic markets could result in increased competitive, merchandising, distribution and other challenges. We may encounter difficulties in attracting customers in our new retail store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38" w:lineRule="exact"/>
        <w:rPr>
          <w:sz w:val="20"/>
          <w:szCs w:val="20"/>
          <w:color w:val="auto"/>
        </w:rPr>
      </w:pPr>
    </w:p>
    <w:p>
      <w:pPr>
        <w:jc w:val="both"/>
        <w:ind w:right="200" w:firstLine="440"/>
        <w:spacing w:after="0" w:line="235" w:lineRule="auto"/>
        <w:rPr>
          <w:sz w:val="20"/>
          <w:szCs w:val="20"/>
          <w:color w:val="auto"/>
        </w:rPr>
      </w:pPr>
      <w:r>
        <w:rPr>
          <w:rFonts w:ascii="Arial" w:cs="Arial" w:eastAsia="Arial" w:hAnsi="Arial"/>
          <w:sz w:val="18"/>
          <w:szCs w:val="18"/>
          <w:color w:val="auto"/>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48" w:lineRule="exact"/>
        <w:rPr>
          <w:sz w:val="20"/>
          <w:szCs w:val="20"/>
          <w:color w:val="auto"/>
        </w:rPr>
      </w:pPr>
    </w:p>
    <w:p>
      <w:pPr>
        <w:ind w:right="160" w:firstLine="259"/>
        <w:spacing w:after="0" w:line="231" w:lineRule="auto"/>
        <w:rPr>
          <w:sz w:val="20"/>
          <w:szCs w:val="20"/>
          <w:color w:val="auto"/>
        </w:rPr>
      </w:pPr>
      <w:r>
        <w:rPr>
          <w:rFonts w:ascii="Arial" w:cs="Arial" w:eastAsia="Arial" w:hAnsi="Arial"/>
          <w:sz w:val="18"/>
          <w:szCs w:val="18"/>
          <w:b w:val="1"/>
          <w:bCs w:val="1"/>
          <w:i w:val="1"/>
          <w:iCs w:val="1"/>
          <w:color w:val="auto"/>
        </w:rPr>
        <w:t>The success of our direct-to-consumer channel depends on customers’ use of our digital platform, including our website, and response to catalogs and digital marketing; if our overall marketing strategies are not successful, including our maintenance of a robust customer list and ability to effectively customize our marketing efforts based on understanding customers preferences, our business and results of operations could be materially adversely affected.</w:t>
      </w:r>
    </w:p>
    <w:p>
      <w:pPr>
        <w:spacing w:after="0" w:line="135" w:lineRule="exact"/>
        <w:rPr>
          <w:sz w:val="20"/>
          <w:szCs w:val="20"/>
          <w:color w:val="auto"/>
        </w:rPr>
      </w:pPr>
    </w:p>
    <w:p>
      <w:pPr>
        <w:jc w:val="both"/>
        <w:ind w:right="140" w:firstLine="440"/>
        <w:spacing w:after="0" w:line="231" w:lineRule="auto"/>
        <w:rPr>
          <w:sz w:val="20"/>
          <w:szCs w:val="20"/>
          <w:color w:val="auto"/>
        </w:rPr>
      </w:pPr>
      <w:r>
        <w:rPr>
          <w:rFonts w:ascii="Arial" w:cs="Arial" w:eastAsia="Arial" w:hAnsi="Arial"/>
          <w:sz w:val="18"/>
          <w:szCs w:val="18"/>
          <w:color w:val="auto"/>
        </w:rPr>
        <w:t>The level of customer traffic and volume of customer purchases through our direct-to-consumer channel is substantially dependent on our ability to provide a content-rich and user-friendly website, widely distributed and informative catalogs,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spacing w:after="0" w:line="135"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Customer response to our digital marketing and catalogs is substantially dependent on merchandise assortment, merchandise availability and creative presentation, as well as the selection of customers to whom our digital marketing is directed and our catalogs are sent. Our maintenance of a robust customer list, which we believe includes desirable demographic characteristics for the products we offer, has also been a key component of our overall strategy. If the performance of our website, catalogs and email declines, or if our overall marketing strategy is not successful, our business, results of operations and stock price could be adversely affected.</w:t>
      </w:r>
    </w:p>
    <w:p>
      <w:pPr>
        <w:spacing w:after="0" w:line="151" w:lineRule="exact"/>
        <w:rPr>
          <w:sz w:val="20"/>
          <w:szCs w:val="20"/>
          <w:color w:val="auto"/>
        </w:rPr>
      </w:pPr>
    </w:p>
    <w:p>
      <w:pPr>
        <w:ind w:right="580" w:firstLine="259"/>
        <w:spacing w:after="0" w:line="246" w:lineRule="auto"/>
        <w:rPr>
          <w:sz w:val="20"/>
          <w:szCs w:val="20"/>
          <w:color w:val="auto"/>
        </w:rPr>
      </w:pPr>
      <w:r>
        <w:rPr>
          <w:rFonts w:ascii="Arial" w:cs="Arial" w:eastAsia="Arial" w:hAnsi="Arial"/>
          <w:sz w:val="18"/>
          <w:szCs w:val="18"/>
          <w:b w:val="1"/>
          <w:bCs w:val="1"/>
          <w:i w:val="1"/>
          <w:iCs w:val="1"/>
          <w:color w:val="auto"/>
        </w:rPr>
        <w:t>If we fail to acquire new customers, or fail to do so in a cost-effective manner, we may not be able to increase net revenue or profit per active customer.</w:t>
      </w:r>
    </w:p>
    <w:p>
      <w:pPr>
        <w:spacing w:after="0" w:line="129" w:lineRule="exact"/>
        <w:rPr>
          <w:sz w:val="20"/>
          <w:szCs w:val="20"/>
          <w:color w:val="auto"/>
        </w:rPr>
      </w:pPr>
    </w:p>
    <w:p>
      <w:pPr>
        <w:ind w:right="60" w:firstLine="440"/>
        <w:spacing w:after="0" w:line="242" w:lineRule="auto"/>
        <w:rPr>
          <w:sz w:val="20"/>
          <w:szCs w:val="20"/>
          <w:color w:val="auto"/>
        </w:rPr>
      </w:pPr>
      <w:r>
        <w:rPr>
          <w:rFonts w:ascii="Arial" w:cs="Arial" w:eastAsia="Arial" w:hAnsi="Arial"/>
          <w:sz w:val="17"/>
          <w:szCs w:val="17"/>
          <w:color w:val="auto"/>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becomes more widely known in the market, future marketing campaigns may not result in the acquisition of new customers at the same rate as past campaigns.</w:t>
      </w:r>
    </w:p>
    <w:p>
      <w:pPr>
        <w:spacing w:after="0" w:line="135" w:lineRule="exact"/>
        <w:rPr>
          <w:sz w:val="20"/>
          <w:szCs w:val="20"/>
          <w:color w:val="auto"/>
        </w:rPr>
      </w:pPr>
    </w:p>
    <w:p>
      <w:pPr>
        <w:jc w:val="both"/>
        <w:ind w:right="60" w:firstLine="440"/>
        <w:spacing w:after="0" w:line="251" w:lineRule="auto"/>
        <w:rPr>
          <w:sz w:val="20"/>
          <w:szCs w:val="20"/>
          <w:color w:val="auto"/>
        </w:rPr>
      </w:pPr>
      <w:r>
        <w:rPr>
          <w:rFonts w:ascii="Arial" w:cs="Arial" w:eastAsia="Arial" w:hAnsi="Arial"/>
          <w:sz w:val="16"/>
          <w:szCs w:val="16"/>
          <w:color w:val="auto"/>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Yahoo! and Bing. Search engines frequently update and change the logic that determines the placement and display of results of a user’s search, such that the purchased or algorithmic placement of links to our sites can be negatively affected.</w:t>
      </w:r>
    </w:p>
    <w:p>
      <w:pPr>
        <w:spacing w:after="0" w:line="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our ability to acquire new customers in a cost-effective manner. If the level of usage of these channels by our customer base does not grow as expected, we may suffer a decline in customer growth or net sales. A significant decrease in the level of usage or customer growth would have a material adverse effect on our business, financial condition and operating results.</w:t>
      </w:r>
    </w:p>
    <w:p>
      <w:pPr>
        <w:spacing w:after="0" w:line="148" w:lineRule="exact"/>
        <w:rPr>
          <w:sz w:val="20"/>
          <w:szCs w:val="20"/>
          <w:color w:val="auto"/>
        </w:rPr>
      </w:pPr>
    </w:p>
    <w:p>
      <w:pPr>
        <w:ind w:right="100" w:firstLine="440"/>
        <w:spacing w:after="0" w:line="276" w:lineRule="auto"/>
        <w:rPr>
          <w:sz w:val="20"/>
          <w:szCs w:val="20"/>
          <w:color w:val="auto"/>
        </w:rPr>
      </w:pPr>
      <w:r>
        <w:rPr>
          <w:rFonts w:ascii="Arial" w:cs="Arial" w:eastAsia="Arial" w:hAnsi="Arial"/>
          <w:sz w:val="16"/>
          <w:szCs w:val="16"/>
          <w:color w:val="auto"/>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If we cannot compete effectively in the apparel, footwear and accessories industry, our business and results of operations may be adversely affected.</w:t>
      </w:r>
    </w:p>
    <w:p>
      <w:pPr>
        <w:spacing w:after="0" w:line="192" w:lineRule="exact"/>
        <w:rPr>
          <w:sz w:val="20"/>
          <w:szCs w:val="20"/>
          <w:color w:val="auto"/>
        </w:rPr>
      </w:pPr>
    </w:p>
    <w:p>
      <w:pPr>
        <w:ind w:right="60" w:firstLine="440"/>
        <w:spacing w:after="0" w:line="239" w:lineRule="auto"/>
        <w:rPr>
          <w:sz w:val="20"/>
          <w:szCs w:val="20"/>
          <w:color w:val="auto"/>
        </w:rPr>
      </w:pPr>
      <w:r>
        <w:rPr>
          <w:rFonts w:ascii="Arial" w:cs="Arial" w:eastAsia="Arial" w:hAnsi="Arial"/>
          <w:sz w:val="17"/>
          <w:szCs w:val="17"/>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49" w:lineRule="exact"/>
        <w:rPr>
          <w:sz w:val="20"/>
          <w:szCs w:val="20"/>
          <w:color w:val="auto"/>
        </w:rPr>
      </w:pPr>
    </w:p>
    <w:p>
      <w:pPr>
        <w:ind w:right="360" w:firstLine="259"/>
        <w:spacing w:after="0" w:line="246" w:lineRule="auto"/>
        <w:rPr>
          <w:sz w:val="20"/>
          <w:szCs w:val="20"/>
          <w:color w:val="auto"/>
        </w:rPr>
      </w:pPr>
      <w:r>
        <w:rPr>
          <w:rFonts w:ascii="Arial" w:cs="Arial" w:eastAsia="Arial" w:hAnsi="Arial"/>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29" w:lineRule="exact"/>
        <w:rPr>
          <w:sz w:val="20"/>
          <w:szCs w:val="20"/>
          <w:color w:val="auto"/>
        </w:rPr>
      </w:pPr>
    </w:p>
    <w:p>
      <w:pPr>
        <w:ind w:right="40" w:firstLine="440"/>
        <w:spacing w:after="0" w:line="231" w:lineRule="auto"/>
        <w:rPr>
          <w:sz w:val="20"/>
          <w:szCs w:val="20"/>
          <w:color w:val="auto"/>
        </w:rPr>
      </w:pPr>
      <w:r>
        <w:rPr>
          <w:rFonts w:ascii="Arial" w:cs="Arial" w:eastAsia="Arial" w:hAnsi="Arial"/>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75" w:lineRule="exact"/>
        <w:rPr>
          <w:sz w:val="20"/>
          <w:szCs w:val="20"/>
          <w:color w:val="auto"/>
        </w:rPr>
      </w:pPr>
    </w:p>
    <w:p>
      <w:pPr>
        <w:ind w:firstLine="259"/>
        <w:spacing w:after="0" w:line="246" w:lineRule="auto"/>
        <w:rPr>
          <w:sz w:val="20"/>
          <w:szCs w:val="20"/>
          <w:color w:val="auto"/>
        </w:rPr>
      </w:pPr>
      <w:r>
        <w:rPr>
          <w:rFonts w:ascii="Arial" w:cs="Arial" w:eastAsia="Arial" w:hAnsi="Arial"/>
          <w:sz w:val="18"/>
          <w:szCs w:val="18"/>
          <w:b w:val="1"/>
          <w:bCs w:val="1"/>
          <w:i w:val="1"/>
          <w:iCs w:val="1"/>
          <w:color w:val="auto"/>
        </w:rPr>
        <w:t>The Coronavirus pandemic may continue to adversely affect our business operations, store traffic, employee availability, financial condition, liquidity, and cash flow for an extended period of time.</w:t>
      </w:r>
    </w:p>
    <w:p>
      <w:pPr>
        <w:spacing w:after="0" w:line="143"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The outbreak of the Coronavirus (“COVID-19”) continues to affect our business operations and it is impossible to predict the effect and ultimate impact of the COVID-19 pandemic.</w:t>
      </w:r>
    </w:p>
    <w:p>
      <w:pPr>
        <w:spacing w:after="0" w:line="143" w:lineRule="exact"/>
        <w:rPr>
          <w:sz w:val="20"/>
          <w:szCs w:val="20"/>
          <w:color w:val="auto"/>
        </w:rPr>
      </w:pPr>
    </w:p>
    <w:p>
      <w:pPr>
        <w:ind w:right="120" w:firstLine="440"/>
        <w:spacing w:after="0" w:line="239" w:lineRule="auto"/>
        <w:rPr>
          <w:sz w:val="20"/>
          <w:szCs w:val="20"/>
          <w:color w:val="auto"/>
        </w:rPr>
      </w:pPr>
      <w:r>
        <w:rPr>
          <w:rFonts w:ascii="Arial" w:cs="Arial" w:eastAsia="Arial" w:hAnsi="Arial"/>
          <w:sz w:val="17"/>
          <w:szCs w:val="17"/>
          <w:color w:val="auto"/>
        </w:rPr>
        <w:t>As the pandemic continues, consumer fear about becoming ill with the virus and recommendations and/or mandates from federal, state and local authorities to avoid large gatherings of people or self-quarantine may increase, which may adversely affect traffic to our stores, result in further reduced store hours or result in store closures. Reductions in customer visits to, and spending at, our stores caused by COVID-19 would result in further loss of retail store sales and profits and other material adverse effects. The extent of the impact of COVID-19 on our business, financial results, liquidity and cash flows will depend largely on future developments, including the efficacy of the vaccine related to current and future variants of the virus, new information that may emerge concerning the severity and action taken to contain or prevent further spread within the U.S. and the related impact on consumer confidence and spending, all of which are highly uncertain and cannot be predicted.</w:t>
      </w:r>
    </w:p>
    <w:p>
      <w:pPr>
        <w:spacing w:after="0" w:line="149" w:lineRule="exact"/>
        <w:rPr>
          <w:sz w:val="20"/>
          <w:szCs w:val="20"/>
          <w:color w:val="auto"/>
        </w:rPr>
      </w:pPr>
    </w:p>
    <w:p>
      <w:pPr>
        <w:ind w:right="460" w:firstLine="440"/>
        <w:spacing w:after="0" w:line="246" w:lineRule="auto"/>
        <w:rPr>
          <w:sz w:val="20"/>
          <w:szCs w:val="20"/>
          <w:color w:val="auto"/>
        </w:rPr>
      </w:pPr>
      <w:r>
        <w:rPr>
          <w:rFonts w:ascii="Arial" w:cs="Arial" w:eastAsia="Arial" w:hAnsi="Arial"/>
          <w:sz w:val="18"/>
          <w:szCs w:val="18"/>
          <w:color w:val="auto"/>
        </w:rPr>
        <w:t>These and other potential impacts of COVID-19, could therefore materially and adversely affect our business, financial condition and results of operations.</w:t>
      </w:r>
    </w:p>
    <w:p>
      <w:pPr>
        <w:spacing w:after="0" w:line="143" w:lineRule="exact"/>
        <w:rPr>
          <w:sz w:val="20"/>
          <w:szCs w:val="20"/>
          <w:color w:val="auto"/>
        </w:rPr>
      </w:pPr>
    </w:p>
    <w:p>
      <w:pPr>
        <w:ind w:right="60" w:firstLine="259"/>
        <w:spacing w:after="0" w:line="246" w:lineRule="auto"/>
        <w:rPr>
          <w:sz w:val="20"/>
          <w:szCs w:val="20"/>
          <w:color w:val="auto"/>
        </w:rPr>
      </w:pPr>
      <w:r>
        <w:rPr>
          <w:rFonts w:ascii="Arial" w:cs="Arial" w:eastAsia="Arial" w:hAnsi="Arial"/>
          <w:sz w:val="18"/>
          <w:szCs w:val="18"/>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reliance on suppliers in foreign markets creates risks inherent in doing business in foreign jurisdictions, including:</w:t>
      </w:r>
    </w:p>
    <w:p>
      <w:pPr>
        <w:spacing w:after="0" w:line="77" w:lineRule="exact"/>
        <w:rPr>
          <w:sz w:val="20"/>
          <w:szCs w:val="20"/>
          <w:color w:val="auto"/>
        </w:rPr>
      </w:pPr>
    </w:p>
    <w:p>
      <w:pPr>
        <w:ind w:left="880" w:right="460"/>
        <w:spacing w:after="0" w:line="261" w:lineRule="auto"/>
        <w:rPr>
          <w:sz w:val="20"/>
          <w:szCs w:val="20"/>
          <w:color w:val="auto"/>
        </w:rPr>
      </w:pPr>
      <w:r>
        <w:rPr>
          <w:rFonts w:ascii="Arial" w:cs="Arial" w:eastAsia="Arial" w:hAnsi="Arial"/>
          <w:sz w:val="18"/>
          <w:szCs w:val="18"/>
          <w:color w:val="auto"/>
        </w:rPr>
        <w:t>transportation delays and interruptions, including due to port congestion and the failure of suppliers or distributors to comply with import regulations;</w:t>
      </w:r>
    </w:p>
    <w:p>
      <w:pPr>
        <w:spacing w:after="0" w:line="306" w:lineRule="exact"/>
        <w:rPr>
          <w:sz w:val="20"/>
          <w:szCs w:val="20"/>
          <w:color w:val="auto"/>
        </w:rPr>
      </w:pPr>
    </w:p>
    <w:p>
      <w:pPr>
        <w:ind w:left="880" w:right="700"/>
        <w:spacing w:after="0" w:line="239" w:lineRule="auto"/>
        <w:rPr>
          <w:sz w:val="20"/>
          <w:szCs w:val="20"/>
          <w:color w:val="auto"/>
        </w:rPr>
      </w:pPr>
      <w:r>
        <w:rPr>
          <w:rFonts w:ascii="Arial" w:cs="Arial" w:eastAsia="Arial" w:hAnsi="Arial"/>
          <w:sz w:val="18"/>
          <w:szCs w:val="18"/>
          <w:color w:val="auto"/>
        </w:rPr>
        <w:t>the burdens of complying with a variety of foreign laws and regulations, including trade and labor restrictions, import/export laws and regulations, and local intellectual property laws and rights owned by third parties;</w:t>
      </w: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880" w:right="60"/>
        <w:spacing w:after="0"/>
        <w:rPr>
          <w:sz w:val="20"/>
          <w:szCs w:val="20"/>
          <w:color w:val="auto"/>
        </w:rPr>
      </w:pPr>
      <w:r>
        <w:rPr>
          <w:rFonts w:ascii="Arial" w:cs="Arial" w:eastAsia="Arial" w:hAnsi="Arial"/>
          <w:sz w:val="18"/>
          <w:szCs w:val="18"/>
          <w:color w:val="auto"/>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economic and political instability in the countries and regions where our suppliers are located;</w:t>
      </w:r>
    </w:p>
    <w:p>
      <w:pPr>
        <w:spacing w:after="0" w:line="90" w:lineRule="exact"/>
        <w:rPr>
          <w:sz w:val="20"/>
          <w:szCs w:val="20"/>
          <w:color w:val="auto"/>
        </w:rPr>
      </w:pPr>
    </w:p>
    <w:p>
      <w:pPr>
        <w:ind w:left="880" w:right="80"/>
        <w:spacing w:after="0" w:line="261" w:lineRule="auto"/>
        <w:rPr>
          <w:sz w:val="20"/>
          <w:szCs w:val="20"/>
          <w:color w:val="auto"/>
        </w:rPr>
      </w:pPr>
      <w:r>
        <w:rPr>
          <w:rFonts w:ascii="Arial" w:cs="Arial" w:eastAsia="Arial" w:hAnsi="Arial"/>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increases in shipping, labor, fuel, travel and other transportation costs;</w:t>
      </w:r>
    </w:p>
    <w:p>
      <w:pPr>
        <w:spacing w:after="0" w:line="77" w:lineRule="exact"/>
        <w:rPr>
          <w:sz w:val="20"/>
          <w:szCs w:val="20"/>
          <w:color w:val="auto"/>
        </w:rPr>
      </w:pPr>
    </w:p>
    <w:p>
      <w:pPr>
        <w:ind w:left="880" w:right="900"/>
        <w:spacing w:after="0" w:line="261" w:lineRule="auto"/>
        <w:rPr>
          <w:sz w:val="20"/>
          <w:szCs w:val="20"/>
          <w:color w:val="auto"/>
        </w:rPr>
      </w:pPr>
      <w:r>
        <w:rPr>
          <w:rFonts w:ascii="Arial" w:cs="Arial" w:eastAsia="Arial" w:hAnsi="Arial"/>
          <w:sz w:val="18"/>
          <w:szCs w:val="18"/>
          <w:color w:val="auto"/>
        </w:rPr>
        <w:t>the imposition of anti-dumping or countervailing duty proceedings resulting in the potential assessment of special anti-dumping or countervailing duties;</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political instability, war and acts of terrorism; and</w:t>
      </w:r>
    </w:p>
    <w:p>
      <w:pPr>
        <w:spacing w:after="0" w:line="90" w:lineRule="exact"/>
        <w:rPr>
          <w:sz w:val="20"/>
          <w:szCs w:val="20"/>
          <w:color w:val="auto"/>
        </w:rPr>
      </w:pPr>
    </w:p>
    <w:p>
      <w:pPr>
        <w:ind w:left="880"/>
        <w:spacing w:after="0" w:line="261" w:lineRule="auto"/>
        <w:rPr>
          <w:sz w:val="20"/>
          <w:szCs w:val="20"/>
          <w:color w:val="auto"/>
        </w:rPr>
      </w:pPr>
      <w:r>
        <w:rPr>
          <w:rFonts w:ascii="Arial" w:cs="Arial" w:eastAsia="Arial" w:hAnsi="Arial"/>
          <w:sz w:val="18"/>
          <w:szCs w:val="18"/>
          <w:color w:val="auto"/>
        </w:rPr>
        <w:t>the occurrence of a natural disaster, unusual weather conditions, or prolonged public health crises, epidemics or pandemics in foreign countries from which we source our products.</w:t>
      </w:r>
    </w:p>
    <w:p>
      <w:pPr>
        <w:spacing w:after="0" w:line="117" w:lineRule="exact"/>
        <w:rPr>
          <w:sz w:val="20"/>
          <w:szCs w:val="20"/>
          <w:color w:val="auto"/>
        </w:rPr>
      </w:pPr>
    </w:p>
    <w:p>
      <w:pPr>
        <w:ind w:right="400" w:firstLine="440"/>
        <w:spacing w:after="0" w:line="246" w:lineRule="auto"/>
        <w:rPr>
          <w:sz w:val="20"/>
          <w:szCs w:val="20"/>
          <w:color w:val="auto"/>
        </w:rPr>
      </w:pPr>
      <w:r>
        <w:rPr>
          <w:rFonts w:ascii="Arial" w:cs="Arial" w:eastAsia="Arial" w:hAnsi="Arial"/>
          <w:sz w:val="18"/>
          <w:szCs w:val="18"/>
          <w:color w:val="auto"/>
        </w:rPr>
        <w:t>The occurrence of one or more of these events could result in disruptions to our operations, which in turn could increase our cost of goods sold, decrease our gross profit, or impact our ability to deliver to our customers.</w:t>
      </w:r>
    </w:p>
    <w:p>
      <w:pPr>
        <w:spacing w:after="0" w:line="129" w:lineRule="exact"/>
        <w:rPr>
          <w:sz w:val="20"/>
          <w:szCs w:val="20"/>
          <w:color w:val="auto"/>
        </w:rPr>
      </w:pPr>
    </w:p>
    <w:p>
      <w:pPr>
        <w:jc w:val="both"/>
        <w:ind w:right="120" w:firstLine="440"/>
        <w:spacing w:after="0" w:line="231" w:lineRule="auto"/>
        <w:rPr>
          <w:sz w:val="20"/>
          <w:szCs w:val="20"/>
          <w:color w:val="auto"/>
        </w:rPr>
      </w:pPr>
      <w:r>
        <w:rPr>
          <w:rFonts w:ascii="Arial" w:cs="Arial" w:eastAsia="Arial" w:hAnsi="Arial"/>
          <w:sz w:val="18"/>
          <w:szCs w:val="18"/>
          <w:color w:val="auto"/>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48" w:lineRule="exact"/>
        <w:rPr>
          <w:sz w:val="20"/>
          <w:szCs w:val="20"/>
          <w:color w:val="auto"/>
        </w:rPr>
      </w:pPr>
    </w:p>
    <w:p>
      <w:pPr>
        <w:ind w:right="340" w:firstLine="259"/>
        <w:spacing w:after="0" w:line="246" w:lineRule="auto"/>
        <w:rPr>
          <w:sz w:val="20"/>
          <w:szCs w:val="20"/>
          <w:color w:val="auto"/>
        </w:rPr>
      </w:pPr>
      <w:r>
        <w:rPr>
          <w:rFonts w:ascii="Arial" w:cs="Arial" w:eastAsia="Arial" w:hAnsi="Arial"/>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29" w:lineRule="exact"/>
        <w:rPr>
          <w:sz w:val="20"/>
          <w:szCs w:val="20"/>
          <w:color w:val="auto"/>
        </w:rPr>
      </w:pPr>
    </w:p>
    <w:p>
      <w:pPr>
        <w:ind w:firstLine="440"/>
        <w:spacing w:after="0" w:line="235" w:lineRule="auto"/>
        <w:rPr>
          <w:sz w:val="20"/>
          <w:szCs w:val="20"/>
          <w:color w:val="auto"/>
        </w:rPr>
      </w:pPr>
      <w:r>
        <w:rPr>
          <w:rFonts w:ascii="Arial" w:cs="Arial" w:eastAsia="Arial" w:hAnsi="Arial"/>
          <w:sz w:val="17"/>
          <w:szCs w:val="17"/>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distribution centers in Wisconsin and Iowa. While our reliance on a limited number of distribution centers provides certain efficiencies, it also makes us more vulnerable to natural disasters, weather-related disruptions, accidents, system failures, public health pandemics, such as the ongoing COVID-19 pandemic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distribution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Competitive pricing pressures with respect to shipping our products to our customers may harm our business and results of operations.</w:t>
      </w:r>
    </w:p>
    <w:p>
      <w:pPr>
        <w:spacing w:after="0" w:line="194" w:lineRule="exact"/>
        <w:rPr>
          <w:sz w:val="20"/>
          <w:szCs w:val="20"/>
          <w:color w:val="auto"/>
        </w:rPr>
      </w:pPr>
    </w:p>
    <w:p>
      <w:pPr>
        <w:ind w:right="200" w:firstLine="440"/>
        <w:spacing w:after="0" w:line="235" w:lineRule="auto"/>
        <w:rPr>
          <w:sz w:val="20"/>
          <w:szCs w:val="20"/>
          <w:color w:val="auto"/>
        </w:rPr>
      </w:pPr>
      <w:r>
        <w:rPr>
          <w:rFonts w:ascii="Arial" w:cs="Arial" w:eastAsia="Arial" w:hAnsi="Arial"/>
          <w:sz w:val="17"/>
          <w:szCs w:val="17"/>
          <w:color w:val="auto"/>
        </w:rPr>
        <w:t>Given the size of our direct-to-consumer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Higher direct-to-consumer net sales has resulted and may continue to result in additional peak surcharges assessed by our delivery partners.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well as our Adjusted EBITDA to the extent there are not commensurate declines, or if there are increases, in our shipping and handling expense.</w:t>
      </w:r>
    </w:p>
    <w:p>
      <w:pPr>
        <w:spacing w:after="0" w:line="183" w:lineRule="exact"/>
        <w:rPr>
          <w:sz w:val="20"/>
          <w:szCs w:val="20"/>
          <w:color w:val="auto"/>
        </w:rPr>
      </w:pPr>
    </w:p>
    <w:p>
      <w:pPr>
        <w:ind w:firstLine="259"/>
        <w:spacing w:after="0" w:line="235" w:lineRule="auto"/>
        <w:rPr>
          <w:sz w:val="20"/>
          <w:szCs w:val="20"/>
          <w:color w:val="auto"/>
        </w:rPr>
      </w:pPr>
      <w:r>
        <w:rPr>
          <w:rFonts w:ascii="Arial" w:cs="Arial" w:eastAsia="Arial" w:hAnsi="Arial"/>
          <w:sz w:val="18"/>
          <w:szCs w:val="18"/>
          <w:b w:val="1"/>
          <w:bCs w:val="1"/>
          <w:i w:val="1"/>
          <w:iCs w:val="1"/>
          <w:color w:val="auto"/>
        </w:rPr>
        <w:t>We rely on third-party service providers, such as UPS and the United States Postal Service (“USPS”), to deliver products purchased through our direct-to-consumer channel to our customers and our business could be negatively impacted by disruptions in the operations of these third-party service providers.</w:t>
      </w:r>
    </w:p>
    <w:p>
      <w:pPr>
        <w:spacing w:after="0" w:line="134" w:lineRule="exact"/>
        <w:rPr>
          <w:sz w:val="20"/>
          <w:szCs w:val="20"/>
          <w:color w:val="auto"/>
        </w:rPr>
      </w:pPr>
    </w:p>
    <w:p>
      <w:pPr>
        <w:ind w:right="200" w:firstLine="440"/>
        <w:spacing w:after="0" w:line="258" w:lineRule="auto"/>
        <w:rPr>
          <w:sz w:val="20"/>
          <w:szCs w:val="20"/>
          <w:color w:val="auto"/>
        </w:rPr>
      </w:pPr>
      <w:r>
        <w:rPr>
          <w:rFonts w:ascii="Arial" w:cs="Arial" w:eastAsia="Arial" w:hAnsi="Arial"/>
          <w:sz w:val="16"/>
          <w:szCs w:val="16"/>
          <w:color w:val="auto"/>
        </w:rPr>
        <w:t>Relying on third-party service providers puts us at risk from disruptions in their operations, such as employee strikes, inclement weather and their inability to meet our shipping demands. Our efforts to mitigate the impact of future thresholds may not be successful or may result in similar surcharges.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and thresholds during the peak holiday shopping season, which may have a negative impact on our earnings. These factors may negatively impact our financial condition and results of operations.</w:t>
      </w:r>
    </w:p>
    <w:p>
      <w:pPr>
        <w:spacing w:after="0" w:line="123" w:lineRule="exact"/>
        <w:rPr>
          <w:sz w:val="20"/>
          <w:szCs w:val="20"/>
          <w:color w:val="auto"/>
        </w:rPr>
      </w:pPr>
    </w:p>
    <w:p>
      <w:pPr>
        <w:ind w:right="300" w:firstLine="259"/>
        <w:spacing w:after="0" w:line="246" w:lineRule="auto"/>
        <w:rPr>
          <w:sz w:val="20"/>
          <w:szCs w:val="20"/>
          <w:color w:val="auto"/>
        </w:rPr>
      </w:pPr>
      <w:r>
        <w:rPr>
          <w:rFonts w:ascii="Arial" w:cs="Arial" w:eastAsia="Arial" w:hAnsi="Arial"/>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43" w:lineRule="exact"/>
        <w:rPr>
          <w:sz w:val="20"/>
          <w:szCs w:val="20"/>
          <w:color w:val="auto"/>
        </w:rPr>
      </w:pPr>
    </w:p>
    <w:p>
      <w:pPr>
        <w:ind w:right="120" w:firstLine="440"/>
        <w:spacing w:after="0" w:line="307" w:lineRule="auto"/>
        <w:rPr>
          <w:sz w:val="20"/>
          <w:szCs w:val="20"/>
          <w:color w:val="auto"/>
        </w:rPr>
      </w:pPr>
      <w:r>
        <w:rPr>
          <w:rFonts w:ascii="Arial" w:cs="Arial" w:eastAsia="Arial" w:hAnsi="Arial"/>
          <w:sz w:val="16"/>
          <w:szCs w:val="16"/>
          <w:color w:val="auto"/>
        </w:rPr>
        <w:t>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diversion of traffic from our stores;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liability for online content;</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need to keep pace with rapid technological change;</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government regulation of the Internet, including taxation; and</w:t>
      </w:r>
    </w:p>
    <w:p>
      <w:pPr>
        <w:spacing w:after="0" w:line="104" w:lineRule="exact"/>
        <w:rPr>
          <w:sz w:val="20"/>
          <w:szCs w:val="20"/>
          <w:color w:val="auto"/>
        </w:rPr>
      </w:pPr>
    </w:p>
    <w:p>
      <w:pPr>
        <w:ind w:left="880" w:right="340"/>
        <w:spacing w:after="0" w:line="261" w:lineRule="auto"/>
        <w:rPr>
          <w:sz w:val="20"/>
          <w:szCs w:val="20"/>
          <w:color w:val="auto"/>
        </w:rPr>
      </w:pPr>
      <w:r>
        <w:rPr>
          <w:rFonts w:ascii="Arial" w:cs="Arial" w:eastAsia="Arial" w:hAnsi="Arial"/>
          <w:sz w:val="18"/>
          <w:szCs w:val="18"/>
          <w:color w:val="auto"/>
        </w:rPr>
        <w:t>threats to the computer systems that operate our website and related support systems, including viruses, malware and other malicious code, misconfiguration, systems failure or inadequacy, compromise or unauthorized access and similar disruptions.</w:t>
      </w:r>
    </w:p>
    <w:p>
      <w:pPr>
        <w:spacing w:after="0" w:line="117" w:lineRule="exact"/>
        <w:rPr>
          <w:sz w:val="20"/>
          <w:szCs w:val="20"/>
          <w:color w:val="auto"/>
        </w:rPr>
      </w:pPr>
    </w:p>
    <w:p>
      <w:pPr>
        <w:ind w:right="500" w:firstLine="440"/>
        <w:spacing w:after="0" w:line="274" w:lineRule="auto"/>
        <w:rPr>
          <w:sz w:val="20"/>
          <w:szCs w:val="20"/>
          <w:color w:val="auto"/>
        </w:rPr>
      </w:pPr>
      <w:r>
        <w:rPr>
          <w:rFonts w:ascii="Arial" w:cs="Arial" w:eastAsia="Arial" w:hAnsi="Arial"/>
          <w:sz w:val="17"/>
          <w:szCs w:val="17"/>
          <w:color w:val="auto"/>
        </w:rPr>
        <w:t>Our failure to successfully respond to these risks and uncertainties could reduce our e-commerce sales, increase our costs, diminish our growth prospects, and damage our brand, which could negatively impact our business, financial condition and results of operations.</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Increases in the price of raw materials, fuel and labor, or their reduced availability, could increase our cost of goods and cause delays.</w:t>
      </w:r>
    </w:p>
    <w:p>
      <w:pPr>
        <w:spacing w:after="0" w:line="183" w:lineRule="exact"/>
        <w:rPr>
          <w:sz w:val="20"/>
          <w:szCs w:val="20"/>
          <w:color w:val="auto"/>
        </w:rPr>
      </w:pPr>
    </w:p>
    <w:p>
      <w:pPr>
        <w:ind w:right="40" w:firstLine="440"/>
        <w:spacing w:after="0" w:line="225" w:lineRule="auto"/>
        <w:rPr>
          <w:sz w:val="20"/>
          <w:szCs w:val="20"/>
          <w:color w:val="auto"/>
        </w:rPr>
      </w:pPr>
      <w:r>
        <w:rPr>
          <w:rFonts w:ascii="Arial" w:cs="Arial" w:eastAsia="Arial" w:hAnsi="Arial"/>
          <w:sz w:val="18"/>
          <w:szCs w:val="18"/>
          <w:color w:val="auto"/>
        </w:rPr>
        <w:t>The price and availability of raw materials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35" w:lineRule="exact"/>
        <w:rPr>
          <w:sz w:val="20"/>
          <w:szCs w:val="20"/>
          <w:color w:val="auto"/>
        </w:rPr>
      </w:pPr>
    </w:p>
    <w:p>
      <w:pPr>
        <w:ind w:right="200" w:firstLine="440"/>
        <w:spacing w:after="0" w:line="250" w:lineRule="auto"/>
        <w:rPr>
          <w:sz w:val="20"/>
          <w:szCs w:val="20"/>
          <w:color w:val="auto"/>
        </w:rPr>
      </w:pPr>
      <w:r>
        <w:rPr>
          <w:rFonts w:ascii="Arial" w:cs="Arial" w:eastAsia="Arial" w:hAnsi="Arial"/>
          <w:sz w:val="16"/>
          <w:szCs w:val="16"/>
          <w:color w:val="auto"/>
        </w:rPr>
        <w:t>We rely upon third-party land-based and air freight carriers for merchandise shipments from our distribution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distribution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180" w:firstLine="259"/>
        <w:spacing w:after="0" w:line="246" w:lineRule="auto"/>
        <w:rPr>
          <w:sz w:val="20"/>
          <w:szCs w:val="20"/>
          <w:color w:val="auto"/>
        </w:rPr>
      </w:pPr>
      <w:r>
        <w:rPr>
          <w:rFonts w:ascii="Arial" w:cs="Arial" w:eastAsia="Arial" w:hAnsi="Arial"/>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43" w:lineRule="exact"/>
        <w:rPr>
          <w:sz w:val="20"/>
          <w:szCs w:val="20"/>
          <w:color w:val="auto"/>
        </w:rPr>
      </w:pPr>
    </w:p>
    <w:p>
      <w:pPr>
        <w:ind w:firstLine="440"/>
        <w:spacing w:after="0" w:line="258" w:lineRule="auto"/>
        <w:rPr>
          <w:sz w:val="20"/>
          <w:szCs w:val="20"/>
          <w:color w:val="auto"/>
        </w:rPr>
      </w:pPr>
      <w:r>
        <w:rPr>
          <w:rFonts w:ascii="Arial" w:cs="Arial" w:eastAsia="Arial" w:hAnsi="Arial"/>
          <w:sz w:val="16"/>
          <w:szCs w:val="16"/>
          <w:color w:val="auto"/>
        </w:rPr>
        <w:t>Our products are sourced through third-party purchasing agents and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23" w:lineRule="exact"/>
        <w:rPr>
          <w:sz w:val="20"/>
          <w:szCs w:val="20"/>
          <w:color w:val="auto"/>
        </w:rPr>
      </w:pPr>
    </w:p>
    <w:p>
      <w:pPr>
        <w:ind w:right="40" w:firstLine="440"/>
        <w:spacing w:after="0" w:line="239" w:lineRule="auto"/>
        <w:rPr>
          <w:sz w:val="20"/>
          <w:szCs w:val="20"/>
          <w:color w:val="auto"/>
        </w:rPr>
      </w:pPr>
      <w:r>
        <w:rPr>
          <w:rFonts w:ascii="Arial" w:cs="Arial" w:eastAsia="Arial" w:hAnsi="Arial"/>
          <w:sz w:val="17"/>
          <w:szCs w:val="17"/>
          <w:color w:val="auto"/>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36" w:lineRule="exact"/>
        <w:rPr>
          <w:sz w:val="20"/>
          <w:szCs w:val="20"/>
          <w:color w:val="auto"/>
        </w:rPr>
      </w:pPr>
    </w:p>
    <w:p>
      <w:pPr>
        <w:ind w:right="500" w:firstLine="259"/>
        <w:spacing w:after="0" w:line="246" w:lineRule="auto"/>
        <w:rPr>
          <w:sz w:val="20"/>
          <w:szCs w:val="20"/>
          <w:color w:val="auto"/>
        </w:rPr>
      </w:pPr>
      <w:r>
        <w:rPr>
          <w:rFonts w:ascii="Arial" w:cs="Arial" w:eastAsia="Arial" w:hAnsi="Arial"/>
          <w:sz w:val="18"/>
          <w:szCs w:val="18"/>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143" w:lineRule="exact"/>
        <w:rPr>
          <w:sz w:val="20"/>
          <w:szCs w:val="20"/>
          <w:color w:val="auto"/>
        </w:rPr>
      </w:pPr>
    </w:p>
    <w:p>
      <w:pPr>
        <w:ind w:right="60" w:firstLine="440"/>
        <w:spacing w:after="0" w:line="227" w:lineRule="auto"/>
        <w:rPr>
          <w:sz w:val="20"/>
          <w:szCs w:val="20"/>
          <w:color w:val="auto"/>
        </w:rPr>
      </w:pPr>
      <w:r>
        <w:rPr>
          <w:rFonts w:ascii="Arial" w:cs="Arial" w:eastAsia="Arial" w:hAnsi="Arial"/>
          <w:sz w:val="18"/>
          <w:szCs w:val="18"/>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processing gift card activity,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 shrinkage could have a material adverse effect on our business, financial condition and results of operations.</w:t>
      </w:r>
    </w:p>
    <w:p>
      <w:pPr>
        <w:spacing w:after="0" w:line="158"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data security and privacy risks that could negatively affect our results, operations or reputation.</w:t>
      </w:r>
    </w:p>
    <w:p>
      <w:pPr>
        <w:spacing w:after="0" w:line="158" w:lineRule="exact"/>
        <w:rPr>
          <w:sz w:val="20"/>
          <w:szCs w:val="20"/>
          <w:color w:val="auto"/>
        </w:rPr>
      </w:pPr>
    </w:p>
    <w:p>
      <w:pPr>
        <w:ind w:right="40" w:firstLine="440"/>
        <w:spacing w:after="0" w:line="248" w:lineRule="auto"/>
        <w:rPr>
          <w:sz w:val="20"/>
          <w:szCs w:val="20"/>
          <w:color w:val="auto"/>
        </w:rPr>
      </w:pPr>
      <w:r>
        <w:rPr>
          <w:rFonts w:ascii="Arial" w:cs="Arial" w:eastAsia="Arial" w:hAnsi="Arial"/>
          <w:sz w:val="16"/>
          <w:szCs w:val="16"/>
          <w:color w:val="auto"/>
        </w:rPr>
        <w:t>In the normal course of business we often collect, retain and transmit customer personal and credit card information, employee personal information, and other sensitive and confidential information. The protection of customer and employee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 risks to our employees, in an effort to elevate our cybersecurity posture and give our workforce the skills to both avoid and report cyber threats. 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w:t>
      </w:r>
    </w:p>
    <w:p>
      <w:pPr>
        <w:spacing w:after="0" w:line="138" w:lineRule="exact"/>
        <w:rPr>
          <w:sz w:val="20"/>
          <w:szCs w:val="20"/>
          <w:color w:val="auto"/>
        </w:rPr>
      </w:pPr>
    </w:p>
    <w:p>
      <w:pPr>
        <w:ind w:right="220" w:firstLine="259"/>
        <w:spacing w:after="0" w:line="246" w:lineRule="auto"/>
        <w:rPr>
          <w:sz w:val="20"/>
          <w:szCs w:val="20"/>
          <w:color w:val="auto"/>
        </w:rPr>
      </w:pPr>
      <w:r>
        <w:rPr>
          <w:rFonts w:ascii="Arial" w:cs="Arial" w:eastAsia="Arial" w:hAnsi="Arial"/>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129" w:lineRule="exact"/>
        <w:rPr>
          <w:sz w:val="20"/>
          <w:szCs w:val="20"/>
          <w:color w:val="auto"/>
        </w:rPr>
      </w:pPr>
    </w:p>
    <w:p>
      <w:pPr>
        <w:ind w:right="40" w:firstLine="440"/>
        <w:spacing w:after="0" w:line="255" w:lineRule="auto"/>
        <w:rPr>
          <w:sz w:val="20"/>
          <w:szCs w:val="20"/>
          <w:color w:val="auto"/>
        </w:rPr>
      </w:pPr>
      <w:r>
        <w:rPr>
          <w:rFonts w:ascii="Arial" w:cs="Arial" w:eastAsia="Arial" w:hAnsi="Arial"/>
          <w:sz w:val="16"/>
          <w:szCs w:val="16"/>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24" w:lineRule="exact"/>
        <w:rPr>
          <w:sz w:val="20"/>
          <w:szCs w:val="20"/>
          <w:color w:val="auto"/>
        </w:rPr>
      </w:pPr>
    </w:p>
    <w:p>
      <w:pPr>
        <w:ind w:right="460" w:firstLine="259"/>
        <w:spacing w:after="0" w:line="246" w:lineRule="auto"/>
        <w:rPr>
          <w:sz w:val="20"/>
          <w:szCs w:val="20"/>
          <w:color w:val="auto"/>
        </w:rPr>
      </w:pPr>
      <w:r>
        <w:rPr>
          <w:rFonts w:ascii="Arial" w:cs="Arial" w:eastAsia="Arial" w:hAnsi="Arial"/>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43" w:lineRule="exact"/>
        <w:rPr>
          <w:sz w:val="20"/>
          <w:szCs w:val="20"/>
          <w:color w:val="auto"/>
        </w:rPr>
      </w:pPr>
    </w:p>
    <w:p>
      <w:pPr>
        <w:ind w:right="60" w:firstLine="440"/>
        <w:spacing w:after="0"/>
        <w:rPr>
          <w:sz w:val="20"/>
          <w:szCs w:val="20"/>
          <w:color w:val="auto"/>
        </w:rPr>
      </w:pPr>
      <w:r>
        <w:rPr>
          <w:rFonts w:ascii="Arial" w:cs="Arial" w:eastAsia="Arial" w:hAnsi="Arial"/>
          <w:sz w:val="17"/>
          <w:szCs w:val="17"/>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37" w:lineRule="exact"/>
        <w:rPr>
          <w:sz w:val="20"/>
          <w:szCs w:val="20"/>
          <w:color w:val="auto"/>
        </w:rPr>
      </w:pPr>
    </w:p>
    <w:p>
      <w:pPr>
        <w:ind w:right="400" w:firstLine="259"/>
        <w:spacing w:after="0" w:line="246" w:lineRule="auto"/>
        <w:rPr>
          <w:sz w:val="20"/>
          <w:szCs w:val="20"/>
          <w:color w:val="auto"/>
        </w:rPr>
      </w:pPr>
      <w:r>
        <w:rPr>
          <w:rFonts w:ascii="Arial" w:cs="Arial" w:eastAsia="Arial" w:hAnsi="Arial"/>
          <w:sz w:val="18"/>
          <w:szCs w:val="18"/>
          <w:b w:val="1"/>
          <w:bCs w:val="1"/>
          <w:i w:val="1"/>
          <w:iCs w:val="1"/>
          <w:color w:val="auto"/>
        </w:rPr>
        <w:t>An inability to attract and retain qualified employees to meet our staffing needs in our corporate office, stores, fulfillment centers or call center could result in higher payroll costs and adversely affect our operating results.</w:t>
      </w:r>
    </w:p>
    <w:p>
      <w:pPr>
        <w:spacing w:after="0" w:line="129"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since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business is seasonal, and if we do not efficiently manage inventory levels, our results of operations could be adversely affected.</w:t>
      </w:r>
    </w:p>
    <w:p>
      <w:pPr>
        <w:spacing w:after="0" w:line="169" w:lineRule="exact"/>
        <w:rPr>
          <w:sz w:val="20"/>
          <w:szCs w:val="20"/>
          <w:color w:val="auto"/>
        </w:rPr>
      </w:pPr>
    </w:p>
    <w:p>
      <w:pPr>
        <w:ind w:right="360" w:firstLine="440"/>
        <w:spacing w:after="0" w:line="235" w:lineRule="auto"/>
        <w:rPr>
          <w:sz w:val="20"/>
          <w:szCs w:val="20"/>
          <w:color w:val="auto"/>
        </w:rPr>
      </w:pPr>
      <w:r>
        <w:rPr>
          <w:rFonts w:ascii="Arial" w:cs="Arial" w:eastAsia="Arial" w:hAnsi="Arial"/>
          <w:sz w:val="18"/>
          <w:szCs w:val="18"/>
          <w:color w:val="auto"/>
        </w:rPr>
        <w:t>Our business is subject to seasonal influences, with increased net sales and net income realized during the fourth quarter of our fiscal year, which includes the holiday season. See Part I, Item 1 Business, under the heading “</w:t>
      </w:r>
      <w:r>
        <w:rPr>
          <w:rFonts w:ascii="Arial" w:cs="Arial" w:eastAsia="Arial" w:hAnsi="Arial"/>
          <w:sz w:val="18"/>
          <w:szCs w:val="18"/>
          <w:i w:val="1"/>
          <w:iCs w:val="1"/>
          <w:color w:val="auto"/>
        </w:rPr>
        <w:t>Seasonality</w:t>
      </w:r>
      <w:r>
        <w:rPr>
          <w:rFonts w:ascii="Arial" w:cs="Arial" w:eastAsia="Arial" w:hAnsi="Arial"/>
          <w:sz w:val="18"/>
          <w:szCs w:val="18"/>
          <w:color w:val="auto"/>
        </w:rPr>
        <w:t>,” for our net sales and net income realized during the fourth quarter of our fiscal year for each of the past two fiscal years.</w:t>
      </w:r>
    </w:p>
    <w:p>
      <w:pPr>
        <w:spacing w:after="0" w:line="148" w:lineRule="exact"/>
        <w:rPr>
          <w:sz w:val="20"/>
          <w:szCs w:val="20"/>
          <w:color w:val="auto"/>
        </w:rPr>
      </w:pPr>
    </w:p>
    <w:p>
      <w:pPr>
        <w:ind w:right="20" w:firstLine="440"/>
        <w:spacing w:after="0" w:line="225" w:lineRule="auto"/>
        <w:rPr>
          <w:sz w:val="20"/>
          <w:szCs w:val="20"/>
          <w:color w:val="auto"/>
        </w:rPr>
      </w:pPr>
      <w:r>
        <w:rPr>
          <w:rFonts w:ascii="Arial" w:cs="Arial" w:eastAsia="Arial" w:hAnsi="Arial"/>
          <w:sz w:val="18"/>
          <w:szCs w:val="18"/>
          <w:color w:val="auto"/>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54" w:lineRule="exact"/>
        <w:rPr>
          <w:sz w:val="20"/>
          <w:szCs w:val="20"/>
          <w:color w:val="auto"/>
        </w:rPr>
      </w:pPr>
    </w:p>
    <w:p>
      <w:pPr>
        <w:jc w:val="both"/>
        <w:ind w:right="200" w:firstLine="440"/>
        <w:spacing w:after="0" w:line="227" w:lineRule="auto"/>
        <w:rPr>
          <w:sz w:val="20"/>
          <w:szCs w:val="20"/>
          <w:color w:val="auto"/>
        </w:rPr>
      </w:pPr>
      <w:r>
        <w:rPr>
          <w:rFonts w:ascii="Arial" w:cs="Arial" w:eastAsia="Arial" w:hAnsi="Arial"/>
          <w:sz w:val="18"/>
          <w:szCs w:val="18"/>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spacing w:after="0" w:line="136" w:lineRule="exact"/>
        <w:rPr>
          <w:sz w:val="20"/>
          <w:szCs w:val="20"/>
          <w:color w:val="auto"/>
        </w:rPr>
      </w:pPr>
    </w:p>
    <w:p>
      <w:pPr>
        <w:ind w:right="80" w:firstLine="440"/>
        <w:spacing w:after="0" w:line="266" w:lineRule="auto"/>
        <w:rPr>
          <w:sz w:val="20"/>
          <w:szCs w:val="20"/>
          <w:color w:val="auto"/>
        </w:rPr>
      </w:pPr>
      <w:r>
        <w:rPr>
          <w:rFonts w:ascii="Arial" w:cs="Arial" w:eastAsia="Arial" w:hAnsi="Arial"/>
          <w:sz w:val="16"/>
          <w:szCs w:val="16"/>
          <w:color w:val="auto"/>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typically decline steadily during the holiday season, resulting in our cash typically reaching its highest level, and borrowings under our revolving line of credit reaching their lowest level, typically near December 31 of each year.</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financial condition and operating results could be harmed.</w:t>
      </w:r>
    </w:p>
    <w:p>
      <w:pPr>
        <w:spacing w:after="0" w:line="158" w:lineRule="exact"/>
        <w:rPr>
          <w:sz w:val="20"/>
          <w:szCs w:val="20"/>
          <w:color w:val="auto"/>
        </w:rPr>
      </w:pPr>
    </w:p>
    <w:p>
      <w:pPr>
        <w:ind w:right="180" w:firstLine="440"/>
        <w:spacing w:after="0" w:line="231" w:lineRule="auto"/>
        <w:rPr>
          <w:sz w:val="20"/>
          <w:szCs w:val="20"/>
          <w:color w:val="auto"/>
        </w:rPr>
      </w:pPr>
      <w:r>
        <w:rPr>
          <w:rFonts w:ascii="Arial" w:cs="Arial" w:eastAsia="Arial" w:hAnsi="Arial"/>
          <w:sz w:val="18"/>
          <w:szCs w:val="18"/>
          <w:color w:val="auto"/>
        </w:rPr>
        <w:t>To manage our growth effectively, we must continue to implement our operational plans and strategies, improve and expand our infrastructure of people, information systems and facilities and expand, train and manage our employee base. To support continued growth, we must effectively integrate, develop and motivate a large number of employees. Failure to improve and expand our infrastructure of employees may have a material adverse effect on our business, financial condition and operating results.</w:t>
      </w:r>
    </w:p>
    <w:p>
      <w:pPr>
        <w:spacing w:after="0" w:line="148" w:lineRule="exact"/>
        <w:rPr>
          <w:sz w:val="20"/>
          <w:szCs w:val="20"/>
          <w:color w:val="auto"/>
        </w:rPr>
      </w:pPr>
    </w:p>
    <w:p>
      <w:pPr>
        <w:ind w:right="60" w:firstLine="440"/>
        <w:spacing w:after="0"/>
        <w:rPr>
          <w:sz w:val="20"/>
          <w:szCs w:val="20"/>
          <w:color w:val="auto"/>
        </w:rPr>
      </w:pPr>
      <w:r>
        <w:rPr>
          <w:rFonts w:ascii="Arial" w:cs="Arial" w:eastAsia="Arial" w:hAnsi="Arial"/>
          <w:sz w:val="17"/>
          <w:szCs w:val="17"/>
          <w:color w:val="auto"/>
        </w:rPr>
        <w:t>Additionally, the growth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fulfillment centers,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manage the growth of our organization effectively, our business, financial condition and operating results may be materially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62" w:lineRule="exact"/>
        <w:rPr>
          <w:sz w:val="20"/>
          <w:szCs w:val="20"/>
          <w:color w:val="auto"/>
        </w:rPr>
      </w:pPr>
    </w:p>
    <w:p>
      <w:pPr>
        <w:ind w:right="260" w:firstLine="259"/>
        <w:spacing w:after="0" w:line="235" w:lineRule="auto"/>
        <w:rPr>
          <w:sz w:val="20"/>
          <w:szCs w:val="20"/>
          <w:color w:val="auto"/>
        </w:rPr>
      </w:pPr>
      <w:r>
        <w:rPr>
          <w:rFonts w:ascii="Arial" w:cs="Arial" w:eastAsia="Arial" w:hAnsi="Arial"/>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spacing w:after="0" w:line="148" w:lineRule="exact"/>
        <w:rPr>
          <w:sz w:val="20"/>
          <w:szCs w:val="20"/>
          <w:color w:val="auto"/>
        </w:rPr>
      </w:pPr>
    </w:p>
    <w:p>
      <w:pPr>
        <w:ind w:right="20" w:firstLine="440"/>
        <w:spacing w:after="0" w:line="227" w:lineRule="auto"/>
        <w:rPr>
          <w:sz w:val="20"/>
          <w:szCs w:val="20"/>
          <w:color w:val="auto"/>
        </w:rPr>
      </w:pPr>
      <w:r>
        <w:rPr>
          <w:rFonts w:ascii="Arial" w:cs="Arial" w:eastAsia="Arial" w:hAnsi="Arial"/>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58" w:lineRule="exact"/>
        <w:rPr>
          <w:sz w:val="20"/>
          <w:szCs w:val="20"/>
          <w:color w:val="auto"/>
        </w:rPr>
      </w:pPr>
    </w:p>
    <w:p>
      <w:pPr>
        <w:ind w:firstLine="440"/>
        <w:spacing w:after="0" w:line="249" w:lineRule="auto"/>
        <w:rPr>
          <w:sz w:val="20"/>
          <w:szCs w:val="20"/>
          <w:color w:val="auto"/>
        </w:rPr>
      </w:pPr>
      <w:r>
        <w:rPr>
          <w:rFonts w:ascii="Arial" w:cs="Arial" w:eastAsia="Arial" w:hAnsi="Arial"/>
          <w:sz w:val="16"/>
          <w:szCs w:val="16"/>
          <w:color w:val="auto"/>
        </w:rPr>
        <w:t>We accept payments using a variety of methods, including credit cards, debit cards, Paypal,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cash generated from our operations to support our growth, which could strain our growth.</w:t>
      </w:r>
    </w:p>
    <w:p>
      <w:pPr>
        <w:spacing w:after="0" w:line="171" w:lineRule="exact"/>
        <w:rPr>
          <w:sz w:val="20"/>
          <w:szCs w:val="20"/>
          <w:color w:val="auto"/>
        </w:rPr>
      </w:pPr>
    </w:p>
    <w:p>
      <w:pPr>
        <w:ind w:firstLine="440"/>
        <w:spacing w:after="0" w:line="224" w:lineRule="auto"/>
        <w:rPr>
          <w:sz w:val="20"/>
          <w:szCs w:val="20"/>
          <w:color w:val="auto"/>
        </w:rPr>
      </w:pPr>
      <w:r>
        <w:rPr>
          <w:rFonts w:ascii="Arial" w:cs="Arial" w:eastAsia="Arial" w:hAnsi="Arial"/>
          <w:sz w:val="18"/>
          <w:szCs w:val="18"/>
          <w:color w:val="auto"/>
        </w:rPr>
        <w:t>We primarily rely on cash flow generated from our direct-to-consumer and retail store sales and borrowings under our credit facility to fund our current operations and our growth initiatives.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investments and other activities.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 unable to accurately forecast our operating results and growth rate, and our growth rate may decline over time.</w:t>
      </w:r>
    </w:p>
    <w:p>
      <w:pPr>
        <w:spacing w:after="0" w:line="158" w:lineRule="exact"/>
        <w:rPr>
          <w:sz w:val="20"/>
          <w:szCs w:val="20"/>
          <w:color w:val="auto"/>
        </w:rPr>
      </w:pPr>
    </w:p>
    <w:p>
      <w:pPr>
        <w:ind w:firstLine="440"/>
        <w:spacing w:after="0" w:line="236" w:lineRule="auto"/>
        <w:rPr>
          <w:sz w:val="20"/>
          <w:szCs w:val="20"/>
          <w:color w:val="auto"/>
        </w:rPr>
      </w:pPr>
      <w:r>
        <w:rPr>
          <w:rFonts w:ascii="Arial" w:cs="Arial" w:eastAsia="Arial" w:hAnsi="Arial"/>
          <w:sz w:val="17"/>
          <w:szCs w:val="17"/>
          <w:color w:val="auto"/>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have experienced historically may not be sustainable as our customer base expands and we achieve higher market penetration rates, and our percentage growth rates may decrease. The growth of our sales and profitability depends on the continued growth of demand for the products we offer, and our business is affected by general economic and business conditions. A softening of demand, whether caused by changes in customer preferences or a weakening of the economy or other factors, may result in decreased net sales or growth.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failure to comply with restrictive covenants under our revolving credit facility and other debt instruments could trigger prepayment obligations.</w:t>
      </w:r>
    </w:p>
    <w:p>
      <w:pPr>
        <w:spacing w:after="0" w:line="192" w:lineRule="exact"/>
        <w:rPr>
          <w:sz w:val="20"/>
          <w:szCs w:val="20"/>
          <w:color w:val="auto"/>
        </w:rPr>
      </w:pPr>
    </w:p>
    <w:p>
      <w:pPr>
        <w:ind w:right="120" w:firstLine="440"/>
        <w:spacing w:after="0" w:line="276" w:lineRule="auto"/>
        <w:rPr>
          <w:sz w:val="20"/>
          <w:szCs w:val="20"/>
          <w:color w:val="auto"/>
        </w:rPr>
      </w:pPr>
      <w:r>
        <w:rPr>
          <w:rFonts w:ascii="Arial" w:cs="Arial" w:eastAsia="Arial" w:hAnsi="Arial"/>
          <w:sz w:val="16"/>
          <w:szCs w:val="16"/>
          <w:color w:val="auto"/>
        </w:rPr>
        <w:t>Our failure to comply with the restrictive covenants under our revolving credit facility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Tax, Compliance, Reputable and Other Risks</w:t>
      </w:r>
    </w:p>
    <w:p>
      <w:pPr>
        <w:spacing w:after="0" w:line="175" w:lineRule="exact"/>
        <w:rPr>
          <w:sz w:val="20"/>
          <w:szCs w:val="20"/>
          <w:color w:val="auto"/>
        </w:rPr>
      </w:pPr>
    </w:p>
    <w:p>
      <w:pPr>
        <w:ind w:right="960" w:firstLine="259"/>
        <w:spacing w:after="0" w:line="246" w:lineRule="auto"/>
        <w:rPr>
          <w:sz w:val="20"/>
          <w:szCs w:val="20"/>
          <w:color w:val="auto"/>
        </w:rPr>
      </w:pPr>
      <w:r>
        <w:rPr>
          <w:rFonts w:ascii="Arial" w:cs="Arial" w:eastAsia="Arial" w:hAnsi="Arial"/>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29" w:lineRule="exact"/>
        <w:rPr>
          <w:sz w:val="20"/>
          <w:szCs w:val="20"/>
          <w:color w:val="auto"/>
        </w:rPr>
      </w:pPr>
    </w:p>
    <w:p>
      <w:pPr>
        <w:ind w:right="40" w:firstLine="259"/>
        <w:spacing w:after="0" w:line="225" w:lineRule="auto"/>
        <w:rPr>
          <w:sz w:val="20"/>
          <w:szCs w:val="20"/>
          <w:color w:val="auto"/>
        </w:rPr>
      </w:pPr>
      <w:r>
        <w:rPr>
          <w:rFonts w:ascii="Arial" w:cs="Arial" w:eastAsia="Arial" w:hAnsi="Arial"/>
          <w:sz w:val="18"/>
          <w:szCs w:val="18"/>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Currently none of our employees are represented by a union, but our employees have the right to under the National Labor Relations Act.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Unseasonal or severe weather conditions may adversely affect our merchandise sales.</w:t>
      </w:r>
    </w:p>
    <w:p>
      <w:pPr>
        <w:spacing w:after="0" w:line="171" w:lineRule="exact"/>
        <w:rPr>
          <w:sz w:val="20"/>
          <w:szCs w:val="20"/>
          <w:color w:val="auto"/>
        </w:rPr>
      </w:pPr>
    </w:p>
    <w:p>
      <w:pPr>
        <w:jc w:val="both"/>
        <w:ind w:right="100" w:firstLine="440"/>
        <w:spacing w:after="0" w:line="224" w:lineRule="auto"/>
        <w:rPr>
          <w:sz w:val="20"/>
          <w:szCs w:val="20"/>
          <w:color w:val="auto"/>
        </w:rPr>
      </w:pPr>
      <w:r>
        <w:rPr>
          <w:rFonts w:ascii="Arial" w:cs="Arial" w:eastAsia="Arial" w:hAnsi="Arial"/>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w:t>
      </w: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retail stores, deliver orders to customers on schedule and staff our retail stores, fulfillment centers and call center, which could have an adverse effect on our business and results of operations.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 designs are not protected by substantial intellectual property rights.</w:t>
      </w:r>
    </w:p>
    <w:p>
      <w:pPr>
        <w:spacing w:after="0" w:line="158"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are unable to protect or preserve our brand image and our proprietary rights, our business may be adversely affected.</w:t>
      </w:r>
    </w:p>
    <w:p>
      <w:pPr>
        <w:spacing w:after="0" w:line="171" w:lineRule="exact"/>
        <w:rPr>
          <w:sz w:val="20"/>
          <w:szCs w:val="20"/>
          <w:color w:val="auto"/>
        </w:rPr>
      </w:pPr>
    </w:p>
    <w:p>
      <w:pPr>
        <w:ind w:right="40" w:firstLine="440"/>
        <w:spacing w:after="0" w:line="237" w:lineRule="auto"/>
        <w:rPr>
          <w:sz w:val="20"/>
          <w:szCs w:val="20"/>
          <w:color w:val="auto"/>
        </w:rPr>
      </w:pPr>
      <w:r>
        <w:rPr>
          <w:rFonts w:ascii="Arial" w:cs="Arial" w:eastAsia="Arial" w:hAnsi="Arial"/>
          <w:sz w:val="17"/>
          <w:szCs w:val="17"/>
          <w:color w:val="auto"/>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 subject to liability if we infringe upon the intellectual property rights of third parties.</w:t>
      </w:r>
    </w:p>
    <w:p>
      <w:pPr>
        <w:spacing w:after="0" w:line="158"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50" w:lineRule="exact"/>
        <w:rPr>
          <w:sz w:val="20"/>
          <w:szCs w:val="20"/>
          <w:color w:val="auto"/>
        </w:rPr>
      </w:pPr>
    </w:p>
    <w:p>
      <w:pPr>
        <w:ind w:right="720" w:firstLine="259"/>
        <w:spacing w:after="0" w:line="246" w:lineRule="auto"/>
        <w:rPr>
          <w:sz w:val="20"/>
          <w:szCs w:val="20"/>
          <w:color w:val="auto"/>
        </w:rPr>
      </w:pPr>
      <w:r>
        <w:rPr>
          <w:rFonts w:ascii="Arial" w:cs="Arial" w:eastAsia="Arial" w:hAnsi="Arial"/>
          <w:sz w:val="18"/>
          <w:szCs w:val="18"/>
          <w:b w:val="1"/>
          <w:bCs w:val="1"/>
          <w:i w:val="1"/>
          <w:iCs w:val="1"/>
          <w:color w:val="auto"/>
        </w:rPr>
        <w:t>If our independent suppliers do not use ethical business practices or comply with applicable regulations and laws, our reputation could be materially harmed and our business and results of operations may be adversely affected.</w:t>
      </w:r>
    </w:p>
    <w:p>
      <w:pPr>
        <w:spacing w:after="0" w:line="129" w:lineRule="exact"/>
        <w:rPr>
          <w:sz w:val="20"/>
          <w:szCs w:val="20"/>
          <w:color w:val="auto"/>
        </w:rPr>
      </w:pPr>
    </w:p>
    <w:p>
      <w:pPr>
        <w:ind w:right="80" w:firstLine="440"/>
        <w:spacing w:after="0" w:line="239" w:lineRule="auto"/>
        <w:rPr>
          <w:sz w:val="20"/>
          <w:szCs w:val="20"/>
          <w:color w:val="auto"/>
        </w:rPr>
      </w:pPr>
      <w:r>
        <w:rPr>
          <w:rFonts w:ascii="Arial" w:cs="Arial" w:eastAsia="Arial" w:hAnsi="Arial"/>
          <w:sz w:val="17"/>
          <w:szCs w:val="17"/>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 subject to assessments for additional taxes, including sales taxes, which could adversely affect our business.</w:t>
      </w:r>
    </w:p>
    <w:p>
      <w:pPr>
        <w:spacing w:after="0" w:line="171" w:lineRule="exact"/>
        <w:rPr>
          <w:sz w:val="20"/>
          <w:szCs w:val="20"/>
          <w:color w:val="auto"/>
        </w:rPr>
      </w:pPr>
    </w:p>
    <w:p>
      <w:pPr>
        <w:ind w:right="60" w:firstLine="440"/>
        <w:spacing w:after="0" w:line="224" w:lineRule="auto"/>
        <w:rPr>
          <w:sz w:val="20"/>
          <w:szCs w:val="20"/>
          <w:color w:val="auto"/>
        </w:rPr>
      </w:pPr>
      <w:r>
        <w:rPr>
          <w:rFonts w:ascii="Arial" w:cs="Arial" w:eastAsia="Arial" w:hAnsi="Arial"/>
          <w:sz w:val="18"/>
          <w:szCs w:val="18"/>
          <w:color w:val="auto"/>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 w:firstLine="402"/>
        <w:spacing w:after="0" w:line="255" w:lineRule="auto"/>
        <w:rPr>
          <w:sz w:val="20"/>
          <w:szCs w:val="20"/>
          <w:color w:val="auto"/>
        </w:rPr>
      </w:pPr>
      <w:r>
        <w:rPr>
          <w:rFonts w:ascii="Arial" w:cs="Arial" w:eastAsia="Arial" w:hAnsi="Arial"/>
          <w:sz w:val="16"/>
          <w:szCs w:val="16"/>
          <w:color w:val="auto"/>
        </w:rPr>
        <w:t xml:space="preserve">An increasing number of states have considered or adopted laws that attempt to impose tax collection obligations on out-of-state companies. Additionally, the Supreme Court of the United States ruled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or Wayfair, that online sellers can be required to collect sales and use tax despite not having a physical presence in the buyer’s state. In response to Wayfair, or otherwise, states or local governments have adopted, or begun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37" w:lineRule="exact"/>
        <w:rPr>
          <w:sz w:val="20"/>
          <w:szCs w:val="20"/>
          <w:color w:val="auto"/>
        </w:rPr>
      </w:pPr>
    </w:p>
    <w:p>
      <w:pPr>
        <w:ind w:right="300" w:firstLine="259"/>
        <w:spacing w:after="0" w:line="246" w:lineRule="auto"/>
        <w:rPr>
          <w:sz w:val="20"/>
          <w:szCs w:val="20"/>
          <w:color w:val="auto"/>
        </w:rPr>
      </w:pPr>
      <w:r>
        <w:rPr>
          <w:rFonts w:ascii="Arial" w:cs="Arial" w:eastAsia="Arial" w:hAnsi="Arial"/>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29" w:lineRule="exact"/>
        <w:rPr>
          <w:sz w:val="20"/>
          <w:szCs w:val="20"/>
          <w:color w:val="auto"/>
        </w:rPr>
      </w:pPr>
    </w:p>
    <w:p>
      <w:pPr>
        <w:ind w:firstLine="440"/>
        <w:spacing w:after="0" w:line="236" w:lineRule="auto"/>
        <w:rPr>
          <w:sz w:val="20"/>
          <w:szCs w:val="20"/>
          <w:color w:val="auto"/>
        </w:rPr>
      </w:pPr>
      <w:r>
        <w:rPr>
          <w:rFonts w:ascii="Arial" w:cs="Arial" w:eastAsia="Arial" w:hAnsi="Arial"/>
          <w:sz w:val="17"/>
          <w:szCs w:val="17"/>
          <w:color w:val="auto"/>
        </w:rPr>
        <w:t>Our business requires compliance with many laws and regulations, including labor and employment, customs, truth-in-advertising,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to accounting rules or regulations could significantly affect our financial results.</w:t>
      </w:r>
    </w:p>
    <w:p>
      <w:pPr>
        <w:spacing w:after="0" w:line="171" w:lineRule="exact"/>
        <w:rPr>
          <w:sz w:val="20"/>
          <w:szCs w:val="20"/>
          <w:color w:val="auto"/>
        </w:rPr>
      </w:pPr>
    </w:p>
    <w:p>
      <w:pPr>
        <w:ind w:right="300" w:firstLine="440"/>
        <w:spacing w:after="0" w:line="235" w:lineRule="auto"/>
        <w:rPr>
          <w:sz w:val="20"/>
          <w:szCs w:val="20"/>
          <w:color w:val="auto"/>
        </w:rPr>
      </w:pPr>
      <w:r>
        <w:rPr>
          <w:rFonts w:ascii="Arial" w:cs="Arial" w:eastAsia="Arial" w:hAnsi="Arial"/>
          <w:sz w:val="18"/>
          <w:szCs w:val="18"/>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B Common Stock</w:t>
      </w:r>
    </w:p>
    <w:p>
      <w:pPr>
        <w:spacing w:after="0" w:line="162" w:lineRule="exact"/>
        <w:rPr>
          <w:sz w:val="20"/>
          <w:szCs w:val="20"/>
          <w:color w:val="auto"/>
        </w:rPr>
      </w:pPr>
    </w:p>
    <w:p>
      <w:pPr>
        <w:ind w:right="100" w:firstLine="259"/>
        <w:spacing w:after="0" w:line="235" w:lineRule="auto"/>
        <w:rPr>
          <w:sz w:val="20"/>
          <w:szCs w:val="20"/>
          <w:color w:val="auto"/>
        </w:rPr>
      </w:pPr>
      <w:r>
        <w:rPr>
          <w:rFonts w:ascii="Arial" w:cs="Arial" w:eastAsia="Arial" w:hAnsi="Arial"/>
          <w:sz w:val="18"/>
          <w:szCs w:val="18"/>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48" w:lineRule="exact"/>
        <w:rPr>
          <w:sz w:val="20"/>
          <w:szCs w:val="20"/>
          <w:color w:val="auto"/>
        </w:rPr>
      </w:pPr>
    </w:p>
    <w:p>
      <w:pPr>
        <w:ind w:right="40" w:firstLine="440"/>
        <w:spacing w:after="0" w:line="253" w:lineRule="auto"/>
        <w:rPr>
          <w:sz w:val="20"/>
          <w:szCs w:val="20"/>
          <w:color w:val="auto"/>
        </w:rPr>
      </w:pPr>
      <w:r>
        <w:rPr>
          <w:rFonts w:ascii="Arial" w:cs="Arial" w:eastAsia="Arial" w:hAnsi="Arial"/>
          <w:sz w:val="16"/>
          <w:szCs w:val="16"/>
          <w:color w:val="auto"/>
        </w:rPr>
        <w:t>Our Class A common stock has ten votes per share, and our Class B common stock has one vote per share. Given the greater number of votes per share attributed to our Class A common stock, our Executive Chairman and Chief Executive Officer, Stephen L. Schlecht, who is our only Class A shareholder, beneficially owns shares representing more than 50%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together with our other executive officers, directors and their affiliates, owns shares representing the majority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26" w:lineRule="exact"/>
        <w:rPr>
          <w:sz w:val="20"/>
          <w:szCs w:val="20"/>
          <w:color w:val="auto"/>
        </w:rPr>
      </w:pPr>
    </w:p>
    <w:p>
      <w:pPr>
        <w:ind w:right="60" w:firstLine="440"/>
        <w:spacing w:after="0" w:line="225" w:lineRule="auto"/>
        <w:rPr>
          <w:sz w:val="20"/>
          <w:szCs w:val="20"/>
          <w:color w:val="auto"/>
        </w:rPr>
      </w:pPr>
      <w:r>
        <w:rPr>
          <w:rFonts w:ascii="Arial" w:cs="Arial" w:eastAsia="Arial" w:hAnsi="Arial"/>
          <w:sz w:val="18"/>
          <w:szCs w:val="18"/>
          <w:color w:val="auto"/>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140" w:firstLine="259"/>
        <w:spacing w:after="0" w:line="246"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43" w:lineRule="exact"/>
        <w:rPr>
          <w:sz w:val="20"/>
          <w:szCs w:val="20"/>
          <w:color w:val="auto"/>
        </w:rPr>
      </w:pPr>
    </w:p>
    <w:p>
      <w:pPr>
        <w:ind w:right="160" w:firstLine="440"/>
        <w:spacing w:after="0" w:line="235" w:lineRule="auto"/>
        <w:rPr>
          <w:sz w:val="20"/>
          <w:szCs w:val="20"/>
          <w:color w:val="auto"/>
        </w:rPr>
      </w:pPr>
      <w:r>
        <w:rPr>
          <w:rFonts w:ascii="Arial" w:cs="Arial" w:eastAsia="Arial" w:hAnsi="Arial"/>
          <w:sz w:val="18"/>
          <w:szCs w:val="18"/>
          <w:color w:val="auto"/>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spacing w:after="0" w:line="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that a majority of our board of directors consist of independent directors, as defined under the rules of NASDAQ;</w:t>
      </w:r>
    </w:p>
    <w:p>
      <w:pPr>
        <w:spacing w:after="0" w:line="90" w:lineRule="exact"/>
        <w:rPr>
          <w:sz w:val="20"/>
          <w:szCs w:val="20"/>
          <w:color w:val="auto"/>
        </w:rPr>
      </w:pPr>
    </w:p>
    <w:p>
      <w:pPr>
        <w:ind w:left="880" w:right="420"/>
        <w:spacing w:after="0" w:line="261" w:lineRule="auto"/>
        <w:rPr>
          <w:sz w:val="20"/>
          <w:szCs w:val="20"/>
          <w:color w:val="auto"/>
        </w:rPr>
      </w:pPr>
      <w:r>
        <w:rPr>
          <w:rFonts w:ascii="Arial" w:cs="Arial" w:eastAsia="Arial" w:hAnsi="Arial"/>
          <w:sz w:val="18"/>
          <w:szCs w:val="18"/>
          <w:color w:val="auto"/>
        </w:rPr>
        <w:t>that we have a nominating committee that is composed entirely of independent directors with a written charter addressing the committee’s purpose and responsibilities; and</w:t>
      </w:r>
    </w:p>
    <w:p>
      <w:pPr>
        <w:spacing w:after="0" w:line="36" w:lineRule="exact"/>
        <w:rPr>
          <w:sz w:val="20"/>
          <w:szCs w:val="20"/>
          <w:color w:val="auto"/>
        </w:rPr>
      </w:pPr>
    </w:p>
    <w:p>
      <w:pPr>
        <w:ind w:left="880" w:right="240"/>
        <w:spacing w:after="0" w:line="261" w:lineRule="auto"/>
        <w:rPr>
          <w:sz w:val="20"/>
          <w:szCs w:val="20"/>
          <w:color w:val="auto"/>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responsibilities.</w:t>
      </w:r>
    </w:p>
    <w:p>
      <w:pPr>
        <w:spacing w:after="0" w:line="117" w:lineRule="exact"/>
        <w:rPr>
          <w:sz w:val="20"/>
          <w:szCs w:val="20"/>
          <w:color w:val="auto"/>
        </w:rPr>
      </w:pPr>
    </w:p>
    <w:p>
      <w:pPr>
        <w:ind w:right="100" w:firstLine="440"/>
        <w:spacing w:after="0" w:line="276" w:lineRule="auto"/>
        <w:rPr>
          <w:sz w:val="20"/>
          <w:szCs w:val="20"/>
          <w:color w:val="auto"/>
        </w:rPr>
      </w:pPr>
      <w:r>
        <w:rPr>
          <w:rFonts w:ascii="Arial" w:cs="Arial" w:eastAsia="Arial" w:hAnsi="Arial"/>
          <w:sz w:val="16"/>
          <w:szCs w:val="16"/>
          <w:color w:val="auto"/>
        </w:rPr>
        <w:t>Although we have a majority of independent directors on our board even though we will are a controlled company,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stock price may be volatile or may decline regardless of our operating performance, resulting in substantial losses for investors.</w:t>
      </w:r>
    </w:p>
    <w:p>
      <w:pPr>
        <w:spacing w:after="0" w:line="183"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The market price of our Class B common stock may fluctuate significantly in response to numerous factors, many of which are beyond our control, including:</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actual or anticipated fluctuations in our results of operations, particularly in our growth rates and margins;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0" w:lineRule="exact"/>
        <w:rPr>
          <w:sz w:val="20"/>
          <w:szCs w:val="20"/>
          <w:color w:val="auto"/>
        </w:rPr>
      </w:pPr>
    </w:p>
    <w:p>
      <w:pPr>
        <w:ind w:left="880" w:right="20"/>
        <w:spacing w:after="0" w:line="261" w:lineRule="auto"/>
        <w:rPr>
          <w:sz w:val="20"/>
          <w:szCs w:val="20"/>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22" w:lineRule="exact"/>
        <w:rPr>
          <w:sz w:val="20"/>
          <w:szCs w:val="20"/>
          <w:color w:val="auto"/>
        </w:rPr>
      </w:pPr>
    </w:p>
    <w:p>
      <w:pPr>
        <w:ind w:left="880" w:right="440"/>
        <w:spacing w:after="0" w:line="261" w:lineRule="auto"/>
        <w:rPr>
          <w:sz w:val="20"/>
          <w:szCs w:val="20"/>
          <w:color w:val="auto"/>
        </w:rPr>
      </w:pPr>
      <w:r>
        <w:rPr>
          <w:rFonts w:ascii="Arial" w:cs="Arial" w:eastAsia="Arial" w:hAnsi="Arial"/>
          <w:sz w:val="18"/>
          <w:szCs w:val="18"/>
          <w:color w:val="auto"/>
        </w:rPr>
        <w:t>announcements by us or our competitors of significant technical innovations, acquisitions, strategic partnerships, joint ventures, operating results or capital commitments;</w:t>
      </w:r>
    </w:p>
    <w:p>
      <w:pPr>
        <w:spacing w:after="0" w:line="36" w:lineRule="exact"/>
        <w:rPr>
          <w:sz w:val="20"/>
          <w:szCs w:val="20"/>
          <w:color w:val="auto"/>
        </w:rPr>
      </w:pPr>
    </w:p>
    <w:p>
      <w:pPr>
        <w:ind w:left="880" w:right="320"/>
        <w:spacing w:after="0" w:line="261" w:lineRule="auto"/>
        <w:rPr>
          <w:sz w:val="20"/>
          <w:szCs w:val="20"/>
          <w:color w:val="auto"/>
        </w:rPr>
      </w:pPr>
      <w:r>
        <w:rPr>
          <w:rFonts w:ascii="Arial" w:cs="Arial" w:eastAsia="Arial" w:hAnsi="Arial"/>
          <w:sz w:val="18"/>
          <w:szCs w:val="18"/>
          <w:color w:val="auto"/>
        </w:rPr>
        <w:t>changes in operating performance and stock market valuations of other technology or retail companies generally, or those in our industry in particular;</w:t>
      </w:r>
    </w:p>
    <w:p>
      <w:pPr>
        <w:spacing w:after="0" w:line="36" w:lineRule="exact"/>
        <w:rPr>
          <w:sz w:val="20"/>
          <w:szCs w:val="20"/>
          <w:color w:val="auto"/>
        </w:rPr>
      </w:pPr>
    </w:p>
    <w:p>
      <w:pPr>
        <w:ind w:left="880" w:right="2020"/>
        <w:spacing w:after="0" w:line="336" w:lineRule="auto"/>
        <w:rPr>
          <w:sz w:val="20"/>
          <w:szCs w:val="20"/>
          <w:color w:val="auto"/>
        </w:rPr>
      </w:pPr>
      <w:r>
        <w:rPr>
          <w:rFonts w:ascii="Arial" w:cs="Arial" w:eastAsia="Arial" w:hAnsi="Arial"/>
          <w:sz w:val="18"/>
          <w:szCs w:val="18"/>
          <w:color w:val="auto"/>
        </w:rPr>
        <w:t>price and volume fluctuations in the overall stock market, including as a result of trends in the economy as a whole; changes in our board of directors or management;</w:t>
      </w:r>
    </w:p>
    <w:p>
      <w:pPr>
        <w:spacing w:after="0" w:line="1" w:lineRule="exact"/>
        <w:rPr>
          <w:sz w:val="20"/>
          <w:szCs w:val="20"/>
          <w:color w:val="auto"/>
        </w:rPr>
      </w:pPr>
    </w:p>
    <w:p>
      <w:pPr>
        <w:ind w:left="880" w:right="880"/>
        <w:spacing w:after="0" w:line="336" w:lineRule="auto"/>
        <w:rPr>
          <w:sz w:val="20"/>
          <w:szCs w:val="20"/>
          <w:color w:val="auto"/>
        </w:rPr>
      </w:pPr>
      <w:r>
        <w:rPr>
          <w:rFonts w:ascii="Arial" w:cs="Arial" w:eastAsia="Arial" w:hAnsi="Arial"/>
          <w:sz w:val="18"/>
          <w:szCs w:val="18"/>
          <w:color w:val="auto"/>
        </w:rPr>
        <w:t>sales of large blocks of our Class B common stock, including sales by our executive officers, directors and significant shareholders; lawsuits threatened or filed against us;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changes in laws or regulations applicable to our business;</w:t>
      </w:r>
    </w:p>
    <w:p>
      <w:pPr>
        <w:spacing w:after="0" w:line="90" w:lineRule="exact"/>
        <w:rPr>
          <w:sz w:val="20"/>
          <w:szCs w:val="20"/>
          <w:color w:val="auto"/>
        </w:rPr>
      </w:pPr>
    </w:p>
    <w:p>
      <w:pPr>
        <w:ind w:left="880" w:right="4280"/>
        <w:spacing w:after="0" w:line="359" w:lineRule="auto"/>
        <w:rPr>
          <w:sz w:val="20"/>
          <w:szCs w:val="20"/>
          <w:color w:val="auto"/>
        </w:rPr>
      </w:pPr>
      <w:r>
        <w:rPr>
          <w:rFonts w:ascii="Arial" w:cs="Arial" w:eastAsia="Arial" w:hAnsi="Arial"/>
          <w:sz w:val="17"/>
          <w:szCs w:val="17"/>
          <w:color w:val="auto"/>
        </w:rPr>
        <w:t>changes in our capital structure, such as future issuances of debt or equity securities; short sales, hedging and other derivative transactions involving our capital stock; general economic conditions in the United States and abroad; and</w:t>
      </w:r>
    </w:p>
    <w:p>
      <w:pPr>
        <w:ind w:left="880"/>
        <w:spacing w:after="0"/>
        <w:rPr>
          <w:sz w:val="20"/>
          <w:szCs w:val="20"/>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171" w:lineRule="exact"/>
        <w:rPr>
          <w:sz w:val="20"/>
          <w:szCs w:val="20"/>
          <w:color w:val="auto"/>
        </w:rPr>
      </w:pPr>
    </w:p>
    <w:p>
      <w:pPr>
        <w:ind w:firstLine="440"/>
        <w:spacing w:after="0" w:line="252" w:lineRule="auto"/>
        <w:rPr>
          <w:sz w:val="20"/>
          <w:szCs w:val="20"/>
          <w:color w:val="auto"/>
        </w:rPr>
      </w:pPr>
      <w:r>
        <w:rPr>
          <w:rFonts w:ascii="Arial" w:cs="Arial" w:eastAsia="Arial" w:hAnsi="Arial"/>
          <w:sz w:val="16"/>
          <w:szCs w:val="16"/>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40" w:firstLine="259"/>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43" w:lineRule="exact"/>
        <w:rPr>
          <w:sz w:val="20"/>
          <w:szCs w:val="20"/>
          <w:color w:val="auto"/>
        </w:rPr>
      </w:pPr>
    </w:p>
    <w:p>
      <w:pPr>
        <w:ind w:right="60" w:firstLine="440"/>
        <w:spacing w:after="0" w:line="266" w:lineRule="auto"/>
        <w:rPr>
          <w:sz w:val="20"/>
          <w:szCs w:val="20"/>
          <w:color w:val="auto"/>
        </w:rPr>
      </w:pPr>
      <w:r>
        <w:rPr>
          <w:rFonts w:ascii="Arial" w:cs="Arial" w:eastAsia="Arial" w:hAnsi="Arial"/>
          <w:sz w:val="16"/>
          <w:szCs w:val="16"/>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16" w:lineRule="exact"/>
        <w:rPr>
          <w:sz w:val="20"/>
          <w:szCs w:val="20"/>
          <w:color w:val="auto"/>
        </w:rPr>
      </w:pPr>
    </w:p>
    <w:p>
      <w:pPr>
        <w:ind w:right="300" w:firstLine="259"/>
        <w:spacing w:after="0" w:line="246"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29" w:lineRule="exact"/>
        <w:rPr>
          <w:sz w:val="20"/>
          <w:szCs w:val="20"/>
          <w:color w:val="auto"/>
        </w:rPr>
      </w:pPr>
    </w:p>
    <w:p>
      <w:pPr>
        <w:ind w:firstLine="440"/>
        <w:spacing w:after="0" w:line="254"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 We will need to hire additional employees or engage outside consultants to comply with these requirements, which will increase our costs and expenses.</w:t>
      </w:r>
    </w:p>
    <w:p>
      <w:pPr>
        <w:spacing w:after="0" w:line="138" w:lineRule="exact"/>
        <w:rPr>
          <w:sz w:val="20"/>
          <w:szCs w:val="20"/>
          <w:color w:val="auto"/>
        </w:rPr>
      </w:pPr>
    </w:p>
    <w:p>
      <w:pPr>
        <w:ind w:right="140" w:firstLine="440"/>
        <w:spacing w:after="0" w:line="237"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39" w:lineRule="exact"/>
        <w:rPr>
          <w:sz w:val="20"/>
          <w:szCs w:val="20"/>
          <w:color w:val="auto"/>
        </w:rPr>
      </w:pPr>
    </w:p>
    <w:p>
      <w:pPr>
        <w:ind w:right="20" w:firstLine="440"/>
        <w:spacing w:after="0" w:line="228" w:lineRule="auto"/>
        <w:rPr>
          <w:sz w:val="20"/>
          <w:szCs w:val="20"/>
          <w:color w:val="auto"/>
        </w:rPr>
      </w:pPr>
      <w:r>
        <w:rPr>
          <w:rFonts w:ascii="Arial" w:cs="Arial" w:eastAsia="Arial" w:hAnsi="Arial"/>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37" w:lineRule="exact"/>
        <w:rPr>
          <w:sz w:val="20"/>
          <w:szCs w:val="20"/>
          <w:color w:val="auto"/>
        </w:rPr>
      </w:pPr>
    </w:p>
    <w:p>
      <w:pPr>
        <w:ind w:right="580" w:firstLine="259"/>
        <w:spacing w:after="0" w:line="307"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96" w:lineRule="exact"/>
        <w:rPr>
          <w:sz w:val="20"/>
          <w:szCs w:val="20"/>
          <w:color w:val="auto"/>
        </w:rPr>
      </w:pPr>
    </w:p>
    <w:p>
      <w:pPr>
        <w:ind w:right="260" w:firstLine="440"/>
        <w:spacing w:after="0" w:line="235" w:lineRule="auto"/>
        <w:rPr>
          <w:sz w:val="20"/>
          <w:szCs w:val="20"/>
          <w:color w:val="auto"/>
        </w:rPr>
      </w:pPr>
      <w:r>
        <w:rPr>
          <w:rFonts w:ascii="Arial" w:cs="Arial" w:eastAsia="Arial" w:hAnsi="Arial"/>
          <w:sz w:val="18"/>
          <w:szCs w:val="18"/>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spacing w:after="0" w:line="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90" w:lineRule="exact"/>
        <w:rPr>
          <w:sz w:val="20"/>
          <w:szCs w:val="20"/>
          <w:color w:val="auto"/>
        </w:rPr>
      </w:pPr>
    </w:p>
    <w:p>
      <w:pPr>
        <w:ind w:left="880" w:right="820"/>
        <w:spacing w:after="0" w:line="356" w:lineRule="auto"/>
        <w:rPr>
          <w:sz w:val="20"/>
          <w:szCs w:val="20"/>
          <w:color w:val="auto"/>
        </w:rPr>
      </w:pPr>
      <w:r>
        <w:rPr>
          <w:rFonts w:ascii="Arial" w:cs="Arial" w:eastAsia="Arial" w:hAnsi="Arial"/>
          <w:sz w:val="17"/>
          <w:szCs w:val="17"/>
          <w:color w:val="auto"/>
        </w:rPr>
        <w:t>authorize the issuance of “blank check” preferred stock that our board of directors could use to implement a shareholder rights plan; provide that the board of directors is expressly authorized to make, alter or repeal our bylaws; and</w:t>
      </w:r>
    </w:p>
    <w:p>
      <w:pPr>
        <w:spacing w:after="0" w:line="1" w:lineRule="exact"/>
        <w:rPr>
          <w:sz w:val="20"/>
          <w:szCs w:val="20"/>
          <w:color w:val="auto"/>
        </w:rPr>
      </w:pPr>
    </w:p>
    <w:p>
      <w:pPr>
        <w:ind w:left="880" w:right="80"/>
        <w:spacing w:after="0" w:line="239" w:lineRule="auto"/>
        <w:rPr>
          <w:sz w:val="20"/>
          <w:szCs w:val="20"/>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shareholders at annual or special shareholder meetings.</w:t>
      </w: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40"/>
        <w:spacing w:after="0" w:line="227" w:lineRule="auto"/>
        <w:rPr>
          <w:sz w:val="20"/>
          <w:szCs w:val="20"/>
          <w:color w:val="auto"/>
        </w:rPr>
      </w:pPr>
      <w:r>
        <w:rPr>
          <w:rFonts w:ascii="Arial" w:cs="Arial" w:eastAsia="Arial" w:hAnsi="Arial"/>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3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color w:val="auto"/>
        </w:rPr>
        <w:t>UNRESOLVED STAFF COMMENTS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3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location, primary use and size of our leased and owned facilities as of January 30,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258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0"/>
              </w:rPr>
              <w:t>Number of Stores</w:t>
            </w:r>
          </w:p>
        </w:tc>
        <w:tc>
          <w:tcPr>
            <w:tcW w:w="29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4"/>
              </w:rPr>
              <w:t>Primary Use</w:t>
            </w: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Gross Sq Ft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Leased/Owned</w:t>
            </w:r>
          </w:p>
        </w:tc>
      </w:tr>
      <w:tr>
        <w:trPr>
          <w:trHeight w:val="183"/>
        </w:trPr>
        <w:tc>
          <w:tcPr>
            <w:tcW w:w="2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jc w:val="center"/>
              <w:ind w:right="1119"/>
              <w:spacing w:after="0" w:line="183" w:lineRule="exact"/>
              <w:rPr>
                <w:sz w:val="20"/>
                <w:szCs w:val="20"/>
                <w:color w:val="auto"/>
              </w:rPr>
            </w:pPr>
            <w:r>
              <w:rPr>
                <w:rFonts w:ascii="Arial" w:cs="Arial" w:eastAsia="Arial" w:hAnsi="Arial"/>
                <w:sz w:val="16"/>
                <w:szCs w:val="16"/>
                <w:b w:val="1"/>
                <w:bCs w:val="1"/>
                <w:color w:val="auto"/>
                <w:w w:val="89"/>
              </w:rPr>
              <w:t>Retail Stores</w:t>
            </w:r>
          </w:p>
        </w:tc>
        <w:tc>
          <w:tcPr>
            <w:tcW w:w="1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200"/>
        </w:trPr>
        <w:tc>
          <w:tcPr>
            <w:tcW w:w="2180" w:type="dxa"/>
            <w:vAlign w:val="bottom"/>
          </w:tcPr>
          <w:p>
            <w:pPr>
              <w:spacing w:after="0"/>
              <w:rPr>
                <w:sz w:val="20"/>
                <w:szCs w:val="20"/>
                <w:color w:val="auto"/>
              </w:rPr>
            </w:pPr>
            <w:r>
              <w:rPr>
                <w:rFonts w:ascii="Arial" w:cs="Arial" w:eastAsia="Arial" w:hAnsi="Arial"/>
                <w:sz w:val="16"/>
                <w:szCs w:val="16"/>
                <w:b w:val="1"/>
                <w:bCs w:val="1"/>
                <w:color w:val="auto"/>
              </w:rPr>
              <w:t>North East</w:t>
            </w:r>
          </w:p>
        </w:tc>
        <w:tc>
          <w:tcPr>
            <w:tcW w:w="2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Connecticut</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9,792</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Maine</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12,951</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Massachusetts</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16,360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New Jersey</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24,741</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Pennsylvania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34,945</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198"/>
        </w:trPr>
        <w:tc>
          <w:tcPr>
            <w:tcW w:w="2180" w:type="dxa"/>
            <w:vAlign w:val="bottom"/>
          </w:tcPr>
          <w:p>
            <w:pPr>
              <w:ind w:left="120"/>
              <w:spacing w:after="0"/>
              <w:rPr>
                <w:sz w:val="20"/>
                <w:szCs w:val="20"/>
                <w:color w:val="auto"/>
              </w:rPr>
            </w:pPr>
            <w:r>
              <w:rPr>
                <w:rFonts w:ascii="Arial" w:cs="Arial" w:eastAsia="Arial" w:hAnsi="Arial"/>
                <w:sz w:val="16"/>
                <w:szCs w:val="16"/>
                <w:color w:val="auto"/>
              </w:rPr>
              <w:t>Rhode Island</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14,528</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7"/>
        </w:trPr>
        <w:tc>
          <w:tcPr>
            <w:tcW w:w="2180" w:type="dxa"/>
            <w:vAlign w:val="bottom"/>
          </w:tcPr>
          <w:p>
            <w:pPr>
              <w:spacing w:after="0"/>
              <w:rPr>
                <w:sz w:val="20"/>
                <w:szCs w:val="20"/>
                <w:color w:val="auto"/>
              </w:rPr>
            </w:pPr>
            <w:r>
              <w:rPr>
                <w:rFonts w:ascii="Arial" w:cs="Arial" w:eastAsia="Arial" w:hAnsi="Arial"/>
                <w:sz w:val="16"/>
                <w:szCs w:val="16"/>
                <w:b w:val="1"/>
                <w:bCs w:val="1"/>
                <w:color w:val="auto"/>
              </w:rPr>
              <w:t>Midwest</w:t>
            </w:r>
          </w:p>
        </w:tc>
        <w:tc>
          <w:tcPr>
            <w:tcW w:w="2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Illinois</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3</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38,410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Indiana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14,557</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Iowa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12,249</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Kansas</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15,385</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Michigan</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3</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45,588</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Minnesota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4</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61,900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Missouri</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27,692</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Nebraska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15,757</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North Dakota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14,557</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Ohio</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4</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58,420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South Dakota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9,166</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198"/>
        </w:trPr>
        <w:tc>
          <w:tcPr>
            <w:tcW w:w="2180" w:type="dxa"/>
            <w:vAlign w:val="bottom"/>
          </w:tcPr>
          <w:p>
            <w:pPr>
              <w:ind w:left="120"/>
              <w:spacing w:after="0"/>
              <w:rPr>
                <w:sz w:val="20"/>
                <w:szCs w:val="20"/>
                <w:color w:val="auto"/>
              </w:rPr>
            </w:pPr>
            <w:r>
              <w:rPr>
                <w:rFonts w:ascii="Arial" w:cs="Arial" w:eastAsia="Arial" w:hAnsi="Arial"/>
                <w:sz w:val="16"/>
                <w:szCs w:val="16"/>
                <w:color w:val="auto"/>
              </w:rPr>
              <w:t>Wisconsin</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4</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53,246</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7"/>
        </w:trPr>
        <w:tc>
          <w:tcPr>
            <w:tcW w:w="2180" w:type="dxa"/>
            <w:vAlign w:val="bottom"/>
          </w:tcPr>
          <w:p>
            <w:pPr>
              <w:spacing w:after="0"/>
              <w:rPr>
                <w:sz w:val="20"/>
                <w:szCs w:val="20"/>
                <w:color w:val="auto"/>
              </w:rPr>
            </w:pPr>
            <w:r>
              <w:rPr>
                <w:rFonts w:ascii="Arial" w:cs="Arial" w:eastAsia="Arial" w:hAnsi="Arial"/>
                <w:sz w:val="16"/>
                <w:szCs w:val="16"/>
                <w:b w:val="1"/>
                <w:bCs w:val="1"/>
                <w:color w:val="auto"/>
              </w:rPr>
              <w:t>South</w:t>
            </w:r>
          </w:p>
        </w:tc>
        <w:tc>
          <w:tcPr>
            <w:tcW w:w="2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Alabama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31,312</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Arkansas</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15,656</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Florida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14,557</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Georgia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20,041</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Kentucky</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28,582</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North Carolina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41,672</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Oklahoma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15,536</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Tennessee</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27,325</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Texas</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6</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92,212</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198"/>
        </w:trPr>
        <w:tc>
          <w:tcPr>
            <w:tcW w:w="2180" w:type="dxa"/>
            <w:vAlign w:val="bottom"/>
          </w:tcPr>
          <w:p>
            <w:pPr>
              <w:ind w:left="120"/>
              <w:spacing w:after="0"/>
              <w:rPr>
                <w:sz w:val="20"/>
                <w:szCs w:val="20"/>
                <w:color w:val="auto"/>
              </w:rPr>
            </w:pPr>
            <w:r>
              <w:rPr>
                <w:rFonts w:ascii="Arial" w:cs="Arial" w:eastAsia="Arial" w:hAnsi="Arial"/>
                <w:sz w:val="16"/>
                <w:szCs w:val="16"/>
                <w:color w:val="auto"/>
              </w:rPr>
              <w:t>Virginia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31,828</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2180" w:type="dxa"/>
            <w:vAlign w:val="bottom"/>
          </w:tcPr>
          <w:p>
            <w:pPr>
              <w:spacing w:after="0"/>
              <w:rPr>
                <w:sz w:val="20"/>
                <w:szCs w:val="20"/>
                <w:color w:val="auto"/>
              </w:rPr>
            </w:pPr>
            <w:r>
              <w:rPr>
                <w:rFonts w:ascii="Arial" w:cs="Arial" w:eastAsia="Arial" w:hAnsi="Arial"/>
                <w:sz w:val="16"/>
                <w:szCs w:val="16"/>
                <w:b w:val="1"/>
                <w:bCs w:val="1"/>
                <w:color w:val="auto"/>
              </w:rPr>
              <w:t>West</w:t>
            </w:r>
          </w:p>
        </w:tc>
        <w:tc>
          <w:tcPr>
            <w:tcW w:w="2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Alaska</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25,409</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Colorado</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3</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52,643</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Oregon</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39,463</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ind w:left="120"/>
              <w:spacing w:after="0"/>
              <w:rPr>
                <w:sz w:val="20"/>
                <w:szCs w:val="20"/>
                <w:color w:val="auto"/>
              </w:rPr>
            </w:pPr>
            <w:r>
              <w:rPr>
                <w:rFonts w:ascii="Arial" w:cs="Arial" w:eastAsia="Arial" w:hAnsi="Arial"/>
                <w:sz w:val="16"/>
                <w:szCs w:val="16"/>
                <w:color w:val="auto"/>
              </w:rPr>
              <w:t>Utah</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15,602</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199"/>
        </w:trPr>
        <w:tc>
          <w:tcPr>
            <w:tcW w:w="2180" w:type="dxa"/>
            <w:vAlign w:val="bottom"/>
          </w:tcPr>
          <w:p>
            <w:pPr>
              <w:ind w:left="120"/>
              <w:spacing w:after="0"/>
              <w:rPr>
                <w:sz w:val="20"/>
                <w:szCs w:val="20"/>
                <w:color w:val="auto"/>
              </w:rPr>
            </w:pPr>
            <w:r>
              <w:rPr>
                <w:rFonts w:ascii="Arial" w:cs="Arial" w:eastAsia="Arial" w:hAnsi="Arial"/>
                <w:sz w:val="16"/>
                <w:szCs w:val="16"/>
                <w:color w:val="auto"/>
              </w:rPr>
              <w:t>Washington</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88"/>
              </w:rPr>
              <w:t>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15,656</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189"/>
        </w:trPr>
        <w:tc>
          <w:tcPr>
            <w:tcW w:w="2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center"/>
              <w:ind w:right="1099"/>
              <w:spacing w:after="0"/>
              <w:rPr>
                <w:sz w:val="20"/>
                <w:szCs w:val="20"/>
                <w:color w:val="auto"/>
              </w:rPr>
            </w:pPr>
            <w:r>
              <w:rPr>
                <w:rFonts w:ascii="Arial" w:cs="Arial" w:eastAsia="Arial" w:hAnsi="Arial"/>
                <w:sz w:val="16"/>
                <w:szCs w:val="16"/>
                <w:b w:val="1"/>
                <w:bCs w:val="1"/>
                <w:color w:val="auto"/>
                <w:w w:val="98"/>
              </w:rPr>
              <w:t>Other</w:t>
            </w:r>
          </w:p>
        </w:tc>
        <w:tc>
          <w:tcPr>
            <w:tcW w:w="18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00"/>
        </w:trPr>
        <w:tc>
          <w:tcPr>
            <w:tcW w:w="2180" w:type="dxa"/>
            <w:vAlign w:val="bottom"/>
          </w:tcPr>
          <w:p>
            <w:pPr>
              <w:spacing w:after="0"/>
              <w:rPr>
                <w:sz w:val="20"/>
                <w:szCs w:val="20"/>
                <w:color w:val="auto"/>
              </w:rPr>
            </w:pPr>
            <w:r>
              <w:rPr>
                <w:rFonts w:ascii="Arial" w:cs="Arial" w:eastAsia="Arial" w:hAnsi="Arial"/>
                <w:sz w:val="16"/>
                <w:szCs w:val="16"/>
                <w:color w:val="auto"/>
              </w:rPr>
              <w:t>Mount Horeb, WI</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Arial" w:cs="Arial" w:eastAsia="Arial" w:hAnsi="Arial"/>
                <w:sz w:val="16"/>
                <w:szCs w:val="16"/>
                <w:color w:val="auto"/>
                <w:w w:val="91"/>
              </w:rPr>
              <w:t>Photo Studio</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7,000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Belleville, WI</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Arial" w:cs="Arial" w:eastAsia="Arial" w:hAnsi="Arial"/>
                <w:sz w:val="16"/>
                <w:szCs w:val="16"/>
                <w:color w:val="auto"/>
                <w:w w:val="91"/>
              </w:rPr>
              <w:t>Outlet 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17,890</w:t>
            </w:r>
          </w:p>
        </w:tc>
        <w:tc>
          <w:tcPr>
            <w:tcW w:w="176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Oshkosh, WI</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Arial" w:cs="Arial" w:eastAsia="Arial" w:hAnsi="Arial"/>
                <w:sz w:val="16"/>
                <w:szCs w:val="16"/>
                <w:color w:val="auto"/>
                <w:w w:val="91"/>
              </w:rPr>
              <w:t>Outlet 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12,777</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Red Wing, MN</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Arial" w:cs="Arial" w:eastAsia="Arial" w:hAnsi="Arial"/>
                <w:sz w:val="16"/>
                <w:szCs w:val="16"/>
                <w:color w:val="auto"/>
                <w:w w:val="91"/>
              </w:rPr>
              <w:t>Outlet store</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15,560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Mount Horeb, WI</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Arial" w:cs="Arial" w:eastAsia="Arial" w:hAnsi="Arial"/>
                <w:sz w:val="16"/>
                <w:szCs w:val="16"/>
                <w:color w:val="auto"/>
                <w:w w:val="89"/>
              </w:rPr>
              <w:t>Corporate headquarters</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108,000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Belleville, WI</w:t>
            </w:r>
          </w:p>
        </w:tc>
        <w:tc>
          <w:tcPr>
            <w:tcW w:w="2580" w:type="dxa"/>
            <w:vAlign w:val="bottom"/>
          </w:tcPr>
          <w:p>
            <w:pPr>
              <w:spacing w:after="0"/>
              <w:rPr>
                <w:sz w:val="17"/>
                <w:szCs w:val="17"/>
                <w:color w:val="auto"/>
              </w:rPr>
            </w:pP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94"/>
              </w:rPr>
              <w:t>Distribution center</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220,000</w:t>
            </w:r>
          </w:p>
        </w:tc>
        <w:tc>
          <w:tcPr>
            <w:tcW w:w="176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Dubuque, IA</w:t>
            </w:r>
          </w:p>
        </w:tc>
        <w:tc>
          <w:tcPr>
            <w:tcW w:w="2580" w:type="dxa"/>
            <w:vAlign w:val="bottom"/>
          </w:tcPr>
          <w:p>
            <w:pPr>
              <w:spacing w:after="0"/>
              <w:rPr>
                <w:sz w:val="17"/>
                <w:szCs w:val="17"/>
                <w:color w:val="auto"/>
              </w:rPr>
            </w:pP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94"/>
              </w:rPr>
              <w:t>Distribution center</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216,000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Salt Lake City, UT</w:t>
            </w:r>
          </w:p>
        </w:tc>
        <w:tc>
          <w:tcPr>
            <w:tcW w:w="2580" w:type="dxa"/>
            <w:vAlign w:val="bottom"/>
          </w:tcPr>
          <w:p>
            <w:pPr>
              <w:spacing w:after="0"/>
              <w:rPr>
                <w:sz w:val="17"/>
                <w:szCs w:val="17"/>
                <w:color w:val="auto"/>
              </w:rPr>
            </w:pPr>
          </w:p>
        </w:tc>
        <w:tc>
          <w:tcPr>
            <w:tcW w:w="2920" w:type="dxa"/>
            <w:vAlign w:val="bottom"/>
          </w:tcPr>
          <w:p>
            <w:pPr>
              <w:jc w:val="center"/>
              <w:ind w:left="179"/>
              <w:spacing w:after="0"/>
              <w:rPr>
                <w:sz w:val="20"/>
                <w:szCs w:val="20"/>
                <w:color w:val="auto"/>
              </w:rPr>
            </w:pPr>
            <w:r>
              <w:rPr>
                <w:rFonts w:ascii="Arial" w:cs="Arial" w:eastAsia="Arial" w:hAnsi="Arial"/>
                <w:sz w:val="16"/>
                <w:szCs w:val="16"/>
                <w:color w:val="auto"/>
                <w:w w:val="94"/>
              </w:rPr>
              <w:t>Distribution center</w:t>
            </w:r>
          </w:p>
        </w:tc>
        <w:tc>
          <w:tcPr>
            <w:tcW w:w="1800" w:type="dxa"/>
            <w:vAlign w:val="bottom"/>
          </w:tcPr>
          <w:p>
            <w:pPr>
              <w:jc w:val="center"/>
              <w:ind w:left="79"/>
              <w:spacing w:after="0"/>
              <w:rPr>
                <w:sz w:val="20"/>
                <w:szCs w:val="20"/>
                <w:color w:val="auto"/>
              </w:rPr>
            </w:pPr>
            <w:r>
              <w:rPr>
                <w:rFonts w:ascii="Arial" w:cs="Arial" w:eastAsia="Arial" w:hAnsi="Arial"/>
                <w:sz w:val="16"/>
                <w:szCs w:val="16"/>
                <w:color w:val="auto"/>
                <w:w w:val="89"/>
              </w:rPr>
              <w:t>228,800</w:t>
            </w:r>
          </w:p>
        </w:tc>
        <w:tc>
          <w:tcPr>
            <w:tcW w:w="1760" w:type="dxa"/>
            <w:vAlign w:val="bottom"/>
          </w:tcPr>
          <w:p>
            <w:pPr>
              <w:jc w:val="center"/>
              <w:spacing w:after="0"/>
              <w:rPr>
                <w:sz w:val="20"/>
                <w:szCs w:val="20"/>
                <w:color w:val="auto"/>
              </w:rPr>
            </w:pPr>
            <w:r>
              <w:rPr>
                <w:rFonts w:ascii="Arial" w:cs="Arial" w:eastAsia="Arial" w:hAnsi="Arial"/>
                <w:sz w:val="16"/>
                <w:szCs w:val="16"/>
                <w:color w:val="auto"/>
                <w:w w:val="87"/>
              </w:rPr>
              <w:t>Leased</w:t>
            </w:r>
          </w:p>
        </w:tc>
      </w:tr>
    </w:tbl>
    <w:p>
      <w:pPr>
        <w:spacing w:after="0" w:line="127" w:lineRule="exact"/>
        <w:rPr>
          <w:sz w:val="20"/>
          <w:szCs w:val="20"/>
          <w:color w:val="auto"/>
        </w:rPr>
      </w:pPr>
    </w:p>
    <w:p>
      <w:pPr>
        <w:ind w:right="40" w:firstLine="402"/>
        <w:spacing w:after="0" w:line="235" w:lineRule="auto"/>
        <w:rPr>
          <w:sz w:val="20"/>
          <w:szCs w:val="20"/>
          <w:color w:val="auto"/>
        </w:rPr>
      </w:pPr>
      <w:r>
        <w:rPr>
          <w:rFonts w:ascii="Arial" w:cs="Arial" w:eastAsia="Arial" w:hAnsi="Arial"/>
          <w:sz w:val="18"/>
          <w:szCs w:val="18"/>
          <w:color w:val="auto"/>
        </w:rPr>
        <w:t>In fiscal 2021, we opened one retail store adding approximately 11,000 gross square feet to our stores. The leases on our retail stores expire at various times and are subject to renewal options and rent escalation provisions. We consider these properties to be in good condition and believe that our facilities are adequate for our operations and provide sufficient capacity to meet our anticipated requirements.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39"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35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1" w:right="51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these officers, except as disclosed below, arrangements or understandings between any officer and any other person pursuant to which the officer was selected. The information presented below is as of March 15, 2022.</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w:t>
            </w:r>
          </w:p>
        </w:tc>
        <w:tc>
          <w:tcPr>
            <w:tcW w:w="600" w:type="dxa"/>
            <w:vAlign w:val="bottom"/>
            <w:tcBorders>
              <w:top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Age</w:t>
            </w:r>
          </w:p>
        </w:tc>
        <w:tc>
          <w:tcPr>
            <w:tcW w:w="100" w:type="dxa"/>
            <w:vAlign w:val="bottom"/>
            <w:tcBorders>
              <w:top w:val="single" w:sz="8" w:color="auto"/>
            </w:tcBorders>
          </w:tcPr>
          <w:p>
            <w:pPr>
              <w:spacing w:after="0"/>
              <w:rPr>
                <w:sz w:val="17"/>
                <w:szCs w:val="17"/>
                <w:color w:val="auto"/>
              </w:rPr>
            </w:pPr>
          </w:p>
        </w:tc>
        <w:tc>
          <w:tcPr>
            <w:tcW w:w="8180" w:type="dxa"/>
            <w:vAlign w:val="bottom"/>
            <w:tcBorders>
              <w:top w:val="single" w:sz="8" w:color="auto"/>
              <w:right w:val="single" w:sz="8" w:color="auto"/>
            </w:tcBorders>
            <w:gridSpan w:val="4"/>
          </w:tcPr>
          <w:p>
            <w:pPr>
              <w:spacing w:after="0" w:line="202" w:lineRule="exact"/>
              <w:rPr>
                <w:sz w:val="20"/>
                <w:szCs w:val="20"/>
                <w:color w:val="auto"/>
              </w:rPr>
            </w:pPr>
            <w:r>
              <w:rPr>
                <w:rFonts w:ascii="Arial" w:cs="Arial" w:eastAsia="Arial" w:hAnsi="Arial"/>
                <w:sz w:val="18"/>
                <w:szCs w:val="18"/>
                <w:b w:val="1"/>
                <w:bCs w:val="1"/>
                <w:color w:val="auto"/>
              </w:rPr>
              <w:t>Office</w:t>
            </w:r>
          </w:p>
        </w:tc>
        <w:tc>
          <w:tcPr>
            <w:tcW w:w="100" w:type="dxa"/>
            <w:vAlign w:val="bottom"/>
          </w:tcPr>
          <w:p>
            <w:pPr>
              <w:spacing w:after="0"/>
              <w:rPr>
                <w:sz w:val="17"/>
                <w:szCs w:val="17"/>
                <w:color w:val="auto"/>
              </w:rPr>
            </w:pPr>
          </w:p>
        </w:tc>
      </w:tr>
      <w:tr>
        <w:trPr>
          <w:trHeight w:val="155"/>
        </w:trPr>
        <w:tc>
          <w:tcPr>
            <w:tcW w:w="2260" w:type="dxa"/>
            <w:vAlign w:val="bottom"/>
            <w:tcBorders>
              <w:top w:val="single" w:sz="8" w:color="auto"/>
              <w:left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Stephen L. Schlecht</w:t>
            </w:r>
          </w:p>
        </w:tc>
        <w:tc>
          <w:tcPr>
            <w:tcW w:w="600" w:type="dxa"/>
            <w:vAlign w:val="bottom"/>
            <w:tcBorders>
              <w:top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74</w:t>
            </w:r>
          </w:p>
        </w:tc>
        <w:tc>
          <w:tcPr>
            <w:tcW w:w="100" w:type="dxa"/>
            <w:vAlign w:val="bottom"/>
            <w:tcBorders>
              <w:top w:val="single" w:sz="8" w:color="auto"/>
            </w:tcBorders>
          </w:tcPr>
          <w:p>
            <w:pPr>
              <w:spacing w:after="0"/>
              <w:rPr>
                <w:sz w:val="13"/>
                <w:szCs w:val="13"/>
                <w:color w:val="auto"/>
              </w:rPr>
            </w:pPr>
          </w:p>
        </w:tc>
        <w:tc>
          <w:tcPr>
            <w:tcW w:w="5680" w:type="dxa"/>
            <w:vAlign w:val="bottom"/>
          </w:tcPr>
          <w:p>
            <w:pPr>
              <w:spacing w:after="0" w:line="154" w:lineRule="exact"/>
              <w:rPr>
                <w:sz w:val="20"/>
                <w:szCs w:val="20"/>
                <w:color w:val="auto"/>
              </w:rPr>
            </w:pPr>
            <w:r>
              <w:rPr>
                <w:rFonts w:ascii="Arial" w:cs="Arial" w:eastAsia="Arial" w:hAnsi="Arial"/>
                <w:sz w:val="17"/>
                <w:szCs w:val="17"/>
                <w:color w:val="auto"/>
                <w:highlight w:val="white"/>
                <w:w w:val="94"/>
              </w:rPr>
              <w:t>Mr. Schlecht is the founder of our Company and has served as Chairman of the</w:t>
            </w:r>
          </w:p>
        </w:tc>
        <w:tc>
          <w:tcPr>
            <w:tcW w:w="2500" w:type="dxa"/>
            <w:vAlign w:val="bottom"/>
            <w:tcBorders>
              <w:top w:val="single" w:sz="8" w:color="auto"/>
              <w:right w:val="single" w:sz="8" w:color="auto"/>
            </w:tcBorders>
            <w:gridSpan w:val="3"/>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6"/>
              </w:rPr>
              <w:t>Board since May 2021. Mr. Schlecht has served on our Board of Directors since our founding in 1986. Mr.</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9"/>
              </w:rPr>
              <w:t>Schlecht previously served as our Chairman of the Board of Directors and Chief Executive Officer from</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5"/>
              </w:rPr>
              <w:t>February 2003 to February 2015 and then as Executive Chairman of the Board from February 2015 to May</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4"/>
              </w:rPr>
              <w:t>2021. Mr. Schlecht served as Chief Executive Officer of the Company from February 2003 to February 2015</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2"/>
              </w:rPr>
              <w:t>and from August 2019 to May 2021 and as President from February 2003 to February 2012. He also served as</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6"/>
              </w:rPr>
              <w:t>President and Chief Executive Officer of GEMPLER'S, Inc., which he founded in 1986 until February 2003.</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3"/>
              </w:rPr>
              <w:t>Mr. Schlecht holds a B.S.B.A. degree and an M.B.A. from Northwestern University. We selected Mr. Schlecht</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2"/>
              </w:rPr>
              <w:t>to serve on our Board of Directors because he is the founder of our Company, has over 50 years of experience</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4"/>
              </w:rPr>
              <w:t>in the direct marketing and retail industries and has extensive leadership experience and strategic vision. Mr.</w:t>
            </w:r>
          </w:p>
        </w:tc>
        <w:tc>
          <w:tcPr>
            <w:tcW w:w="100" w:type="dxa"/>
            <w:vAlign w:val="bottom"/>
          </w:tcPr>
          <w:p>
            <w:pPr>
              <w:spacing w:after="0"/>
              <w:rPr>
                <w:sz w:val="16"/>
                <w:szCs w:val="16"/>
                <w:color w:val="auto"/>
              </w:rPr>
            </w:pPr>
          </w:p>
        </w:tc>
      </w:tr>
      <w:tr>
        <w:trPr>
          <w:trHeight w:val="217"/>
        </w:trPr>
        <w:tc>
          <w:tcPr>
            <w:tcW w:w="226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highlight w:val="white"/>
                <w:w w:val="98"/>
              </w:rPr>
              <w:t>Schlecht is the father of Richard W. Schlecht, our Senior Vice President of Product, Visual and Creative.</w:t>
            </w:r>
          </w:p>
        </w:tc>
        <w:tc>
          <w:tcPr>
            <w:tcW w:w="100" w:type="dxa"/>
            <w:vAlign w:val="bottom"/>
          </w:tcPr>
          <w:p>
            <w:pPr>
              <w:spacing w:after="0"/>
              <w:rPr>
                <w:sz w:val="18"/>
                <w:szCs w:val="18"/>
                <w:color w:val="auto"/>
              </w:rPr>
            </w:pPr>
          </w:p>
        </w:tc>
      </w:tr>
      <w:tr>
        <w:trPr>
          <w:trHeight w:val="155"/>
        </w:trPr>
        <w:tc>
          <w:tcPr>
            <w:tcW w:w="2260" w:type="dxa"/>
            <w:vAlign w:val="bottom"/>
            <w:tcBorders>
              <w:top w:val="single" w:sz="8" w:color="auto"/>
              <w:left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Samuel M. Sato</w:t>
            </w:r>
          </w:p>
        </w:tc>
        <w:tc>
          <w:tcPr>
            <w:tcW w:w="600" w:type="dxa"/>
            <w:vAlign w:val="bottom"/>
            <w:tcBorders>
              <w:top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58</w:t>
            </w:r>
          </w:p>
        </w:tc>
        <w:tc>
          <w:tcPr>
            <w:tcW w:w="100" w:type="dxa"/>
            <w:vAlign w:val="bottom"/>
            <w:tcBorders>
              <w:top w:val="single" w:sz="8" w:color="auto"/>
            </w:tcBorders>
          </w:tcPr>
          <w:p>
            <w:pPr>
              <w:spacing w:after="0"/>
              <w:rPr>
                <w:sz w:val="13"/>
                <w:szCs w:val="13"/>
                <w:color w:val="auto"/>
              </w:rPr>
            </w:pPr>
          </w:p>
        </w:tc>
        <w:tc>
          <w:tcPr>
            <w:tcW w:w="8020" w:type="dxa"/>
            <w:vAlign w:val="bottom"/>
            <w:gridSpan w:val="3"/>
          </w:tcPr>
          <w:p>
            <w:pPr>
              <w:spacing w:after="0" w:line="154" w:lineRule="exact"/>
              <w:rPr>
                <w:sz w:val="20"/>
                <w:szCs w:val="20"/>
                <w:color w:val="auto"/>
              </w:rPr>
            </w:pPr>
            <w:r>
              <w:rPr>
                <w:rFonts w:ascii="Arial" w:cs="Arial" w:eastAsia="Arial" w:hAnsi="Arial"/>
                <w:sz w:val="17"/>
                <w:szCs w:val="17"/>
                <w:color w:val="auto"/>
                <w:highlight w:val="white"/>
                <w:w w:val="95"/>
              </w:rPr>
              <w:t>Mr. Sato was appointed to our Board of Directors in May 2021, and since that time has served as President and</w:t>
            </w:r>
          </w:p>
        </w:tc>
        <w:tc>
          <w:tcPr>
            <w:tcW w:w="160" w:type="dxa"/>
            <w:vAlign w:val="bottom"/>
            <w:tcBorders>
              <w:top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7"/>
              </w:rPr>
              <w:t>Chief Executive Officer. He previously served as the Chief Executive Officer of The Finish Line, Inc., from</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8"/>
              </w:rPr>
              <w:t>February 2016 to February 2019, and also served on the Board of Directors of The Finish Line, Inc. from</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2"/>
              </w:rPr>
              <w:t>October 2014 to February 2019. Mr. Sato previously served as President of The Finish Line, Inc. from October</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3"/>
              </w:rPr>
              <w:t>2014 to February 2016, President, Finish Line Brand, from October 2012 to October 2014, and President and</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rPr>
              <w:t>Chief Merchandising Officer from October 2010 to September 2012, as well as The Finish Line, Inc.’s</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4"/>
              </w:rPr>
              <w:t>Executive Vice President, Chief Merchandising Officer from to March 2007 to October 2010. Mr. Sato began</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1"/>
              </w:rPr>
              <w:t>his career in 1985 at Nordstrom Inc., where he held various leadership roles within merchandising. Mr. Sato has</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highlight w:val="white"/>
                <w:w w:val="93"/>
              </w:rPr>
              <w:t>been involved in the retail industry for over 30 years. We selected Mr. Sato to serve on our Board of Directors</w:t>
            </w:r>
          </w:p>
        </w:tc>
        <w:tc>
          <w:tcPr>
            <w:tcW w:w="100" w:type="dxa"/>
            <w:vAlign w:val="bottom"/>
          </w:tcPr>
          <w:p>
            <w:pPr>
              <w:spacing w:after="0"/>
              <w:rPr>
                <w:sz w:val="16"/>
                <w:szCs w:val="16"/>
                <w:color w:val="auto"/>
              </w:rPr>
            </w:pPr>
          </w:p>
        </w:tc>
      </w:tr>
      <w:tr>
        <w:trPr>
          <w:trHeight w:val="217"/>
        </w:trPr>
        <w:tc>
          <w:tcPr>
            <w:tcW w:w="226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highlight w:val="white"/>
                <w:w w:val="91"/>
              </w:rPr>
              <w:t>because of his extensive experience in the retail industry and his significant executive management experience.</w:t>
            </w:r>
          </w:p>
        </w:tc>
        <w:tc>
          <w:tcPr>
            <w:tcW w:w="100" w:type="dxa"/>
            <w:vAlign w:val="bottom"/>
          </w:tcPr>
          <w:p>
            <w:pPr>
              <w:spacing w:after="0"/>
              <w:rPr>
                <w:sz w:val="18"/>
                <w:szCs w:val="18"/>
                <w:color w:val="auto"/>
              </w:rPr>
            </w:pPr>
          </w:p>
        </w:tc>
      </w:tr>
      <w:tr>
        <w:trPr>
          <w:trHeight w:val="155"/>
        </w:trPr>
        <w:tc>
          <w:tcPr>
            <w:tcW w:w="2260" w:type="dxa"/>
            <w:vAlign w:val="bottom"/>
            <w:tcBorders>
              <w:top w:val="single" w:sz="8" w:color="auto"/>
              <w:left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David Loretta</w:t>
            </w:r>
          </w:p>
        </w:tc>
        <w:tc>
          <w:tcPr>
            <w:tcW w:w="600" w:type="dxa"/>
            <w:vAlign w:val="bottom"/>
            <w:tcBorders>
              <w:top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54</w:t>
            </w:r>
          </w:p>
        </w:tc>
        <w:tc>
          <w:tcPr>
            <w:tcW w:w="100" w:type="dxa"/>
            <w:vAlign w:val="bottom"/>
            <w:tcBorders>
              <w:top w:val="single" w:sz="8" w:color="auto"/>
            </w:tcBorders>
          </w:tcPr>
          <w:p>
            <w:pPr>
              <w:spacing w:after="0"/>
              <w:rPr>
                <w:sz w:val="13"/>
                <w:szCs w:val="13"/>
                <w:color w:val="auto"/>
              </w:rPr>
            </w:pPr>
          </w:p>
        </w:tc>
        <w:tc>
          <w:tcPr>
            <w:tcW w:w="6420" w:type="dxa"/>
            <w:vAlign w:val="bottom"/>
            <w:gridSpan w:val="2"/>
          </w:tcPr>
          <w:p>
            <w:pPr>
              <w:spacing w:after="0" w:line="154" w:lineRule="exact"/>
              <w:rPr>
                <w:sz w:val="20"/>
                <w:szCs w:val="20"/>
                <w:color w:val="auto"/>
              </w:rPr>
            </w:pPr>
            <w:r>
              <w:rPr>
                <w:rFonts w:ascii="Arial" w:cs="Arial" w:eastAsia="Arial" w:hAnsi="Arial"/>
                <w:sz w:val="17"/>
                <w:szCs w:val="17"/>
                <w:color w:val="auto"/>
                <w:highlight w:val="white"/>
                <w:w w:val="98"/>
              </w:rPr>
              <w:t>Mr. Loretta has been our Chief Financial Officer since July 2017. Mr. Loretta previously</w:t>
            </w:r>
          </w:p>
        </w:tc>
        <w:tc>
          <w:tcPr>
            <w:tcW w:w="1760" w:type="dxa"/>
            <w:vAlign w:val="bottom"/>
            <w:tcBorders>
              <w:top w:val="single" w:sz="8" w:color="auto"/>
              <w:right w:val="single" w:sz="8" w:color="auto"/>
            </w:tcBorders>
            <w:gridSpan w:val="2"/>
          </w:tcPr>
          <w:p>
            <w:pPr>
              <w:spacing w:after="0" w:line="154" w:lineRule="exact"/>
              <w:rPr>
                <w:sz w:val="20"/>
                <w:szCs w:val="20"/>
                <w:color w:val="auto"/>
              </w:rPr>
            </w:pPr>
            <w:r>
              <w:rPr>
                <w:rFonts w:ascii="Arial" w:cs="Arial" w:eastAsia="Arial" w:hAnsi="Arial"/>
                <w:sz w:val="17"/>
                <w:szCs w:val="17"/>
                <w:color w:val="auto"/>
              </w:rPr>
              <w:t>served four years as</w:t>
            </w:r>
          </w:p>
        </w:tc>
        <w:tc>
          <w:tcPr>
            <w:tcW w:w="100" w:type="dxa"/>
            <w:vAlign w:val="bottom"/>
          </w:tcPr>
          <w:p>
            <w:pPr>
              <w:spacing w:after="0"/>
              <w:rPr>
                <w:sz w:val="13"/>
                <w:szCs w:val="13"/>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4"/>
              </w:rPr>
              <w:t>President and Chief Financial Officer of Nordstrom Bank and led all financial and operating functions of their</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4"/>
              </w:rPr>
              <w:t>proprietary card operations. During his tenure, Mr. Loretta was responsible for financial reporting, budgeting,</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3"/>
              </w:rPr>
              <w:t>forecasting and long-range strategic planning as well as operational leadership. Previously at Nordstrom, Inc.,</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5"/>
              </w:rPr>
              <w:t>he served as corporate Vice President and Treasurer overseeing treasury, investor relations and corporate</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8"/>
              </w:rPr>
              <w:t>development. Before his 13 years with Nordstrom, Mr. Loretta was Director of Planning and Analysis for</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2"/>
              </w:rPr>
              <w:t>Restoration Hardware, Inc., where he developed a companywide budgeting, forecasting and reporting process</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rPr>
              <w:t>for the retail stores, catalog direct mail and e-commerce. Following his time at Nordstrom, Mr. Loretta</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2"/>
              </w:rPr>
              <w:t>launched and operated his own company, Pacific Time, LLC, a unique food and beverage business, from 2014</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8"/>
              </w:rPr>
              <w:t>to 2016. Mr. Loretta holds a B.A. in Business Economics from the University of California, Riverside and</w:t>
            </w:r>
          </w:p>
        </w:tc>
        <w:tc>
          <w:tcPr>
            <w:tcW w:w="100" w:type="dxa"/>
            <w:vAlign w:val="bottom"/>
          </w:tcPr>
          <w:p>
            <w:pPr>
              <w:spacing w:after="0"/>
              <w:rPr>
                <w:sz w:val="16"/>
                <w:szCs w:val="16"/>
                <w:color w:val="auto"/>
              </w:rPr>
            </w:pPr>
          </w:p>
        </w:tc>
      </w:tr>
      <w:tr>
        <w:trPr>
          <w:trHeight w:val="217"/>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earned an MBA from San Diego State University.</w:t>
            </w:r>
          </w:p>
        </w:tc>
        <w:tc>
          <w:tcPr>
            <w:tcW w:w="100" w:type="dxa"/>
            <w:vAlign w:val="bottom"/>
          </w:tcPr>
          <w:p>
            <w:pPr>
              <w:spacing w:after="0"/>
              <w:rPr>
                <w:sz w:val="18"/>
                <w:szCs w:val="18"/>
                <w:color w:val="auto"/>
              </w:rPr>
            </w:pPr>
          </w:p>
        </w:tc>
      </w:tr>
      <w:tr>
        <w:trPr>
          <w:trHeight w:val="155"/>
        </w:trPr>
        <w:tc>
          <w:tcPr>
            <w:tcW w:w="2260" w:type="dxa"/>
            <w:vAlign w:val="bottom"/>
            <w:tcBorders>
              <w:left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Christopher M. Teufel</w:t>
            </w:r>
          </w:p>
        </w:tc>
        <w:tc>
          <w:tcPr>
            <w:tcW w:w="60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53</w:t>
            </w:r>
          </w:p>
        </w:tc>
        <w:tc>
          <w:tcPr>
            <w:tcW w:w="100" w:type="dxa"/>
            <w:vAlign w:val="bottom"/>
          </w:tcPr>
          <w:p>
            <w:pPr>
              <w:spacing w:after="0"/>
              <w:rPr>
                <w:sz w:val="13"/>
                <w:szCs w:val="13"/>
                <w:color w:val="auto"/>
              </w:rPr>
            </w:pPr>
          </w:p>
        </w:tc>
        <w:tc>
          <w:tcPr>
            <w:tcW w:w="8180" w:type="dxa"/>
            <w:vAlign w:val="bottom"/>
            <w:tcBorders>
              <w:right w:val="single" w:sz="8" w:color="auto"/>
            </w:tcBorders>
            <w:gridSpan w:val="4"/>
          </w:tcPr>
          <w:p>
            <w:pPr>
              <w:spacing w:after="0" w:line="154" w:lineRule="exact"/>
              <w:rPr>
                <w:sz w:val="20"/>
                <w:szCs w:val="20"/>
                <w:color w:val="auto"/>
              </w:rPr>
            </w:pPr>
            <w:r>
              <w:rPr>
                <w:rFonts w:ascii="Arial" w:cs="Arial" w:eastAsia="Arial" w:hAnsi="Arial"/>
                <w:sz w:val="17"/>
                <w:szCs w:val="17"/>
                <w:color w:val="auto"/>
              </w:rPr>
              <w:t>Mr. Teufel has served as our Senior Vice President of Information Technology and Logistics since February</w:t>
            </w:r>
          </w:p>
        </w:tc>
        <w:tc>
          <w:tcPr>
            <w:tcW w:w="100" w:type="dxa"/>
            <w:vAlign w:val="bottom"/>
          </w:tcPr>
          <w:p>
            <w:pPr>
              <w:spacing w:after="0"/>
              <w:rPr>
                <w:sz w:val="13"/>
                <w:szCs w:val="13"/>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3"/>
              </w:rPr>
              <w:t>2020 and served as Chief Information Officer from October 2017 to February 2020. He also previously served</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5"/>
              </w:rPr>
              <w:t>as our Vice President of Information Technology and Logistics from April 2019 to February 2020, and Chief</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w w:val="94"/>
              </w:rPr>
              <w:t>Information Officer from October 2017 to April 2019. Mr. Teufel has also previously served as Vice President</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Arial" w:cs="Arial" w:eastAsia="Arial" w:hAnsi="Arial"/>
                <w:sz w:val="18"/>
                <w:szCs w:val="18"/>
                <w:color w:val="auto"/>
              </w:rPr>
              <w:t>and Senior Director of Technology at Nordstrom from 2001 to April 2016. Mr. Teufel holds a B.S. in</w:t>
            </w:r>
          </w:p>
        </w:tc>
        <w:tc>
          <w:tcPr>
            <w:tcW w:w="100" w:type="dxa"/>
            <w:vAlign w:val="bottom"/>
          </w:tcPr>
          <w:p>
            <w:pPr>
              <w:spacing w:after="0"/>
              <w:rPr>
                <w:sz w:val="16"/>
                <w:szCs w:val="16"/>
                <w:color w:val="auto"/>
              </w:rPr>
            </w:pPr>
          </w:p>
        </w:tc>
      </w:tr>
      <w:tr>
        <w:trPr>
          <w:trHeight w:val="217"/>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Accounting from the Daniels College of Business at the University of Denver.</w:t>
            </w:r>
          </w:p>
        </w:tc>
        <w:tc>
          <w:tcPr>
            <w:tcW w:w="100" w:type="dxa"/>
            <w:vAlign w:val="bottom"/>
          </w:tcPr>
          <w:p>
            <w:pPr>
              <w:spacing w:after="0"/>
              <w:rPr>
                <w:sz w:val="18"/>
                <w:szCs w:val="18"/>
                <w:color w:val="auto"/>
              </w:rPr>
            </w:pPr>
          </w:p>
        </w:tc>
      </w:tr>
      <w:tr>
        <w:trPr>
          <w:trHeight w:val="176"/>
        </w:trPr>
        <w:tc>
          <w:tcPr>
            <w:tcW w:w="2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tcPr>
          <w:p>
            <w:pPr>
              <w:ind w:left="2600"/>
              <w:spacing w:after="0"/>
              <w:rPr>
                <w:sz w:val="20"/>
                <w:szCs w:val="20"/>
                <w:color w:val="auto"/>
              </w:rPr>
            </w:pPr>
            <w:r>
              <w:rPr>
                <w:rFonts w:ascii="Arial" w:cs="Arial" w:eastAsia="Arial" w:hAnsi="Arial"/>
                <w:sz w:val="14"/>
                <w:szCs w:val="14"/>
                <w:color w:val="auto"/>
              </w:rPr>
              <w:t>25</w:t>
            </w:r>
          </w:p>
        </w:tc>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46"/>
        </w:trPr>
        <w:tc>
          <w:tcPr>
            <w:tcW w:w="2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07"/>
        </w:trPr>
        <w:tc>
          <w:tcPr>
            <w:tcW w:w="22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580" w:type="dxa"/>
            <w:vAlign w:val="bottom"/>
          </w:tcPr>
          <w:p>
            <w:pPr>
              <w:spacing w:after="0"/>
              <w:rPr>
                <w:sz w:val="17"/>
                <w:szCs w:val="17"/>
                <w:color w:val="auto"/>
              </w:rPr>
            </w:pPr>
          </w:p>
        </w:tc>
        <w:tc>
          <w:tcPr>
            <w:tcW w:w="8280" w:type="dxa"/>
            <w:vAlign w:val="bottom"/>
          </w:tcPr>
          <w:p>
            <w:pPr>
              <w:spacing w:after="0"/>
              <w:rPr>
                <w:sz w:val="17"/>
                <w:szCs w:val="17"/>
                <w:color w:val="auto"/>
              </w:rPr>
            </w:pPr>
          </w:p>
        </w:tc>
      </w:tr>
      <w:tr>
        <w:trPr>
          <w:trHeight w:val="156"/>
        </w:trPr>
        <w:tc>
          <w:tcPr>
            <w:tcW w:w="1280" w:type="dxa"/>
            <w:vAlign w:val="bottom"/>
            <w:tcBorders>
              <w:top w:val="single" w:sz="8" w:color="0000FF"/>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280" w:type="dxa"/>
            <w:vAlign w:val="bottom"/>
            <w:tcBorders>
              <w:bottom w:val="single" w:sz="8" w:color="auto"/>
            </w:tcBorders>
          </w:tcPr>
          <w:p>
            <w:pPr>
              <w:spacing w:after="0"/>
              <w:rPr>
                <w:sz w:val="13"/>
                <w:szCs w:val="13"/>
                <w:color w:val="auto"/>
              </w:rPr>
            </w:pPr>
          </w:p>
        </w:tc>
      </w:tr>
      <w:tr>
        <w:trPr>
          <w:trHeight w:val="155"/>
        </w:trPr>
        <w:tc>
          <w:tcPr>
            <w:tcW w:w="2260" w:type="dxa"/>
            <w:vAlign w:val="bottom"/>
            <w:tcBorders>
              <w:left w:val="single" w:sz="8" w:color="auto"/>
              <w:right w:val="single" w:sz="8" w:color="auto"/>
            </w:tcBorders>
            <w:gridSpan w:val="2"/>
          </w:tcPr>
          <w:p>
            <w:pPr>
              <w:ind w:left="120"/>
              <w:spacing w:after="0" w:line="154" w:lineRule="exact"/>
              <w:rPr>
                <w:sz w:val="20"/>
                <w:szCs w:val="20"/>
                <w:color w:val="auto"/>
              </w:rPr>
            </w:pPr>
            <w:r>
              <w:rPr>
                <w:rFonts w:ascii="Arial" w:cs="Arial" w:eastAsia="Arial" w:hAnsi="Arial"/>
                <w:sz w:val="17"/>
                <w:szCs w:val="17"/>
                <w:color w:val="auto"/>
              </w:rPr>
              <w:t>David S. Homolka</w:t>
            </w:r>
          </w:p>
        </w:tc>
        <w:tc>
          <w:tcPr>
            <w:tcW w:w="580" w:type="dxa"/>
            <w:vAlign w:val="bottom"/>
            <w:tcBorders>
              <w:right w:val="single" w:sz="8" w:color="auto"/>
            </w:tcBorders>
          </w:tcPr>
          <w:p>
            <w:pPr>
              <w:jc w:val="right"/>
              <w:ind w:right="236"/>
              <w:spacing w:after="0" w:line="154" w:lineRule="exact"/>
              <w:rPr>
                <w:sz w:val="20"/>
                <w:szCs w:val="20"/>
                <w:color w:val="auto"/>
              </w:rPr>
            </w:pPr>
            <w:r>
              <w:rPr>
                <w:rFonts w:ascii="Arial" w:cs="Arial" w:eastAsia="Arial" w:hAnsi="Arial"/>
                <w:sz w:val="17"/>
                <w:szCs w:val="17"/>
                <w:color w:val="auto"/>
              </w:rPr>
              <w:t>55</w:t>
            </w:r>
          </w:p>
        </w:tc>
        <w:tc>
          <w:tcPr>
            <w:tcW w:w="828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7"/>
                <w:szCs w:val="17"/>
                <w:color w:val="auto"/>
              </w:rPr>
              <w:t>Mr. Homolka has served as our Senior Vice President of Human Resources, Retail Store Operations and</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8"/>
              </w:rPr>
              <w:t>Contact Center Operations since February 2020 and previously served as our Vice President of Human</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2"/>
              </w:rPr>
              <w:t>Resources, Store Operations and Asset Protection from January 2019 to February 2020, and Vice President of</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2"/>
              </w:rPr>
              <w:t>Human Resources from February 2017 to January 2019. Mr. Homolka previously served as Chief Property and</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5"/>
              </w:rPr>
              <w:t>Design Officer and Vice President of Real Estate, Store Design and Construction at Cabela’s from October</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4"/>
              </w:rPr>
              <w:t>2015 to February 2017 and Vice President of Human Resources and Asset Protection from January 2012 to</w:t>
            </w:r>
          </w:p>
        </w:tc>
      </w:tr>
      <w:tr>
        <w:trPr>
          <w:trHeight w:val="217"/>
        </w:trPr>
        <w:tc>
          <w:tcPr>
            <w:tcW w:w="12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October 2015.</w:t>
            </w:r>
          </w:p>
        </w:tc>
      </w:tr>
      <w:tr>
        <w:trPr>
          <w:trHeight w:val="155"/>
        </w:trPr>
        <w:tc>
          <w:tcPr>
            <w:tcW w:w="2260" w:type="dxa"/>
            <w:vAlign w:val="bottom"/>
            <w:tcBorders>
              <w:left w:val="single" w:sz="8" w:color="auto"/>
              <w:right w:val="single" w:sz="8" w:color="auto"/>
            </w:tcBorders>
            <w:gridSpan w:val="2"/>
          </w:tcPr>
          <w:p>
            <w:pPr>
              <w:ind w:left="120"/>
              <w:spacing w:after="0" w:line="154" w:lineRule="exact"/>
              <w:rPr>
                <w:sz w:val="20"/>
                <w:szCs w:val="20"/>
                <w:color w:val="auto"/>
              </w:rPr>
            </w:pPr>
            <w:r>
              <w:rPr>
                <w:rFonts w:ascii="Arial" w:cs="Arial" w:eastAsia="Arial" w:hAnsi="Arial"/>
                <w:sz w:val="17"/>
                <w:szCs w:val="17"/>
                <w:color w:val="auto"/>
              </w:rPr>
              <w:t>Richard W. Schlecht</w:t>
            </w:r>
          </w:p>
        </w:tc>
        <w:tc>
          <w:tcPr>
            <w:tcW w:w="580" w:type="dxa"/>
            <w:vAlign w:val="bottom"/>
            <w:tcBorders>
              <w:right w:val="single" w:sz="8" w:color="auto"/>
            </w:tcBorders>
          </w:tcPr>
          <w:p>
            <w:pPr>
              <w:jc w:val="right"/>
              <w:ind w:right="236"/>
              <w:spacing w:after="0" w:line="154" w:lineRule="exact"/>
              <w:rPr>
                <w:sz w:val="20"/>
                <w:szCs w:val="20"/>
                <w:color w:val="auto"/>
              </w:rPr>
            </w:pPr>
            <w:r>
              <w:rPr>
                <w:rFonts w:ascii="Arial" w:cs="Arial" w:eastAsia="Arial" w:hAnsi="Arial"/>
                <w:sz w:val="17"/>
                <w:szCs w:val="17"/>
                <w:color w:val="auto"/>
              </w:rPr>
              <w:t>41</w:t>
            </w:r>
          </w:p>
        </w:tc>
        <w:tc>
          <w:tcPr>
            <w:tcW w:w="828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7"/>
                <w:szCs w:val="17"/>
                <w:color w:val="auto"/>
              </w:rPr>
              <w:t>Mr. Schlecht has served as our Senior Vice President of Product Development, Visual Merchandise and</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4"/>
              </w:rPr>
              <w:t>Creative since February 2020 and has previously served as our Vice President of Product Development from</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3"/>
              </w:rPr>
              <w:t>March 2016 to February 2020 and Director of Product Development from September 2013 to March 2016. Mr.</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6"/>
              </w:rPr>
              <w:t>Schlecht holds a BSBA degree with a minor in Statistics from Denver University. Mr. Schlecht is the son of</w:t>
            </w:r>
          </w:p>
        </w:tc>
      </w:tr>
      <w:tr>
        <w:trPr>
          <w:trHeight w:val="217"/>
        </w:trPr>
        <w:tc>
          <w:tcPr>
            <w:tcW w:w="12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Stephen L. Schlecht.</w:t>
            </w:r>
          </w:p>
        </w:tc>
      </w:tr>
    </w:tbl>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62" w:lineRule="exact"/>
        <w:rPr>
          <w:sz w:val="20"/>
          <w:szCs w:val="20"/>
          <w:color w:val="auto"/>
        </w:rPr>
      </w:pPr>
    </w:p>
    <w:p>
      <w:pPr>
        <w:ind w:left="1080" w:right="2140" w:hanging="1065"/>
        <w:spacing w:after="0" w:line="246" w:lineRule="auto"/>
        <w:tabs>
          <w:tab w:leader="none" w:pos="10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THE REGISTRANT’S COMMON EQUITY, RELATED SHAREHOLDER MATTERS AND ISSUER PURCHASES OF EQUITY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Listing and Trading</w:t>
      </w:r>
    </w:p>
    <w:p>
      <w:pPr>
        <w:spacing w:after="0" w:line="175" w:lineRule="exact"/>
        <w:rPr>
          <w:sz w:val="20"/>
          <w:szCs w:val="20"/>
          <w:color w:val="auto"/>
        </w:rPr>
      </w:pPr>
    </w:p>
    <w:p>
      <w:pPr>
        <w:ind w:right="740" w:firstLine="440"/>
        <w:spacing w:after="0" w:line="246" w:lineRule="auto"/>
        <w:rPr>
          <w:sz w:val="20"/>
          <w:szCs w:val="20"/>
          <w:color w:val="auto"/>
        </w:rPr>
      </w:pPr>
      <w:r>
        <w:rPr>
          <w:rFonts w:ascii="Arial" w:cs="Arial" w:eastAsia="Arial" w:hAnsi="Arial"/>
          <w:sz w:val="18"/>
          <w:szCs w:val="18"/>
          <w:color w:val="auto"/>
        </w:rPr>
        <w:t>Our Class B common stock is traded on the NASDAQ Global Select Market under the symbol “DLTH,” since our initial public offering on November 19, 2015. Our Class A common stock is neither listed nor traded on an exchange.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of Record</w:t>
      </w:r>
    </w:p>
    <w:p>
      <w:pPr>
        <w:spacing w:after="0" w:line="162"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As of March 15, 2022, there were approximately 82 holders of record, based upon data provided by our transfer agent, of our Class B common stock, one of whom is the sole holder of our Class A common stock. We believe the number of beneficial holders of the Company’s Class B common stock is in excess of this amount.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Our Class B common stock began trading on November 20, 2015, since that time, we have not declared any cash dividends, and we do not anticipate declaring any cash dividends in the foreseeable future.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720" w:firstLine="440"/>
        <w:spacing w:after="0" w:line="246" w:lineRule="auto"/>
        <w:rPr>
          <w:sz w:val="20"/>
          <w:szCs w:val="20"/>
          <w:color w:val="auto"/>
        </w:rPr>
      </w:pPr>
      <w:r>
        <w:rPr>
          <w:rFonts w:ascii="Arial" w:cs="Arial" w:eastAsia="Arial" w:hAnsi="Arial"/>
          <w:sz w:val="18"/>
          <w:szCs w:val="18"/>
          <w:color w:val="auto"/>
        </w:rPr>
        <w:t>Information regarding our equity compensation plans is set forth in Part III, Item 12. Security Ownership of Certain Beneficial Owners and Management and Related Shareholder Matters.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080" w:right="2380" w:hanging="1065"/>
        <w:spacing w:after="0" w:line="246" w:lineRule="auto"/>
        <w:tabs>
          <w:tab w:leader="none" w:pos="10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237" w:lineRule="exact"/>
        <w:rPr>
          <w:sz w:val="20"/>
          <w:szCs w:val="20"/>
          <w:color w:val="auto"/>
        </w:rPr>
      </w:pPr>
    </w:p>
    <w:p>
      <w:pPr>
        <w:ind w:right="40" w:firstLine="440"/>
        <w:spacing w:after="0" w:line="239" w:lineRule="auto"/>
        <w:rPr>
          <w:sz w:val="20"/>
          <w:szCs w:val="20"/>
          <w:color w:val="auto"/>
        </w:rPr>
      </w:pPr>
      <w:r>
        <w:rPr>
          <w:rFonts w:ascii="Arial" w:cs="Arial" w:eastAsia="Arial" w:hAnsi="Arial"/>
          <w:sz w:val="17"/>
          <w:szCs w:val="17"/>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49" w:lineRule="exact"/>
        <w:rPr>
          <w:sz w:val="20"/>
          <w:szCs w:val="20"/>
          <w:color w:val="auto"/>
        </w:rPr>
      </w:pPr>
    </w:p>
    <w:p>
      <w:pPr>
        <w:ind w:right="60" w:firstLine="440"/>
        <w:spacing w:after="0" w:line="274"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Management’s discussion focuses on fiscal 2021 results compared to fiscal 2020. Fiscal year 2021 and 2020 were 52-week periods. For a discussion of fiscal 2020 results compared to fiscal 2019, refer to the Company’s Annual Report on </w:t>
      </w:r>
      <w:hyperlink r:id="rId37">
        <w:r>
          <w:rPr>
            <w:rFonts w:ascii="Arial" w:cs="Arial" w:eastAsia="Arial" w:hAnsi="Arial"/>
            <w:sz w:val="17"/>
            <w:szCs w:val="17"/>
            <w:i w:val="1"/>
            <w:iCs w:val="1"/>
            <w:u w:val="single" w:color="auto"/>
            <w:color w:val="0000FF"/>
          </w:rPr>
          <w:t>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-41910</wp:posOffset>
            </wp:positionV>
            <wp:extent cx="511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140" w:firstLine="440"/>
        <w:spacing w:after="0" w:line="253" w:lineRule="auto"/>
        <w:rPr>
          <w:sz w:val="20"/>
          <w:szCs w:val="20"/>
          <w:color w:val="auto"/>
        </w:rPr>
      </w:pPr>
      <w:r>
        <w:rPr>
          <w:rFonts w:ascii="Arial" w:cs="Arial" w:eastAsia="Arial" w:hAnsi="Arial"/>
          <w:sz w:val="17"/>
          <w:szCs w:val="17"/>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January 30, 2022, we operated 62 retail stores and three outlet stores.</w:t>
      </w:r>
    </w:p>
    <w:p>
      <w:pPr>
        <w:spacing w:after="0" w:line="169" w:lineRule="exact"/>
        <w:rPr>
          <w:sz w:val="20"/>
          <w:szCs w:val="20"/>
          <w:color w:val="auto"/>
        </w:rPr>
      </w:pPr>
    </w:p>
    <w:p>
      <w:pPr>
        <w:ind w:right="20" w:firstLine="440"/>
        <w:spacing w:after="0" w:line="184" w:lineRule="auto"/>
        <w:rPr>
          <w:sz w:val="20"/>
          <w:szCs w:val="20"/>
          <w:color w:val="auto"/>
        </w:rPr>
      </w:pPr>
      <w:r>
        <w:rPr>
          <w:rFonts w:ascii="Arial" w:cs="Arial" w:eastAsia="Arial" w:hAnsi="Arial"/>
          <w:sz w:val="17"/>
          <w:szCs w:val="17"/>
          <w:color w:val="auto"/>
        </w:rPr>
        <w:t>We offer a comprehensive line of innovative, durable and functional products, such as our Longtail 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shirts, Buck Naked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underwear, Fire Hose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work pants and No-Yank™ Tank, which reflect our position as the Modern, Self-Reliant American Lifestyle brand. Our brand has a heritage in workwear that transcends tradesmen and appeals to a broad demographic for everyday and on-the-job use.</w:t>
      </w:r>
    </w:p>
    <w:p>
      <w:pPr>
        <w:spacing w:after="0" w:line="136"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sales in fiscal 2021 increased by 9.4% over the prior year to $698.6 million;</w:t>
      </w:r>
    </w:p>
    <w:p>
      <w:pPr>
        <w:spacing w:after="0" w:line="90" w:lineRule="exact"/>
        <w:rPr>
          <w:sz w:val="20"/>
          <w:szCs w:val="20"/>
          <w:color w:val="auto"/>
        </w:rPr>
      </w:pPr>
    </w:p>
    <w:p>
      <w:pPr>
        <w:ind w:left="880" w:right="3780"/>
        <w:spacing w:after="0" w:line="378" w:lineRule="auto"/>
        <w:rPr>
          <w:sz w:val="20"/>
          <w:szCs w:val="20"/>
          <w:color w:val="auto"/>
        </w:rPr>
      </w:pPr>
      <w:r>
        <w:rPr>
          <w:rFonts w:ascii="Arial" w:cs="Arial" w:eastAsia="Arial" w:hAnsi="Arial"/>
          <w:sz w:val="16"/>
          <w:szCs w:val="16"/>
          <w:color w:val="auto"/>
        </w:rPr>
        <w:t>Net income in fiscal 2021 increased 118.8% compared to the prior year to $29.7 million; Adjusted EBITDA in fiscal 2021 increased 41.6% over the prior year to $77.4 million; and</w:t>
      </w:r>
    </w:p>
    <w:p>
      <w:pPr>
        <w:spacing w:after="0" w:line="1" w:lineRule="exact"/>
        <w:rPr>
          <w:sz w:val="20"/>
          <w:szCs w:val="20"/>
          <w:color w:val="auto"/>
        </w:rPr>
      </w:pPr>
    </w:p>
    <w:p>
      <w:pPr>
        <w:ind w:left="880" w:right="220"/>
        <w:spacing w:after="0" w:line="261" w:lineRule="auto"/>
        <w:rPr>
          <w:sz w:val="20"/>
          <w:szCs w:val="20"/>
          <w:color w:val="auto"/>
        </w:rPr>
      </w:pPr>
      <w:r>
        <w:rPr>
          <w:rFonts w:ascii="Arial" w:cs="Arial" w:eastAsia="Arial" w:hAnsi="Arial"/>
          <w:sz w:val="18"/>
          <w:szCs w:val="18"/>
          <w:color w:val="auto"/>
        </w:rPr>
        <w:t>Cash flow from operations in fiscal 2021 increased to $92.0 million and Free Cash Flow increased $43.1 million over the prior year to $81.6 million.</w:t>
      </w:r>
    </w:p>
    <w:p>
      <w:pPr>
        <w:spacing w:after="0" w:line="117" w:lineRule="exact"/>
        <w:rPr>
          <w:sz w:val="20"/>
          <w:szCs w:val="20"/>
          <w:color w:val="auto"/>
        </w:rPr>
      </w:pPr>
    </w:p>
    <w:p>
      <w:pPr>
        <w:ind w:right="80" w:firstLine="440"/>
        <w:spacing w:after="0" w:line="235"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8"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color w:val="auto"/>
        </w:rPr>
        <w:t>See “Free Cash Flow” section for a reconciliation of Net cash provided by operating activities to Free Cash Flow. See also the information under the heading “Free Cash Flow” in the section “How We Assess the Performance of Our Business” for our definition of Free Cash Flow.</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right="100" w:firstLine="428"/>
        <w:spacing w:after="0" w:line="276" w:lineRule="auto"/>
        <w:rPr>
          <w:sz w:val="20"/>
          <w:szCs w:val="20"/>
          <w:color w:val="auto"/>
        </w:rPr>
      </w:pPr>
      <w:r>
        <w:rPr>
          <w:rFonts w:ascii="Arial" w:cs="Arial" w:eastAsia="Arial" w:hAnsi="Arial"/>
          <w:sz w:val="16"/>
          <w:szCs w:val="16"/>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catalog and orders placed through the call center.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firstLine="492"/>
        <w:spacing w:after="0" w:line="246" w:lineRule="auto"/>
        <w:rPr>
          <w:sz w:val="20"/>
          <w:szCs w:val="20"/>
          <w:color w:val="auto"/>
        </w:rPr>
      </w:pPr>
      <w:r>
        <w:rPr>
          <w:rFonts w:ascii="Arial" w:cs="Arial" w:eastAsia="Arial" w:hAnsi="Arial"/>
          <w:sz w:val="17"/>
          <w:szCs w:val="17"/>
          <w:color w:val="auto"/>
        </w:rPr>
        <w:t>Throughout fiscal 2021, the COVID-19 pandemic impacted our business results and operations. The disruption in the global supply chain due to transportation delays, container shortages and port congestion interrupted the flow of our inventory and added incremental expedited shipping costs. Despite these disruptions caused by the pandemic, we achieved record revenues for fiscal 2021, which increased 9.4% to $698.6 million, compared to fiscal 2020, with gross margin expansion creating net income of $29.7 million, a 118.8% increase over fiscal 2020.</w:t>
      </w:r>
    </w:p>
    <w:p>
      <w:pPr>
        <w:spacing w:after="0" w:line="130" w:lineRule="exact"/>
        <w:rPr>
          <w:sz w:val="20"/>
          <w:szCs w:val="20"/>
          <w:color w:val="auto"/>
        </w:rPr>
      </w:pPr>
    </w:p>
    <w:p>
      <w:pPr>
        <w:ind w:right="100" w:firstLine="492"/>
        <w:spacing w:after="0" w:line="227" w:lineRule="auto"/>
        <w:rPr>
          <w:sz w:val="20"/>
          <w:szCs w:val="20"/>
          <w:color w:val="auto"/>
        </w:rPr>
      </w:pPr>
      <w:r>
        <w:rPr>
          <w:rFonts w:ascii="Arial" w:cs="Arial" w:eastAsia="Arial" w:hAnsi="Arial"/>
          <w:sz w:val="18"/>
          <w:szCs w:val="18"/>
          <w:color w:val="auto"/>
        </w:rPr>
        <w:t>Our direct business coupled with retail reemerging in fiscal 2021 fueled our growth through the year as we continued to navigate the pandemic. The ultimate impact of COVID-19 on our operational and financial performance still depends on future developments outside of our control, including the duration and spread of the pandemic and related actions taken by federal, state and local government officials, and international governments to prevent disease spread, and the availability, safety and efficacy of a vaccine. Given the uncertainty, we cannot reasonably estimate store traffic patterns and the prolonged impact on overall consumer demand. We continue to actively evaluate all federal, state and local regulations to ensure compliance with store operations.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assessing the performance of our business, we consider a variety of financial and operating measures that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Direct-to-consumer sales are recognized upon shipment to a customer, while store sales are recognized at the point of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Shipping and handling revenue is also reflected in our gross profit and gross profit margin. Our gross profit may not be comparable to other retailers, as we do not include distribution network and store occupancy expenses in calculating gross profit, but instead we include them in selling, general and administrative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ind w:firstLine="440"/>
        <w:spacing w:after="0" w:line="227"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35" w:lineRule="exact"/>
        <w:rPr>
          <w:sz w:val="20"/>
          <w:szCs w:val="20"/>
          <w:color w:val="auto"/>
        </w:rPr>
      </w:pPr>
    </w:p>
    <w:p>
      <w:pPr>
        <w:ind w:right="160" w:firstLine="440"/>
        <w:spacing w:after="0" w:line="228"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rent/occupancy and payroll costs. While we expect these expenses to increase as we continue to increase brand awareness and invest in infrastructure to support our growing business, we believe these expenses will decrease as a percentage of sales over time. Our shipping and handling expenses increased during the second half of the year because of additional surcharges due to the strained distribution network during our peak selling season.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ind w:right="100" w:firstLine="440"/>
        <w:spacing w:after="0" w:line="246"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30" w:lineRule="exact"/>
        <w:rPr>
          <w:sz w:val="20"/>
          <w:szCs w:val="20"/>
          <w:color w:val="auto"/>
        </w:rPr>
      </w:pPr>
    </w:p>
    <w:p>
      <w:pPr>
        <w:ind w:right="20" w:firstLine="440"/>
        <w:spacing w:after="0" w:line="231" w:lineRule="auto"/>
        <w:rPr>
          <w:sz w:val="20"/>
          <w:szCs w:val="20"/>
          <w:color w:val="auto"/>
        </w:rPr>
      </w:pPr>
      <w:r>
        <w:rPr>
          <w:rFonts w:ascii="Arial" w:cs="Arial" w:eastAsia="Arial" w:hAnsi="Arial"/>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We believe Free Cash Flow is a useful measure of performance as an indication of our financial strength and provides additional perspective on our ability to efficiently use capital in executing our growth strategy. We use Free Cash Flow to facilitate a comparison of our operating performance on a consistent basis from period-to-period and our ability to generate cash.</w:t>
      </w:r>
    </w:p>
    <w:p>
      <w:pPr>
        <w:spacing w:after="0" w:line="134" w:lineRule="exact"/>
        <w:rPr>
          <w:sz w:val="20"/>
          <w:szCs w:val="20"/>
          <w:color w:val="auto"/>
        </w:rPr>
      </w:pPr>
    </w:p>
    <w:p>
      <w:pPr>
        <w:ind w:right="140" w:firstLine="440"/>
        <w:spacing w:after="0" w:line="274" w:lineRule="auto"/>
        <w:rPr>
          <w:sz w:val="20"/>
          <w:szCs w:val="20"/>
          <w:color w:val="auto"/>
        </w:rPr>
      </w:pPr>
      <w:r>
        <w:rPr>
          <w:rFonts w:ascii="Arial" w:cs="Arial" w:eastAsia="Arial" w:hAnsi="Arial"/>
          <w:sz w:val="17"/>
          <w:szCs w:val="17"/>
          <w:color w:val="auto"/>
        </w:rPr>
        <w:t>We define Free Cash Flow as net cash provided by operating activities less purchase of property and equipment and capital contributions towards build-to-suit stores. This non-GAAP measure may not be comparable to similarly titled measures used by other companies.</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1" w:right="5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consolidated results of operations for the periods indicated, both in dollars and as a percentage of net sales.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4"/>
          </w:tcPr>
          <w:p>
            <w:pPr>
              <w:jc w:val="right"/>
              <w:ind w:right="1311"/>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January 30, 2022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January 31, 2021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698,584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638,783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321,260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640" w:type="dxa"/>
            <w:vAlign w:val="bottom"/>
          </w:tcPr>
          <w:p>
            <w:pPr>
              <w:spacing w:after="0" w:line="168" w:lineRule="exact"/>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8"/>
                <w:szCs w:val="18"/>
                <w:color w:val="auto"/>
              </w:rPr>
              <w:t>377,324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8"/>
                <w:szCs w:val="18"/>
                <w:color w:val="auto"/>
              </w:rPr>
              <w:t>331,526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333,225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640" w:type="dxa"/>
            <w:vAlign w:val="bottom"/>
          </w:tcPr>
          <w:p>
            <w:pPr>
              <w:spacing w:after="0" w:line="168" w:lineRule="exact"/>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8"/>
                <w:szCs w:val="18"/>
                <w:color w:val="auto"/>
              </w:rPr>
              <w:t>44,099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8"/>
                <w:szCs w:val="18"/>
                <w:color w:val="auto"/>
              </w:rPr>
              <w:t>24,215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4,717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6,263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Other income, net</w:t>
            </w: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640" w:type="dxa"/>
            <w:vAlign w:val="bottom"/>
          </w:tcPr>
          <w:p>
            <w:pPr>
              <w:spacing w:after="0" w:line="168" w:lineRule="exact"/>
              <w:rPr>
                <w:sz w:val="20"/>
                <w:szCs w:val="20"/>
                <w:color w:val="auto"/>
              </w:rPr>
            </w:pPr>
            <w:r>
              <w:rPr>
                <w:rFonts w:ascii="Arial" w:cs="Arial" w:eastAsia="Arial" w:hAnsi="Arial"/>
                <w:sz w:val="18"/>
                <w:szCs w:val="18"/>
                <w:color w:val="auto"/>
              </w:rPr>
              <w:t>Income before income taxes</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8"/>
                <w:szCs w:val="18"/>
                <w:color w:val="auto"/>
              </w:rPr>
              <w:t>39,437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8"/>
                <w:szCs w:val="18"/>
                <w:color w:val="auto"/>
              </w:rPr>
              <w:t>18,017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640" w:type="dxa"/>
            <w:vAlign w:val="bottom"/>
          </w:tcPr>
          <w:p>
            <w:pPr>
              <w:spacing w:after="0" w:line="168" w:lineRule="exact"/>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8"/>
                <w:szCs w:val="18"/>
                <w:color w:val="auto"/>
              </w:rPr>
              <w:t>29,550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8"/>
                <w:szCs w:val="18"/>
                <w:color w:val="auto"/>
              </w:rPr>
              <w:t>13,380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line="182" w:lineRule="exact"/>
              <w:rPr>
                <w:sz w:val="20"/>
                <w:szCs w:val="20"/>
                <w:color w:val="auto"/>
              </w:rPr>
            </w:pPr>
            <w:r>
              <w:rPr>
                <w:rFonts w:ascii="Arial" w:cs="Arial" w:eastAsia="Arial" w:hAnsi="Arial"/>
                <w:sz w:val="18"/>
                <w:szCs w:val="18"/>
                <w:color w:val="auto"/>
              </w:rPr>
              <w:t>Net income attributable to controlling interest</w:t>
            </w:r>
          </w:p>
        </w:tc>
        <w:tc>
          <w:tcPr>
            <w:tcW w:w="1240" w:type="dxa"/>
            <w:vAlign w:val="bottom"/>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29,702</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13,577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Net sales:</w:t>
            </w: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5640" w:type="dxa"/>
            <w:vAlign w:val="bottom"/>
          </w:tcPr>
          <w:p>
            <w:pPr>
              <w:spacing w:after="0" w:line="182" w:lineRule="exact"/>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54.0</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74"/>
              </w:rPr>
              <w:t>%</w:t>
            </w: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51.9</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5640" w:type="dxa"/>
            <w:vAlign w:val="bottom"/>
          </w:tcPr>
          <w:p>
            <w:pPr>
              <w:spacing w:after="0" w:line="182" w:lineRule="exact"/>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74"/>
              </w:rPr>
              <w:t>%</w:t>
            </w: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Other income, net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3"/>
          </w:tcPr>
          <w:p>
            <w:pPr>
              <w:jc w:val="right"/>
              <w:ind w:right="270"/>
              <w:spacing w:after="0"/>
              <w:rPr>
                <w:sz w:val="20"/>
                <w:szCs w:val="20"/>
                <w:color w:val="auto"/>
              </w:rPr>
            </w:pPr>
            <w:r>
              <w:rPr>
                <w:rFonts w:ascii="Arial" w:cs="Arial" w:eastAsia="Arial" w:hAnsi="Arial"/>
                <w:sz w:val="18"/>
                <w:szCs w:val="18"/>
                <w:color w:val="auto"/>
              </w:rPr>
              <w:t>— %</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2"/>
        </w:trPr>
        <w:tc>
          <w:tcPr>
            <w:tcW w:w="5640" w:type="dxa"/>
            <w:vAlign w:val="bottom"/>
          </w:tcPr>
          <w:p>
            <w:pPr>
              <w:spacing w:after="0" w:line="182" w:lineRule="exact"/>
              <w:rPr>
                <w:sz w:val="20"/>
                <w:szCs w:val="20"/>
                <w:color w:val="auto"/>
              </w:rPr>
            </w:pPr>
            <w:r>
              <w:rPr>
                <w:rFonts w:ascii="Arial" w:cs="Arial" w:eastAsia="Arial" w:hAnsi="Arial"/>
                <w:sz w:val="18"/>
                <w:szCs w:val="18"/>
                <w:color w:val="auto"/>
              </w:rPr>
              <w:t>Income before income taxes</w:t>
            </w:r>
          </w:p>
        </w:tc>
        <w:tc>
          <w:tcPr>
            <w:tcW w:w="1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5.6</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74"/>
              </w:rPr>
              <w:t>%</w:t>
            </w:r>
          </w:p>
        </w:tc>
        <w:tc>
          <w:tcPr>
            <w:tcW w:w="2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2.8</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182"/>
        </w:trPr>
        <w:tc>
          <w:tcPr>
            <w:tcW w:w="564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4.2</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74"/>
              </w:rPr>
              <w:t>%</w:t>
            </w:r>
          </w:p>
        </w:tc>
        <w:tc>
          <w:tcPr>
            <w:tcW w:w="2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2.1</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3"/>
          </w:tcPr>
          <w:p>
            <w:pPr>
              <w:jc w:val="right"/>
              <w:ind w:right="270"/>
              <w:spacing w:after="0"/>
              <w:rPr>
                <w:sz w:val="20"/>
                <w:szCs w:val="20"/>
                <w:color w:val="auto"/>
              </w:rPr>
            </w:pPr>
            <w:r>
              <w:rPr>
                <w:rFonts w:ascii="Arial" w:cs="Arial" w:eastAsia="Arial" w:hAnsi="Arial"/>
                <w:sz w:val="18"/>
                <w:szCs w:val="18"/>
                <w:color w:val="auto"/>
              </w:rPr>
              <w:t>— %</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color w:val="auto"/>
              </w:rPr>
              <w:t>Net income attributable to controlling interest</w:t>
            </w:r>
          </w:p>
        </w:tc>
        <w:tc>
          <w:tcPr>
            <w:tcW w:w="1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28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Compared to Fiscal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ind w:right="280" w:firstLine="440"/>
        <w:spacing w:after="0" w:line="246" w:lineRule="auto"/>
        <w:rPr>
          <w:sz w:val="20"/>
          <w:szCs w:val="20"/>
          <w:color w:val="auto"/>
        </w:rPr>
      </w:pPr>
      <w:r>
        <w:rPr>
          <w:rFonts w:ascii="Arial" w:cs="Arial" w:eastAsia="Arial" w:hAnsi="Arial"/>
          <w:sz w:val="18"/>
          <w:szCs w:val="18"/>
          <w:color w:val="auto"/>
        </w:rPr>
        <w:t>Net sales increased $59.8 million, or 9.4%, to $698.6 million in fiscal 2021 compared to $638.8 million in fiscal 2020. The increase was due to an increase in store market sales partially offset by a decrease in non-store market sales.</w:t>
      </w:r>
    </w:p>
    <w:p>
      <w:pPr>
        <w:spacing w:after="0" w:line="129" w:lineRule="exact"/>
        <w:rPr>
          <w:sz w:val="20"/>
          <w:szCs w:val="20"/>
          <w:color w:val="auto"/>
        </w:rPr>
      </w:pPr>
    </w:p>
    <w:p>
      <w:pPr>
        <w:ind w:right="140" w:firstLine="428"/>
        <w:spacing w:after="0" w:line="228" w:lineRule="auto"/>
        <w:rPr>
          <w:sz w:val="20"/>
          <w:szCs w:val="20"/>
          <w:color w:val="auto"/>
        </w:rPr>
      </w:pPr>
      <w:r>
        <w:rPr>
          <w:rFonts w:ascii="Arial" w:cs="Arial" w:eastAsia="Arial" w:hAnsi="Arial"/>
          <w:sz w:val="18"/>
          <w:szCs w:val="18"/>
          <w:color w:val="auto"/>
        </w:rPr>
        <w:t>Store market net sales increased $67.1 million, or 16.0%, to $486.2 million in fiscal 2021 compared to $419.1 million in fiscal 2020. The year-over-year sales difference was primarily driven by temporary store closures beginning on March 20, 2020 until they re-opened beginning in the first week of May through the third week of June, coupled with higher conversion as compared to the prior year. Net sales in non-store markets decreased $8.2 million, or 3.8%, to $206.2 million in fiscal 2021 compared to $214.4 million in fiscal 2020. The decrease was driven by extended free shipping and higher promotions in the prior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240" w:firstLine="440"/>
        <w:spacing w:after="0" w:line="228" w:lineRule="auto"/>
        <w:rPr>
          <w:sz w:val="20"/>
          <w:szCs w:val="20"/>
          <w:color w:val="auto"/>
        </w:rPr>
      </w:pPr>
      <w:r>
        <w:rPr>
          <w:rFonts w:ascii="Arial" w:cs="Arial" w:eastAsia="Arial" w:hAnsi="Arial"/>
          <w:sz w:val="18"/>
          <w:szCs w:val="18"/>
          <w:color w:val="auto"/>
        </w:rPr>
        <w:t>Gross profit increased $45.8 million, or 13.8%, to $377.3 million in fiscal 2021 compared to $331.5 million in fiscal 2020. As a percentage of net sales, gross margin increased to 54.0% of net sales in fiscal 2021 compared to 51.9% of net sales in fiscal 2020. The increase in gross margin rate was driven by a higher mix of full price sales due to lower clearance inventory and fewer promotional events, as well as improved gross margin rates on both full price and clearance items. The year-over-year increase was partially offset by expenses associated with increased expedited freight costs in order to combat disruptions within the supply chain.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ind w:right="80" w:firstLine="440"/>
        <w:spacing w:after="0" w:line="246" w:lineRule="auto"/>
        <w:rPr>
          <w:sz w:val="20"/>
          <w:szCs w:val="20"/>
          <w:color w:val="auto"/>
        </w:rPr>
      </w:pPr>
      <w:r>
        <w:rPr>
          <w:rFonts w:ascii="Arial" w:cs="Arial" w:eastAsia="Arial" w:hAnsi="Arial"/>
          <w:sz w:val="17"/>
          <w:szCs w:val="17"/>
          <w:color w:val="auto"/>
        </w:rPr>
        <w:t>Selling, general and administrative expenses increased $25.9 million, or 8.4%, to $333.2 million in fiscal 2021 compared to $307.3 million in fiscal 2020. Selling, general and administrative expenses as a percentage of net sales decreased in fiscal 2021 to 47.7% of net sales, compared to 48.1% of net sales for fiscal 2020. The positive leverage was primarily due to shifting to a more efficient digital marketing approach, as well as lower shipping expenses driven in part by a shift in channel mix resulting from higher store traffic during the current year.</w:t>
      </w:r>
    </w:p>
    <w:p>
      <w:pPr>
        <w:spacing w:after="0" w:line="130" w:lineRule="exact"/>
        <w:rPr>
          <w:sz w:val="20"/>
          <w:szCs w:val="20"/>
          <w:color w:val="auto"/>
        </w:rPr>
      </w:pPr>
    </w:p>
    <w:p>
      <w:pPr>
        <w:jc w:val="both"/>
        <w:ind w:right="80" w:firstLine="428"/>
        <w:spacing w:after="0" w:line="235" w:lineRule="auto"/>
        <w:rPr>
          <w:sz w:val="20"/>
          <w:szCs w:val="20"/>
          <w:color w:val="auto"/>
        </w:rPr>
      </w:pPr>
      <w:r>
        <w:rPr>
          <w:rFonts w:ascii="Arial" w:cs="Arial" w:eastAsia="Arial" w:hAnsi="Arial"/>
          <w:sz w:val="18"/>
          <w:szCs w:val="18"/>
          <w:color w:val="auto"/>
        </w:rPr>
        <w:t>The increase in selling, general and administrative expense was primarily caused by increased wages due to Company retail locations being open for the full fiscal year, wage increases at both the stores and distribution centers, new headcount and merit increases, as well as increased depreciation expense associated with investments in technology.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right="120" w:firstLine="440"/>
        <w:spacing w:after="0" w:line="235" w:lineRule="auto"/>
        <w:rPr>
          <w:sz w:val="20"/>
          <w:szCs w:val="20"/>
          <w:color w:val="auto"/>
        </w:rPr>
      </w:pPr>
      <w:r>
        <w:rPr>
          <w:rFonts w:ascii="Arial" w:cs="Arial" w:eastAsia="Arial" w:hAnsi="Arial"/>
          <w:sz w:val="18"/>
          <w:szCs w:val="18"/>
          <w:color w:val="auto"/>
        </w:rPr>
        <w:t>Interest expense decreased $1.6 million to $4.7 million in fiscal 2021 compared to $6.3 million in fiscal 2020. The decrease in interest expense was primarily attributable the full pay-down of Duluth Trading’s bank debt in fiscal 2021 compared to increased borrowings on the revolving line of credit and delayed draw term loan during fiscal 2020 due to uncertainties resulting from the COVID-19 pandemic.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right="120" w:firstLine="440"/>
        <w:spacing w:after="0" w:line="246" w:lineRule="auto"/>
        <w:rPr>
          <w:sz w:val="20"/>
          <w:szCs w:val="20"/>
          <w:color w:val="auto"/>
        </w:rPr>
      </w:pPr>
      <w:r>
        <w:rPr>
          <w:rFonts w:ascii="Arial" w:cs="Arial" w:eastAsia="Arial" w:hAnsi="Arial"/>
          <w:sz w:val="18"/>
          <w:szCs w:val="18"/>
          <w:color w:val="auto"/>
        </w:rPr>
        <w:t>Income tax expense was $9.9 million in fiscal 2021 compared to $4.6 million in fiscal 2020. Our effective tax rate related to controlling interest was 25.0% and 25.5% in fiscal 2021 and fiscal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Controlling Interest</w:t>
      </w:r>
    </w:p>
    <w:p>
      <w:pPr>
        <w:spacing w:after="0" w:line="158" w:lineRule="exact"/>
        <w:rPr>
          <w:sz w:val="20"/>
          <w:szCs w:val="20"/>
          <w:color w:val="auto"/>
        </w:rPr>
      </w:pPr>
    </w:p>
    <w:p>
      <w:pPr>
        <w:jc w:val="both"/>
        <w:ind w:right="100" w:firstLine="440"/>
        <w:spacing w:after="0" w:line="246" w:lineRule="auto"/>
        <w:rPr>
          <w:sz w:val="20"/>
          <w:szCs w:val="20"/>
          <w:color w:val="auto"/>
        </w:rPr>
      </w:pPr>
      <w:r>
        <w:rPr>
          <w:rFonts w:ascii="Arial" w:cs="Arial" w:eastAsia="Arial" w:hAnsi="Arial"/>
          <w:sz w:val="18"/>
          <w:szCs w:val="18"/>
          <w:color w:val="auto"/>
        </w:rPr>
        <w:t>Net income attributable to controlling interest was $29.7 million in fiscal 2021 compared to $13.6 million in fiscal 2020, primarily due to the factors discussed above.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the above section titled “How We Assess the Performance of Our Business,” for our definition of Adjusted EBITDA and Free Cash Flow.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represents reconciliations of net income to EBITDA and EBITDA to Adjusted EBITDA for the periods indicated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Fiscal Year Ended</w:t>
            </w:r>
          </w:p>
        </w:tc>
        <w:tc>
          <w:tcPr>
            <w:tcW w:w="1660" w:type="dxa"/>
            <w:vAlign w:val="bottom"/>
            <w:tcBorders>
              <w:bottom w:val="single" w:sz="8" w:color="auto"/>
            </w:tcBorders>
          </w:tcPr>
          <w:p>
            <w:pPr>
              <w:spacing w:after="0"/>
              <w:rPr>
                <w:sz w:val="14"/>
                <w:szCs w:val="14"/>
                <w:color w:val="auto"/>
              </w:rPr>
            </w:pPr>
          </w:p>
        </w:tc>
      </w:tr>
      <w:tr>
        <w:trPr>
          <w:trHeight w:val="183"/>
        </w:trPr>
        <w:tc>
          <w:tcPr>
            <w:tcW w:w="6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jc w:val="right"/>
              <w:ind w:right="452"/>
              <w:spacing w:after="0"/>
              <w:rPr>
                <w:sz w:val="20"/>
                <w:szCs w:val="20"/>
                <w:color w:val="auto"/>
              </w:rPr>
            </w:pPr>
            <w:r>
              <w:rPr>
                <w:rFonts w:ascii="Arial" w:cs="Arial" w:eastAsia="Arial" w:hAnsi="Arial"/>
                <w:sz w:val="14"/>
                <w:szCs w:val="14"/>
                <w:b w:val="1"/>
                <w:bCs w:val="1"/>
                <w:color w:val="auto"/>
                <w:w w:val="98"/>
              </w:rPr>
              <w:t>January 31, 2021</w:t>
            </w:r>
          </w:p>
        </w:tc>
      </w:tr>
      <w:tr>
        <w:trPr>
          <w:trHeight w:val="168"/>
        </w:trPr>
        <w:tc>
          <w:tcPr>
            <w:tcW w:w="6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29,550</w:t>
            </w:r>
          </w:p>
        </w:tc>
        <w:tc>
          <w:tcPr>
            <w:tcW w:w="300" w:type="dxa"/>
            <w:vAlign w:val="bottom"/>
          </w:tcPr>
          <w:p>
            <w:pPr>
              <w:spacing w:after="0"/>
              <w:rPr>
                <w:sz w:val="17"/>
                <w:szCs w:val="17"/>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13,380</w:t>
            </w: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29,225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28,520</w:t>
            </w: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Amortization of internal-use software hosting</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subscription implementation costs</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1,797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r>
      <w:tr>
        <w:trPr>
          <w:trHeight w:val="202"/>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4,717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6,263</w:t>
            </w:r>
          </w:p>
        </w:tc>
      </w:tr>
      <w:tr>
        <w:trPr>
          <w:trHeight w:val="217"/>
        </w:trPr>
        <w:tc>
          <w:tcPr>
            <w:tcW w:w="66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r>
      <w:tr>
        <w:trPr>
          <w:trHeight w:val="168"/>
        </w:trPr>
        <w:tc>
          <w:tcPr>
            <w:tcW w:w="6640" w:type="dxa"/>
            <w:vAlign w:val="bottom"/>
          </w:tcPr>
          <w:p>
            <w:pPr>
              <w:spacing w:after="0" w:line="168" w:lineRule="exact"/>
              <w:rPr>
                <w:sz w:val="20"/>
                <w:szCs w:val="20"/>
                <w:color w:val="auto"/>
              </w:rPr>
            </w:pPr>
            <w:r>
              <w:rPr>
                <w:rFonts w:ascii="Arial" w:cs="Arial" w:eastAsia="Arial" w:hAnsi="Arial"/>
                <w:sz w:val="18"/>
                <w:szCs w:val="18"/>
                <w:color w:val="auto"/>
              </w:rPr>
              <w:t>EBITDA (non-GAAP)</w:t>
            </w:r>
          </w:p>
        </w:tc>
        <w:tc>
          <w:tcPr>
            <w:tcW w:w="340" w:type="dxa"/>
            <w:vAlign w:val="bottom"/>
          </w:tcPr>
          <w:p>
            <w:pPr>
              <w:spacing w:after="0"/>
              <w:rPr>
                <w:sz w:val="14"/>
                <w:szCs w:val="14"/>
                <w:color w:val="auto"/>
              </w:rPr>
            </w:pPr>
          </w:p>
        </w:tc>
        <w:tc>
          <w:tcPr>
            <w:tcW w:w="1820" w:type="dxa"/>
            <w:vAlign w:val="bottom"/>
          </w:tcPr>
          <w:p>
            <w:pPr>
              <w:jc w:val="right"/>
              <w:spacing w:after="0" w:line="168" w:lineRule="exact"/>
              <w:rPr>
                <w:sz w:val="20"/>
                <w:szCs w:val="20"/>
                <w:color w:val="auto"/>
              </w:rPr>
            </w:pPr>
            <w:r>
              <w:rPr>
                <w:rFonts w:ascii="Arial" w:cs="Arial" w:eastAsia="Arial" w:hAnsi="Arial"/>
                <w:sz w:val="18"/>
                <w:szCs w:val="18"/>
                <w:color w:val="auto"/>
              </w:rPr>
              <w:t>75,176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Arial" w:cs="Arial" w:eastAsia="Arial" w:hAnsi="Arial"/>
                <w:sz w:val="18"/>
                <w:szCs w:val="18"/>
                <w:color w:val="auto"/>
              </w:rPr>
              <w:t>53,029</w:t>
            </w:r>
          </w:p>
        </w:tc>
      </w:tr>
      <w:tr>
        <w:trPr>
          <w:trHeight w:val="217"/>
        </w:trPr>
        <w:tc>
          <w:tcPr>
            <w:tcW w:w="6640" w:type="dxa"/>
            <w:vAlign w:val="bottom"/>
          </w:tcPr>
          <w:p>
            <w:pPr>
              <w:ind w:left="120"/>
              <w:spacing w:after="0"/>
              <w:rPr>
                <w:sz w:val="20"/>
                <w:szCs w:val="20"/>
                <w:color w:val="auto"/>
              </w:rPr>
            </w:pPr>
            <w:r>
              <w:rPr>
                <w:rFonts w:ascii="Arial" w:cs="Arial" w:eastAsia="Arial" w:hAnsi="Arial"/>
                <w:sz w:val="18"/>
                <w:szCs w:val="18"/>
                <w:color w:val="auto"/>
              </w:rPr>
              <w:t>Stock based compensation</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r>
      <w:tr>
        <w:trPr>
          <w:trHeight w:val="183"/>
        </w:trPr>
        <w:tc>
          <w:tcPr>
            <w:tcW w:w="6640" w:type="dxa"/>
            <w:vAlign w:val="bottom"/>
          </w:tcPr>
          <w:p>
            <w:pPr>
              <w:spacing w:after="0" w:line="182" w:lineRule="exact"/>
              <w:rPr>
                <w:sz w:val="20"/>
                <w:szCs w:val="20"/>
                <w:color w:val="auto"/>
              </w:rPr>
            </w:pPr>
            <w:r>
              <w:rPr>
                <w:rFonts w:ascii="Arial" w:cs="Arial" w:eastAsia="Arial" w:hAnsi="Arial"/>
                <w:sz w:val="18"/>
                <w:szCs w:val="18"/>
                <w:color w:val="auto"/>
              </w:rPr>
              <w:t>Adjusted EBITDA (non-GAAP)</w:t>
            </w: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77,374</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54,658</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firstLine="440"/>
        <w:spacing w:after="0" w:line="235" w:lineRule="auto"/>
        <w:rPr>
          <w:sz w:val="20"/>
          <w:szCs w:val="20"/>
          <w:color w:val="auto"/>
        </w:rPr>
      </w:pPr>
      <w:r>
        <w:rPr>
          <w:rFonts w:ascii="Arial" w:cs="Arial" w:eastAsia="Arial" w:hAnsi="Arial"/>
          <w:sz w:val="18"/>
          <w:szCs w:val="18"/>
          <w:color w:val="auto"/>
        </w:rPr>
        <w:t>As a result of the factors discussed above in the “Results of Operations” section, Adjusted EBITDA increased $22.7 million, or 41.6%, to $77.4 million in fiscal 2021 compared to $54.7 million in fiscal 2020. As a percentage of net sales, Adjusted EBITDA increased to 11.1% of net sales in fiscal 2021 compared to 8.6% of net sales in fiscal 2020.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75" w:lineRule="exact"/>
        <w:rPr>
          <w:sz w:val="20"/>
          <w:szCs w:val="20"/>
          <w:color w:val="auto"/>
        </w:rPr>
      </w:pPr>
    </w:p>
    <w:p>
      <w:pPr>
        <w:jc w:val="both"/>
        <w:ind w:right="200" w:firstLine="440"/>
        <w:spacing w:after="0" w:line="246" w:lineRule="auto"/>
        <w:rPr>
          <w:sz w:val="20"/>
          <w:szCs w:val="20"/>
          <w:color w:val="auto"/>
        </w:rPr>
      </w:pPr>
      <w:r>
        <w:rPr>
          <w:rFonts w:ascii="Arial" w:cs="Arial" w:eastAsia="Arial" w:hAnsi="Arial"/>
          <w:sz w:val="18"/>
          <w:szCs w:val="18"/>
          <w:color w:val="auto"/>
        </w:rPr>
        <w:t>The following table represents a reconciliation of Net cash provided by operating activities, the most comparable U.S. GAAP financial measure, to free cash flow.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Fiscal Year Ended</w:t>
            </w:r>
          </w:p>
        </w:tc>
        <w:tc>
          <w:tcPr>
            <w:tcW w:w="1660" w:type="dxa"/>
            <w:vAlign w:val="bottom"/>
            <w:tcBorders>
              <w:bottom w:val="single" w:sz="8" w:color="auto"/>
            </w:tcBorders>
          </w:tcPr>
          <w:p>
            <w:pPr>
              <w:spacing w:after="0"/>
              <w:rPr>
                <w:sz w:val="14"/>
                <w:szCs w:val="14"/>
                <w:color w:val="auto"/>
              </w:rPr>
            </w:pPr>
          </w:p>
        </w:tc>
      </w:tr>
      <w:tr>
        <w:trPr>
          <w:trHeight w:val="196"/>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jc w:val="right"/>
              <w:ind w:right="454"/>
              <w:spacing w:after="0"/>
              <w:rPr>
                <w:sz w:val="20"/>
                <w:szCs w:val="20"/>
                <w:color w:val="auto"/>
              </w:rPr>
            </w:pPr>
            <w:r>
              <w:rPr>
                <w:rFonts w:ascii="Arial" w:cs="Arial" w:eastAsia="Arial" w:hAnsi="Arial"/>
                <w:sz w:val="14"/>
                <w:szCs w:val="14"/>
                <w:b w:val="1"/>
                <w:bCs w:val="1"/>
                <w:color w:val="auto"/>
                <w:w w:val="98"/>
              </w:rPr>
              <w:t>January 31, 2021</w:t>
            </w:r>
          </w:p>
        </w:tc>
      </w:tr>
      <w:tr>
        <w:trPr>
          <w:trHeight w:val="195"/>
        </w:trPr>
        <w:tc>
          <w:tcPr>
            <w:tcW w:w="6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91,981</w:t>
            </w:r>
          </w:p>
        </w:tc>
        <w:tc>
          <w:tcPr>
            <w:tcW w:w="300" w:type="dxa"/>
            <w:vAlign w:val="bottom"/>
          </w:tcPr>
          <w:p>
            <w:pPr>
              <w:spacing w:after="0"/>
              <w:rPr>
                <w:sz w:val="18"/>
                <w:szCs w:val="18"/>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50,751</w:t>
            </w: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(10,352)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(11,743)</w:t>
            </w:r>
          </w:p>
        </w:tc>
      </w:tr>
      <w:tr>
        <w:trPr>
          <w:trHeight w:val="217"/>
        </w:trPr>
        <w:tc>
          <w:tcPr>
            <w:tcW w:w="6640" w:type="dxa"/>
            <w:vAlign w:val="bottom"/>
          </w:tcPr>
          <w:p>
            <w:pPr>
              <w:ind w:left="120"/>
              <w:spacing w:after="0"/>
              <w:rPr>
                <w:sz w:val="20"/>
                <w:szCs w:val="20"/>
                <w:color w:val="auto"/>
              </w:rPr>
            </w:pPr>
            <w:r>
              <w:rPr>
                <w:rFonts w:ascii="Arial" w:cs="Arial" w:eastAsia="Arial" w:hAnsi="Arial"/>
                <w:sz w:val="18"/>
                <w:szCs w:val="18"/>
                <w:color w:val="auto"/>
              </w:rPr>
              <w:t>Capital contributions towards build-to-suit stores</w:t>
            </w:r>
          </w:p>
        </w:tc>
        <w:tc>
          <w:tcPr>
            <w:tcW w:w="340" w:type="dxa"/>
            <w:vAlign w:val="bottom"/>
          </w:tcPr>
          <w:p>
            <w:pPr>
              <w:spacing w:after="0"/>
              <w:rPr>
                <w:sz w:val="18"/>
                <w:szCs w:val="18"/>
                <w:color w:val="auto"/>
              </w:rPr>
            </w:pPr>
          </w:p>
        </w:tc>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183"/>
        </w:trPr>
        <w:tc>
          <w:tcPr>
            <w:tcW w:w="6640" w:type="dxa"/>
            <w:vAlign w:val="bottom"/>
          </w:tcPr>
          <w:p>
            <w:pPr>
              <w:spacing w:after="0" w:line="182" w:lineRule="exact"/>
              <w:rPr>
                <w:sz w:val="20"/>
                <w:szCs w:val="20"/>
                <w:color w:val="auto"/>
              </w:rPr>
            </w:pPr>
            <w:r>
              <w:rPr>
                <w:rFonts w:ascii="Arial" w:cs="Arial" w:eastAsia="Arial" w:hAnsi="Arial"/>
                <w:sz w:val="18"/>
                <w:szCs w:val="18"/>
                <w:color w:val="auto"/>
              </w:rPr>
              <w:t>Free Cash Flow (non-GAAP)</w:t>
            </w: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81,629</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38,488</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Free cash flow increased $43.1 million to $81.6 million in fiscal 2021 compared to $38.5 million in fiscal 2020. The increase was primarily driven by higher net income and lower inventory levels associated with continued in-bound receipt delays.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right="200" w:firstLine="440"/>
        <w:spacing w:after="0" w:line="231" w:lineRule="auto"/>
        <w:rPr>
          <w:sz w:val="20"/>
          <w:szCs w:val="20"/>
          <w:color w:val="auto"/>
        </w:rPr>
      </w:pPr>
      <w:r>
        <w:rPr>
          <w:rFonts w:ascii="Arial" w:cs="Arial" w:eastAsia="Arial" w:hAnsi="Arial"/>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January 30, 2022 our working capital was $106.5 million, which includes cash of $77.1 million.</w:t>
      </w:r>
    </w:p>
    <w:p>
      <w:pPr>
        <w:spacing w:after="0" w:line="135" w:lineRule="exact"/>
        <w:rPr>
          <w:sz w:val="20"/>
          <w:szCs w:val="20"/>
          <w:color w:val="auto"/>
        </w:rPr>
      </w:pPr>
    </w:p>
    <w:p>
      <w:pPr>
        <w:ind w:right="160" w:firstLine="440"/>
        <w:spacing w:after="0" w:line="225" w:lineRule="auto"/>
        <w:rPr>
          <w:sz w:val="20"/>
          <w:szCs w:val="20"/>
          <w:color w:val="auto"/>
        </w:rPr>
      </w:pPr>
      <w:r>
        <w:rPr>
          <w:rFonts w:ascii="Arial" w:cs="Arial" w:eastAsia="Arial" w:hAnsi="Arial"/>
          <w:sz w:val="18"/>
          <w:szCs w:val="18"/>
          <w:color w:val="auto"/>
        </w:rPr>
        <w:t>We spent $10.4 million in fiscal 2021 on capital expenditures, as well as, $4.7 million of additional investments in software hosting implementation costs, which are included in Prepaid expenses &amp; other current assets on the Company’s Consolidated Balance Sheets. We expect to spend approximately $57.0 million in fiscal 2022 on capital expenditures, primarily due to investments in logistics optimization, including the introduction of automated fulfillment centers.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54"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560" w:type="dxa"/>
            <w:vAlign w:val="bottom"/>
            <w:tcBorders>
              <w:bottom w:val="single" w:sz="8" w:color="auto"/>
            </w:tcBorders>
          </w:tcPr>
          <w:p>
            <w:pPr>
              <w:spacing w:after="0"/>
              <w:rPr>
                <w:sz w:val="14"/>
                <w:szCs w:val="14"/>
                <w:color w:val="auto"/>
              </w:rPr>
            </w:pPr>
          </w:p>
        </w:tc>
      </w:tr>
      <w:tr>
        <w:trPr>
          <w:trHeight w:val="183"/>
        </w:trPr>
        <w:tc>
          <w:tcPr>
            <w:tcW w:w="6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ind w:right="414"/>
              <w:spacing w:after="0"/>
              <w:rPr>
                <w:sz w:val="20"/>
                <w:szCs w:val="20"/>
                <w:color w:val="auto"/>
              </w:rPr>
            </w:pPr>
            <w:r>
              <w:rPr>
                <w:rFonts w:ascii="Arial" w:cs="Arial" w:eastAsia="Arial" w:hAnsi="Arial"/>
                <w:sz w:val="14"/>
                <w:szCs w:val="14"/>
                <w:b w:val="1"/>
                <w:bCs w:val="1"/>
                <w:color w:val="auto"/>
                <w:w w:val="92"/>
              </w:rPr>
              <w:t>January 31, 2021</w:t>
            </w:r>
          </w:p>
        </w:tc>
      </w:tr>
      <w:tr>
        <w:trPr>
          <w:trHeight w:val="168"/>
        </w:trPr>
        <w:tc>
          <w:tcPr>
            <w:tcW w:w="69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91,981</w:t>
            </w:r>
          </w:p>
        </w:tc>
        <w:tc>
          <w:tcPr>
            <w:tcW w:w="220" w:type="dxa"/>
            <w:vAlign w:val="bottom"/>
          </w:tcPr>
          <w:p>
            <w:pPr>
              <w:spacing w:after="0"/>
              <w:rPr>
                <w:sz w:val="17"/>
                <w:szCs w:val="17"/>
                <w:color w:val="auto"/>
              </w:rPr>
            </w:pPr>
          </w:p>
        </w:tc>
        <w:tc>
          <w:tcPr>
            <w:tcW w:w="480" w:type="dxa"/>
            <w:vAlign w:val="bottom"/>
            <w:gridSpan w:val="2"/>
          </w:tcPr>
          <w:p>
            <w:pPr>
              <w:jc w:val="right"/>
              <w:ind w:right="307"/>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50,751</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7"/>
                <w:szCs w:val="17"/>
                <w:color w:val="auto"/>
              </w:rPr>
            </w:pP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(10,150)</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(12,132)</w:t>
            </w:r>
          </w:p>
        </w:tc>
      </w:t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(51,364)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6,362</w:t>
            </w:r>
          </w:p>
        </w:tc>
      </w:tr>
      <w:tr>
        <w:trPr>
          <w:trHeight w:val="183"/>
        </w:trPr>
        <w:tc>
          <w:tcPr>
            <w:tcW w:w="6940" w:type="dxa"/>
            <w:vAlign w:val="bottom"/>
          </w:tcPr>
          <w:p>
            <w:pPr>
              <w:spacing w:after="0" w:line="182" w:lineRule="exact"/>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30,467</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44,981</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71" w:lineRule="exact"/>
        <w:rPr>
          <w:sz w:val="20"/>
          <w:szCs w:val="20"/>
          <w:color w:val="auto"/>
        </w:rPr>
      </w:pPr>
    </w:p>
    <w:p>
      <w:pPr>
        <w:ind w:right="1020" w:firstLine="440"/>
        <w:spacing w:after="0" w:line="246"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assets and liabilities.</w:t>
      </w:r>
    </w:p>
    <w:p>
      <w:pPr>
        <w:spacing w:after="0" w:line="129" w:lineRule="exact"/>
        <w:rPr>
          <w:sz w:val="20"/>
          <w:szCs w:val="20"/>
          <w:color w:val="auto"/>
        </w:rPr>
      </w:pPr>
    </w:p>
    <w:p>
      <w:pPr>
        <w:ind w:right="400" w:firstLine="440"/>
        <w:spacing w:after="0" w:line="261" w:lineRule="auto"/>
        <w:rPr>
          <w:sz w:val="20"/>
          <w:szCs w:val="20"/>
          <w:color w:val="auto"/>
        </w:rPr>
      </w:pPr>
      <w:r>
        <w:rPr>
          <w:rFonts w:ascii="Arial" w:cs="Arial" w:eastAsia="Arial" w:hAnsi="Arial"/>
          <w:sz w:val="16"/>
          <w:szCs w:val="16"/>
          <w:color w:val="auto"/>
        </w:rPr>
        <w:t>For fiscal 2021, net cash provided by operating activities was $92.0 million, which primarily consisted of net income of $29.6 million, non-cash depreciation and amortization of $29.2 million, amortization of stock-based compensation of $2.2 million and cash provided by operating assets and liabilities of $36.1 million. The cash provided by operating assets and liabilities of $36.1 million primarily consisted of a $26.4 million decrease in inventory, a $10.5 million increase in accounts payable, and a $9.9 million increase in accrued expenses, partially offset by a $4.7 million increase in hosting software implementation costs, a $3.2 million increase in receivables, and a decrease of $2.4 million in prepaid expenses.</w:t>
      </w:r>
    </w:p>
    <w:p>
      <w:pPr>
        <w:spacing w:after="0" w:line="120" w:lineRule="exact"/>
        <w:rPr>
          <w:sz w:val="20"/>
          <w:szCs w:val="20"/>
          <w:color w:val="auto"/>
        </w:rPr>
      </w:pPr>
    </w:p>
    <w:p>
      <w:pPr>
        <w:ind w:right="260" w:firstLine="440"/>
        <w:spacing w:after="0" w:line="227" w:lineRule="auto"/>
        <w:rPr>
          <w:sz w:val="20"/>
          <w:szCs w:val="20"/>
          <w:color w:val="auto"/>
        </w:rPr>
      </w:pPr>
      <w:r>
        <w:rPr>
          <w:rFonts w:ascii="Arial" w:cs="Arial" w:eastAsia="Arial" w:hAnsi="Arial"/>
          <w:sz w:val="18"/>
          <w:szCs w:val="18"/>
          <w:color w:val="auto"/>
        </w:rPr>
        <w:t>For fiscal 2020, net cash provided by operating activities was $50.8 million, which primarily consisted of net income of $13.4 million, non-cash depreciation and amortization of $28.5 million and amortization of stock-based compensation of $1.6 million and cash provided by operating assets and liabilities of $7.2 million. The cash provided by operating assets and liabilities of $7.2 million primarily consisted of a $7.7 million increase in accrued expenses and deferred rent obligations due to $3.5 million of deferred payroll taxes afforded by the CARES Act, a $4.2 million increase in income tax payable, a $2.6 million decrease in prepaid expenses, offset by a $1.2 million increase in inventory, a $4.1 million increase in hosting software implementation costs and a $1.5 million decrease in trade accounts payable.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Investing activities consist primarily of capital expenditures for growth related to a new distribution center and information technology.</w:t>
      </w:r>
    </w:p>
    <w:p>
      <w:pPr>
        <w:spacing w:after="0" w:line="158" w:lineRule="exact"/>
        <w:rPr>
          <w:sz w:val="20"/>
          <w:szCs w:val="20"/>
          <w:color w:val="auto"/>
        </w:rPr>
      </w:pPr>
    </w:p>
    <w:p>
      <w:pPr>
        <w:ind w:right="800" w:firstLine="440"/>
        <w:spacing w:after="0" w:line="246" w:lineRule="auto"/>
        <w:rPr>
          <w:sz w:val="20"/>
          <w:szCs w:val="20"/>
          <w:color w:val="auto"/>
        </w:rPr>
      </w:pPr>
      <w:r>
        <w:rPr>
          <w:rFonts w:ascii="Arial" w:cs="Arial" w:eastAsia="Arial" w:hAnsi="Arial"/>
          <w:sz w:val="18"/>
          <w:szCs w:val="18"/>
          <w:color w:val="auto"/>
        </w:rPr>
        <w:t>For fiscal 2021, net cash used in investing activities was $10.2 million, primarily driven by capital expenditures of $10.4 million for a new distribution center and one new retail store, as well as investments in information technology.</w:t>
      </w:r>
    </w:p>
    <w:p>
      <w:pPr>
        <w:spacing w:after="0" w:line="143"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For fiscal 2020, net cash used in investing activities was $12.1 million, primarily driven by capital expenditures of $11.7 million, due mainly to the opening of 4 new stores, as well as investments in information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58" w:lineRule="exact"/>
        <w:rPr>
          <w:sz w:val="20"/>
          <w:szCs w:val="20"/>
          <w:color w:val="auto"/>
        </w:rPr>
      </w:pPr>
    </w:p>
    <w:p>
      <w:pPr>
        <w:ind w:right="600" w:firstLine="440"/>
        <w:spacing w:after="0" w:line="246"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payments on finance lease obligations.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2021, net cash used in financing activities was $51.4 million, primarily consisting of the full paydown of Duluth’s bank debt.</w:t>
      </w:r>
    </w:p>
    <w:p>
      <w:pPr>
        <w:spacing w:after="0" w:line="158" w:lineRule="exact"/>
        <w:rPr>
          <w:sz w:val="20"/>
          <w:szCs w:val="20"/>
          <w:color w:val="auto"/>
        </w:rPr>
      </w:pPr>
    </w:p>
    <w:p>
      <w:pPr>
        <w:ind w:right="80" w:firstLine="440"/>
        <w:spacing w:after="0" w:line="246" w:lineRule="auto"/>
        <w:rPr>
          <w:sz w:val="20"/>
          <w:szCs w:val="20"/>
          <w:color w:val="auto"/>
        </w:rPr>
      </w:pPr>
      <w:r>
        <w:rPr>
          <w:rFonts w:ascii="Arial" w:cs="Arial" w:eastAsia="Arial" w:hAnsi="Arial"/>
          <w:sz w:val="18"/>
          <w:szCs w:val="18"/>
          <w:color w:val="auto"/>
        </w:rPr>
        <w:t>For fiscal 2020, net cash provided by financing activities was $6.4 million, primarily consisting of proceeds of $28.3 million, net from our term loan and payments of $19.3 million, net from our revolving line of credit to fund working capital.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71" w:lineRule="exact"/>
        <w:rPr>
          <w:sz w:val="20"/>
          <w:szCs w:val="20"/>
          <w:color w:val="auto"/>
        </w:rPr>
      </w:pPr>
    </w:p>
    <w:p>
      <w:pPr>
        <w:ind w:firstLine="428"/>
        <w:spacing w:after="0" w:line="225" w:lineRule="auto"/>
        <w:rPr>
          <w:sz w:val="20"/>
          <w:szCs w:val="20"/>
          <w:color w:val="auto"/>
        </w:rPr>
      </w:pPr>
      <w:r>
        <w:rPr>
          <w:rFonts w:ascii="Arial" w:cs="Arial" w:eastAsia="Arial" w:hAnsi="Arial"/>
          <w:sz w:val="18"/>
          <w:szCs w:val="18"/>
          <w:color w:val="auto"/>
        </w:rPr>
        <w:t>On April 30, 2020, the Company’s credit agreement (the “Credit Agreement”) was amended to include an incremental DDTL of $20.5 million (the “Incremental DDTL”) that was available to draw upon before March 31, 2021, and matured on April 29, 2021, for a total credit facility of $150.5 million.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The interest rate applicable to the Incremental DDTL was also a fixed rate over the aforementioned interest periods equal to LIBOR (with a 1% floor) for such interest period plus a margin of 275 to 350 basis points.</w:t>
      </w:r>
    </w:p>
    <w:p>
      <w:pPr>
        <w:spacing w:after="0" w:line="140" w:lineRule="exact"/>
        <w:rPr>
          <w:sz w:val="20"/>
          <w:szCs w:val="20"/>
          <w:color w:val="auto"/>
        </w:rPr>
      </w:pPr>
    </w:p>
    <w:p>
      <w:pPr>
        <w:ind w:firstLine="428"/>
        <w:spacing w:after="0" w:line="235" w:lineRule="auto"/>
        <w:rPr>
          <w:sz w:val="20"/>
          <w:szCs w:val="20"/>
          <w:color w:val="auto"/>
        </w:rPr>
      </w:pPr>
      <w:r>
        <w:rPr>
          <w:rFonts w:ascii="Arial" w:cs="Arial" w:eastAsia="Arial" w:hAnsi="Arial"/>
          <w:sz w:val="17"/>
          <w:szCs w:val="17"/>
          <w:color w:val="auto"/>
        </w:rPr>
        <w:t>On May 14, 2021, the Company terminated the Credit Agreement, and entered into a new credit agreement (the “New Credit Agreement”), which was treated as a modification for accounting purposes. The New Credit Agreement matures on May 14, 2026 and provides for borrowings of up to $150.0 million that are available under a revolving senior credit facility, with a $5.0 million sublimit for issuance of standby letters of credit, as well as a $10.0 million sublimit for swing line loans. At the Company’s option, the interest rate applicable to the revolving senior credit facility will be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is secured by essentially all Company assets and requires the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to maintain compliance with certain financial and non-financial covenants, including a maximum rent adjusted leverage ratio and a minimum fixed charge coverage ratio as defined in the New Credit Agreement</w:t>
      </w:r>
    </w:p>
    <w:p>
      <w:pPr>
        <w:spacing w:after="0" w:line="143" w:lineRule="exact"/>
        <w:rPr>
          <w:sz w:val="20"/>
          <w:szCs w:val="20"/>
          <w:color w:val="auto"/>
        </w:rPr>
      </w:pPr>
    </w:p>
    <w:p>
      <w:pPr>
        <w:ind w:right="1860" w:firstLine="428"/>
        <w:spacing w:after="0" w:line="422" w:lineRule="auto"/>
        <w:rPr>
          <w:sz w:val="20"/>
          <w:szCs w:val="20"/>
          <w:color w:val="auto"/>
        </w:rPr>
      </w:pPr>
      <w:r>
        <w:rPr>
          <w:rFonts w:ascii="Arial" w:cs="Arial" w:eastAsia="Arial" w:hAnsi="Arial"/>
          <w:sz w:val="18"/>
          <w:szCs w:val="18"/>
          <w:color w:val="auto"/>
        </w:rPr>
        <w:t xml:space="preserve">As of and for the fiscal year ended January 30, 2022, we were in compliance with all financial and non-financial covenants. </w:t>
      </w:r>
      <w:r>
        <w:rPr>
          <w:rFonts w:ascii="Arial" w:cs="Arial" w:eastAsia="Arial" w:hAnsi="Arial"/>
          <w:sz w:val="18"/>
          <w:szCs w:val="18"/>
          <w:b w:val="1"/>
          <w:bCs w:val="1"/>
          <w:color w:val="auto"/>
        </w:rPr>
        <w:t>Contractual Obligations</w:t>
      </w:r>
    </w:p>
    <w:p>
      <w:pPr>
        <w:spacing w:after="0" w:line="1" w:lineRule="exact"/>
        <w:rPr>
          <w:sz w:val="20"/>
          <w:szCs w:val="20"/>
          <w:color w:val="auto"/>
        </w:rPr>
      </w:pPr>
    </w:p>
    <w:p>
      <w:pPr>
        <w:ind w:right="480" w:firstLine="428"/>
        <w:spacing w:after="0" w:line="246" w:lineRule="auto"/>
        <w:rPr>
          <w:sz w:val="20"/>
          <w:szCs w:val="20"/>
          <w:color w:val="auto"/>
        </w:rPr>
      </w:pPr>
      <w:r>
        <w:rPr>
          <w:rFonts w:ascii="Arial" w:cs="Arial" w:eastAsia="Arial" w:hAnsi="Arial"/>
          <w:sz w:val="18"/>
          <w:szCs w:val="18"/>
          <w:color w:val="auto"/>
        </w:rPr>
        <w:t>In connection with our investing and operating activities, we have entered into certain contractual obligations. See Note 3 “Leases” of Notes to Consolidated Financial Statements for additional discussion of these obligations.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significant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7"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color w:val="auto"/>
        </w:rPr>
        <w:t>We evaluated the development and selection of our critical accounting estimates and believe that the following involve a higher degree of judgment or complexity and are most significant to reporting our results of operations and financial position, and are therefore discussed as critical.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Return Reserve</w:t>
      </w:r>
    </w:p>
    <w:p>
      <w:pPr>
        <w:spacing w:after="0" w:line="171" w:lineRule="exact"/>
        <w:rPr>
          <w:sz w:val="20"/>
          <w:szCs w:val="20"/>
          <w:color w:val="auto"/>
        </w:rPr>
      </w:pPr>
    </w:p>
    <w:p>
      <w:pPr>
        <w:ind w:right="120" w:firstLine="440"/>
        <w:spacing w:after="0" w:line="242" w:lineRule="auto"/>
        <w:rPr>
          <w:sz w:val="20"/>
          <w:szCs w:val="20"/>
          <w:color w:val="auto"/>
        </w:rPr>
      </w:pPr>
      <w:r>
        <w:rPr>
          <w:rFonts w:ascii="Arial" w:cs="Arial" w:eastAsia="Arial" w:hAnsi="Arial"/>
          <w:sz w:val="17"/>
          <w:szCs w:val="17"/>
          <w:color w:val="auto"/>
        </w:rPr>
        <w:t>The Company currently estimates product return reserve using its own historical sales information. The Company regularly assesses and adjusts the estimate of accrued sales returns by updating return rates for actual industry and company trends and projected costs. While returns have historically been within our expectations, future return rates may differ from those experienced in the past. Changes in these estimates can have a material impact on our financial statements. We believe the accounting estimate related to product returns is a critical accounting estimate because it requires us to make assumptions about future potential returns and changes in demand, both of which are highly uncertain.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6"/>
          <w:szCs w:val="16"/>
          <w:color w:val="auto"/>
        </w:rPr>
        <w:t>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 See Note 3 “Leases,” of Notes to Consolidated Financial Statements included in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40" w:firstLine="440"/>
        <w:spacing w:after="0" w:line="227" w:lineRule="auto"/>
        <w:rPr>
          <w:sz w:val="20"/>
          <w:szCs w:val="20"/>
          <w:color w:val="auto"/>
        </w:rPr>
      </w:pPr>
      <w:r>
        <w:rPr>
          <w:rFonts w:ascii="Arial" w:cs="Arial" w:eastAsia="Arial" w:hAnsi="Arial"/>
          <w:sz w:val="18"/>
          <w:szCs w:val="18"/>
          <w:color w:val="auto"/>
        </w:rPr>
        <w:t>Revenue for merchandise that is shipped to our customers from our distribution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Store revenue is recognized at the point of sale. This represents the point at which the customer obtains control of the product and has the ability to direct the use of the product.</w:t>
      </w:r>
    </w:p>
    <w:p>
      <w:pPr>
        <w:spacing w:after="0" w:line="143" w:lineRule="exact"/>
        <w:rPr>
          <w:sz w:val="20"/>
          <w:szCs w:val="20"/>
          <w:color w:val="auto"/>
        </w:rPr>
      </w:pPr>
    </w:p>
    <w:p>
      <w:pPr>
        <w:ind w:right="280" w:firstLine="440"/>
        <w:spacing w:after="0" w:line="246" w:lineRule="auto"/>
        <w:rPr>
          <w:sz w:val="20"/>
          <w:szCs w:val="20"/>
          <w:color w:val="auto"/>
        </w:rPr>
      </w:pPr>
      <w:r>
        <w:rPr>
          <w:rFonts w:ascii="Arial" w:cs="Arial" w:eastAsia="Arial" w:hAnsi="Arial"/>
          <w:sz w:val="18"/>
          <w:szCs w:val="18"/>
          <w:color w:val="auto"/>
        </w:rPr>
        <w:t>We recognize shipping and handling fees as revenue included in net sales when generated from a customer order upon shipment or at the point of sale. Costs of shipping and handling are included in selling, general and administrative expenses.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tax collected is not recognized as revenue as it is ultimately remitted to governmental authorities.</w:t>
      </w:r>
    </w:p>
    <w:p>
      <w:pPr>
        <w:spacing w:after="0" w:line="158"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firstLine="440"/>
        <w:spacing w:after="0" w:line="258" w:lineRule="auto"/>
        <w:rPr>
          <w:sz w:val="20"/>
          <w:szCs w:val="20"/>
          <w:color w:val="auto"/>
        </w:rPr>
      </w:pPr>
      <w:r>
        <w:rPr>
          <w:rFonts w:ascii="Arial" w:cs="Arial" w:eastAsia="Arial" w:hAnsi="Arial"/>
          <w:sz w:val="16"/>
          <w:szCs w:val="16"/>
          <w:color w:val="auto"/>
        </w:rPr>
        <w:t>Our inventories are composed of finished goods and are stated at the lower of cost or net realizable value, with cost determined using the first-in, first-out method. Net realizable value is defined as the “estimated selling prices in the ordinary course of business, less reasonably predictable costs of completion, disposal and transportation.” The inventory value is adjusted periodically, if needed, to reflect current market conditions, which requires our judgments that may significantly affect the ending inventory valuation, as well as gross margin. The estimates used in inventory valuation are obsolescence (including excess and slow-moving inventory and lower of cost or market reserves) and estimates of inventory shrinkage. We adjust our inventory for obsolescence based on historical trends, aging reports, specific identification, current retail prices and our estimates of future retail sales prices.</w:t>
      </w:r>
    </w:p>
    <w:p>
      <w:pPr>
        <w:spacing w:after="0" w:line="123" w:lineRule="exact"/>
        <w:rPr>
          <w:sz w:val="20"/>
          <w:szCs w:val="20"/>
          <w:color w:val="auto"/>
        </w:rPr>
      </w:pPr>
    </w:p>
    <w:p>
      <w:pPr>
        <w:ind w:right="20" w:firstLine="440"/>
        <w:spacing w:after="0" w:line="258" w:lineRule="auto"/>
        <w:rPr>
          <w:sz w:val="20"/>
          <w:szCs w:val="20"/>
          <w:color w:val="auto"/>
        </w:rPr>
      </w:pPr>
      <w:r>
        <w:rPr>
          <w:rFonts w:ascii="Arial" w:cs="Arial" w:eastAsia="Arial" w:hAnsi="Arial"/>
          <w:sz w:val="16"/>
          <w:szCs w:val="16"/>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36" w:lineRule="exact"/>
        <w:rPr>
          <w:sz w:val="20"/>
          <w:szCs w:val="20"/>
          <w:color w:val="auto"/>
        </w:rPr>
      </w:pPr>
    </w:p>
    <w:p>
      <w:pPr>
        <w:ind w:right="80" w:firstLine="428"/>
        <w:spacing w:after="0" w:line="235" w:lineRule="auto"/>
        <w:rPr>
          <w:sz w:val="20"/>
          <w:szCs w:val="20"/>
          <w:color w:val="auto"/>
        </w:rPr>
      </w:pPr>
      <w:r>
        <w:rPr>
          <w:rFonts w:ascii="Arial" w:cs="Arial" w:eastAsia="Arial" w:hAnsi="Arial"/>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particularly in second fiscal quarter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320" w:firstLine="440"/>
        <w:spacing w:after="0" w:line="246" w:lineRule="auto"/>
        <w:rPr>
          <w:sz w:val="20"/>
          <w:szCs w:val="20"/>
          <w:color w:val="auto"/>
        </w:rPr>
      </w:pPr>
      <w:r>
        <w:rPr>
          <w:rFonts w:ascii="Arial" w:cs="Arial" w:eastAsia="Arial" w:hAnsi="Arial"/>
          <w:sz w:val="17"/>
          <w:szCs w:val="17"/>
          <w:color w:val="auto"/>
        </w:rPr>
        <w:t xml:space="preserve">We account for income taxes and the related accounts using the liability method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we accrue income taxes payable or refundable and recognize deferred tax assets and liabilities based on 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44" w:lineRule="exact"/>
        <w:rPr>
          <w:sz w:val="20"/>
          <w:szCs w:val="20"/>
          <w:color w:val="auto"/>
        </w:rPr>
      </w:pPr>
    </w:p>
    <w:p>
      <w:pPr>
        <w:ind w:right="40" w:firstLine="440"/>
        <w:spacing w:after="0" w:line="266"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 No valuation allowance was recognized for the years ended January 30, 2022 or January 31, 2021.</w:t>
      </w:r>
    </w:p>
    <w:p>
      <w:pPr>
        <w:spacing w:after="0" w:line="116" w:lineRule="exact"/>
        <w:rPr>
          <w:sz w:val="20"/>
          <w:szCs w:val="20"/>
          <w:color w:val="auto"/>
        </w:rPr>
      </w:pPr>
    </w:p>
    <w:p>
      <w:pPr>
        <w:ind w:right="540" w:firstLine="440"/>
        <w:spacing w:after="0" w:line="246" w:lineRule="auto"/>
        <w:rPr>
          <w:sz w:val="20"/>
          <w:szCs w:val="20"/>
          <w:color w:val="auto"/>
        </w:rPr>
      </w:pPr>
      <w:r>
        <w:rPr>
          <w:rFonts w:ascii="Arial" w:cs="Arial" w:eastAsia="Arial" w:hAnsi="Arial"/>
          <w:sz w:val="18"/>
          <w:szCs w:val="18"/>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9 “Income Taxes,” of Notes to Consolidated Financial Statements included in this Annual Report on Form 10-K.</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900" w:type="dxa"/>
            <w:vAlign w:val="bottom"/>
            <w:gridSpan w:val="1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ITEM 8.</w:t>
            </w:r>
          </w:p>
        </w:tc>
        <w:tc>
          <w:tcPr>
            <w:tcW w:w="8040" w:type="dxa"/>
            <w:vAlign w:val="bottom"/>
            <w:gridSpan w:val="11"/>
          </w:tcPr>
          <w:p>
            <w:pPr>
              <w:ind w:left="200"/>
              <w:spacing w:after="0"/>
              <w:rPr>
                <w:sz w:val="20"/>
                <w:szCs w:val="20"/>
                <w:color w:val="auto"/>
              </w:rPr>
            </w:pPr>
            <w:r>
              <w:rPr>
                <w:rFonts w:ascii="Arial" w:cs="Arial" w:eastAsia="Arial" w:hAnsi="Arial"/>
                <w:sz w:val="18"/>
                <w:szCs w:val="18"/>
                <w:color w:val="auto"/>
              </w:rPr>
              <w:t>FINANCIAL STATEMENTS AND SUPPLEMENTARY DATA</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7"/>
          </w:tcPr>
          <w:p>
            <w:pPr>
              <w:jc w:val="center"/>
              <w:ind w:right="1120"/>
              <w:spacing w:after="0"/>
              <w:rPr>
                <w:sz w:val="20"/>
                <w:szCs w:val="20"/>
                <w:color w:val="auto"/>
              </w:rPr>
            </w:pPr>
            <w:r>
              <w:rPr>
                <w:rFonts w:ascii="Arial" w:cs="Arial" w:eastAsia="Arial" w:hAnsi="Arial"/>
                <w:sz w:val="18"/>
                <w:szCs w:val="18"/>
                <w:color w:val="auto"/>
                <w:w w:val="90"/>
              </w:rPr>
              <w:t>Index to Consolidated Financial Statements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2"/>
        </w:trPr>
        <w:tc>
          <w:tcPr>
            <w:tcW w:w="80" w:type="dxa"/>
            <w:vAlign w:val="bottom"/>
            <w:shd w:val="clear" w:color="auto" w:fill="CCEEFF"/>
          </w:tcPr>
          <w:p>
            <w:pPr>
              <w:spacing w:after="0"/>
              <w:rPr>
                <w:sz w:val="12"/>
                <w:szCs w:val="12"/>
                <w:color w:val="auto"/>
              </w:rPr>
            </w:pPr>
          </w:p>
        </w:tc>
        <w:tc>
          <w:tcPr>
            <w:tcW w:w="8820" w:type="dxa"/>
            <w:vAlign w:val="bottom"/>
            <w:gridSpan w:val="12"/>
            <w:shd w:val="clear" w:color="auto" w:fill="CCEEFF"/>
          </w:tcPr>
          <w:p>
            <w:pPr>
              <w:spacing w:after="0" w:line="142" w:lineRule="exact"/>
              <w:rPr>
                <w:sz w:val="20"/>
                <w:szCs w:val="20"/>
                <w:color w:val="auto"/>
              </w:rPr>
            </w:pPr>
            <w:r>
              <w:rPr>
                <w:rFonts w:ascii="Arial" w:cs="Arial" w:eastAsia="Arial" w:hAnsi="Arial"/>
                <w:sz w:val="16"/>
                <w:szCs w:val="16"/>
                <w:color w:val="0000FF"/>
              </w:rPr>
              <w:t>Report of Independent Registered Public Accounting Firms (KPMG LLP, PCAOB ID No. 185 and Grant Thornton LLP,</w:t>
            </w:r>
          </w:p>
        </w:tc>
        <w:tc>
          <w:tcPr>
            <w:tcW w:w="2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9"/>
        </w:trPr>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w w:val="93"/>
              </w:rPr>
              <w:t>PCAOB ID No. 248)</w:t>
            </w:r>
          </w:p>
        </w:tc>
        <w:tc>
          <w:tcPr>
            <w:tcW w:w="382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0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68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42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3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820" w:type="dxa"/>
            <w:vAlign w:val="bottom"/>
            <w:gridSpan w:val="1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Consolidated Balance Sheets as of January 30, 2022 and January 31, 2021</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0000FF"/>
            </w:tcBorders>
            <w:gridSpan w:val="7"/>
            <w:shd w:val="clear" w:color="auto" w:fill="CCEEFF"/>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Consolidated Statements of Operations for Fiscal Years Ended January 30, 2022 and January 31, 2021</w:t>
              </w:r>
            </w:hyperlink>
          </w:p>
        </w:tc>
        <w:tc>
          <w:tcPr>
            <w:tcW w:w="1460" w:type="dxa"/>
            <w:vAlign w:val="bottom"/>
            <w:tcBorders>
              <w:bottom w:val="single" w:sz="8" w:color="CCEEFF"/>
            </w:tcBorders>
            <w:gridSpan w:val="5"/>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820" w:type="dxa"/>
            <w:vAlign w:val="bottom"/>
            <w:gridSpan w:val="1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Consolidated Statements of Comprehensive Income for Fiscal Years Ended January 30, 2022 and January 31, 2021</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shd w:val="clear" w:color="auto" w:fill="CCEEFF"/>
          </w:tcPr>
          <w:p>
            <w:pPr>
              <w:spacing w:after="0"/>
              <w:rPr>
                <w:sz w:val="20"/>
                <w:szCs w:val="20"/>
                <w:color w:val="auto"/>
              </w:rPr>
            </w:pPr>
          </w:p>
        </w:tc>
        <w:tc>
          <w:tcPr>
            <w:tcW w:w="8820" w:type="dxa"/>
            <w:vAlign w:val="bottom"/>
            <w:gridSpan w:val="12"/>
            <w:shd w:val="clear" w:color="auto" w:fill="CCEEFF"/>
          </w:tcPr>
          <w:p>
            <w:pPr>
              <w:spacing w:after="0"/>
              <w:rPr>
                <w:rFonts w:ascii="Arial" w:cs="Arial" w:eastAsia="Arial" w:hAnsi="Arial"/>
                <w:sz w:val="18"/>
                <w:szCs w:val="18"/>
                <w:color w:val="0000FF"/>
                <w:w w:val="97"/>
              </w:rPr>
            </w:pPr>
            <w:hyperlink w:anchor="page47">
              <w:r>
                <w:rPr>
                  <w:rFonts w:ascii="Arial" w:cs="Arial" w:eastAsia="Arial" w:hAnsi="Arial"/>
                  <w:sz w:val="18"/>
                  <w:szCs w:val="18"/>
                  <w:color w:val="0000FF"/>
                  <w:w w:val="97"/>
                </w:rPr>
                <w:t>Consolidated Statements of Shareholders’ Equity for Fiscal Years Ended January 30, 2022 and January 31, 2021</w:t>
              </w:r>
            </w:hyperlink>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0" w:type="dxa"/>
            <w:vAlign w:val="bottom"/>
            <w:tcBorders>
              <w:top w:val="single" w:sz="8" w:color="CCEEFF"/>
            </w:tcBorders>
          </w:tcPr>
          <w:p>
            <w:pPr>
              <w:spacing w:after="0"/>
              <w:rPr>
                <w:sz w:val="18"/>
                <w:szCs w:val="18"/>
                <w:color w:val="auto"/>
              </w:rPr>
            </w:pPr>
          </w:p>
        </w:tc>
        <w:tc>
          <w:tcPr>
            <w:tcW w:w="8080" w:type="dxa"/>
            <w:vAlign w:val="bottom"/>
            <w:tcBorders>
              <w:top w:val="single" w:sz="8" w:color="0000FF"/>
            </w:tcBorders>
            <w:gridSpan w:val="9"/>
          </w:tcPr>
          <w:p>
            <w:pPr>
              <w:spacing w:after="0"/>
              <w:rPr>
                <w:rFonts w:ascii="Arial" w:cs="Arial" w:eastAsia="Arial" w:hAnsi="Arial"/>
                <w:sz w:val="18"/>
                <w:szCs w:val="18"/>
                <w:color w:val="0000FF"/>
                <w:w w:val="97"/>
              </w:rPr>
            </w:pPr>
            <w:hyperlink w:anchor="page48">
              <w:r>
                <w:rPr>
                  <w:rFonts w:ascii="Arial" w:cs="Arial" w:eastAsia="Arial" w:hAnsi="Arial"/>
                  <w:sz w:val="18"/>
                  <w:szCs w:val="18"/>
                  <w:color w:val="0000FF"/>
                  <w:w w:val="97"/>
                </w:rPr>
                <w:t>Consolidated Statements of Cash Flows for Fiscal Years Ended January 30, 2022 and January 31, 2021</w:t>
              </w:r>
            </w:hyperlink>
          </w:p>
        </w:tc>
        <w:tc>
          <w:tcPr>
            <w:tcW w:w="740" w:type="dxa"/>
            <w:vAlign w:val="bottom"/>
            <w:tcBorders>
              <w:top w:val="single" w:sz="8" w:color="CCEEFF"/>
            </w:tcBorders>
            <w:gridSpan w:val="3"/>
          </w:tcPr>
          <w:p>
            <w:pPr>
              <w:spacing w:after="0"/>
              <w:rPr>
                <w:sz w:val="18"/>
                <w:szCs w:val="18"/>
                <w:color w:val="auto"/>
              </w:rPr>
            </w:pPr>
          </w:p>
        </w:tc>
        <w:tc>
          <w:tcPr>
            <w:tcW w:w="2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8820" w:type="dxa"/>
            <w:vAlign w:val="bottom"/>
            <w:gridSpan w:val="12"/>
            <w:shd w:val="clear" w:color="auto" w:fill="CCEEFF"/>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Notes to Consolidated Financial Statements</w:t>
              </w:r>
            </w:hyperlink>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8820" w:type="dxa"/>
            <w:vAlign w:val="bottom"/>
            <w:gridSpan w:val="12"/>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Schedule II Valuation and Qualifying Accounts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913"/>
        </w:trPr>
        <w:tc>
          <w:tcPr>
            <w:tcW w:w="8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20" w:type="dxa"/>
            <w:vAlign w:val="bottom"/>
            <w:tcBorders>
              <w:top w:val="single" w:sz="8" w:color="0000FF"/>
            </w:tcBorders>
            <w:gridSpan w:val="4"/>
          </w:tcPr>
          <w:p>
            <w:pPr>
              <w:spacing w:after="0"/>
              <w:rPr>
                <w:sz w:val="24"/>
                <w:szCs w:val="24"/>
                <w:color w:val="auto"/>
              </w:rPr>
            </w:pPr>
          </w:p>
        </w:tc>
        <w:tc>
          <w:tcPr>
            <w:tcW w:w="3960" w:type="dxa"/>
            <w:vAlign w:val="bottom"/>
            <w:gridSpan w:val="2"/>
          </w:tcPr>
          <w:p>
            <w:pPr>
              <w:jc w:val="right"/>
              <w:ind w:right="1740"/>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-2159635</wp:posOffset>
            </wp:positionV>
            <wp:extent cx="28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Duluth Holdings Inc.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ind w:right="220"/>
        <w:spacing w:after="0" w:line="256" w:lineRule="auto"/>
        <w:rPr>
          <w:sz w:val="20"/>
          <w:szCs w:val="20"/>
          <w:color w:val="auto"/>
        </w:rPr>
      </w:pPr>
      <w:r>
        <w:rPr>
          <w:rFonts w:ascii="Arial" w:cs="Arial" w:eastAsia="Arial" w:hAnsi="Arial"/>
          <w:sz w:val="16"/>
          <w:szCs w:val="16"/>
          <w:color w:val="auto"/>
        </w:rPr>
        <w:t>We have audited the accompanying consolidated balance sheet of Duluth Holdings Inc. (the Company) as of January 30, 2022, the related consolidated statements of operations, comprehensive income, shareholders’ equity, and cash flows for the year ended January 30, 2022,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January 30, 2022, and the results of its operations and its cash flows for the year ended January 30, 2022, in conformity with U.S. generally accepted accounting principles.</w:t>
      </w:r>
    </w:p>
    <w:p>
      <w:pPr>
        <w:spacing w:after="0" w:line="137"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January 30,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25, 2022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ind w:right="140"/>
        <w:spacing w:after="0" w:line="22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ind w:right="160"/>
        <w:spacing w:after="0" w:line="23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returns reserve</w:t>
      </w:r>
    </w:p>
    <w:p>
      <w:pPr>
        <w:ind w:left="660" w:right="60"/>
        <w:spacing w:after="0" w:line="228" w:lineRule="auto"/>
        <w:rPr>
          <w:sz w:val="20"/>
          <w:szCs w:val="20"/>
          <w:color w:val="auto"/>
        </w:rPr>
      </w:pPr>
      <w:r>
        <w:rPr>
          <w:rFonts w:ascii="Arial" w:cs="Arial" w:eastAsia="Arial" w:hAnsi="Arial"/>
          <w:sz w:val="18"/>
          <w:szCs w:val="18"/>
          <w:color w:val="auto"/>
        </w:rPr>
        <w:t>As discussed in Note 5 to the consolidated financial statements, the Company recorded $5.4 million as of January 30, 2022 in reserves for product returns within accrued expenses and other current liabilities. Management estimates the product returns reserve using its own historical sales and product returns information.</w:t>
      </w:r>
    </w:p>
    <w:p>
      <w:pPr>
        <w:spacing w:after="0" w:line="137" w:lineRule="exact"/>
        <w:rPr>
          <w:sz w:val="20"/>
          <w:szCs w:val="20"/>
          <w:color w:val="auto"/>
        </w:rPr>
      </w:pPr>
    </w:p>
    <w:p>
      <w:pPr>
        <w:ind w:left="660" w:right="420"/>
        <w:spacing w:after="0" w:line="274" w:lineRule="auto"/>
        <w:rPr>
          <w:sz w:val="20"/>
          <w:szCs w:val="20"/>
          <w:color w:val="auto"/>
        </w:rPr>
      </w:pPr>
      <w:r>
        <w:rPr>
          <w:rFonts w:ascii="Arial" w:cs="Arial" w:eastAsia="Arial" w:hAnsi="Arial"/>
          <w:sz w:val="17"/>
          <w:szCs w:val="17"/>
          <w:color w:val="auto"/>
        </w:rPr>
        <w:t>We identified the assessment of the product returns reserve as a critical audit matter. There was a high degree of auditor judgment required to assess whether the historical return rate used to estimate the accrual for product returns is indicative of future returns.</w:t>
      </w:r>
    </w:p>
    <w:p>
      <w:pPr>
        <w:spacing w:after="0" w:line="121" w:lineRule="exact"/>
        <w:rPr>
          <w:sz w:val="20"/>
          <w:szCs w:val="20"/>
          <w:color w:val="auto"/>
        </w:rPr>
      </w:pPr>
    </w:p>
    <w:p>
      <w:pPr>
        <w:ind w:left="660" w:right="20"/>
        <w:spacing w:after="0" w:line="261"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product returns reserve. This included a control related to management’s assumption that the historical return rate will reflect future returns and a control related to the completeness, accuracy, and relevance of underlying data used in the estimate. We assessed the Company’s ability to accurately estimate the product return rate by comparing prior period estimates to actual product return rates experienced. We analyzed the product return rate assumption by evaluating the consistency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3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assumption with the trend of actual historical product return rates and comparing the product return reserve to actual product returns received after the balance sheet date but prior to the issuance of the consolidated financial statements.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March 25, 2022</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Duluth Holdings Inc.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ind w:right="160"/>
        <w:spacing w:after="0" w:line="259" w:lineRule="auto"/>
        <w:rPr>
          <w:sz w:val="20"/>
          <w:szCs w:val="20"/>
          <w:color w:val="auto"/>
        </w:rPr>
      </w:pPr>
      <w:r>
        <w:rPr>
          <w:rFonts w:ascii="Arial" w:cs="Arial" w:eastAsia="Arial" w:hAnsi="Arial"/>
          <w:sz w:val="16"/>
          <w:szCs w:val="16"/>
          <w:color w:val="auto"/>
        </w:rPr>
        <w:t xml:space="preserve">We have audited Duluth Holdings Inc.’s (the Company) internal control over financial reporting as of January 30, 2022,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In our opinion,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maintained, in all material respects, effective internal control over financial reporting as of January 30, 2022,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 of the Company as of January 30, 2022, the related consolidated statements of operations, comprehensive income, shareholders’ equity, and cash flows for the year ended January 30, 2022, and the related notes and financial statement schedule II – Valuation and Qualifying Accounts (collectively, the consolidated financial statements), and our report dated March 25, 2022 expressed an unqualified opinion on those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ind w:right="100"/>
        <w:spacing w:after="0" w:line="23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ind w:right="20"/>
        <w:spacing w:after="0" w:line="22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March 25, 2022</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Duluth Holdings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audited the consolidated balance sheet of Duluth Holdings Inc., a Wisconsin corporation, and affiliate (the “Company”) as of January 31, 2021, the related consolidated statements of operations, comprehensive income, shareholders’ equity, and cash flows for the year then ended, and the related notes and financial statement schedule included under Item 15 (collectively referred to as the “financial statements”). In our opinion, the financial statements present fairly, in all material respects, the financial position of the Company as of January 31, 2021, and the results of its operations and its cash flows for the year then ended, in conformity with accounting principles generally accepted in the United States of America.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4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2002 to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March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ind w:right="-79"/>
        <w:spacing w:after="0" w:line="221"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10"/>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68"/>
        </w:trPr>
        <w:tc>
          <w:tcPr>
            <w:tcW w:w="770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77,051</w:t>
            </w:r>
          </w:p>
        </w:tc>
        <w:tc>
          <w:tcPr>
            <w:tcW w:w="200" w:type="dxa"/>
            <w:vAlign w:val="bottom"/>
          </w:tcPr>
          <w:p>
            <w:pPr>
              <w:spacing w:after="0"/>
              <w:rPr>
                <w:sz w:val="17"/>
                <w:szCs w:val="17"/>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46,584</w:t>
            </w: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122,672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149,052</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 &amp; other current assets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17,333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217"/>
        </w:trPr>
        <w:tc>
          <w:tcPr>
            <w:tcW w:w="7700" w:type="dxa"/>
            <w:vAlign w:val="bottom"/>
          </w:tcPr>
          <w:p>
            <w:pPr>
              <w:ind w:left="120"/>
              <w:spacing w:after="0"/>
              <w:rPr>
                <w:sz w:val="20"/>
                <w:szCs w:val="20"/>
                <w:color w:val="auto"/>
              </w:rPr>
            </w:pPr>
            <w:r>
              <w:rPr>
                <w:rFonts w:ascii="Arial" w:cs="Arial" w:eastAsia="Arial" w:hAnsi="Arial"/>
                <w:sz w:val="18"/>
                <w:szCs w:val="18"/>
                <w:color w:val="auto"/>
              </w:rPr>
              <w:t>Prepaid catalog costs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168"/>
        </w:trPr>
        <w:tc>
          <w:tcPr>
            <w:tcW w:w="7700" w:type="dxa"/>
            <w:vAlign w:val="bottom"/>
          </w:tcPr>
          <w:p>
            <w:pPr>
              <w:ind w:left="220"/>
              <w:spacing w:after="0" w:line="168"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Arial" w:cs="Arial" w:eastAsia="Arial" w:hAnsi="Arial"/>
                <w:sz w:val="18"/>
                <w:szCs w:val="18"/>
                <w:color w:val="auto"/>
              </w:rPr>
              <w:t>222,521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line="168" w:lineRule="exact"/>
              <w:rPr>
                <w:sz w:val="20"/>
                <w:szCs w:val="20"/>
                <w:color w:val="auto"/>
              </w:rPr>
            </w:pPr>
            <w:r>
              <w:rPr>
                <w:rFonts w:ascii="Arial" w:cs="Arial" w:eastAsia="Arial" w:hAnsi="Arial"/>
                <w:sz w:val="18"/>
                <w:szCs w:val="18"/>
                <w:color w:val="auto"/>
              </w:rPr>
              <w:t>209,673</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110,078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124,237</w:t>
            </w:r>
          </w:p>
        </w:tc>
        <w:tc>
          <w:tcPr>
            <w:tcW w:w="0" w:type="dxa"/>
            <w:vAlign w:val="bottom"/>
          </w:tcPr>
          <w:p>
            <w:pPr>
              <w:spacing w:after="0"/>
              <w:rPr>
                <w:sz w:val="1"/>
                <w:szCs w:val="1"/>
                <w:color w:val="auto"/>
              </w:rPr>
            </w:pPr>
          </w:p>
        </w:tc>
      </w:tr>
      <w:tr>
        <w:trPr>
          <w:trHeight w:val="202"/>
        </w:trPr>
        <w:tc>
          <w:tcPr>
            <w:tcW w:w="770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120,911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117,490</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Finance lease right-of-use assets, net</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50,133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53,468</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Available-for-sale security</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6,554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183"/>
        </w:trPr>
        <w:tc>
          <w:tcPr>
            <w:tcW w:w="7700" w:type="dxa"/>
            <w:vAlign w:val="bottom"/>
          </w:tcPr>
          <w:p>
            <w:pPr>
              <w:ind w:left="220"/>
              <w:spacing w:after="0" w:line="182"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515,550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514,940</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45,402</w:t>
            </w:r>
          </w:p>
        </w:tc>
        <w:tc>
          <w:tcPr>
            <w:tcW w:w="200" w:type="dxa"/>
            <w:vAlign w:val="bottom"/>
          </w:tcPr>
          <w:p>
            <w:pPr>
              <w:spacing w:after="0"/>
              <w:rPr>
                <w:sz w:val="17"/>
                <w:szCs w:val="17"/>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33,647</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47,504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37,686</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6,814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12,882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Current portion of finance lease liabilities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2,701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Current maturities of Duluth long-term debt</w:t>
            </w:r>
          </w:p>
        </w:tc>
        <w:tc>
          <w:tcPr>
            <w:tcW w:w="200" w:type="dxa"/>
            <w:vAlign w:val="bottom"/>
          </w:tcPr>
          <w:p>
            <w:pPr>
              <w:spacing w:after="0"/>
              <w:rPr>
                <w:sz w:val="17"/>
                <w:szCs w:val="17"/>
                <w:color w:val="auto"/>
              </w:rPr>
            </w:pPr>
          </w:p>
        </w:tc>
        <w:tc>
          <w:tcPr>
            <w:tcW w:w="1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7"/>
        </w:trPr>
        <w:tc>
          <w:tcPr>
            <w:tcW w:w="7700" w:type="dxa"/>
            <w:vAlign w:val="bottom"/>
          </w:tcPr>
          <w:p>
            <w:pPr>
              <w:ind w:left="120"/>
              <w:spacing w:after="0"/>
              <w:rPr>
                <w:sz w:val="20"/>
                <w:szCs w:val="20"/>
                <w:color w:val="auto"/>
              </w:rPr>
            </w:pPr>
            <w:r>
              <w:rPr>
                <w:rFonts w:ascii="Arial" w:cs="Arial" w:eastAsia="Arial" w:hAnsi="Arial"/>
                <w:sz w:val="18"/>
                <w:szCs w:val="18"/>
                <w:color w:val="auto"/>
              </w:rPr>
              <w:t>Current maturities of TRI long-term debt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182"/>
        </w:trPr>
        <w:tc>
          <w:tcPr>
            <w:tcW w:w="7700" w:type="dxa"/>
            <w:vAlign w:val="bottom"/>
          </w:tcPr>
          <w:p>
            <w:pPr>
              <w:ind w:left="220"/>
              <w:spacing w:after="0" w:line="182"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115,996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95,714</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Operating lease liabilities, less current portion</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107,094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Finance lease liabilities, less current portion</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40,267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43,299</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Duluth long-term debt, less current maturities</w:t>
            </w:r>
          </w:p>
        </w:tc>
        <w:tc>
          <w:tcPr>
            <w:tcW w:w="200" w:type="dxa"/>
            <w:vAlign w:val="bottom"/>
          </w:tcPr>
          <w:p>
            <w:pPr>
              <w:spacing w:after="0"/>
              <w:rPr>
                <w:sz w:val="17"/>
                <w:szCs w:val="17"/>
                <w:color w:val="auto"/>
              </w:rPr>
            </w:pPr>
          </w:p>
        </w:tc>
        <w:tc>
          <w:tcPr>
            <w:tcW w:w="1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45,750</w:t>
            </w:r>
          </w:p>
        </w:tc>
        <w:tc>
          <w:tcPr>
            <w:tcW w:w="0" w:type="dxa"/>
            <w:vAlign w:val="bottom"/>
          </w:tcPr>
          <w:p>
            <w:pPr>
              <w:spacing w:after="0"/>
              <w:rPr>
                <w:sz w:val="1"/>
                <w:szCs w:val="1"/>
                <w:color w:val="auto"/>
              </w:rPr>
            </w:pPr>
          </w:p>
        </w:tc>
      </w:tr>
      <w:tr>
        <w:trPr>
          <w:trHeight w:val="202"/>
        </w:trPr>
        <w:tc>
          <w:tcPr>
            <w:tcW w:w="7700" w:type="dxa"/>
            <w:vAlign w:val="bottom"/>
          </w:tcPr>
          <w:p>
            <w:pPr>
              <w:spacing w:after="0" w:line="202" w:lineRule="exact"/>
              <w:rPr>
                <w:sz w:val="20"/>
                <w:szCs w:val="20"/>
                <w:color w:val="auto"/>
              </w:rPr>
            </w:pPr>
            <w:r>
              <w:rPr>
                <w:rFonts w:ascii="Arial" w:cs="Arial" w:eastAsia="Arial" w:hAnsi="Arial"/>
                <w:sz w:val="18"/>
                <w:szCs w:val="18"/>
                <w:color w:val="auto"/>
              </w:rPr>
              <w:t>TRI long-term debt, less current maturities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26,608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27,229</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182"/>
        </w:trPr>
        <w:tc>
          <w:tcPr>
            <w:tcW w:w="7700" w:type="dxa"/>
            <w:vAlign w:val="bottom"/>
          </w:tcPr>
          <w:p>
            <w:pPr>
              <w:ind w:left="220"/>
              <w:spacing w:after="0" w:line="182" w:lineRule="exact"/>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292,832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324,479</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700" w:type="dxa"/>
            <w:vAlign w:val="bottom"/>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issued or outstanding as of January 30, 2022 and January 31, 2021</w:t>
            </w:r>
          </w:p>
        </w:tc>
        <w:tc>
          <w:tcPr>
            <w:tcW w:w="2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140"/>
              <w:spacing w:after="0" w:line="189" w:lineRule="exact"/>
              <w:rPr>
                <w:sz w:val="20"/>
                <w:szCs w:val="20"/>
                <w:color w:val="auto"/>
              </w:rPr>
            </w:pPr>
            <w:r>
              <w:rPr>
                <w:rFonts w:ascii="Arial" w:cs="Arial" w:eastAsia="Arial" w:hAnsi="Arial"/>
                <w:sz w:val="18"/>
                <w:szCs w:val="18"/>
                <w:color w:val="auto"/>
              </w:rPr>
              <w:t>3,364 shares issued and outstanding as of January 30, 2022 and</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January 31, 2021</w:t>
            </w:r>
          </w:p>
        </w:tc>
        <w:tc>
          <w:tcPr>
            <w:tcW w:w="2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8"/>
                <w:szCs w:val="18"/>
                <w:color w:val="auto"/>
              </w:rPr>
              <w:t>29,786 shares issued and 29,707 shares outstanding as of January 30, 2022 and</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29,530 shares issued and 29,477 outstanding as of January 31, 2021</w:t>
            </w:r>
          </w:p>
        </w:tc>
        <w:tc>
          <w:tcPr>
            <w:tcW w:w="2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700" w:type="dxa"/>
            <w:vAlign w:val="bottom"/>
          </w:tcPr>
          <w:p>
            <w:pPr>
              <w:spacing w:after="0"/>
              <w:rPr>
                <w:sz w:val="20"/>
                <w:szCs w:val="20"/>
                <w:color w:val="auto"/>
              </w:rPr>
            </w:pPr>
            <w:r>
              <w:rPr>
                <w:rFonts w:ascii="Arial" w:cs="Arial" w:eastAsia="Arial" w:hAnsi="Arial"/>
                <w:sz w:val="18"/>
                <w:szCs w:val="18"/>
                <w:color w:val="auto"/>
              </w:rPr>
              <w:t>Treasury stock, at cost; 79 and 53 shares as of January 30, 2022 and</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line="202" w:lineRule="exact"/>
              <w:rPr>
                <w:sz w:val="20"/>
                <w:szCs w:val="20"/>
                <w:color w:val="auto"/>
              </w:rPr>
            </w:pPr>
            <w:r>
              <w:rPr>
                <w:rFonts w:ascii="Arial" w:cs="Arial" w:eastAsia="Arial" w:hAnsi="Arial"/>
                <w:sz w:val="18"/>
                <w:szCs w:val="18"/>
                <w:color w:val="auto"/>
              </w:rPr>
              <w:t>January 31, 2021, respectively</w:t>
            </w:r>
          </w:p>
        </w:tc>
        <w:tc>
          <w:tcPr>
            <w:tcW w:w="200" w:type="dxa"/>
            <w:vAlign w:val="bottom"/>
          </w:tcPr>
          <w:p>
            <w:pPr>
              <w:spacing w:after="0"/>
              <w:rPr>
                <w:sz w:val="17"/>
                <w:szCs w:val="17"/>
                <w:color w:val="auto"/>
              </w:rPr>
            </w:pP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Capital stock</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95,515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92,875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130,868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101,166</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2"/>
        </w:trPr>
        <w:tc>
          <w:tcPr>
            <w:tcW w:w="7700" w:type="dxa"/>
            <w:vAlign w:val="bottom"/>
          </w:tcPr>
          <w:p>
            <w:pPr>
              <w:ind w:left="220"/>
              <w:spacing w:after="0" w:line="182" w:lineRule="exact"/>
              <w:rPr>
                <w:sz w:val="20"/>
                <w:szCs w:val="20"/>
                <w:color w:val="auto"/>
              </w:rPr>
            </w:pPr>
            <w:r>
              <w:rPr>
                <w:rFonts w:ascii="Arial" w:cs="Arial" w:eastAsia="Arial" w:hAnsi="Arial"/>
                <w:sz w:val="18"/>
                <w:szCs w:val="18"/>
                <w:color w:val="auto"/>
              </w:rPr>
              <w:t>Total shareholders' equity of Duluth Holdings Inc.</w:t>
            </w:r>
          </w:p>
        </w:tc>
        <w:tc>
          <w:tcPr>
            <w:tcW w:w="2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225,870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193,461</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96"/>
        </w:trPr>
        <w:tc>
          <w:tcPr>
            <w:tcW w:w="7700" w:type="dxa"/>
            <w:vAlign w:val="bottom"/>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222,718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190,461</w:t>
            </w:r>
          </w:p>
        </w:tc>
        <w:tc>
          <w:tcPr>
            <w:tcW w:w="0" w:type="dxa"/>
            <w:vAlign w:val="bottom"/>
          </w:tcPr>
          <w:p>
            <w:pPr>
              <w:spacing w:after="0"/>
              <w:rPr>
                <w:sz w:val="1"/>
                <w:szCs w:val="1"/>
                <w:color w:val="auto"/>
              </w:rPr>
            </w:pPr>
          </w:p>
        </w:tc>
      </w:tr>
      <w:tr>
        <w:trPr>
          <w:trHeight w:val="183"/>
        </w:trPr>
        <w:tc>
          <w:tcPr>
            <w:tcW w:w="7700" w:type="dxa"/>
            <w:vAlign w:val="bottom"/>
          </w:tcPr>
          <w:p>
            <w:pPr>
              <w:ind w:left="22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515,550</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514,940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ind w:left="4160"/>
        <w:spacing w:after="0" w:line="221" w:lineRule="auto"/>
        <w:rPr>
          <w:sz w:val="20"/>
          <w:szCs w:val="20"/>
          <w:color w:val="auto"/>
        </w:rPr>
      </w:pPr>
      <w:r>
        <w:rPr>
          <w:rFonts w:ascii="Arial" w:cs="Arial" w:eastAsia="Arial" w:hAnsi="Arial"/>
          <w:sz w:val="18"/>
          <w:szCs w:val="18"/>
          <w:b w:val="1"/>
          <w:bCs w:val="1"/>
          <w:color w:val="auto"/>
        </w:rPr>
        <w:t>Consolidated Statements of Operations</w:t>
      </w:r>
    </w:p>
    <w:p>
      <w:pPr>
        <w:ind w:left="3740"/>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7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ind w:right="391"/>
              <w:spacing w:after="0"/>
              <w:rPr>
                <w:sz w:val="20"/>
                <w:szCs w:val="20"/>
                <w:color w:val="auto"/>
              </w:rPr>
            </w:pPr>
            <w:r>
              <w:rPr>
                <w:rFonts w:ascii="Arial" w:cs="Arial" w:eastAsia="Arial" w:hAnsi="Arial"/>
                <w:sz w:val="14"/>
                <w:szCs w:val="14"/>
                <w:b w:val="1"/>
                <w:bCs w:val="1"/>
                <w:color w:val="auto"/>
                <w:w w:val="92"/>
              </w:rPr>
              <w:t>January 31, 2021</w:t>
            </w:r>
          </w:p>
        </w:tc>
        <w:tc>
          <w:tcPr>
            <w:tcW w:w="0" w:type="dxa"/>
            <w:vAlign w:val="bottom"/>
          </w:tcPr>
          <w:p>
            <w:pPr>
              <w:spacing w:after="0"/>
              <w:rPr>
                <w:sz w:val="1"/>
                <w:szCs w:val="1"/>
                <w:color w:val="auto"/>
              </w:rPr>
            </w:pPr>
          </w:p>
        </w:tc>
      </w:tr>
      <w:tr>
        <w:trPr>
          <w:trHeight w:val="168"/>
        </w:trPr>
        <w:tc>
          <w:tcPr>
            <w:tcW w:w="57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Borders>
              <w:top w:val="single" w:sz="8" w:color="auto"/>
            </w:tcBorders>
          </w:tcPr>
          <w:p>
            <w:pPr>
              <w:jc w:val="right"/>
              <w:ind w:right="127"/>
              <w:spacing w:after="0" w:line="168" w:lineRule="exact"/>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698,584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auto"/>
            </w:tcBorders>
          </w:tcPr>
          <w:p>
            <w:pPr>
              <w:jc w:val="right"/>
              <w:ind w:right="307"/>
              <w:spacing w:after="0" w:line="168" w:lineRule="exact"/>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638,783</w:t>
            </w: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1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307,257</w:t>
            </w:r>
          </w:p>
        </w:tc>
        <w:tc>
          <w:tcPr>
            <w:tcW w:w="0" w:type="dxa"/>
            <w:vAlign w:val="bottom"/>
          </w:tcPr>
          <w:p>
            <w:pPr>
              <w:spacing w:after="0"/>
              <w:rPr>
                <w:sz w:val="1"/>
                <w:szCs w:val="1"/>
                <w:color w:val="auto"/>
              </w:rPr>
            </w:pPr>
          </w:p>
        </w:tc>
      </w:tr>
      <w:tr>
        <w:trPr>
          <w:trHeight w:val="168"/>
        </w:trPr>
        <w:tc>
          <w:tcPr>
            <w:tcW w:w="5720" w:type="dxa"/>
            <w:vAlign w:val="bottom"/>
          </w:tcPr>
          <w:p>
            <w:pPr>
              <w:spacing w:after="0" w:line="168" w:lineRule="exact"/>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Arial" w:cs="Arial" w:eastAsia="Arial" w:hAnsi="Arial"/>
                <w:sz w:val="18"/>
                <w:szCs w:val="18"/>
                <w:color w:val="auto"/>
              </w:rPr>
              <w:t>377,324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Arial" w:cs="Arial" w:eastAsia="Arial" w:hAnsi="Arial"/>
                <w:sz w:val="18"/>
                <w:szCs w:val="18"/>
                <w:color w:val="auto"/>
              </w:rPr>
              <w:t>331,526</w:t>
            </w: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307,311</w:t>
            </w:r>
          </w:p>
        </w:tc>
        <w:tc>
          <w:tcPr>
            <w:tcW w:w="0" w:type="dxa"/>
            <w:vAlign w:val="bottom"/>
          </w:tcPr>
          <w:p>
            <w:pPr>
              <w:spacing w:after="0"/>
              <w:rPr>
                <w:sz w:val="1"/>
                <w:szCs w:val="1"/>
                <w:color w:val="auto"/>
              </w:rPr>
            </w:pPr>
          </w:p>
        </w:tc>
      </w:tr>
      <w:tr>
        <w:trPr>
          <w:trHeight w:val="168"/>
        </w:trPr>
        <w:tc>
          <w:tcPr>
            <w:tcW w:w="5720" w:type="dxa"/>
            <w:vAlign w:val="bottom"/>
          </w:tcPr>
          <w:p>
            <w:pPr>
              <w:spacing w:after="0" w:line="168" w:lineRule="exact"/>
              <w:rPr>
                <w:sz w:val="20"/>
                <w:szCs w:val="20"/>
                <w:color w:val="auto"/>
              </w:rPr>
            </w:pPr>
            <w:r>
              <w:rPr>
                <w:rFonts w:ascii="Arial" w:cs="Arial" w:eastAsia="Arial" w:hAnsi="Arial"/>
                <w:sz w:val="18"/>
                <w:szCs w:val="18"/>
                <w:color w:val="auto"/>
              </w:rPr>
              <w:t>Operating income</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Arial" w:cs="Arial" w:eastAsia="Arial" w:hAnsi="Arial"/>
                <w:sz w:val="18"/>
                <w:szCs w:val="18"/>
                <w:color w:val="auto"/>
              </w:rPr>
              <w:t>44,099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Arial" w:cs="Arial" w:eastAsia="Arial" w:hAnsi="Arial"/>
                <w:sz w:val="18"/>
                <w:szCs w:val="18"/>
                <w:color w:val="auto"/>
              </w:rPr>
              <w:t>24,215</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4,717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Other income, net</w:t>
            </w:r>
          </w:p>
        </w:tc>
        <w:tc>
          <w:tcPr>
            <w:tcW w:w="1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68"/>
        </w:trPr>
        <w:tc>
          <w:tcPr>
            <w:tcW w:w="5720" w:type="dxa"/>
            <w:vAlign w:val="bottom"/>
          </w:tcPr>
          <w:p>
            <w:pPr>
              <w:spacing w:after="0" w:line="168" w:lineRule="exact"/>
              <w:rPr>
                <w:sz w:val="20"/>
                <w:szCs w:val="20"/>
                <w:color w:val="auto"/>
              </w:rPr>
            </w:pPr>
            <w:r>
              <w:rPr>
                <w:rFonts w:ascii="Arial" w:cs="Arial" w:eastAsia="Arial" w:hAnsi="Arial"/>
                <w:sz w:val="18"/>
                <w:szCs w:val="18"/>
                <w:color w:val="auto"/>
              </w:rPr>
              <w:t>Income before income taxes</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Arial" w:cs="Arial" w:eastAsia="Arial" w:hAnsi="Arial"/>
                <w:sz w:val="18"/>
                <w:szCs w:val="18"/>
                <w:color w:val="auto"/>
              </w:rPr>
              <w:t>39,437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Arial" w:cs="Arial" w:eastAsia="Arial" w:hAnsi="Arial"/>
                <w:sz w:val="18"/>
                <w:szCs w:val="18"/>
                <w:color w:val="auto"/>
              </w:rPr>
              <w:t>18,017</w:t>
            </w: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168"/>
        </w:trPr>
        <w:tc>
          <w:tcPr>
            <w:tcW w:w="5720" w:type="dxa"/>
            <w:vAlign w:val="bottom"/>
          </w:tcPr>
          <w:p>
            <w:pPr>
              <w:spacing w:after="0" w:line="168" w:lineRule="exact"/>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Arial" w:cs="Arial" w:eastAsia="Arial" w:hAnsi="Arial"/>
                <w:sz w:val="18"/>
                <w:szCs w:val="18"/>
                <w:color w:val="auto"/>
              </w:rPr>
              <w:t>29,550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Arial" w:cs="Arial" w:eastAsia="Arial" w:hAnsi="Arial"/>
                <w:sz w:val="18"/>
                <w:szCs w:val="18"/>
                <w:color w:val="auto"/>
              </w:rPr>
              <w:t>13,380</w:t>
            </w: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83"/>
        </w:trPr>
        <w:tc>
          <w:tcPr>
            <w:tcW w:w="5720" w:type="dxa"/>
            <w:vAlign w:val="bottom"/>
          </w:tcPr>
          <w:p>
            <w:pPr>
              <w:spacing w:after="0" w:line="182" w:lineRule="exact"/>
              <w:rPr>
                <w:sz w:val="20"/>
                <w:szCs w:val="20"/>
                <w:color w:val="auto"/>
              </w:rPr>
            </w:pPr>
            <w:r>
              <w:rPr>
                <w:rFonts w:ascii="Arial" w:cs="Arial" w:eastAsia="Arial" w:hAnsi="Arial"/>
                <w:sz w:val="18"/>
                <w:szCs w:val="18"/>
                <w:color w:val="auto"/>
              </w:rPr>
              <w:t>Net income attributable to controlling interest</w:t>
            </w:r>
          </w:p>
        </w:tc>
        <w:tc>
          <w:tcPr>
            <w:tcW w:w="13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29,702</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Basic earnings per share (Class A and 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-121920</wp:posOffset>
            </wp:positionV>
            <wp:extent cx="2682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2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2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32,618</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32,447</w:t>
            </w:r>
          </w:p>
        </w:tc>
        <w:tc>
          <w:tcPr>
            <w:tcW w:w="0" w:type="dxa"/>
            <w:vAlign w:val="bottom"/>
          </w:tcPr>
          <w:p>
            <w:pPr>
              <w:spacing w:after="0"/>
              <w:rPr>
                <w:sz w:val="1"/>
                <w:szCs w:val="1"/>
                <w:color w:val="auto"/>
              </w:rPr>
            </w:pPr>
          </w:p>
        </w:tc>
      </w:tr>
      <w:tr>
        <w:trPr>
          <w:trHeight w:val="195"/>
        </w:trPr>
        <w:tc>
          <w:tcPr>
            <w:tcW w:w="4720" w:type="dxa"/>
            <w:vAlign w:val="bottom"/>
          </w:tcPr>
          <w:p>
            <w:pPr>
              <w:spacing w:after="0" w:line="195" w:lineRule="exact"/>
              <w:rPr>
                <w:sz w:val="20"/>
                <w:szCs w:val="20"/>
                <w:color w:val="auto"/>
              </w:rPr>
            </w:pPr>
            <w:r>
              <w:rPr>
                <w:rFonts w:ascii="Arial" w:cs="Arial" w:eastAsia="Arial" w:hAnsi="Arial"/>
                <w:sz w:val="18"/>
                <w:szCs w:val="18"/>
                <w:color w:val="auto"/>
              </w:rPr>
              <w:t>Net income per share attributable</w:t>
            </w:r>
          </w:p>
        </w:tc>
        <w:tc>
          <w:tcPr>
            <w:tcW w:w="306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6"/>
                <w:szCs w:val="16"/>
                <w:color w:val="auto"/>
              </w:rPr>
            </w:pPr>
          </w:p>
        </w:tc>
        <w:tc>
          <w:tcPr>
            <w:tcW w:w="780" w:type="dxa"/>
            <w:vAlign w:val="bottom"/>
            <w:vMerge w:val="restart"/>
          </w:tcPr>
          <w:p>
            <w:pPr>
              <w:jc w:val="right"/>
              <w:ind w:right="5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3"/>
        </w:trPr>
        <w:tc>
          <w:tcPr>
            <w:tcW w:w="4720" w:type="dxa"/>
            <w:vAlign w:val="bottom"/>
          </w:tcPr>
          <w:p>
            <w:pPr>
              <w:ind w:left="140"/>
              <w:spacing w:after="0" w:line="203" w:lineRule="exact"/>
              <w:rPr>
                <w:sz w:val="20"/>
                <w:szCs w:val="20"/>
                <w:color w:val="auto"/>
              </w:rPr>
            </w:pPr>
            <w:r>
              <w:rPr>
                <w:rFonts w:ascii="Arial" w:cs="Arial" w:eastAsia="Arial" w:hAnsi="Arial"/>
                <w:sz w:val="18"/>
                <w:szCs w:val="18"/>
                <w:color w:val="auto"/>
              </w:rPr>
              <w:t>to controlling interest</w:t>
            </w:r>
          </w:p>
        </w:tc>
        <w:tc>
          <w:tcPr>
            <w:tcW w:w="30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Diluted earnings per share (Class A and 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-121920</wp:posOffset>
            </wp:positionV>
            <wp:extent cx="26828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Arial" w:cs="Arial" w:eastAsia="Arial" w:hAnsi="Arial"/>
                <w:sz w:val="18"/>
                <w:szCs w:val="18"/>
                <w:color w:val="auto"/>
              </w:rPr>
              <w:t>Weighted average shares and</w:t>
            </w:r>
          </w:p>
        </w:tc>
        <w:tc>
          <w:tcPr>
            <w:tcW w:w="2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40"/>
              <w:spacing w:after="0"/>
              <w:rPr>
                <w:sz w:val="20"/>
                <w:szCs w:val="20"/>
                <w:color w:val="auto"/>
              </w:rPr>
            </w:pPr>
            <w:r>
              <w:rPr>
                <w:rFonts w:ascii="Arial" w:cs="Arial" w:eastAsia="Arial" w:hAnsi="Arial"/>
                <w:sz w:val="18"/>
                <w:szCs w:val="18"/>
                <w:color w:val="auto"/>
              </w:rPr>
              <w:t>equivalents outstanding</w:t>
            </w:r>
          </w:p>
        </w:tc>
        <w:tc>
          <w:tcPr>
            <w:tcW w:w="2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32,851</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32,580</w:t>
            </w: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Net income per share attributable</w:t>
            </w:r>
          </w:p>
        </w:tc>
        <w:tc>
          <w:tcPr>
            <w:tcW w:w="306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20"/>
                <w:szCs w:val="20"/>
                <w:color w:val="auto"/>
              </w:rPr>
            </w:pPr>
          </w:p>
        </w:tc>
        <w:tc>
          <w:tcPr>
            <w:tcW w:w="780" w:type="dxa"/>
            <w:vAlign w:val="bottom"/>
            <w:vMerge w:val="restart"/>
          </w:tcPr>
          <w:p>
            <w:pPr>
              <w:jc w:val="right"/>
              <w:ind w:right="5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3"/>
        </w:trPr>
        <w:tc>
          <w:tcPr>
            <w:tcW w:w="4720" w:type="dxa"/>
            <w:vAlign w:val="bottom"/>
          </w:tcPr>
          <w:p>
            <w:pPr>
              <w:ind w:left="140"/>
              <w:spacing w:after="0" w:line="203" w:lineRule="exact"/>
              <w:rPr>
                <w:sz w:val="20"/>
                <w:szCs w:val="20"/>
                <w:color w:val="auto"/>
              </w:rPr>
            </w:pPr>
            <w:r>
              <w:rPr>
                <w:rFonts w:ascii="Arial" w:cs="Arial" w:eastAsia="Arial" w:hAnsi="Arial"/>
                <w:sz w:val="18"/>
                <w:szCs w:val="18"/>
                <w:color w:val="auto"/>
              </w:rPr>
              <w:t>to controlling interest</w:t>
            </w:r>
          </w:p>
        </w:tc>
        <w:tc>
          <w:tcPr>
            <w:tcW w:w="30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ind w:right="-79"/>
        <w:spacing w:after="0" w:line="221" w:lineRule="auto"/>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January 30, 2022</w:t>
            </w:r>
          </w:p>
        </w:tc>
        <w:tc>
          <w:tcPr>
            <w:tcW w:w="440" w:type="dxa"/>
            <w:vAlign w:val="bottom"/>
          </w:tcPr>
          <w:p>
            <w:pPr>
              <w:spacing w:after="0"/>
              <w:rPr>
                <w:sz w:val="15"/>
                <w:szCs w:val="15"/>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w w:val="92"/>
              </w:rPr>
              <w:t>January 31, 2021</w:t>
            </w:r>
          </w:p>
        </w:tc>
        <w:tc>
          <w:tcPr>
            <w:tcW w:w="0" w:type="dxa"/>
            <w:vAlign w:val="bottom"/>
          </w:tcPr>
          <w:p>
            <w:pPr>
              <w:spacing w:after="0"/>
              <w:rPr>
                <w:sz w:val="1"/>
                <w:szCs w:val="1"/>
                <w:color w:val="auto"/>
              </w:rPr>
            </w:pPr>
          </w:p>
        </w:tc>
      </w:tr>
      <w:tr>
        <w:trPr>
          <w:trHeight w:val="168"/>
        </w:trPr>
        <w:tc>
          <w:tcPr>
            <w:tcW w:w="486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Borders>
              <w:top w:val="single" w:sz="8" w:color="auto"/>
            </w:tcBorders>
          </w:tcPr>
          <w:p>
            <w:pPr>
              <w:jc w:val="right"/>
              <w:ind w:right="90"/>
              <w:spacing w:after="0" w:line="168"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29,550</w:t>
            </w:r>
          </w:p>
        </w:tc>
        <w:tc>
          <w:tcPr>
            <w:tcW w:w="240" w:type="dxa"/>
            <w:vAlign w:val="bottom"/>
          </w:tcPr>
          <w:p>
            <w:pPr>
              <w:spacing w:after="0"/>
              <w:rPr>
                <w:sz w:val="14"/>
                <w:szCs w:val="14"/>
                <w:color w:val="auto"/>
              </w:rPr>
            </w:pPr>
          </w:p>
        </w:tc>
        <w:tc>
          <w:tcPr>
            <w:tcW w:w="440" w:type="dxa"/>
            <w:vAlign w:val="bottom"/>
            <w:tcBorders>
              <w:top w:val="single" w:sz="8" w:color="auto"/>
            </w:tcBorders>
          </w:tcPr>
          <w:p>
            <w:pPr>
              <w:jc w:val="right"/>
              <w:ind w:right="287"/>
              <w:spacing w:after="0" w:line="168" w:lineRule="exact"/>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13,380</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Securities available-for-sale:</w:t>
            </w: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Unrealized security income (loss)</w:t>
            </w: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7"/>
        </w:trPr>
        <w:tc>
          <w:tcPr>
            <w:tcW w:w="486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2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4860" w:type="dxa"/>
            <w:vAlign w:val="bottom"/>
          </w:tcPr>
          <w:p>
            <w:pPr>
              <w:spacing w:after="0" w:line="182" w:lineRule="exact"/>
              <w:rPr>
                <w:sz w:val="20"/>
                <w:szCs w:val="20"/>
                <w:color w:val="auto"/>
              </w:rPr>
            </w:pPr>
            <w:r>
              <w:rPr>
                <w:rFonts w:ascii="Arial" w:cs="Arial" w:eastAsia="Arial" w:hAnsi="Arial"/>
                <w:sz w:val="18"/>
                <w:szCs w:val="18"/>
                <w:color w:val="auto"/>
              </w:rPr>
              <w:t>Other comprehensive income (loss)</w:t>
            </w:r>
          </w:p>
        </w:tc>
        <w:tc>
          <w:tcPr>
            <w:tcW w:w="2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441</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Comprehensive income</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29,991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8"/>
                <w:szCs w:val="18"/>
                <w:color w:val="auto"/>
              </w:rPr>
              <w:t>Comprehensive loss attributable</w:t>
            </w: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60" w:type="dxa"/>
            <w:vAlign w:val="bottom"/>
          </w:tcPr>
          <w:p>
            <w:pPr>
              <w:ind w:left="180"/>
              <w:spacing w:after="0"/>
              <w:rPr>
                <w:sz w:val="20"/>
                <w:szCs w:val="20"/>
                <w:color w:val="auto"/>
              </w:rPr>
            </w:pPr>
            <w:r>
              <w:rPr>
                <w:rFonts w:ascii="Arial" w:cs="Arial" w:eastAsia="Arial" w:hAnsi="Arial"/>
                <w:sz w:val="18"/>
                <w:szCs w:val="18"/>
                <w:color w:val="auto"/>
              </w:rPr>
              <w:t>to noncontrolling interest</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5"/>
        </w:trPr>
        <w:tc>
          <w:tcPr>
            <w:tcW w:w="4860" w:type="dxa"/>
            <w:vAlign w:val="bottom"/>
          </w:tcPr>
          <w:p>
            <w:pPr>
              <w:spacing w:after="0" w:line="195" w:lineRule="exact"/>
              <w:rPr>
                <w:sz w:val="20"/>
                <w:szCs w:val="20"/>
                <w:color w:val="auto"/>
              </w:rPr>
            </w:pPr>
            <w:r>
              <w:rPr>
                <w:rFonts w:ascii="Arial" w:cs="Arial" w:eastAsia="Arial" w:hAnsi="Arial"/>
                <w:sz w:val="18"/>
                <w:szCs w:val="18"/>
                <w:color w:val="auto"/>
              </w:rPr>
              <w:t>Comprehensive income attributable</w:t>
            </w:r>
          </w:p>
        </w:tc>
        <w:tc>
          <w:tcPr>
            <w:tcW w:w="2260" w:type="dxa"/>
            <w:vAlign w:val="bottom"/>
            <w:vMerge w:val="restart"/>
          </w:tcPr>
          <w:p>
            <w:pPr>
              <w:spacing w:after="0"/>
              <w:rPr>
                <w:sz w:val="16"/>
                <w:szCs w:val="16"/>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30,143</w:t>
            </w:r>
          </w:p>
        </w:tc>
        <w:tc>
          <w:tcPr>
            <w:tcW w:w="240" w:type="dxa"/>
            <w:vAlign w:val="bottom"/>
          </w:tcPr>
          <w:p>
            <w:pPr>
              <w:spacing w:after="0"/>
              <w:rPr>
                <w:sz w:val="16"/>
                <w:szCs w:val="16"/>
                <w:color w:val="auto"/>
              </w:rPr>
            </w:pPr>
          </w:p>
        </w:tc>
        <w:tc>
          <w:tcPr>
            <w:tcW w:w="440" w:type="dxa"/>
            <w:vAlign w:val="bottom"/>
            <w:tcBorders>
              <w:top w:val="single" w:sz="8" w:color="auto"/>
            </w:tcBorders>
            <w:vMerge w:val="restart"/>
          </w:tcPr>
          <w:p>
            <w:pPr>
              <w:jc w:val="right"/>
              <w:ind w:right="2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13,437</w:t>
            </w:r>
          </w:p>
        </w:tc>
        <w:tc>
          <w:tcPr>
            <w:tcW w:w="0" w:type="dxa"/>
            <w:vAlign w:val="bottom"/>
          </w:tcPr>
          <w:p>
            <w:pPr>
              <w:spacing w:after="0"/>
              <w:rPr>
                <w:sz w:val="1"/>
                <w:szCs w:val="1"/>
                <w:color w:val="auto"/>
              </w:rPr>
            </w:pPr>
          </w:p>
        </w:tc>
      </w:tr>
      <w:tr>
        <w:trPr>
          <w:trHeight w:val="208"/>
        </w:trPr>
        <w:tc>
          <w:tcPr>
            <w:tcW w:w="4860" w:type="dxa"/>
            <w:vAlign w:val="bottom"/>
          </w:tcPr>
          <w:p>
            <w:pPr>
              <w:ind w:left="140"/>
              <w:spacing w:after="0" w:line="203" w:lineRule="exact"/>
              <w:rPr>
                <w:sz w:val="20"/>
                <w:szCs w:val="20"/>
                <w:color w:val="auto"/>
              </w:rPr>
            </w:pPr>
            <w:r>
              <w:rPr>
                <w:rFonts w:ascii="Arial" w:cs="Arial" w:eastAsia="Arial" w:hAnsi="Arial"/>
                <w:sz w:val="18"/>
                <w:szCs w:val="18"/>
                <w:color w:val="auto"/>
              </w:rPr>
              <w:t>to controlling interest</w:t>
            </w:r>
          </w:p>
        </w:tc>
        <w:tc>
          <w:tcPr>
            <w:tcW w:w="2260" w:type="dxa"/>
            <w:vAlign w:val="bottom"/>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4"/>
              </w:rPr>
              <w:t>Capital stock</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 in</w:t>
            </w: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6"/>
                <w:szCs w:val="16"/>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variable interest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500" w:type="dxa"/>
            <w:vAlign w:val="bottom"/>
            <w:vMerge w:val="restart"/>
          </w:tcPr>
          <w:p>
            <w:pPr>
              <w:spacing w:after="0"/>
              <w:rPr>
                <w:sz w:val="20"/>
                <w:szCs w:val="20"/>
                <w:color w:val="auto"/>
              </w:rPr>
            </w:pPr>
            <w:r>
              <w:rPr>
                <w:rFonts w:ascii="Arial" w:cs="Arial" w:eastAsia="Arial" w:hAnsi="Arial"/>
                <w:sz w:val="18"/>
                <w:szCs w:val="18"/>
                <w:color w:val="auto"/>
              </w:rPr>
              <w:t>Balance at February 2, 2020</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8"/>
              </w:rPr>
              <w:t>loss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entities</w:t>
            </w: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95"/>
        </w:trPr>
        <w:tc>
          <w:tcPr>
            <w:tcW w:w="3500" w:type="dxa"/>
            <w:vAlign w:val="bottom"/>
            <w:vMerge w:val="continue"/>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32,536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90,902</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87,590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(2,803)</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15"/>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175,470</w:t>
            </w:r>
          </w:p>
        </w:tc>
        <w:tc>
          <w:tcPr>
            <w:tcW w:w="0" w:type="dxa"/>
            <w:vAlign w:val="bottom"/>
          </w:tcPr>
          <w:p>
            <w:pPr>
              <w:spacing w:after="0"/>
              <w:rPr>
                <w:sz w:val="1"/>
                <w:szCs w:val="1"/>
                <w:color w:val="auto"/>
              </w:rPr>
            </w:pPr>
          </w:p>
        </w:tc>
      </w:tr>
      <w:tr>
        <w:trPr>
          <w:trHeight w:val="229"/>
        </w:trPr>
        <w:tc>
          <w:tcPr>
            <w:tcW w:w="35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30"/>
        </w:trPr>
        <w:tc>
          <w:tcPr>
            <w:tcW w:w="350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120"/>
              <w:spacing w:after="0"/>
              <w:rPr>
                <w:sz w:val="20"/>
                <w:szCs w:val="20"/>
                <w:color w:val="auto"/>
              </w:rPr>
            </w:pPr>
            <w:r>
              <w:rPr>
                <w:rFonts w:ascii="Arial" w:cs="Arial" w:eastAsia="Arial" w:hAnsi="Arial"/>
                <w:sz w:val="18"/>
                <w:szCs w:val="18"/>
                <w:color w:val="auto"/>
              </w:rPr>
              <w:t>Restricted stock surrendered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for taxes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7"/>
        </w:trPr>
        <w:tc>
          <w:tcPr>
            <w:tcW w:w="35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13,380</w:t>
            </w:r>
          </w:p>
        </w:tc>
        <w:tc>
          <w:tcPr>
            <w:tcW w:w="0" w:type="dxa"/>
            <w:vAlign w:val="bottom"/>
          </w:tcPr>
          <w:p>
            <w:pPr>
              <w:spacing w:after="0"/>
              <w:rPr>
                <w:sz w:val="1"/>
                <w:szCs w:val="1"/>
                <w:color w:val="auto"/>
              </w:rPr>
            </w:pPr>
          </w:p>
        </w:tc>
      </w:tr>
      <w:tr>
        <w:trPr>
          <w:trHeight w:val="195"/>
        </w:trPr>
        <w:tc>
          <w:tcPr>
            <w:tcW w:w="3500" w:type="dxa"/>
            <w:vAlign w:val="bottom"/>
          </w:tcPr>
          <w:p>
            <w:pPr>
              <w:spacing w:after="0" w:line="195" w:lineRule="exact"/>
              <w:rPr>
                <w:sz w:val="20"/>
                <w:szCs w:val="20"/>
                <w:color w:val="auto"/>
              </w:rPr>
            </w:pPr>
            <w:r>
              <w:rPr>
                <w:rFonts w:ascii="Arial" w:cs="Arial" w:eastAsia="Arial" w:hAnsi="Arial"/>
                <w:sz w:val="18"/>
                <w:szCs w:val="18"/>
                <w:color w:val="auto"/>
              </w:rPr>
              <w:t>Balance at January 31, 2021</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32,841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92,875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101,166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(3,000)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15"/>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190,461</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30"/>
        </w:trPr>
        <w:tc>
          <w:tcPr>
            <w:tcW w:w="350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120"/>
              <w:spacing w:after="0"/>
              <w:rPr>
                <w:sz w:val="20"/>
                <w:szCs w:val="20"/>
                <w:color w:val="auto"/>
              </w:rPr>
            </w:pPr>
            <w:r>
              <w:rPr>
                <w:rFonts w:ascii="Arial" w:cs="Arial" w:eastAsia="Arial" w:hAnsi="Arial"/>
                <w:sz w:val="18"/>
                <w:szCs w:val="18"/>
                <w:color w:val="auto"/>
              </w:rPr>
              <w:t>Restricted stock surrendered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for taxes</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7"/>
        </w:trPr>
        <w:tc>
          <w:tcPr>
            <w:tcW w:w="35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29,550</w:t>
            </w:r>
          </w:p>
        </w:tc>
        <w:tc>
          <w:tcPr>
            <w:tcW w:w="0" w:type="dxa"/>
            <w:vAlign w:val="bottom"/>
          </w:tcPr>
          <w:p>
            <w:pPr>
              <w:spacing w:after="0"/>
              <w:rPr>
                <w:sz w:val="1"/>
                <w:szCs w:val="1"/>
                <w:color w:val="auto"/>
              </w:rPr>
            </w:pPr>
          </w:p>
        </w:tc>
      </w:tr>
      <w:tr>
        <w:trPr>
          <w:trHeight w:val="183"/>
        </w:trPr>
        <w:tc>
          <w:tcPr>
            <w:tcW w:w="3500" w:type="dxa"/>
            <w:vAlign w:val="bottom"/>
          </w:tcPr>
          <w:p>
            <w:pPr>
              <w:spacing w:after="0" w:line="182" w:lineRule="exact"/>
              <w:rPr>
                <w:sz w:val="20"/>
                <w:szCs w:val="20"/>
                <w:color w:val="auto"/>
              </w:rPr>
            </w:pPr>
            <w:r>
              <w:rPr>
                <w:rFonts w:ascii="Arial" w:cs="Arial" w:eastAsia="Arial" w:hAnsi="Arial"/>
                <w:sz w:val="18"/>
                <w:szCs w:val="18"/>
                <w:color w:val="auto"/>
              </w:rPr>
              <w:t>Balance at January 30, 2022</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33,071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95,515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130,868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(3,152)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5"/>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222,718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5"/>
          </w:tcPr>
          <w:p>
            <w:pPr>
              <w:jc w:val="right"/>
              <w:ind w:right="1371"/>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29,550</w:t>
            </w:r>
          </w:p>
        </w:tc>
        <w:tc>
          <w:tcPr>
            <w:tcW w:w="100" w:type="dxa"/>
            <w:vAlign w:val="bottom"/>
          </w:tcPr>
          <w:p>
            <w:pPr>
              <w:spacing w:after="0"/>
              <w:rPr>
                <w:sz w:val="20"/>
                <w:szCs w:val="20"/>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13,380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2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Arial" w:cs="Arial" w:eastAsia="Arial" w:hAnsi="Arial"/>
                <w:sz w:val="18"/>
                <w:szCs w:val="18"/>
                <w:color w:val="auto"/>
              </w:rPr>
              <w:t>by operating activities: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26,380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Prepaid expense &amp; other assets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Software hosting implementation costs, net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(4,701)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Deferred catalog costs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20" w:type="dxa"/>
            <w:vAlign w:val="bottom"/>
          </w:tcPr>
          <w:p>
            <w:pPr>
              <w:ind w:left="120"/>
              <w:spacing w:after="0"/>
              <w:rPr>
                <w:sz w:val="20"/>
                <w:szCs w:val="20"/>
                <w:color w:val="auto"/>
              </w:rPr>
            </w:pPr>
            <w:r>
              <w:rPr>
                <w:rFonts w:ascii="Arial" w:cs="Arial" w:eastAsia="Arial" w:hAnsi="Arial"/>
                <w:sz w:val="18"/>
                <w:szCs w:val="18"/>
                <w:color w:val="auto"/>
              </w:rPr>
              <w:t>Noncash lease impacts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(10,352)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(11,743)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Capital contributions towards build-to-suit stores</w:t>
            </w:r>
          </w:p>
        </w:tc>
        <w:tc>
          <w:tcPr>
            <w:tcW w:w="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Principal receipts from available-for-sale security</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Proceeds from disposal of PP&amp;E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Payments on line of credit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(114,720)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Proceeds from delayed draw term loan</w:t>
            </w:r>
          </w:p>
        </w:tc>
        <w:tc>
          <w:tcPr>
            <w:tcW w:w="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Payments on delayed draw term loan</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(48,250)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Payments on TRI long term debt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Payments on finance lease obligations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Shares withheld for tax payments on vested restricted stock</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220" w:type="dxa"/>
            <w:vAlign w:val="bottom"/>
          </w:tcPr>
          <w:p>
            <w:pPr>
              <w:spacing w:after="0" w:line="195" w:lineRule="exact"/>
              <w:rPr>
                <w:sz w:val="20"/>
                <w:szCs w:val="20"/>
                <w:color w:val="auto"/>
              </w:rPr>
            </w:pPr>
            <w:r>
              <w:rPr>
                <w:rFonts w:ascii="Arial" w:cs="Arial" w:eastAsia="Arial" w:hAnsi="Arial"/>
                <w:sz w:val="18"/>
                <w:szCs w:val="18"/>
                <w:color w:val="auto"/>
              </w:rPr>
              <w:t>Increase in cash and cash equivalents</w:t>
            </w:r>
          </w:p>
        </w:tc>
        <w:tc>
          <w:tcPr>
            <w:tcW w:w="260" w:type="dxa"/>
            <w:vAlign w:val="bottom"/>
          </w:tcPr>
          <w:p>
            <w:pPr>
              <w:spacing w:after="0"/>
              <w:rPr>
                <w:sz w:val="16"/>
                <w:szCs w:val="16"/>
                <w:color w:val="auto"/>
              </w:rPr>
            </w:pPr>
          </w:p>
        </w:tc>
        <w:tc>
          <w:tcPr>
            <w:tcW w:w="1640" w:type="dxa"/>
            <w:vAlign w:val="bottom"/>
          </w:tcPr>
          <w:p>
            <w:pPr>
              <w:jc w:val="right"/>
              <w:spacing w:after="0" w:line="195" w:lineRule="exact"/>
              <w:rPr>
                <w:sz w:val="20"/>
                <w:szCs w:val="20"/>
                <w:color w:val="auto"/>
              </w:rPr>
            </w:pPr>
            <w:r>
              <w:rPr>
                <w:rFonts w:ascii="Arial" w:cs="Arial" w:eastAsia="Arial" w:hAnsi="Arial"/>
                <w:sz w:val="18"/>
                <w:szCs w:val="18"/>
                <w:color w:val="auto"/>
              </w:rPr>
              <w:t>30,467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spacing w:after="0" w:line="195" w:lineRule="exact"/>
              <w:rPr>
                <w:sz w:val="20"/>
                <w:szCs w:val="20"/>
                <w:color w:val="auto"/>
              </w:rPr>
            </w:pPr>
            <w:r>
              <w:rPr>
                <w:rFonts w:ascii="Arial" w:cs="Arial" w:eastAsia="Arial" w:hAnsi="Arial"/>
                <w:sz w:val="18"/>
                <w:szCs w:val="18"/>
                <w:color w:val="auto"/>
              </w:rPr>
              <w:t>44,981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220" w:type="dxa"/>
            <w:vAlign w:val="bottom"/>
          </w:tcPr>
          <w:p>
            <w:pPr>
              <w:spacing w:after="0" w:line="182" w:lineRule="exact"/>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77,051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46,584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8"/>
                <w:szCs w:val="18"/>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20" w:type="dxa"/>
            <w:vAlign w:val="bottom"/>
          </w:tcPr>
          <w:p>
            <w:pPr>
              <w:spacing w:after="0"/>
              <w:rPr>
                <w:sz w:val="20"/>
                <w:szCs w:val="20"/>
                <w:color w:val="auto"/>
              </w:rPr>
            </w:pPr>
            <w:r>
              <w:rPr>
                <w:rFonts w:ascii="Arial" w:cs="Arial" w:eastAsia="Arial" w:hAnsi="Arial"/>
                <w:sz w:val="18"/>
                <w:szCs w:val="18"/>
                <w:color w:val="auto"/>
              </w:rPr>
              <w:t>Income taxes paid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16,161</w:t>
            </w:r>
          </w:p>
        </w:tc>
        <w:tc>
          <w:tcPr>
            <w:tcW w:w="100" w:type="dxa"/>
            <w:vAlign w:val="bottom"/>
          </w:tcPr>
          <w:p>
            <w:pPr>
              <w:spacing w:after="0"/>
              <w:rPr>
                <w:sz w:val="19"/>
                <w:szCs w:val="19"/>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Unpaid liability to acquire property and equipment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0"/>
                <w:szCs w:val="20"/>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ind w:right="-19"/>
        <w:spacing w:after="0" w:line="219" w:lineRule="auto"/>
        <w:rPr>
          <w:sz w:val="20"/>
          <w:szCs w:val="20"/>
          <w:color w:val="auto"/>
        </w:rPr>
      </w:pPr>
      <w:r>
        <w:rPr>
          <w:rFonts w:ascii="Arial" w:cs="Arial" w:eastAsia="Arial" w:hAnsi="Arial"/>
          <w:sz w:val="18"/>
          <w:szCs w:val="18"/>
          <w:b w:val="1"/>
          <w:bCs w:val="1"/>
          <w:color w:val="auto"/>
        </w:rPr>
        <w:t>DULUTH HOLDINGS INC.</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20" w:firstLine="440"/>
        <w:spacing w:after="0" w:line="276" w:lineRule="auto"/>
        <w:rPr>
          <w:sz w:val="20"/>
          <w:szCs w:val="20"/>
          <w:color w:val="auto"/>
        </w:rPr>
      </w:pPr>
      <w:r>
        <w:rPr>
          <w:rFonts w:ascii="Arial" w:cs="Arial" w:eastAsia="Arial" w:hAnsi="Arial"/>
          <w:sz w:val="16"/>
          <w:szCs w:val="16"/>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Company brand, with the majority of products being exclusively developed and sold as Duluth Trading branded merchandise.</w:t>
      </w:r>
    </w:p>
    <w:p>
      <w:pPr>
        <w:spacing w:after="0" w:line="108" w:lineRule="exact"/>
        <w:rPr>
          <w:sz w:val="20"/>
          <w:szCs w:val="20"/>
          <w:color w:val="auto"/>
        </w:rPr>
      </w:pPr>
    </w:p>
    <w:p>
      <w:pPr>
        <w:ind w:firstLine="492"/>
        <w:spacing w:after="0" w:line="227" w:lineRule="auto"/>
        <w:rPr>
          <w:sz w:val="20"/>
          <w:szCs w:val="20"/>
          <w:color w:val="auto"/>
        </w:rPr>
      </w:pPr>
      <w:r>
        <w:rPr>
          <w:rFonts w:ascii="Arial" w:cs="Arial" w:eastAsia="Arial" w:hAnsi="Arial"/>
          <w:sz w:val="18"/>
          <w:szCs w:val="18"/>
          <w:color w:val="auto"/>
        </w:rPr>
        <w:t>In 2010, the Company initiated its omnichannel platform with the opening of its first store. Since then, Duluth Trading has expanded its retail presence, and as of January 30, 2022, the Company operated 62 retail stores and three 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The Company has one reportable external segment, consistent with the Company’s omnichannel business approach. The Company’s revenues generated outside the United States were insignificant.</w:t>
      </w:r>
    </w:p>
    <w:p>
      <w:pPr>
        <w:spacing w:after="0" w:line="135" w:lineRule="exact"/>
        <w:rPr>
          <w:sz w:val="20"/>
          <w:szCs w:val="20"/>
          <w:color w:val="auto"/>
        </w:rPr>
      </w:pPr>
    </w:p>
    <w:p>
      <w:pPr>
        <w:jc w:val="both"/>
        <w:ind w:right="360" w:firstLine="440"/>
        <w:spacing w:after="0" w:line="246" w:lineRule="auto"/>
        <w:rPr>
          <w:sz w:val="20"/>
          <w:szCs w:val="20"/>
          <w:color w:val="auto"/>
        </w:rPr>
      </w:pPr>
      <w:r>
        <w:rPr>
          <w:rFonts w:ascii="Arial" w:cs="Arial" w:eastAsia="Arial" w:hAnsi="Arial"/>
          <w:sz w:val="17"/>
          <w:szCs w:val="17"/>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740" w:firstLine="440"/>
        <w:spacing w:after="0" w:line="246"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(“U.S. GAAP”). All significant intercompany balances and transactions have been eliminated in consolidation.</w:t>
      </w:r>
    </w:p>
    <w:p>
      <w:pPr>
        <w:spacing w:after="0" w:line="129" w:lineRule="exact"/>
        <w:rPr>
          <w:sz w:val="20"/>
          <w:szCs w:val="20"/>
          <w:color w:val="auto"/>
        </w:rPr>
      </w:pPr>
    </w:p>
    <w:p>
      <w:pPr>
        <w:ind w:right="200" w:firstLine="440"/>
        <w:spacing w:after="0" w:line="246" w:lineRule="auto"/>
        <w:rPr>
          <w:sz w:val="20"/>
          <w:szCs w:val="20"/>
          <w:color w:val="auto"/>
        </w:rPr>
      </w:pPr>
      <w:r>
        <w:rPr>
          <w:rFonts w:ascii="Arial" w:cs="Arial" w:eastAsia="Arial" w:hAnsi="Arial"/>
          <w:sz w:val="18"/>
          <w:szCs w:val="18"/>
          <w:color w:val="auto"/>
        </w:rPr>
        <w:t>The Company’s fiscal year ends on the Sunday nearest to January 31 of the following year. Fiscal 2021 and Fiscal 2020 ended on January 30, 2022 and January 31, 2021, respectively. Fiscal 2021 and Fiscal 2020 were a 52-week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158" w:lineRule="exact"/>
        <w:rPr>
          <w:sz w:val="20"/>
          <w:szCs w:val="20"/>
          <w:color w:val="auto"/>
        </w:rPr>
      </w:pPr>
    </w:p>
    <w:p>
      <w:pPr>
        <w:ind w:right="160" w:firstLine="440"/>
        <w:spacing w:after="0" w:line="235"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200" w:firstLine="440"/>
        <w:spacing w:after="0" w:line="246" w:lineRule="auto"/>
        <w:rPr>
          <w:sz w:val="20"/>
          <w:szCs w:val="20"/>
          <w:color w:val="auto"/>
        </w:rPr>
      </w:pPr>
      <w:r>
        <w:rPr>
          <w:rFonts w:ascii="Arial" w:cs="Arial" w:eastAsia="Arial" w:hAnsi="Arial"/>
          <w:sz w:val="18"/>
          <w:szCs w:val="18"/>
          <w:color w:val="auto"/>
        </w:rPr>
        <w:t>The accompanying consolidated financial statements consist of the accounts of Duluth Holdings Inc. and TRI Holdings, LLC (“TRI”) as a variable interest entity. See Note 6 “Variable Interest Entities”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100" w:firstLine="440"/>
        <w:spacing w:after="0" w:line="23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20" w:firstLine="440"/>
        <w:spacing w:after="0" w:line="237" w:lineRule="auto"/>
        <w:rPr>
          <w:sz w:val="20"/>
          <w:szCs w:val="20"/>
          <w:color w:val="auto"/>
        </w:rPr>
      </w:pPr>
      <w:r>
        <w:rPr>
          <w:rFonts w:ascii="Arial" w:cs="Arial" w:eastAsia="Arial" w:hAnsi="Arial"/>
          <w:sz w:val="17"/>
          <w:szCs w:val="17"/>
          <w:color w:val="auto"/>
        </w:rPr>
        <w:t>The Company’s revenue primarily consists of the sale of apparel, footwear and hard goods. Revenue for merchandise that is shipped to our customers from our distribution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The Company provides the customer the right of return on the product and revenue is adjusted based on an estimate of the expected returns based on historical rates as well as events that may cause changes to historical rates. See Note 5 “Accrued Expense and Other Liabilities” for the Company’s product returns reserve.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 A liability is recognized at the time a gift card is sold, and revenue is recognized at the time the gift card is redeemed for merchandise. See Note 8 “Revenue” for further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Selling, General and Administrative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primary costs classified in cost of goods sold and selling, general and administrative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gridSpan w:val="2"/>
          </w:tcPr>
          <w:p>
            <w:pPr>
              <w:ind w:left="2180"/>
              <w:spacing w:after="0"/>
              <w:rPr>
                <w:sz w:val="20"/>
                <w:szCs w:val="20"/>
                <w:color w:val="auto"/>
              </w:rPr>
            </w:pPr>
            <w:r>
              <w:rPr>
                <w:rFonts w:ascii="Arial" w:cs="Arial" w:eastAsia="Arial" w:hAnsi="Arial"/>
                <w:sz w:val="14"/>
                <w:szCs w:val="14"/>
                <w:b w:val="1"/>
                <w:bCs w:val="1"/>
                <w:color w:val="auto"/>
              </w:rPr>
              <w:t>Cost of Goods Sold</w:t>
            </w:r>
          </w:p>
        </w:tc>
        <w:tc>
          <w:tcPr>
            <w:tcW w:w="5480" w:type="dxa"/>
            <w:vAlign w:val="bottom"/>
          </w:tcPr>
          <w:p>
            <w:pPr>
              <w:ind w:left="1340"/>
              <w:spacing w:after="0"/>
              <w:rPr>
                <w:sz w:val="20"/>
                <w:szCs w:val="20"/>
                <w:color w:val="auto"/>
              </w:rPr>
            </w:pPr>
            <w:r>
              <w:rPr>
                <w:rFonts w:ascii="Arial" w:cs="Arial" w:eastAsia="Arial" w:hAnsi="Arial"/>
                <w:sz w:val="14"/>
                <w:szCs w:val="14"/>
                <w:b w:val="1"/>
                <w:bCs w:val="1"/>
                <w:color w:val="auto"/>
              </w:rPr>
              <w:t>Selling, General and Administrative Expenses</w:t>
            </w:r>
          </w:p>
        </w:tc>
      </w:tr>
      <w:tr>
        <w:trPr>
          <w:trHeight w:val="182"/>
        </w:trPr>
        <w:tc>
          <w:tcPr>
            <w:tcW w:w="5520" w:type="dxa"/>
            <w:vAlign w:val="bottom"/>
            <w:tcBorders>
              <w:top w:val="single" w:sz="8" w:color="auto"/>
            </w:tcBorders>
            <w:shd w:val="clear" w:color="auto" w:fill="CCEEFF"/>
          </w:tcPr>
          <w:p>
            <w:pPr>
              <w:ind w:left="200"/>
              <w:spacing w:after="0" w:line="182" w:lineRule="exact"/>
              <w:rPr>
                <w:sz w:val="20"/>
                <w:szCs w:val="20"/>
                <w:color w:val="auto"/>
              </w:rPr>
            </w:pPr>
            <w:r>
              <w:rPr>
                <w:rFonts w:ascii="Arial" w:cs="Arial" w:eastAsia="Arial" w:hAnsi="Arial"/>
                <w:sz w:val="18"/>
                <w:szCs w:val="18"/>
                <w:color w:val="auto"/>
              </w:rPr>
              <w:t>Direct cost of purchased merchandise</w:t>
            </w:r>
          </w:p>
        </w:tc>
        <w:tc>
          <w:tcPr>
            <w:tcW w:w="240" w:type="dxa"/>
            <w:vAlign w:val="bottom"/>
            <w:tcBorders>
              <w:top w:val="single" w:sz="8" w:color="CCEEFF"/>
            </w:tcBorders>
            <w:shd w:val="clear" w:color="auto" w:fill="CCEEFF"/>
          </w:tcPr>
          <w:p>
            <w:pPr>
              <w:spacing w:after="0"/>
              <w:rPr>
                <w:sz w:val="15"/>
                <w:szCs w:val="15"/>
                <w:color w:val="auto"/>
              </w:rPr>
            </w:pPr>
          </w:p>
        </w:tc>
        <w:tc>
          <w:tcPr>
            <w:tcW w:w="5480" w:type="dxa"/>
            <w:vAlign w:val="bottom"/>
            <w:tcBorders>
              <w:top w:val="single" w:sz="8" w:color="auto"/>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Payroll and payroll-related expenses</w:t>
            </w:r>
          </w:p>
        </w:tc>
      </w:tr>
      <w:tr>
        <w:trPr>
          <w:trHeight w:val="161"/>
        </w:trPr>
        <w:tc>
          <w:tcPr>
            <w:tcW w:w="5760" w:type="dxa"/>
            <w:vAlign w:val="bottom"/>
            <w:gridSpan w:val="2"/>
          </w:tcPr>
          <w:p>
            <w:pPr>
              <w:ind w:left="200"/>
              <w:spacing w:after="0" w:line="161" w:lineRule="exact"/>
              <w:rPr>
                <w:sz w:val="20"/>
                <w:szCs w:val="20"/>
                <w:color w:val="auto"/>
              </w:rPr>
            </w:pPr>
            <w:r>
              <w:rPr>
                <w:rFonts w:ascii="Arial" w:cs="Arial" w:eastAsia="Arial" w:hAnsi="Arial"/>
                <w:sz w:val="18"/>
                <w:szCs w:val="18"/>
                <w:color w:val="auto"/>
              </w:rPr>
              <w:t>Inventory shrinkage and inventory adjustments due to obsolescence</w:t>
            </w:r>
          </w:p>
        </w:tc>
        <w:tc>
          <w:tcPr>
            <w:tcW w:w="5480" w:type="dxa"/>
            <w:vAlign w:val="bottom"/>
          </w:tcPr>
          <w:p>
            <w:pPr>
              <w:ind w:left="180"/>
              <w:spacing w:after="0" w:line="161" w:lineRule="exact"/>
              <w:rPr>
                <w:sz w:val="20"/>
                <w:szCs w:val="20"/>
                <w:color w:val="auto"/>
              </w:rPr>
            </w:pPr>
            <w:r>
              <w:rPr>
                <w:rFonts w:ascii="Arial" w:cs="Arial" w:eastAsia="Arial" w:hAnsi="Arial"/>
                <w:sz w:val="18"/>
                <w:szCs w:val="18"/>
                <w:color w:val="auto"/>
                <w:w w:val="91"/>
              </w:rPr>
              <w:t>Occupancy expenses related to stores and operations at the Company's</w:t>
            </w:r>
          </w:p>
        </w:tc>
      </w:tr>
      <w:tr>
        <w:trPr>
          <w:trHeight w:val="217"/>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headquarters, including utilities</w:t>
            </w:r>
          </w:p>
        </w:tc>
      </w:tr>
      <w:tr>
        <w:trPr>
          <w:trHeight w:val="189"/>
        </w:trPr>
        <w:tc>
          <w:tcPr>
            <w:tcW w:w="576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8"/>
                <w:szCs w:val="18"/>
                <w:color w:val="auto"/>
              </w:rPr>
              <w:t>Inbound freight</w:t>
            </w:r>
          </w:p>
        </w:tc>
        <w:tc>
          <w:tcPr>
            <w:tcW w:w="54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Depreciation and amortization</w:t>
            </w:r>
          </w:p>
        </w:tc>
      </w:tr>
      <w:tr>
        <w:trPr>
          <w:trHeight w:val="161"/>
        </w:trPr>
        <w:tc>
          <w:tcPr>
            <w:tcW w:w="5760" w:type="dxa"/>
            <w:vAlign w:val="bottom"/>
            <w:gridSpan w:val="2"/>
          </w:tcPr>
          <w:p>
            <w:pPr>
              <w:ind w:left="200"/>
              <w:spacing w:after="0" w:line="161" w:lineRule="exact"/>
              <w:rPr>
                <w:sz w:val="20"/>
                <w:szCs w:val="20"/>
                <w:color w:val="auto"/>
              </w:rPr>
            </w:pPr>
            <w:r>
              <w:rPr>
                <w:rFonts w:ascii="Arial" w:cs="Arial" w:eastAsia="Arial" w:hAnsi="Arial"/>
                <w:sz w:val="18"/>
                <w:szCs w:val="18"/>
                <w:color w:val="auto"/>
              </w:rPr>
              <w:t>Freight from the Company's distribution centers to its stores</w:t>
            </w:r>
          </w:p>
        </w:tc>
        <w:tc>
          <w:tcPr>
            <w:tcW w:w="5480" w:type="dxa"/>
            <w:vAlign w:val="bottom"/>
          </w:tcPr>
          <w:p>
            <w:pPr>
              <w:ind w:left="180"/>
              <w:spacing w:after="0" w:line="161" w:lineRule="exact"/>
              <w:rPr>
                <w:sz w:val="20"/>
                <w:szCs w:val="20"/>
                <w:color w:val="auto"/>
              </w:rPr>
            </w:pPr>
            <w:r>
              <w:rPr>
                <w:rFonts w:ascii="Arial" w:cs="Arial" w:eastAsia="Arial" w:hAnsi="Arial"/>
                <w:sz w:val="18"/>
                <w:szCs w:val="18"/>
                <w:color w:val="auto"/>
                <w:w w:val="99"/>
              </w:rPr>
              <w:t>Advertising expenses including: television, digital and social media</w:t>
            </w:r>
          </w:p>
        </w:tc>
      </w:tr>
      <w:tr>
        <w:trPr>
          <w:trHeight w:val="217"/>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w w:val="94"/>
              </w:rPr>
              <w:t>advertising; catalog production and mailing; and print advertising costs</w:t>
            </w:r>
          </w:p>
        </w:tc>
      </w:tr>
      <w:tr>
        <w:trPr>
          <w:trHeight w:val="189"/>
        </w:trPr>
        <w:tc>
          <w:tcPr>
            <w:tcW w:w="5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Freight associated with shipping product to customers</w:t>
            </w:r>
          </w:p>
        </w:tc>
      </w:tr>
      <w:tr>
        <w:trPr>
          <w:trHeight w:val="189"/>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tcPr>
          <w:p>
            <w:pPr>
              <w:ind w:left="180"/>
              <w:spacing w:after="0" w:line="189" w:lineRule="exact"/>
              <w:rPr>
                <w:sz w:val="20"/>
                <w:szCs w:val="20"/>
                <w:color w:val="auto"/>
              </w:rPr>
            </w:pPr>
            <w:r>
              <w:rPr>
                <w:rFonts w:ascii="Arial" w:cs="Arial" w:eastAsia="Arial" w:hAnsi="Arial"/>
                <w:sz w:val="18"/>
                <w:szCs w:val="18"/>
                <w:color w:val="auto"/>
              </w:rPr>
              <w:t>Consulting and professional fees</w:t>
            </w:r>
          </w:p>
        </w:tc>
      </w:tr>
      <w:tr>
        <w:trPr>
          <w:trHeight w:val="189"/>
        </w:trPr>
        <w:tc>
          <w:tcPr>
            <w:tcW w:w="5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8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Catalog Expenses</w:t>
      </w:r>
    </w:p>
    <w:p>
      <w:pPr>
        <w:spacing w:after="0" w:line="158" w:lineRule="exact"/>
        <w:rPr>
          <w:sz w:val="20"/>
          <w:szCs w:val="20"/>
          <w:color w:val="auto"/>
        </w:rPr>
      </w:pPr>
    </w:p>
    <w:p>
      <w:pPr>
        <w:ind w:right="140" w:firstLine="440"/>
        <w:spacing w:after="0" w:line="235" w:lineRule="auto"/>
        <w:rPr>
          <w:sz w:val="20"/>
          <w:szCs w:val="20"/>
          <w:color w:val="auto"/>
        </w:rPr>
      </w:pPr>
      <w:r>
        <w:rPr>
          <w:rFonts w:ascii="Arial" w:cs="Arial" w:eastAsia="Arial" w:hAnsi="Arial"/>
          <w:sz w:val="18"/>
          <w:szCs w:val="18"/>
          <w:color w:val="auto"/>
        </w:rPr>
        <w:t>The Company’s non-direct response advertising primarily consists of billboards, web marketing programs, social media and radio and television advertisements, which are expensed as they are incurred. The Company’s direct-response advertising consists of producing, printing and mailing catalogs, which are expensed upon receipt by customers.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and Catalog expenses were $75.2 million and $72.4 million for fiscal 2021 and fiscal 2020,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ind w:right="-59"/>
        <w:spacing w:after="0" w:line="219" w:lineRule="auto"/>
        <w:rPr>
          <w:sz w:val="20"/>
          <w:szCs w:val="20"/>
          <w:color w:val="auto"/>
        </w:rPr>
      </w:pPr>
      <w:r>
        <w:rPr>
          <w:rFonts w:ascii="Arial" w:cs="Arial" w:eastAsia="Arial" w:hAnsi="Arial"/>
          <w:sz w:val="18"/>
          <w:szCs w:val="18"/>
          <w:b w:val="1"/>
          <w:bCs w:val="1"/>
          <w:color w:val="auto"/>
        </w:rPr>
        <w:t>DULUTH HOLDINGS INC.</w:t>
      </w: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Processing</w:t>
      </w:r>
    </w:p>
    <w:p>
      <w:pPr>
        <w:spacing w:after="0" w:line="171"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Shipping and processing revenue generated from customer orders has been classified as a component of net sales. Shipping and processing expense, including handling expense, has been classified as a component of selling, general and administrative expenses. Shipping and handling expenses increased in fiscal 2021 and fiscal 2020 due to the shift to online shopping, particularly in 2020, as well as additional surcharges during our peak holiday season resulting from the strained distribution network. The Company incurred shipping and processing expenses of $44.3 million and $46.9 million for fiscal 2021 and fiscal 2020,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80" w:firstLine="440"/>
        <w:spacing w:after="0" w:line="261" w:lineRule="auto"/>
        <w:rPr>
          <w:sz w:val="20"/>
          <w:szCs w:val="20"/>
          <w:color w:val="auto"/>
        </w:rPr>
      </w:pPr>
      <w:r>
        <w:rPr>
          <w:rFonts w:ascii="Arial" w:cs="Arial" w:eastAsia="Arial" w:hAnsi="Arial"/>
          <w:sz w:val="16"/>
          <w:szCs w:val="16"/>
          <w:color w:val="auto"/>
        </w:rPr>
        <w:t xml:space="preserve">The Company accounts for income taxes and related accounts using the asset/liability method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spacing w:after="0" w:line="147" w:lineRule="exact"/>
        <w:rPr>
          <w:sz w:val="20"/>
          <w:szCs w:val="20"/>
          <w:color w:val="auto"/>
        </w:rPr>
      </w:pPr>
    </w:p>
    <w:p>
      <w:pPr>
        <w:ind w:right="220" w:firstLine="440"/>
        <w:spacing w:after="0" w:line="248" w:lineRule="auto"/>
        <w:rPr>
          <w:sz w:val="20"/>
          <w:szCs w:val="20"/>
          <w:color w:val="auto"/>
        </w:rPr>
      </w:pPr>
      <w:r>
        <w:rPr>
          <w:rFonts w:ascii="Arial" w:cs="Arial" w:eastAsia="Arial" w:hAnsi="Arial"/>
          <w:sz w:val="18"/>
          <w:szCs w:val="18"/>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 See Note 9 “Income Taxes,” of these Notes to Consolidated Financial Statements for further discussion.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58" w:lineRule="exact"/>
        <w:rPr>
          <w:sz w:val="20"/>
          <w:szCs w:val="20"/>
          <w:color w:val="auto"/>
        </w:rPr>
      </w:pPr>
    </w:p>
    <w:p>
      <w:pPr>
        <w:jc w:val="both"/>
        <w:ind w:right="420" w:firstLine="440"/>
        <w:spacing w:after="0" w:line="25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deposits.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right="300" w:firstLine="440"/>
        <w:spacing w:after="0" w:line="235" w:lineRule="auto"/>
        <w:rPr>
          <w:sz w:val="20"/>
          <w:szCs w:val="20"/>
          <w:color w:val="auto"/>
        </w:rPr>
      </w:pPr>
      <w:r>
        <w:rPr>
          <w:rFonts w:ascii="Arial" w:cs="Arial" w:eastAsia="Arial" w:hAnsi="Arial"/>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Suppliers</w:t>
      </w:r>
    </w:p>
    <w:p>
      <w:pPr>
        <w:spacing w:after="0" w:line="171" w:lineRule="exact"/>
        <w:rPr>
          <w:sz w:val="20"/>
          <w:szCs w:val="20"/>
          <w:color w:val="auto"/>
        </w:rPr>
      </w:pPr>
    </w:p>
    <w:p>
      <w:pPr>
        <w:ind w:right="500" w:firstLine="440"/>
        <w:spacing w:after="0" w:line="235" w:lineRule="auto"/>
        <w:rPr>
          <w:sz w:val="20"/>
          <w:szCs w:val="20"/>
          <w:color w:val="auto"/>
        </w:rPr>
      </w:pPr>
      <w:r>
        <w:rPr>
          <w:rFonts w:ascii="Arial" w:cs="Arial" w:eastAsia="Arial" w:hAnsi="Arial"/>
          <w:sz w:val="18"/>
          <w:szCs w:val="18"/>
          <w:color w:val="auto"/>
        </w:rPr>
        <w:t>The Company’s principal supplier of inventory accounted for 53% and 60% of total inventory expenditures in fiscal 2021 and fiscal 2020, respectively. The Company also had a second supplier that accounted for 8% and 10% of total inventory expenditures in fiscal 2021 and fiscal 2020,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$2.4 million and $1.6 million as of January 30, 2022 and January 31, 2021, respectively.</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2"/>
          </w:tcPr>
          <w:p>
            <w:pPr>
              <w:ind w:left="300"/>
              <w:spacing w:after="0"/>
              <w:rPr>
                <w:sz w:val="20"/>
                <w:szCs w:val="20"/>
                <w:color w:val="auto"/>
              </w:rPr>
            </w:pPr>
            <w:r>
              <w:rPr>
                <w:rFonts w:ascii="Arial" w:cs="Arial" w:eastAsia="Arial" w:hAnsi="Arial"/>
                <w:sz w:val="14"/>
                <w:szCs w:val="14"/>
                <w:b w:val="1"/>
                <w:bCs w:val="1"/>
                <w:color w:val="auto"/>
              </w:rPr>
              <w:t>January 30, 2022</w:t>
            </w:r>
          </w:p>
        </w:tc>
        <w:tc>
          <w:tcPr>
            <w:tcW w:w="380" w:type="dxa"/>
            <w:vAlign w:val="bottom"/>
          </w:tcPr>
          <w:p>
            <w:pPr>
              <w:spacing w:after="0"/>
              <w:rPr>
                <w:sz w:val="14"/>
                <w:szCs w:val="14"/>
                <w:color w:val="auto"/>
              </w:rPr>
            </w:pP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auto"/>
              </w:rPr>
              <w:t>January 31, 2021</w:t>
            </w:r>
          </w:p>
        </w:tc>
      </w:tr>
      <w:tr>
        <w:trPr>
          <w:trHeight w:val="182"/>
        </w:trPr>
        <w:tc>
          <w:tcPr>
            <w:tcW w:w="6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Land and land improvements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4,486</w:t>
            </w:r>
          </w:p>
        </w:tc>
        <w:tc>
          <w:tcPr>
            <w:tcW w:w="280" w:type="dxa"/>
            <w:vAlign w:val="bottom"/>
          </w:tcPr>
          <w:p>
            <w:pPr>
              <w:spacing w:after="0"/>
              <w:rPr>
                <w:sz w:val="17"/>
                <w:szCs w:val="17"/>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4,486</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48,093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47,451</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35,359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35,344</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Vehicles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Warehouse equipment</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17,735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14,685</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Office equipment and furniture</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53,607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52,614</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8,325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9,861</w:t>
            </w:r>
          </w:p>
        </w:tc>
      </w:tr>
      <w:tr>
        <w:trPr>
          <w:trHeight w:val="217"/>
        </w:trPr>
        <w:tc>
          <w:tcPr>
            <w:tcW w:w="6140" w:type="dxa"/>
            <w:vAlign w:val="bottom"/>
          </w:tcPr>
          <w:p>
            <w:pPr>
              <w:spacing w:after="0"/>
              <w:rPr>
                <w:sz w:val="20"/>
                <w:szCs w:val="20"/>
                <w:color w:val="auto"/>
              </w:rPr>
            </w:pPr>
            <w:r>
              <w:rPr>
                <w:rFonts w:ascii="Arial" w:cs="Arial" w:eastAsia="Arial" w:hAnsi="Arial"/>
                <w:sz w:val="18"/>
                <w:szCs w:val="18"/>
                <w:color w:val="auto"/>
              </w:rPr>
              <w:t>Software</w:t>
            </w: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34,003</w:t>
            </w:r>
          </w:p>
        </w:tc>
      </w:tr>
      <w:tr>
        <w:trPr>
          <w:trHeight w:val="168"/>
        </w:trPr>
        <w:tc>
          <w:tcPr>
            <w:tcW w:w="6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tcPr>
          <w:p>
            <w:pPr>
              <w:jc w:val="right"/>
              <w:spacing w:after="0" w:line="168" w:lineRule="exact"/>
              <w:rPr>
                <w:sz w:val="20"/>
                <w:szCs w:val="20"/>
                <w:color w:val="auto"/>
              </w:rPr>
            </w:pPr>
            <w:r>
              <w:rPr>
                <w:rFonts w:ascii="Arial" w:cs="Arial" w:eastAsia="Arial" w:hAnsi="Arial"/>
                <w:sz w:val="18"/>
                <w:szCs w:val="18"/>
                <w:color w:val="auto"/>
              </w:rPr>
              <w:t>201,973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8"/>
                <w:szCs w:val="18"/>
                <w:color w:val="auto"/>
              </w:rPr>
              <w:t>198,605</w:t>
            </w:r>
          </w:p>
        </w:tc>
      </w:tr>
      <w:tr>
        <w:trPr>
          <w:trHeight w:val="217"/>
        </w:trPr>
        <w:tc>
          <w:tcPr>
            <w:tcW w:w="61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tcPr>
          <w:p>
            <w:pPr>
              <w:spacing w:after="0"/>
              <w:rPr>
                <w:sz w:val="18"/>
                <w:szCs w:val="18"/>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(97,473)</w:t>
            </w:r>
          </w:p>
        </w:tc>
        <w:tc>
          <w:tcPr>
            <w:tcW w:w="3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(75,958)</w:t>
            </w:r>
          </w:p>
        </w:tc>
      </w:tr>
      <w:tr>
        <w:trPr>
          <w:trHeight w:val="168"/>
        </w:trPr>
        <w:tc>
          <w:tcPr>
            <w:tcW w:w="6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104,500</w:t>
            </w:r>
          </w:p>
        </w:tc>
        <w:tc>
          <w:tcPr>
            <w:tcW w:w="2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122,647</w:t>
            </w:r>
          </w:p>
        </w:tc>
      </w:tr>
      <w:tr>
        <w:trPr>
          <w:trHeight w:val="217"/>
        </w:trPr>
        <w:tc>
          <w:tcPr>
            <w:tcW w:w="6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r>
      <w:tr>
        <w:trPr>
          <w:trHeight w:val="183"/>
        </w:trPr>
        <w:tc>
          <w:tcPr>
            <w:tcW w:w="6140" w:type="dxa"/>
            <w:vAlign w:val="bottom"/>
          </w:tcPr>
          <w:p>
            <w:pPr>
              <w:spacing w:after="0" w:line="182" w:lineRule="exact"/>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110,078</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124,237</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The Company recorded depreciation expense of $25.1 million and $24.2 million for fiscal 2021 and fiscal 2020, respectively. The Company expenses as incurred all routine repair and maintenance costs that do not extend the estimated useful life of the asset.</w:t>
      </w:r>
    </w:p>
    <w:p>
      <w:pPr>
        <w:spacing w:after="0" w:line="129" w:lineRule="exact"/>
        <w:rPr>
          <w:sz w:val="20"/>
          <w:szCs w:val="20"/>
          <w:color w:val="auto"/>
        </w:rPr>
      </w:pPr>
    </w:p>
    <w:p>
      <w:pPr>
        <w:ind w:right="320" w:firstLine="440"/>
        <w:spacing w:after="0" w:line="307" w:lineRule="auto"/>
        <w:rPr>
          <w:sz w:val="20"/>
          <w:szCs w:val="20"/>
          <w:color w:val="auto"/>
        </w:rPr>
      </w:pPr>
      <w:r>
        <w:rPr>
          <w:rFonts w:ascii="Arial" w:cs="Arial" w:eastAsia="Arial" w:hAnsi="Arial"/>
          <w:sz w:val="16"/>
          <w:szCs w:val="16"/>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8"/>
                <w:szCs w:val="18"/>
                <w:color w:val="auto"/>
              </w:rPr>
              <w:t>Land improvements</w:t>
            </w:r>
          </w:p>
        </w:tc>
        <w:tc>
          <w:tcPr>
            <w:tcW w:w="570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5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jc w:val="right"/>
              <w:ind w:right="450"/>
              <w:spacing w:after="0" w:line="168"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6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02"/>
        </w:trPr>
        <w:tc>
          <w:tcPr>
            <w:tcW w:w="390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5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Vehicles</w:t>
            </w:r>
          </w:p>
        </w:tc>
        <w:tc>
          <w:tcPr>
            <w:tcW w:w="5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Warehouse equipment</w:t>
            </w:r>
          </w:p>
        </w:tc>
        <w:tc>
          <w:tcPr>
            <w:tcW w:w="6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9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Office equipment and furniture</w:t>
            </w:r>
          </w:p>
        </w:tc>
        <w:tc>
          <w:tcPr>
            <w:tcW w:w="6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9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6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- 5</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Software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- 5</w:t>
            </w:r>
          </w:p>
        </w:tc>
        <w:tc>
          <w:tcPr>
            <w:tcW w:w="0" w:type="dxa"/>
            <w:vAlign w:val="bottom"/>
          </w:tcPr>
          <w:p>
            <w:pPr>
              <w:spacing w:after="0"/>
              <w:rPr>
                <w:sz w:val="1"/>
                <w:szCs w:val="1"/>
                <w:color w:val="auto"/>
              </w:rPr>
            </w:pPr>
          </w:p>
        </w:tc>
      </w:tr>
      <w:tr>
        <w:trPr>
          <w:trHeight w:val="717"/>
        </w:trPr>
        <w:tc>
          <w:tcPr>
            <w:tcW w:w="3900" w:type="dxa"/>
            <w:vAlign w:val="bottom"/>
          </w:tcPr>
          <w:p>
            <w:pPr>
              <w:spacing w:after="0"/>
              <w:rPr>
                <w:sz w:val="24"/>
                <w:szCs w:val="24"/>
                <w:color w:val="auto"/>
              </w:rPr>
            </w:pPr>
          </w:p>
        </w:tc>
        <w:tc>
          <w:tcPr>
            <w:tcW w:w="5700" w:type="dxa"/>
            <w:vAlign w:val="bottom"/>
          </w:tcPr>
          <w:p>
            <w:pPr>
              <w:jc w:val="right"/>
              <w:ind w:right="3813"/>
              <w:spacing w:after="0"/>
              <w:rPr>
                <w:sz w:val="20"/>
                <w:szCs w:val="20"/>
                <w:color w:val="auto"/>
              </w:rPr>
            </w:pPr>
            <w:r>
              <w:rPr>
                <w:rFonts w:ascii="Arial" w:cs="Arial" w:eastAsia="Arial" w:hAnsi="Arial"/>
                <w:sz w:val="14"/>
                <w:szCs w:val="14"/>
                <w:color w:val="auto"/>
              </w:rPr>
              <w:t>51</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390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30, 2022</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78"/>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8"/>
                <w:szCs w:val="18"/>
                <w:b w:val="1"/>
                <w:bCs w:val="1"/>
                <w:color w:val="auto"/>
              </w:rPr>
              <w:t>Prepaid expenses &amp; other current assets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Pending returns inventory, net</w:t>
            </w:r>
          </w:p>
        </w:tc>
        <w:tc>
          <w:tcPr>
            <w:tcW w:w="3020" w:type="dxa"/>
            <w:vAlign w:val="bottom"/>
            <w:gridSpan w:val="2"/>
          </w:tcPr>
          <w:p>
            <w:pPr>
              <w:jc w:val="right"/>
              <w:ind w:right="144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Current software hosting implementation costs, net</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1,475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rPr>
                <w:sz w:val="20"/>
                <w:szCs w:val="20"/>
                <w:color w:val="auto"/>
              </w:rPr>
            </w:pPr>
            <w:r>
              <w:rPr>
                <w:rFonts w:ascii="Arial" w:cs="Arial" w:eastAsia="Arial" w:hAnsi="Arial"/>
                <w:sz w:val="18"/>
                <w:szCs w:val="18"/>
                <w:color w:val="auto"/>
              </w:rPr>
              <w:t>Other prepaid expenses</w:t>
            </w:r>
          </w:p>
        </w:tc>
        <w:tc>
          <w:tcPr>
            <w:tcW w:w="14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183"/>
        </w:trPr>
        <w:tc>
          <w:tcPr>
            <w:tcW w:w="5220" w:type="dxa"/>
            <w:vAlign w:val="bottom"/>
          </w:tcPr>
          <w:p>
            <w:pPr>
              <w:ind w:left="220"/>
              <w:spacing w:after="0" w:line="182" w:lineRule="exact"/>
              <w:rPr>
                <w:sz w:val="20"/>
                <w:szCs w:val="20"/>
                <w:color w:val="auto"/>
              </w:rPr>
            </w:pPr>
            <w:r>
              <w:rPr>
                <w:rFonts w:ascii="Arial" w:cs="Arial" w:eastAsia="Arial" w:hAnsi="Arial"/>
                <w:sz w:val="18"/>
                <w:szCs w:val="18"/>
                <w:color w:val="auto"/>
              </w:rPr>
              <w:t>Prepaid expenses &amp; other current assets</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17,333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Other assets, net</w:t>
            </w: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3020" w:type="dxa"/>
            <w:vAlign w:val="bottom"/>
            <w:gridSpan w:val="2"/>
          </w:tcPr>
          <w:p>
            <w:pPr>
              <w:jc w:val="right"/>
              <w:ind w:right="144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Intangible assets, net</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Non-current software hosting implementation costs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2,949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83"/>
        </w:trPr>
        <w:tc>
          <w:tcPr>
            <w:tcW w:w="5220" w:type="dxa"/>
            <w:vAlign w:val="bottom"/>
          </w:tcPr>
          <w:p>
            <w:pPr>
              <w:ind w:left="220"/>
              <w:spacing w:after="0" w:line="182" w:lineRule="exact"/>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5,353</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Hosting Implementation Costs</w:t>
      </w:r>
    </w:p>
    <w:p>
      <w:pPr>
        <w:spacing w:after="0" w:line="171" w:lineRule="exact"/>
        <w:rPr>
          <w:sz w:val="20"/>
          <w:szCs w:val="20"/>
          <w:color w:val="auto"/>
        </w:rPr>
      </w:pPr>
    </w:p>
    <w:p>
      <w:pPr>
        <w:jc w:val="both"/>
        <w:ind w:right="460" w:firstLine="440"/>
        <w:spacing w:after="0" w:line="276" w:lineRule="auto"/>
        <w:rPr>
          <w:sz w:val="20"/>
          <w:szCs w:val="20"/>
          <w:color w:val="auto"/>
        </w:rPr>
      </w:pPr>
      <w:r>
        <w:rPr>
          <w:rFonts w:ascii="Arial" w:cs="Arial" w:eastAsia="Arial" w:hAnsi="Arial"/>
          <w:sz w:val="16"/>
          <w:szCs w:val="16"/>
          <w:color w:val="auto"/>
        </w:rPr>
        <w:t xml:space="preserve">Software hosting implementation costs includes costs of implementation activities of certain cloud computing arrangements in accordance with Accounting Standards Update No. 2018-15, </w:t>
      </w:r>
      <w:r>
        <w:rPr>
          <w:rFonts w:ascii="Arial" w:cs="Arial" w:eastAsia="Arial" w:hAnsi="Arial"/>
          <w:sz w:val="16"/>
          <w:szCs w:val="16"/>
          <w:i w:val="1"/>
          <w:iCs w:val="1"/>
          <w:color w:val="auto"/>
        </w:rPr>
        <w:t>Intangibles – Goodwill and Other – Internal-Use Software (Subtopic 350-40)</w:t>
      </w:r>
      <w:r>
        <w:rPr>
          <w:rFonts w:ascii="Arial" w:cs="Arial" w:eastAsia="Arial" w:hAnsi="Arial"/>
          <w:sz w:val="16"/>
          <w:szCs w:val="16"/>
          <w:color w:val="auto"/>
        </w:rPr>
        <w:t>. Amortization expense and accumulated amortization was $0.2 million for fiscal 2021. See Note 13 “Recent Accounting Pronouncements” for more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 xml:space="preserve">Goodwill represents the excess of purchase price over the fair value of net assets acquired.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requires that goodwill be tested for impairment annually, or more often if an event or circumstance indicates that 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51" w:lineRule="exact"/>
        <w:rPr>
          <w:sz w:val="20"/>
          <w:szCs w:val="20"/>
          <w:color w:val="auto"/>
        </w:rPr>
      </w:pPr>
    </w:p>
    <w:p>
      <w:pPr>
        <w:ind w:right="60" w:firstLine="440"/>
        <w:spacing w:after="0" w:line="235" w:lineRule="auto"/>
        <w:rPr>
          <w:sz w:val="20"/>
          <w:szCs w:val="20"/>
          <w:color w:val="auto"/>
        </w:rPr>
      </w:pPr>
      <w:r>
        <w:rPr>
          <w:rFonts w:ascii="Arial" w:cs="Arial" w:eastAsia="Arial" w:hAnsi="Arial"/>
          <w:sz w:val="18"/>
          <w:szCs w:val="18"/>
          <w:color w:val="auto"/>
        </w:rPr>
        <w:t>Management performed its annual qualitative assessment of goodwill as of December 31, 2021 and 2020 and determined that it was more likely than not that the fair value of the Company was greater than its carrying amount; as such, no further evaluation of goodwill was deemed necessary. No impairment was recognized for the years ended January 30, 2022 or January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and Other Assets</w:t>
      </w:r>
    </w:p>
    <w:p>
      <w:pPr>
        <w:spacing w:after="0" w:line="158"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Intangible assets and other assets include loan origination fees and trade names which are amortized over their estimated useful lives ranging from three years to fifteen years. Other assets also include security deposits required by certain of the Company’s lease agreements and prepaid expenses. Amortization expense was $0.2 million for fiscal 2021 and fiscal 2020. Accumulated amortization was $0.6 million and $0.7 million as of January 30, 2022 and January 31, 2021, respectively.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Scheduled future amortization of amortizable other assets are as follows as of January 30,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6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7060" w:type="dxa"/>
            <w:vAlign w:val="bottom"/>
            <w:gridSpan w:val="3"/>
          </w:tcPr>
          <w:p>
            <w:pPr>
              <w:jc w:val="right"/>
              <w:ind w:right="567"/>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2"/>
        </w:trPr>
        <w:tc>
          <w:tcPr>
            <w:tcW w:w="32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Thereafter</w:t>
            </w:r>
          </w:p>
        </w:tc>
        <w:tc>
          <w:tcPr>
            <w:tcW w:w="6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140" w:type="dxa"/>
            <w:vAlign w:val="bottom"/>
            <w:vMerge w:val="restart"/>
          </w:tcPr>
          <w:p>
            <w:pPr>
              <w:jc w:val="right"/>
              <w:ind w:right="3559"/>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20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32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The Company’s long-lived assets are reviewed for impairment during the fourth quarter, or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48"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For fiscal 2021 and 2020, management did not identify any events or changes in circumstances that indicated the potential impairment of long-lived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Pre-opening Costs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Store pre-opening costs are expensed as incurred and are included in 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160" w:firstLine="440"/>
        <w:spacing w:after="0" w:line="235" w:lineRule="auto"/>
        <w:rPr>
          <w:sz w:val="20"/>
          <w:szCs w:val="20"/>
          <w:color w:val="auto"/>
        </w:rPr>
      </w:pPr>
      <w:r>
        <w:rPr>
          <w:rFonts w:ascii="Arial" w:cs="Arial" w:eastAsia="Arial" w:hAnsi="Arial"/>
          <w:sz w:val="18"/>
          <w:szCs w:val="18"/>
          <w:color w:val="auto"/>
        </w:rPr>
        <w:t>In connection with the IPO, the Company adopted the 2015 Equity Incentive Plan of Duluth Holdings Inc. (“2015 Plan”), which provides compensation alternatives such as stock options, shares, restricted stock, restricted stock units, deferred stock and performance share units, using or based on the Company’s Class B common stock.</w:t>
      </w:r>
    </w:p>
    <w:p>
      <w:pPr>
        <w:spacing w:after="0" w:line="134" w:lineRule="exact"/>
        <w:rPr>
          <w:sz w:val="20"/>
          <w:szCs w:val="20"/>
          <w:color w:val="auto"/>
        </w:rPr>
      </w:pPr>
    </w:p>
    <w:p>
      <w:pPr>
        <w:ind w:right="40" w:firstLine="440"/>
        <w:spacing w:after="0" w:line="261" w:lineRule="auto"/>
        <w:rPr>
          <w:sz w:val="20"/>
          <w:szCs w:val="20"/>
          <w:color w:val="auto"/>
        </w:rPr>
      </w:pPr>
      <w:r>
        <w:rPr>
          <w:rFonts w:ascii="Arial" w:cs="Arial" w:eastAsia="Arial" w:hAnsi="Arial"/>
          <w:sz w:val="16"/>
          <w:szCs w:val="16"/>
          <w:color w:val="auto"/>
        </w:rPr>
        <w:t xml:space="preserve">The Company accounts for its stock-based compensation plan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three years to five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34"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Total stock compensation expense associated with restricted stock recognized by the Company was $2.0 million and $1.5 million for fiscal 2021 and fiscal 2020, respectively, and is included in selling, general and administrative expenses on the Consolidated Statements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is a summary of the activity in the Company’s unvested restricted stock during the years ended January 30, 2022 and January 31,</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88"/>
        </w:trPr>
        <w:tc>
          <w:tcPr>
            <w:tcW w:w="7780" w:type="dxa"/>
            <w:vAlign w:val="bottom"/>
            <w:vMerge w:val="restart"/>
          </w:tcPr>
          <w:p>
            <w:pPr>
              <w:spacing w:after="0"/>
              <w:rPr>
                <w:sz w:val="20"/>
                <w:szCs w:val="20"/>
                <w:color w:val="auto"/>
              </w:rPr>
            </w:pPr>
            <w:r>
              <w:rPr>
                <w:rFonts w:ascii="Arial" w:cs="Arial" w:eastAsia="Arial" w:hAnsi="Arial"/>
                <w:sz w:val="18"/>
                <w:szCs w:val="18"/>
                <w:color w:val="auto"/>
              </w:rPr>
              <w:t>Outstanding at February 2, 2020</w:t>
            </w:r>
          </w:p>
        </w:tc>
        <w:tc>
          <w:tcPr>
            <w:tcW w:w="16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5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68"/>
        </w:trPr>
        <w:tc>
          <w:tcPr>
            <w:tcW w:w="7780" w:type="dxa"/>
            <w:vAlign w:val="bottom"/>
            <w:vMerge w:val="continue"/>
          </w:tcPr>
          <w:p>
            <w:pPr>
              <w:spacing w:after="0"/>
              <w:rPr>
                <w:sz w:val="14"/>
                <w:szCs w:val="14"/>
                <w:color w:val="auto"/>
              </w:rPr>
            </w:pPr>
          </w:p>
        </w:tc>
        <w:tc>
          <w:tcPr>
            <w:tcW w:w="14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192,094</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03"/>
        </w:trPr>
        <w:tc>
          <w:tcPr>
            <w:tcW w:w="77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283,063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3"/>
        </w:trPr>
        <w:tc>
          <w:tcPr>
            <w:tcW w:w="7780" w:type="dxa"/>
            <w:vAlign w:val="bottom"/>
          </w:tcPr>
          <w:p>
            <w:pPr>
              <w:ind w:left="100"/>
              <w:spacing w:after="0" w:line="202" w:lineRule="exact"/>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(120,592)</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7"/>
        </w:trPr>
        <w:tc>
          <w:tcPr>
            <w:tcW w:w="778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(16,326)</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168"/>
        </w:trPr>
        <w:tc>
          <w:tcPr>
            <w:tcW w:w="7780" w:type="dxa"/>
            <w:vAlign w:val="bottom"/>
          </w:tcPr>
          <w:p>
            <w:pPr>
              <w:spacing w:after="0" w:line="168" w:lineRule="exact"/>
              <w:rPr>
                <w:sz w:val="20"/>
                <w:szCs w:val="20"/>
                <w:color w:val="auto"/>
              </w:rPr>
            </w:pPr>
            <w:r>
              <w:rPr>
                <w:rFonts w:ascii="Arial" w:cs="Arial" w:eastAsia="Arial" w:hAnsi="Arial"/>
                <w:sz w:val="18"/>
                <w:szCs w:val="18"/>
                <w:color w:val="auto"/>
              </w:rPr>
              <w:t>Outstanding at January 31, 2021</w:t>
            </w:r>
          </w:p>
        </w:tc>
        <w:tc>
          <w:tcPr>
            <w:tcW w:w="14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338,239</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3"/>
        </w:trPr>
        <w:tc>
          <w:tcPr>
            <w:tcW w:w="77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227,740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3"/>
        </w:trPr>
        <w:tc>
          <w:tcPr>
            <w:tcW w:w="7780" w:type="dxa"/>
            <w:vAlign w:val="bottom"/>
          </w:tcPr>
          <w:p>
            <w:pPr>
              <w:ind w:left="100"/>
              <w:spacing w:after="0" w:line="202" w:lineRule="exact"/>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(151,408)</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7"/>
        </w:trPr>
        <w:tc>
          <w:tcPr>
            <w:tcW w:w="778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(9,237)</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183"/>
        </w:trPr>
        <w:tc>
          <w:tcPr>
            <w:tcW w:w="7780" w:type="dxa"/>
            <w:vAlign w:val="bottom"/>
          </w:tcPr>
          <w:p>
            <w:pPr>
              <w:spacing w:after="0" w:line="182" w:lineRule="exact"/>
              <w:rPr>
                <w:sz w:val="20"/>
                <w:szCs w:val="20"/>
                <w:color w:val="auto"/>
              </w:rPr>
            </w:pPr>
            <w:r>
              <w:rPr>
                <w:rFonts w:ascii="Arial" w:cs="Arial" w:eastAsia="Arial" w:hAnsi="Arial"/>
                <w:sz w:val="18"/>
                <w:szCs w:val="18"/>
                <w:color w:val="auto"/>
              </w:rPr>
              <w:t>Outstanding at January 30, 2022</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405,334</w:t>
            </w:r>
          </w:p>
        </w:tc>
        <w:tc>
          <w:tcPr>
            <w:tcW w:w="2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40"/>
        <w:spacing w:after="0" w:line="246" w:lineRule="auto"/>
        <w:rPr>
          <w:sz w:val="20"/>
          <w:szCs w:val="20"/>
          <w:color w:val="auto"/>
        </w:rPr>
      </w:pPr>
      <w:r>
        <w:rPr>
          <w:rFonts w:ascii="Arial" w:cs="Arial" w:eastAsia="Arial" w:hAnsi="Arial"/>
          <w:sz w:val="18"/>
          <w:szCs w:val="18"/>
          <w:color w:val="auto"/>
        </w:rPr>
        <w:t>At January 30, 2022, the Company had unrecognized compensation expense of $3.6 million related to the restricted stock awards, which is expected to be recognized over a weighted average period of 2.3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71" w:lineRule="exact"/>
        <w:rPr>
          <w:sz w:val="20"/>
          <w:szCs w:val="20"/>
          <w:color w:val="auto"/>
        </w:rPr>
      </w:pPr>
    </w:p>
    <w:p>
      <w:pPr>
        <w:ind w:right="200" w:firstLine="440"/>
        <w:spacing w:after="0" w:line="231" w:lineRule="auto"/>
        <w:rPr>
          <w:sz w:val="20"/>
          <w:szCs w:val="20"/>
          <w:color w:val="auto"/>
        </w:rPr>
      </w:pPr>
      <w:r>
        <w:rPr>
          <w:rFonts w:ascii="Arial" w:cs="Arial" w:eastAsia="Arial" w:hAnsi="Arial"/>
          <w:sz w:val="18"/>
          <w:szCs w:val="18"/>
          <w:color w:val="auto"/>
        </w:rPr>
        <w:t>Treasury stock consists of shares withheld in lieu of tax payments when restricted stock vests using the treasury cost method and is classified in the Consolidated Balance Sheets as a reduction to shareholders’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71" w:lineRule="exact"/>
        <w:rPr>
          <w:sz w:val="20"/>
          <w:szCs w:val="20"/>
          <w:color w:val="auto"/>
        </w:rPr>
      </w:pPr>
    </w:p>
    <w:p>
      <w:pPr>
        <w:ind w:right="320" w:firstLine="440"/>
        <w:spacing w:after="0" w:line="246" w:lineRule="auto"/>
        <w:rPr>
          <w:sz w:val="20"/>
          <w:szCs w:val="20"/>
          <w:color w:val="auto"/>
        </w:rPr>
      </w:pPr>
      <w:r>
        <w:rPr>
          <w:rFonts w:ascii="Arial" w:cs="Arial" w:eastAsia="Arial" w:hAnsi="Arial"/>
          <w:sz w:val="18"/>
          <w:szCs w:val="18"/>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58" w:lineRule="exact"/>
        <w:rPr>
          <w:sz w:val="20"/>
          <w:szCs w:val="20"/>
          <w:color w:val="auto"/>
        </w:rPr>
      </w:pPr>
    </w:p>
    <w:p>
      <w:pPr>
        <w:ind w:right="120" w:firstLine="440"/>
        <w:spacing w:after="0" w:line="253" w:lineRule="auto"/>
        <w:rPr>
          <w:sz w:val="20"/>
          <w:szCs w:val="20"/>
          <w:color w:val="auto"/>
        </w:rPr>
      </w:pPr>
      <w:r>
        <w:rPr>
          <w:rFonts w:ascii="Arial" w:cs="Arial" w:eastAsia="Arial" w:hAnsi="Arial"/>
          <w:sz w:val="17"/>
          <w:szCs w:val="17"/>
          <w:color w:val="auto"/>
        </w:rPr>
        <w:t>Other comprehensive income or loss represents the change in equity from non-shareholder or non-member transactions, which is not included in the statements of earnings but is reported as a separate component of shareholders’ equity. For fiscal 2021 and fiscal 2020, other comprehensive income consists of changes in unrealized gains and losses on the Company’s available-for-sale securities, net of taxes.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firstLine="440"/>
        <w:spacing w:after="0" w:line="242" w:lineRule="auto"/>
        <w:rPr>
          <w:sz w:val="20"/>
          <w:szCs w:val="20"/>
          <w:color w:val="auto"/>
        </w:rPr>
      </w:pPr>
      <w:r>
        <w:rPr>
          <w:rFonts w:ascii="Arial" w:cs="Arial" w:eastAsia="Arial" w:hAnsi="Arial"/>
          <w:sz w:val="17"/>
          <w:szCs w:val="17"/>
          <w:color w:val="auto"/>
        </w:rPr>
        <w:t>ASC Topic 820, Fair Value Measurements and Disclosures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35"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p>
      <w:pPr>
        <w:ind w:right="80" w:firstLine="440"/>
        <w:spacing w:after="0" w:line="266" w:lineRule="auto"/>
        <w:rPr>
          <w:sz w:val="20"/>
          <w:szCs w:val="20"/>
          <w:color w:val="auto"/>
        </w:rPr>
      </w:pPr>
      <w:r>
        <w:rPr>
          <w:rFonts w:ascii="Arial" w:cs="Arial" w:eastAsia="Arial" w:hAnsi="Arial"/>
          <w:sz w:val="16"/>
          <w:szCs w:val="16"/>
          <w:color w:val="auto"/>
        </w:rPr>
        <w:t>The fair value of the Company’s available-for-sale security was valued based on a discounted cash flow method (Level 3), which incorporates the U.S. Treasury yield curve, credit information and an estimate of future cash flows. During fiscal 2021,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29"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January 30, 2022</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11"/>
        </w:trPr>
        <w:tc>
          <w:tcPr>
            <w:tcW w:w="3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44"/>
              <w:spacing w:after="0"/>
              <w:rPr>
                <w:sz w:val="20"/>
                <w:szCs w:val="20"/>
                <w:color w:val="auto"/>
              </w:rPr>
            </w:pPr>
            <w:r>
              <w:rPr>
                <w:rFonts w:ascii="Arial" w:cs="Arial" w:eastAsia="Arial" w:hAnsi="Arial"/>
                <w:sz w:val="14"/>
                <w:szCs w:val="14"/>
                <w:b w:val="1"/>
                <w:bCs w:val="1"/>
                <w:color w:val="auto"/>
                <w:w w:val="89"/>
              </w:rPr>
              <w:t>Cost or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8"/>
                <w:szCs w:val="18"/>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8"/>
                <w:szCs w:val="18"/>
                <w:color w:val="auto"/>
              </w:rPr>
            </w:pPr>
          </w:p>
        </w:tc>
        <w:tc>
          <w:tcPr>
            <w:tcW w:w="112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3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52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7"/>
                <w:szCs w:val="17"/>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3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Level 3 security:</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Corporate trust</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6,554</w:t>
            </w:r>
          </w:p>
        </w:tc>
      </w:tr>
      <w:tr>
        <w:trPr>
          <w:trHeight w:val="418"/>
        </w:trPr>
        <w:tc>
          <w:tcPr>
            <w:tcW w:w="3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January 31, 2021</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1"/>
        </w:trPr>
        <w:tc>
          <w:tcPr>
            <w:tcW w:w="3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44"/>
              <w:spacing w:after="0"/>
              <w:rPr>
                <w:sz w:val="20"/>
                <w:szCs w:val="20"/>
                <w:color w:val="auto"/>
              </w:rPr>
            </w:pPr>
            <w:r>
              <w:rPr>
                <w:rFonts w:ascii="Arial" w:cs="Arial" w:eastAsia="Arial" w:hAnsi="Arial"/>
                <w:sz w:val="14"/>
                <w:szCs w:val="14"/>
                <w:b w:val="1"/>
                <w:bCs w:val="1"/>
                <w:color w:val="auto"/>
                <w:w w:val="89"/>
              </w:rPr>
              <w:t>Cost or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8"/>
                <w:szCs w:val="18"/>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8"/>
                <w:szCs w:val="18"/>
                <w:color w:val="auto"/>
              </w:rPr>
            </w:pPr>
          </w:p>
        </w:tc>
        <w:tc>
          <w:tcPr>
            <w:tcW w:w="112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3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52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7"/>
                <w:szCs w:val="17"/>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3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Level 3 security:</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Corporate trust</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6,047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6,111</w:t>
            </w: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intend to sell the available-for-sale-security in the near term and does not believe that it will be required to sell the security.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security on a quarterly basis to monitor its exposure to other-than-temporary impairment.</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other-than-temporary impairment was recorded in the Consolidated Statements of Operations in fiscal 2021 or fiscal 2020.</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future receipts related to the Company’s available-for-sale security by contractual maturity as of January 30, 2022.</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4"/>
                <w:szCs w:val="14"/>
                <w:b w:val="1"/>
                <w:bCs w:val="1"/>
                <w:color w:val="auto"/>
              </w:rPr>
              <w:t>Amortized</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tcPr>
          <w:p>
            <w:pPr>
              <w:ind w:left="40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6400" w:type="dxa"/>
            <w:vAlign w:val="bottom"/>
          </w:tcPr>
          <w:p>
            <w:pPr>
              <w:spacing w:after="0"/>
              <w:rPr>
                <w:sz w:val="16"/>
                <w:szCs w:val="16"/>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6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Within one year</w:t>
            </w:r>
          </w:p>
        </w:tc>
        <w:tc>
          <w:tcPr>
            <w:tcW w:w="1520" w:type="dxa"/>
            <w:vAlign w:val="bottom"/>
          </w:tcPr>
          <w:p>
            <w:pPr>
              <w:jc w:val="right"/>
              <w:ind w:right="133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8"/>
                <w:szCs w:val="18"/>
                <w:color w:val="auto"/>
              </w:rPr>
            </w:pPr>
          </w:p>
        </w:tc>
        <w:tc>
          <w:tcPr>
            <w:tcW w:w="460" w:type="dxa"/>
            <w:vAlign w:val="bottom"/>
            <w:gridSpan w:val="2"/>
          </w:tcPr>
          <w:p>
            <w:pPr>
              <w:jc w:val="right"/>
              <w:ind w:right="329"/>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After five years through ten years</w:t>
            </w: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After ten years</w:t>
            </w:r>
          </w:p>
        </w:tc>
        <w:tc>
          <w:tcPr>
            <w:tcW w:w="1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r>
      <w:tr>
        <w:trPr>
          <w:trHeight w:val="196"/>
        </w:trPr>
        <w:tc>
          <w:tcPr>
            <w:tcW w:w="64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ind w:right="133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5,900</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6,554</w:t>
            </w:r>
          </w:p>
        </w:tc>
      </w:tr>
      <w:tr>
        <w:trPr>
          <w:trHeight w:val="20"/>
        </w:trPr>
        <w:tc>
          <w:tcPr>
            <w:tcW w:w="6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values and fair values of other financial instruments in the Consolidated Balance Sheets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30, 2022</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 2021</w:t>
            </w:r>
          </w:p>
        </w:tc>
        <w:tc>
          <w:tcPr>
            <w:tcW w:w="880" w:type="dxa"/>
            <w:vAlign w:val="bottom"/>
            <w:tcBorders>
              <w:bottom w:val="single" w:sz="8" w:color="auto"/>
            </w:tcBorders>
          </w:tcPr>
          <w:p>
            <w:pPr>
              <w:spacing w:after="0"/>
              <w:rPr>
                <w:sz w:val="14"/>
                <w:szCs w:val="14"/>
                <w:color w:val="auto"/>
              </w:rPr>
            </w:pPr>
          </w:p>
        </w:tc>
      </w:tr>
      <w:tr>
        <w:trPr>
          <w:trHeight w:val="385"/>
        </w:trPr>
        <w:tc>
          <w:tcPr>
            <w:tcW w:w="5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TRI Long-term debt, including short-term portion</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27,301</w:t>
            </w:r>
          </w:p>
        </w:tc>
        <w:tc>
          <w:tcPr>
            <w:tcW w:w="2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27,804</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27,852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28,697</w:t>
            </w:r>
          </w:p>
        </w:tc>
      </w:tr>
    </w:tbl>
    <w:p>
      <w:pPr>
        <w:spacing w:after="0" w:line="161" w:lineRule="exact"/>
        <w:rPr>
          <w:sz w:val="20"/>
          <w:szCs w:val="20"/>
          <w:color w:val="auto"/>
        </w:rPr>
      </w:pPr>
    </w:p>
    <w:p>
      <w:pPr>
        <w:jc w:val="both"/>
        <w:ind w:right="80" w:firstLine="402"/>
        <w:spacing w:after="0" w:line="307" w:lineRule="auto"/>
        <w:rPr>
          <w:sz w:val="20"/>
          <w:szCs w:val="20"/>
          <w:color w:val="auto"/>
        </w:rPr>
      </w:pPr>
      <w:r>
        <w:rPr>
          <w:rFonts w:ascii="Arial" w:cs="Arial" w:eastAsia="Arial" w:hAnsi="Arial"/>
          <w:sz w:val="16"/>
          <w:szCs w:val="16"/>
          <w:color w:val="auto"/>
        </w:rPr>
        <w:t xml:space="preserve">The above long-term debt, including the short-term portion is attributable to the consolidation of TRI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fair value was also based on a discounted cash flow method (Level 3) based on credit information and an estimate of future cash flows.</w:t>
      </w:r>
    </w:p>
    <w:p>
      <w:pPr>
        <w:spacing w:after="0" w:line="83" w:lineRule="exact"/>
        <w:rPr>
          <w:sz w:val="20"/>
          <w:szCs w:val="20"/>
          <w:color w:val="auto"/>
        </w:rPr>
      </w:pPr>
    </w:p>
    <w:p>
      <w:pPr>
        <w:ind w:right="720" w:firstLine="402"/>
        <w:spacing w:after="0" w:line="231" w:lineRule="auto"/>
        <w:rPr>
          <w:sz w:val="20"/>
          <w:szCs w:val="20"/>
          <w:color w:val="auto"/>
        </w:rPr>
      </w:pPr>
      <w:r>
        <w:rPr>
          <w:rFonts w:ascii="Arial" w:cs="Arial" w:eastAsia="Arial" w:hAnsi="Arial"/>
          <w:sz w:val="18"/>
          <w:szCs w:val="18"/>
          <w:color w:val="auto"/>
        </w:rPr>
        <w:t>As of January 30, 2022, and January 31, 2021, the carrying values of the long-term delayed draw term loan and long-term line of credit both approximated their fair value.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right="400" w:firstLine="402"/>
        <w:spacing w:after="0" w:line="246" w:lineRule="auto"/>
        <w:rPr>
          <w:sz w:val="20"/>
          <w:szCs w:val="20"/>
          <w:color w:val="auto"/>
        </w:rPr>
      </w:pPr>
      <w:r>
        <w:rPr>
          <w:rFonts w:ascii="Arial" w:cs="Arial" w:eastAsia="Arial" w:hAnsi="Arial"/>
          <w:sz w:val="18"/>
          <w:szCs w:val="18"/>
          <w:color w:val="auto"/>
        </w:rPr>
        <w:t>Certain reclassifications have been made to the 2020 financial statements in order to conform to the 2021 presentation. There were no changes to previously reported controlling shareholders’ equity and net income as a result of the reclassifications.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62" w:lineRule="exact"/>
        <w:rPr>
          <w:sz w:val="20"/>
          <w:szCs w:val="20"/>
          <w:color w:val="auto"/>
        </w:rPr>
      </w:pPr>
    </w:p>
    <w:p>
      <w:pPr>
        <w:ind w:right="100" w:firstLine="492"/>
        <w:spacing w:after="0"/>
        <w:rPr>
          <w:sz w:val="20"/>
          <w:szCs w:val="20"/>
          <w:color w:val="auto"/>
        </w:rPr>
      </w:pPr>
      <w:r>
        <w:rPr>
          <w:rFonts w:ascii="Arial" w:cs="Arial" w:eastAsia="Arial" w:hAnsi="Arial"/>
          <w:sz w:val="17"/>
          <w:szCs w:val="17"/>
          <w:color w:val="auto"/>
        </w:rPr>
        <w:t xml:space="preserve">Based on the criteria set forth in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7" w:lineRule="exact"/>
        <w:rPr>
          <w:sz w:val="20"/>
          <w:szCs w:val="20"/>
          <w:color w:val="auto"/>
        </w:rPr>
      </w:pPr>
    </w:p>
    <w:p>
      <w:pPr>
        <w:ind w:right="180" w:firstLine="492"/>
        <w:spacing w:after="0" w:line="246" w:lineRule="auto"/>
        <w:rPr>
          <w:sz w:val="20"/>
          <w:szCs w:val="20"/>
          <w:color w:val="auto"/>
        </w:rPr>
      </w:pPr>
      <w:r>
        <w:rPr>
          <w:rFonts w:ascii="Arial" w:cs="Arial" w:eastAsia="Arial" w:hAnsi="Arial"/>
          <w:sz w:val="17"/>
          <w:szCs w:val="17"/>
          <w:color w:val="auto"/>
        </w:rPr>
        <w:t>The Company leases retail space under non-cancelable lease agreements, which expire on various dates through 2041.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44" w:lineRule="exact"/>
        <w:rPr>
          <w:sz w:val="20"/>
          <w:szCs w:val="20"/>
          <w:color w:val="auto"/>
        </w:rPr>
      </w:pPr>
    </w:p>
    <w:p>
      <w:pPr>
        <w:ind w:right="40" w:firstLine="492"/>
        <w:spacing w:after="0" w:line="246" w:lineRule="auto"/>
        <w:rPr>
          <w:sz w:val="20"/>
          <w:szCs w:val="20"/>
          <w:color w:val="auto"/>
        </w:rPr>
      </w:pPr>
      <w:r>
        <w:rPr>
          <w:rFonts w:ascii="Arial" w:cs="Arial" w:eastAsia="Arial" w:hAnsi="Arial"/>
          <w:sz w:val="18"/>
          <w:szCs w:val="18"/>
          <w:color w:val="auto"/>
        </w:rPr>
        <w:t>When calculating the lease liability on a discounted basis, the Company applies its estimated discount rate. The Company bases this discount rate on a collateralized interest rate as well as publicly available data for instruments with similar characteristics.</w:t>
      </w:r>
    </w:p>
    <w:p>
      <w:pPr>
        <w:spacing w:after="0" w:line="129" w:lineRule="exact"/>
        <w:rPr>
          <w:sz w:val="20"/>
          <w:szCs w:val="20"/>
          <w:color w:val="auto"/>
        </w:rPr>
      </w:pPr>
    </w:p>
    <w:p>
      <w:pPr>
        <w:ind w:right="200" w:firstLine="492"/>
        <w:spacing w:after="0" w:line="307" w:lineRule="auto"/>
        <w:rPr>
          <w:sz w:val="20"/>
          <w:szCs w:val="20"/>
          <w:color w:val="auto"/>
        </w:rPr>
      </w:pPr>
      <w:r>
        <w:rPr>
          <w:rFonts w:ascii="Arial" w:cs="Arial" w:eastAsia="Arial" w:hAnsi="Arial"/>
          <w:sz w:val="16"/>
          <w:szCs w:val="16"/>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83" w:lineRule="exact"/>
        <w:rPr>
          <w:sz w:val="20"/>
          <w:szCs w:val="20"/>
          <w:color w:val="auto"/>
        </w:rPr>
      </w:pPr>
    </w:p>
    <w:p>
      <w:pPr>
        <w:ind w:right="20" w:firstLine="492"/>
        <w:spacing w:after="0"/>
        <w:rPr>
          <w:sz w:val="20"/>
          <w:szCs w:val="20"/>
          <w:color w:val="auto"/>
        </w:rPr>
      </w:pPr>
      <w:r>
        <w:rPr>
          <w:rFonts w:ascii="Arial" w:cs="Arial" w:eastAsia="Arial" w:hAnsi="Arial"/>
          <w:sz w:val="17"/>
          <w:szCs w:val="17"/>
          <w:color w:val="auto"/>
        </w:rPr>
        <w:t>Due to the adverse impacts of COVID-19, the Company negotiated rent deferral and payback periods with a number of the Company’s store landlords for the months of April and May 2020. Based on the guidance set forth in the Financial Accounting Standards Board (“FASB”) issued Staff Q&amp;A “Topic 842 and Topic 840: Accounting for Lease Concessions Related to the Effects of the COVID-19 Pandemic”, the Company accounted for these deferrals as if no changes to the lease contract were made and elected not to apply the lease modification guidance under ASC 842. As of January 31, 2021 the Company had deferred rent of $0.8 million, which was recorded within accrued expenses and other current liabilities and will be paid in accordance with the concession arrangements. The Company had no deferred rent as of January 30, 2022.</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20" w:type="dxa"/>
            <w:vAlign w:val="bottom"/>
            <w:gridSpan w:val="2"/>
          </w:tcPr>
          <w:p>
            <w:pPr>
              <w:ind w:left="600"/>
              <w:spacing w:after="0"/>
              <w:rPr>
                <w:sz w:val="20"/>
                <w:szCs w:val="20"/>
                <w:color w:val="auto"/>
              </w:rPr>
            </w:pPr>
            <w:r>
              <w:rPr>
                <w:rFonts w:ascii="Arial" w:cs="Arial" w:eastAsia="Arial" w:hAnsi="Arial"/>
                <w:sz w:val="18"/>
                <w:szCs w:val="18"/>
                <w:b w:val="1"/>
                <w:bCs w:val="1"/>
                <w:color w:val="auto"/>
              </w:rPr>
              <w:t>Consolidated Statement of Operations</w:t>
            </w: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January 31, 2021</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46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140"/>
              <w:spacing w:after="0" w:line="161" w:lineRule="exact"/>
              <w:rPr>
                <w:sz w:val="20"/>
                <w:szCs w:val="20"/>
                <w:color w:val="auto"/>
              </w:rPr>
            </w:pPr>
            <w:r>
              <w:rPr>
                <w:rFonts w:ascii="Arial" w:cs="Arial" w:eastAsia="Arial" w:hAnsi="Arial"/>
                <w:sz w:val="18"/>
                <w:szCs w:val="18"/>
                <w:color w:val="auto"/>
              </w:rPr>
              <w:t>Amortization of right-of-use</w:t>
            </w:r>
          </w:p>
        </w:tc>
        <w:tc>
          <w:tcPr>
            <w:tcW w:w="4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rPr>
              <w:t>assets</w:t>
            </w:r>
          </w:p>
        </w:tc>
        <w:tc>
          <w:tcPr>
            <w:tcW w:w="4780" w:type="dxa"/>
            <w:vAlign w:val="bottom"/>
            <w:gridSpan w:val="3"/>
            <w:vMerge w:val="restart"/>
          </w:tcPr>
          <w:p>
            <w:pPr>
              <w:ind w:left="4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3,358</w:t>
            </w:r>
          </w:p>
        </w:tc>
        <w:tc>
          <w:tcPr>
            <w:tcW w:w="180" w:type="dxa"/>
            <w:vAlign w:val="bottom"/>
          </w:tcPr>
          <w:p>
            <w:pPr>
              <w:spacing w:after="0"/>
              <w:rPr>
                <w:sz w:val="20"/>
                <w:szCs w:val="20"/>
                <w:color w:val="auto"/>
              </w:rPr>
            </w:pPr>
          </w:p>
        </w:tc>
        <w:tc>
          <w:tcPr>
            <w:tcW w:w="20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47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8"/>
                <w:szCs w:val="18"/>
                <w:color w:val="auto"/>
              </w:rPr>
              <w:t>Total finance lease expense</w:t>
            </w: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47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16,326</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Arial" w:cs="Arial" w:eastAsia="Arial" w:hAnsi="Arial"/>
                <w:sz w:val="18"/>
                <w:szCs w:val="18"/>
                <w:color w:val="auto"/>
              </w:rPr>
              <w:t>Amortization of build-to-suit leases</w:t>
            </w:r>
          </w:p>
        </w:tc>
        <w:tc>
          <w:tcPr>
            <w:tcW w:w="4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capital contribution</w:t>
            </w:r>
          </w:p>
        </w:tc>
        <w:tc>
          <w:tcPr>
            <w:tcW w:w="4780" w:type="dxa"/>
            <w:vAlign w:val="bottom"/>
            <w:gridSpan w:val="3"/>
            <w:vMerge w:val="restart"/>
          </w:tcPr>
          <w:p>
            <w:pPr>
              <w:ind w:left="4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1,291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47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196"/>
        </w:trPr>
        <w:tc>
          <w:tcPr>
            <w:tcW w:w="3040" w:type="dxa"/>
            <w:vAlign w:val="bottom"/>
          </w:tcPr>
          <w:p>
            <w:pPr>
              <w:spacing w:after="0" w:line="196" w:lineRule="exact"/>
              <w:rPr>
                <w:sz w:val="20"/>
                <w:szCs w:val="20"/>
                <w:color w:val="auto"/>
              </w:rPr>
            </w:pPr>
            <w:r>
              <w:rPr>
                <w:rFonts w:ascii="Arial" w:cs="Arial" w:eastAsia="Arial" w:hAnsi="Arial"/>
                <w:sz w:val="18"/>
                <w:szCs w:val="18"/>
                <w:color w:val="auto"/>
              </w:rPr>
              <w:t>Total lease expense</w:t>
            </w:r>
          </w:p>
        </w:tc>
        <w:tc>
          <w:tcPr>
            <w:tcW w:w="4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31,413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31,690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information related to leases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30, 2022</w:t>
            </w:r>
          </w:p>
        </w:tc>
        <w:tc>
          <w:tcPr>
            <w:tcW w:w="220" w:type="dxa"/>
            <w:vAlign w:val="bottom"/>
          </w:tcPr>
          <w:p>
            <w:pPr>
              <w:spacing w:after="0"/>
              <w:rPr>
                <w:sz w:val="14"/>
                <w:szCs w:val="14"/>
                <w:color w:val="auto"/>
              </w:rPr>
            </w:pPr>
          </w:p>
        </w:tc>
        <w:tc>
          <w:tcPr>
            <w:tcW w:w="1580" w:type="dxa"/>
            <w:vAlign w:val="bottom"/>
          </w:tcPr>
          <w:p>
            <w:pPr>
              <w:jc w:val="right"/>
              <w:ind w:right="292"/>
              <w:spacing w:after="0"/>
              <w:rPr>
                <w:sz w:val="20"/>
                <w:szCs w:val="20"/>
                <w:color w:val="auto"/>
              </w:rPr>
            </w:pPr>
            <w:r>
              <w:rPr>
                <w:rFonts w:ascii="Arial" w:cs="Arial" w:eastAsia="Arial" w:hAnsi="Arial"/>
                <w:sz w:val="14"/>
                <w:szCs w:val="14"/>
                <w:b w:val="1"/>
                <w:bCs w:val="1"/>
                <w:color w:val="auto"/>
              </w:rPr>
              <w:t>January 31, 2021</w:t>
            </w:r>
          </w:p>
        </w:tc>
      </w:tr>
      <w:tr>
        <w:trPr>
          <w:trHeight w:val="218"/>
        </w:trPr>
        <w:tc>
          <w:tcPr>
            <w:tcW w:w="74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3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9"/>
        </w:trPr>
        <w:tc>
          <w:tcPr>
            <w:tcW w:w="74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2,559</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1,932</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15,792</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15,652</w:t>
            </w:r>
          </w:p>
        </w:tc>
      </w:tr>
      <w:tr>
        <w:trPr>
          <w:trHeight w:val="458"/>
        </w:trPr>
        <w:tc>
          <w:tcPr>
            <w:tcW w:w="744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74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8,966</w:t>
            </w: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15,230</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11,642</w:t>
            </w:r>
          </w:p>
        </w:tc>
      </w:tr>
      <w:tr>
        <w:trPr>
          <w:trHeight w:val="458"/>
        </w:trPr>
        <w:tc>
          <w:tcPr>
            <w:tcW w:w="744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58"/>
        </w:trPr>
        <w:tc>
          <w:tcPr>
            <w:tcW w:w="744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74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lease payments under the non-cancellable leases are as follows as of January 30, 2022:</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Finance</w:t>
            </w:r>
          </w:p>
        </w:tc>
        <w:tc>
          <w:tcPr>
            <w:tcW w:w="32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Operating</w:t>
            </w:r>
          </w:p>
        </w:tc>
      </w:tr>
      <w:tr>
        <w:trPr>
          <w:trHeight w:val="188"/>
        </w:trPr>
        <w:tc>
          <w:tcPr>
            <w:tcW w:w="7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Leases</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Leases</w:t>
            </w:r>
          </w:p>
        </w:tc>
      </w:tr>
      <w:tr>
        <w:trPr>
          <w:trHeight w:val="168"/>
        </w:trPr>
        <w:tc>
          <w:tcPr>
            <w:tcW w:w="7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0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4,523</w:t>
            </w:r>
          </w:p>
        </w:tc>
        <w:tc>
          <w:tcPr>
            <w:tcW w:w="22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17,523</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4,551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17,744</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4,736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17,133</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5,098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16,383</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3,993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15,441</w:t>
            </w:r>
          </w:p>
        </w:tc>
      </w:tr>
      <w:tr>
        <w:trPr>
          <w:trHeight w:val="217"/>
        </w:trPr>
        <w:tc>
          <w:tcPr>
            <w:tcW w:w="74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59,126</w:t>
            </w:r>
          </w:p>
        </w:tc>
      </w:tr>
      <w:tr>
        <w:trPr>
          <w:trHeight w:val="168"/>
        </w:trPr>
        <w:tc>
          <w:tcPr>
            <w:tcW w:w="7440" w:type="dxa"/>
            <w:vAlign w:val="bottom"/>
            <w:gridSpan w:val="2"/>
          </w:tcPr>
          <w:p>
            <w:pPr>
              <w:spacing w:after="0" w:line="168" w:lineRule="exact"/>
              <w:rPr>
                <w:sz w:val="20"/>
                <w:szCs w:val="20"/>
                <w:color w:val="auto"/>
              </w:rPr>
            </w:pPr>
            <w:r>
              <w:rPr>
                <w:rFonts w:ascii="Arial" w:cs="Arial" w:eastAsia="Arial" w:hAnsi="Arial"/>
                <w:sz w:val="18"/>
                <w:szCs w:val="18"/>
                <w:color w:val="auto"/>
              </w:rPr>
              <w:t>Total future minimum lease payments</w:t>
            </w:r>
          </w:p>
        </w:tc>
        <w:tc>
          <w:tcPr>
            <w:tcW w:w="420" w:type="dxa"/>
            <w:vAlign w:val="bottom"/>
          </w:tcPr>
          <w:p>
            <w:pPr>
              <w:jc w:val="right"/>
              <w:ind w:right="267"/>
              <w:spacing w:after="0" w:line="168" w:lineRule="exact"/>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68" w:lineRule="exact"/>
              <w:rPr>
                <w:sz w:val="20"/>
                <w:szCs w:val="20"/>
                <w:color w:val="auto"/>
              </w:rPr>
            </w:pPr>
            <w:r>
              <w:rPr>
                <w:rFonts w:ascii="Arial" w:cs="Arial" w:eastAsia="Arial" w:hAnsi="Arial"/>
                <w:sz w:val="18"/>
                <w:szCs w:val="18"/>
                <w:color w:val="auto"/>
              </w:rPr>
              <w:t>56,126</w:t>
            </w:r>
          </w:p>
        </w:tc>
        <w:tc>
          <w:tcPr>
            <w:tcW w:w="220" w:type="dxa"/>
            <w:vAlign w:val="bottom"/>
          </w:tcPr>
          <w:p>
            <w:pPr>
              <w:spacing w:after="0"/>
              <w:rPr>
                <w:sz w:val="14"/>
                <w:szCs w:val="14"/>
                <w:color w:val="auto"/>
              </w:rPr>
            </w:pPr>
          </w:p>
        </w:tc>
        <w:tc>
          <w:tcPr>
            <w:tcW w:w="320" w:type="dxa"/>
            <w:vAlign w:val="bottom"/>
          </w:tcPr>
          <w:p>
            <w:pPr>
              <w:jc w:val="right"/>
              <w:ind w:right="167"/>
              <w:spacing w:after="0" w:line="168" w:lineRule="exact"/>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68" w:lineRule="exact"/>
              <w:rPr>
                <w:sz w:val="20"/>
                <w:szCs w:val="20"/>
                <w:color w:val="auto"/>
              </w:rPr>
            </w:pPr>
            <w:r>
              <w:rPr>
                <w:rFonts w:ascii="Arial" w:cs="Arial" w:eastAsia="Arial" w:hAnsi="Arial"/>
                <w:sz w:val="18"/>
                <w:szCs w:val="18"/>
                <w:color w:val="auto"/>
              </w:rPr>
              <w:t>143,350</w:t>
            </w:r>
          </w:p>
        </w:tc>
      </w:tr>
      <w:tr>
        <w:trPr>
          <w:trHeight w:val="217"/>
        </w:trPr>
        <w:tc>
          <w:tcPr>
            <w:tcW w:w="7440" w:type="dxa"/>
            <w:vAlign w:val="bottom"/>
            <w:gridSpan w:val="2"/>
          </w:tcPr>
          <w:p>
            <w:pPr>
              <w:spacing w:after="0"/>
              <w:rPr>
                <w:sz w:val="20"/>
                <w:szCs w:val="20"/>
                <w:color w:val="auto"/>
              </w:rPr>
            </w:pPr>
            <w:r>
              <w:rPr>
                <w:rFonts w:ascii="Arial" w:cs="Arial" w:eastAsia="Arial" w:hAnsi="Arial"/>
                <w:sz w:val="18"/>
                <w:szCs w:val="18"/>
                <w:color w:val="auto"/>
              </w:rPr>
              <w:t>Less - Discount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23,374</w:t>
            </w:r>
          </w:p>
        </w:tc>
      </w:tr>
      <w:tr>
        <w:trPr>
          <w:trHeight w:val="183"/>
        </w:trPr>
        <w:tc>
          <w:tcPr>
            <w:tcW w:w="7440" w:type="dxa"/>
            <w:vAlign w:val="bottom"/>
            <w:gridSpan w:val="2"/>
          </w:tcPr>
          <w:p>
            <w:pPr>
              <w:spacing w:after="0" w:line="182" w:lineRule="exact"/>
              <w:rPr>
                <w:sz w:val="20"/>
                <w:szCs w:val="20"/>
                <w:color w:val="auto"/>
              </w:rPr>
            </w:pPr>
            <w:r>
              <w:rPr>
                <w:rFonts w:ascii="Arial" w:cs="Arial" w:eastAsia="Arial" w:hAnsi="Arial"/>
                <w:sz w:val="18"/>
                <w:szCs w:val="18"/>
                <w:color w:val="auto"/>
              </w:rPr>
              <w:t>Lease liability</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42,968</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119,976</w:t>
            </w: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560" w:right="1480" w:hanging="5103"/>
        <w:spacing w:after="0" w:line="220" w:lineRule="auto"/>
        <w:rPr>
          <w:sz w:val="20"/>
          <w:szCs w:val="20"/>
          <w:color w:val="auto"/>
        </w:rPr>
      </w:pPr>
      <w:r>
        <w:rPr>
          <w:rFonts w:ascii="Arial" w:cs="Arial" w:eastAsia="Arial" w:hAnsi="Arial"/>
          <w:sz w:val="18"/>
          <w:szCs w:val="18"/>
          <w:color w:val="auto"/>
        </w:rPr>
        <w:t xml:space="preserve">Total rent expense under non-cancellable leases was $17.6 million and $17.1 million for fiscal 2021 and fiscal 2020, respectively. </w:t>
      </w: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jc w:val="center"/>
        <w:ind w:right="8100"/>
        <w:spacing w:after="0"/>
        <w:rPr>
          <w:sz w:val="20"/>
          <w:szCs w:val="20"/>
          <w:color w:val="auto"/>
        </w:rPr>
      </w:pPr>
      <w:r>
        <w:rPr>
          <w:rFonts w:ascii="Arial" w:cs="Arial" w:eastAsia="Arial" w:hAnsi="Arial"/>
          <w:sz w:val="18"/>
          <w:szCs w:val="18"/>
          <w:b w:val="1"/>
          <w:bCs w:val="1"/>
          <w:color w:val="auto"/>
        </w:rPr>
        <w:t>4. DEBT AND CREDIT AGREEMENT</w:t>
      </w:r>
    </w:p>
    <w:p>
      <w:pPr>
        <w:spacing w:after="0" w:line="162" w:lineRule="exact"/>
        <w:rPr>
          <w:sz w:val="20"/>
          <w:szCs w:val="20"/>
          <w:color w:val="auto"/>
        </w:rPr>
      </w:pPr>
    </w:p>
    <w:p>
      <w:pPr>
        <w:jc w:val="center"/>
        <w:ind w:right="8120"/>
        <w:spacing w:after="0"/>
        <w:rPr>
          <w:sz w:val="20"/>
          <w:szCs w:val="20"/>
          <w:color w:val="auto"/>
        </w:rPr>
      </w:pPr>
      <w:r>
        <w:rPr>
          <w:rFonts w:ascii="Arial" w:cs="Arial" w:eastAsia="Arial" w:hAnsi="Arial"/>
          <w:sz w:val="18"/>
          <w:szCs w:val="18"/>
          <w:color w:val="auto"/>
        </w:rPr>
        <w:t>Debt consists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12"/>
              <w:spacing w:after="0"/>
              <w:rPr>
                <w:sz w:val="20"/>
                <w:szCs w:val="20"/>
                <w:color w:val="auto"/>
              </w:rPr>
            </w:pPr>
            <w:r>
              <w:rPr>
                <w:rFonts w:ascii="Arial" w:cs="Arial" w:eastAsia="Arial" w:hAnsi="Arial"/>
                <w:sz w:val="14"/>
                <w:szCs w:val="14"/>
                <w:b w:val="1"/>
                <w:bCs w:val="1"/>
                <w:color w:val="auto"/>
              </w:rPr>
              <w:t>January 31, 2021</w:t>
            </w:r>
          </w:p>
        </w:tc>
      </w:tr>
      <w:tr>
        <w:trPr>
          <w:trHeight w:val="195"/>
        </w:trPr>
        <w:tc>
          <w:tcPr>
            <w:tcW w:w="7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TRI Senior Secured Note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23,801</w:t>
            </w:r>
          </w:p>
        </w:tc>
        <w:tc>
          <w:tcPr>
            <w:tcW w:w="20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24,352</w:t>
            </w: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TRI Note</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195"/>
        </w:trPr>
        <w:tc>
          <w:tcPr>
            <w:tcW w:w="770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27,301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27,852</w:t>
            </w: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183"/>
        </w:trPr>
        <w:tc>
          <w:tcPr>
            <w:tcW w:w="7700" w:type="dxa"/>
            <w:vAlign w:val="bottom"/>
          </w:tcPr>
          <w:p>
            <w:pPr>
              <w:spacing w:after="0" w:line="182" w:lineRule="exact"/>
              <w:rPr>
                <w:sz w:val="20"/>
                <w:szCs w:val="20"/>
                <w:color w:val="auto"/>
              </w:rPr>
            </w:pPr>
            <w:r>
              <w:rPr>
                <w:rFonts w:ascii="Arial" w:cs="Arial" w:eastAsia="Arial" w:hAnsi="Arial"/>
                <w:sz w:val="18"/>
                <w:szCs w:val="18"/>
                <w:color w:val="auto"/>
              </w:rPr>
              <w:t>TRI Long-term debt</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26,608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27,229</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85"/>
        </w:trPr>
        <w:tc>
          <w:tcPr>
            <w:tcW w:w="7700" w:type="dxa"/>
            <w:vAlign w:val="bottom"/>
          </w:tcPr>
          <w:p>
            <w:pPr>
              <w:spacing w:after="0"/>
              <w:rPr>
                <w:sz w:val="20"/>
                <w:szCs w:val="20"/>
                <w:color w:val="auto"/>
              </w:rPr>
            </w:pPr>
            <w:r>
              <w:rPr>
                <w:rFonts w:ascii="Arial" w:cs="Arial" w:eastAsia="Arial" w:hAnsi="Arial"/>
                <w:sz w:val="18"/>
                <w:szCs w:val="18"/>
                <w:color w:val="auto"/>
              </w:rPr>
              <w:t>Duluth Line of credit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Duluth Delayed draw term loan</w:t>
            </w:r>
          </w:p>
        </w:tc>
        <w:tc>
          <w:tcPr>
            <w:tcW w:w="2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48,250</w:t>
            </w:r>
          </w:p>
        </w:tc>
      </w:tr>
      <w:tr>
        <w:trPr>
          <w:trHeight w:val="195"/>
        </w:trPr>
        <w:tc>
          <w:tcPr>
            <w:tcW w:w="770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48,250</w:t>
            </w: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183"/>
        </w:trPr>
        <w:tc>
          <w:tcPr>
            <w:tcW w:w="7700" w:type="dxa"/>
            <w:vAlign w:val="bottom"/>
          </w:tcPr>
          <w:p>
            <w:pPr>
              <w:spacing w:after="0" w:line="182" w:lineRule="exact"/>
              <w:rPr>
                <w:sz w:val="20"/>
                <w:szCs w:val="20"/>
                <w:color w:val="auto"/>
              </w:rPr>
            </w:pPr>
            <w:r>
              <w:rPr>
                <w:rFonts w:ascii="Arial" w:cs="Arial" w:eastAsia="Arial" w:hAnsi="Arial"/>
                <w:sz w:val="18"/>
                <w:szCs w:val="18"/>
                <w:color w:val="auto"/>
              </w:rPr>
              <w:t>Duluth long-term debt</w:t>
            </w: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45,750</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58" w:lineRule="exact"/>
        <w:rPr>
          <w:sz w:val="20"/>
          <w:szCs w:val="20"/>
          <w:color w:val="auto"/>
        </w:rPr>
      </w:pPr>
    </w:p>
    <w:p>
      <w:pPr>
        <w:jc w:val="both"/>
        <w:ind w:right="460" w:firstLine="492"/>
        <w:spacing w:after="0" w:line="235"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34" w:lineRule="exact"/>
        <w:rPr>
          <w:sz w:val="20"/>
          <w:szCs w:val="20"/>
          <w:color w:val="auto"/>
        </w:rPr>
      </w:pPr>
    </w:p>
    <w:p>
      <w:pPr>
        <w:ind w:right="160" w:firstLine="492"/>
        <w:spacing w:after="0" w:line="246"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While the above notes are consolidated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is not the guarantor nor the obligor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ind w:right="60" w:firstLine="428"/>
        <w:spacing w:after="0" w:line="254" w:lineRule="auto"/>
        <w:rPr>
          <w:sz w:val="20"/>
          <w:szCs w:val="20"/>
          <w:color w:val="auto"/>
        </w:rPr>
      </w:pPr>
      <w:r>
        <w:rPr>
          <w:rFonts w:ascii="Arial" w:cs="Arial" w:eastAsia="Arial" w:hAnsi="Arial"/>
          <w:sz w:val="16"/>
          <w:szCs w:val="16"/>
          <w:color w:val="auto"/>
        </w:rPr>
        <w:t>On May 17, 2018, the Company entered into a credit agreement (the “Credit Agreement”) which provides for borrowing availability of up to $80.0 million in revolving credit and associated swing line (the “Revolver”) and borrowing availability of up to $50.0 million in a delayed draw term loan (“DDTL”), for a total credit facility of $130.0 million. On April 30, 2020, the Credit Agreement was amended to include an incremental DDTL of $20.5 million (the “Incremental DDTL”) that was available to draw upon before March 31, 2021, and matured on April 29, 2021, for a total credit facility of $150.5 million. As of and for the fiscal year ended January 31, 2021, no amount of the Incremental DDTL was funded.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ratio. The interest rate applicable to the Incremental DDTL was also a fixed rate over the aforementioned interest periods equal to LIBOR (with a 1% floor) for such interest period plus a margin of 275 to 350 basis points.</w:t>
      </w:r>
    </w:p>
    <w:p>
      <w:pPr>
        <w:spacing w:after="0" w:line="138" w:lineRule="exact"/>
        <w:rPr>
          <w:sz w:val="20"/>
          <w:szCs w:val="20"/>
          <w:color w:val="auto"/>
        </w:rPr>
      </w:pPr>
    </w:p>
    <w:p>
      <w:pPr>
        <w:ind w:right="20" w:firstLine="428"/>
        <w:spacing w:after="0" w:line="255" w:lineRule="auto"/>
        <w:rPr>
          <w:sz w:val="20"/>
          <w:szCs w:val="20"/>
          <w:color w:val="auto"/>
        </w:rPr>
      </w:pPr>
      <w:r>
        <w:rPr>
          <w:rFonts w:ascii="Arial" w:cs="Arial" w:eastAsia="Arial" w:hAnsi="Arial"/>
          <w:sz w:val="16"/>
          <w:szCs w:val="16"/>
          <w:color w:val="auto"/>
        </w:rPr>
        <w:t>On May 14, 2021, the Company terminated the Credit Agreement, and entered into a new credit agreement (the “New Credit Agreement”), which was treated as a modification for accounting purposes. The New Credit Agreement matures on May 14, 2026 and provides for borrowings of up to $150.0 million that are available under a revolving senior credit facility, with a $5.0 million sublimit for issuance of standby letters of credit, as well as a $10.0 million sublimit for swing line loans. At the Company’s option, the interest rate applicable to the revolving senior credit facility will be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is secured by essentially all Company assets and requires the Company to maintain compliance with certain financial and non-financial covenants, including a maximum rent adjusted leverage ratio and a minimum fixed charge coverage ratio as defined in the New Credit Agreement</w:t>
      </w:r>
    </w:p>
    <w:p>
      <w:pPr>
        <w:spacing w:after="0" w:line="124" w:lineRule="exact"/>
        <w:rPr>
          <w:sz w:val="20"/>
          <w:szCs w:val="20"/>
          <w:color w:val="auto"/>
        </w:rPr>
      </w:pPr>
    </w:p>
    <w:p>
      <w:pPr>
        <w:ind w:right="380"/>
        <w:spacing w:after="0" w:line="231" w:lineRule="auto"/>
        <w:rPr>
          <w:sz w:val="20"/>
          <w:szCs w:val="20"/>
          <w:color w:val="auto"/>
        </w:rPr>
      </w:pPr>
      <w:r>
        <w:rPr>
          <w:rFonts w:ascii="Arial" w:cs="Arial" w:eastAsia="Arial" w:hAnsi="Arial"/>
          <w:sz w:val="18"/>
          <w:szCs w:val="18"/>
          <w:color w:val="auto"/>
        </w:rPr>
        <w:t>As of January 30, 2022, and for the fiscal year then ended, the Company was in compliance with all financial and non-financial covenants for all debts discussed above.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p>
      <w:pPr>
        <w:ind w:right="220" w:firstLine="485"/>
        <w:spacing w:after="0" w:line="246" w:lineRule="auto"/>
        <w:rPr>
          <w:sz w:val="20"/>
          <w:szCs w:val="20"/>
          <w:color w:val="auto"/>
        </w:rPr>
      </w:pPr>
      <w:r>
        <w:rPr>
          <w:rFonts w:ascii="Arial" w:cs="Arial" w:eastAsia="Arial" w:hAnsi="Arial"/>
          <w:sz w:val="18"/>
          <w:szCs w:val="18"/>
          <w:color w:val="auto"/>
        </w:rPr>
        <w:t>Future principal maturities of all TRI debt, excluding unamortized financing fees of $1.2 million associated with the TRI debt, and the Company’s Credit Agreement, are as follows as of January 30,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9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93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00" w:type="dxa"/>
            <w:vAlign w:val="bottom"/>
          </w:tcPr>
          <w:p>
            <w:pPr>
              <w:spacing w:after="0"/>
              <w:rPr>
                <w:sz w:val="17"/>
                <w:szCs w:val="17"/>
                <w:color w:val="auto"/>
              </w:rPr>
            </w:pP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693</w:t>
            </w:r>
          </w:p>
        </w:tc>
      </w:tr>
      <w:tr>
        <w:trPr>
          <w:trHeight w:val="203"/>
        </w:trPr>
        <w:tc>
          <w:tcPr>
            <w:tcW w:w="93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768</w:t>
            </w:r>
          </w:p>
        </w:tc>
      </w:tr>
      <w:tr>
        <w:trPr>
          <w:trHeight w:val="203"/>
        </w:trPr>
        <w:tc>
          <w:tcPr>
            <w:tcW w:w="93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847</w:t>
            </w:r>
          </w:p>
        </w:tc>
      </w:tr>
      <w:tr>
        <w:trPr>
          <w:trHeight w:val="203"/>
        </w:trPr>
        <w:tc>
          <w:tcPr>
            <w:tcW w:w="93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r>
      <w:tr>
        <w:trPr>
          <w:trHeight w:val="203"/>
        </w:trPr>
        <w:tc>
          <w:tcPr>
            <w:tcW w:w="93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1,020</w:t>
            </w:r>
          </w:p>
        </w:tc>
      </w:tr>
      <w:tr>
        <w:trPr>
          <w:trHeight w:val="217"/>
        </w:trPr>
        <w:tc>
          <w:tcPr>
            <w:tcW w:w="95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24,272</w:t>
            </w:r>
          </w:p>
        </w:tc>
      </w:tr>
      <w:tr>
        <w:trPr>
          <w:trHeight w:val="183"/>
        </w:trPr>
        <w:tc>
          <w:tcPr>
            <w:tcW w:w="9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28,531</w:t>
            </w:r>
          </w:p>
        </w:tc>
      </w:tr>
      <w:tr>
        <w:trPr>
          <w:trHeight w:val="20"/>
        </w:trPr>
        <w:tc>
          <w:tcPr>
            <w:tcW w:w="9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right="5700" w:hanging="432"/>
        <w:spacing w:after="0" w:line="551" w:lineRule="auto"/>
        <w:tabs>
          <w:tab w:leader="none" w:pos="21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12"/>
              <w:spacing w:after="0"/>
              <w:rPr>
                <w:sz w:val="20"/>
                <w:szCs w:val="20"/>
                <w:color w:val="auto"/>
              </w:rPr>
            </w:pPr>
            <w:r>
              <w:rPr>
                <w:rFonts w:ascii="Arial" w:cs="Arial" w:eastAsia="Arial" w:hAnsi="Arial"/>
                <w:sz w:val="14"/>
                <w:szCs w:val="14"/>
                <w:b w:val="1"/>
                <w:bCs w:val="1"/>
                <w:color w:val="auto"/>
              </w:rPr>
              <w:t>January 31, 2021</w:t>
            </w:r>
          </w:p>
        </w:tc>
      </w:tr>
      <w:tr>
        <w:trPr>
          <w:trHeight w:val="195"/>
        </w:trPr>
        <w:tc>
          <w:tcPr>
            <w:tcW w:w="7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11,773</w:t>
            </w:r>
          </w:p>
        </w:tc>
        <w:tc>
          <w:tcPr>
            <w:tcW w:w="20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8,826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9,944</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Freight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6,769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Product returns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Catalog costs</w:t>
            </w:r>
          </w:p>
        </w:tc>
        <w:tc>
          <w:tcPr>
            <w:tcW w:w="2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Accrued advertising</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r>
      <w:tr>
        <w:trPr>
          <w:trHeight w:val="183"/>
        </w:trPr>
        <w:tc>
          <w:tcPr>
            <w:tcW w:w="7700" w:type="dxa"/>
            <w:vAlign w:val="bottom"/>
          </w:tcPr>
          <w:p>
            <w:pPr>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47,504</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37,686</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VARIABLE INTEREST ENTITIES</w:t>
      </w:r>
    </w:p>
    <w:p>
      <w:pPr>
        <w:spacing w:after="0" w:line="162" w:lineRule="exact"/>
        <w:rPr>
          <w:sz w:val="20"/>
          <w:szCs w:val="20"/>
          <w:color w:val="auto"/>
        </w:rPr>
      </w:pPr>
    </w:p>
    <w:p>
      <w:pPr>
        <w:ind w:right="300" w:firstLine="440"/>
        <w:spacing w:after="0" w:line="228" w:lineRule="auto"/>
        <w:rPr>
          <w:sz w:val="20"/>
          <w:szCs w:val="20"/>
          <w:color w:val="auto"/>
        </w:rPr>
      </w:pPr>
      <w:r>
        <w:rPr>
          <w:rFonts w:ascii="Arial" w:cs="Arial" w:eastAsia="Arial" w:hAnsi="Arial"/>
          <w:sz w:val="18"/>
          <w:szCs w:val="18"/>
          <w:color w:val="auto"/>
        </w:rPr>
        <w:t xml:space="preserve">Based upon the criteria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January 30, 2022 and January 31, 2021.</w:t>
      </w:r>
    </w:p>
    <w:p>
      <w:pPr>
        <w:spacing w:after="0" w:line="137" w:lineRule="exact"/>
        <w:rPr>
          <w:sz w:val="20"/>
          <w:szCs w:val="20"/>
          <w:color w:val="auto"/>
        </w:rPr>
      </w:pPr>
    </w:p>
    <w:p>
      <w:pPr>
        <w:ind w:right="20" w:firstLine="440"/>
        <w:spacing w:after="0" w:line="227"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Consolidated Balance Sheets include the following amounts as a result of the consolidation of TRI as of January 30, 2022 and January 31, 2021.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2022</w:t>
            </w:r>
          </w:p>
        </w:tc>
        <w:tc>
          <w:tcPr>
            <w:tcW w:w="180" w:type="dxa"/>
            <w:vAlign w:val="bottom"/>
          </w:tcPr>
          <w:p>
            <w:pPr>
              <w:spacing w:after="0"/>
              <w:rPr>
                <w:sz w:val="14"/>
                <w:szCs w:val="14"/>
                <w:color w:val="auto"/>
              </w:rPr>
            </w:pPr>
          </w:p>
        </w:tc>
        <w:tc>
          <w:tcPr>
            <w:tcW w:w="1440" w:type="dxa"/>
            <w:vAlign w:val="bottom"/>
          </w:tcPr>
          <w:p>
            <w:pPr>
              <w:jc w:val="right"/>
              <w:ind w:right="192"/>
              <w:spacing w:after="0"/>
              <w:rPr>
                <w:sz w:val="20"/>
                <w:szCs w:val="20"/>
                <w:color w:val="auto"/>
              </w:rPr>
            </w:pPr>
            <w:r>
              <w:rPr>
                <w:rFonts w:ascii="Arial" w:cs="Arial" w:eastAsia="Arial" w:hAnsi="Arial"/>
                <w:sz w:val="14"/>
                <w:szCs w:val="14"/>
                <w:b w:val="1"/>
                <w:bCs w:val="1"/>
                <w:color w:val="auto"/>
              </w:rPr>
              <w:t>January 31, 2021</w:t>
            </w:r>
          </w:p>
        </w:tc>
      </w:tr>
      <w:tr>
        <w:trPr>
          <w:trHeight w:val="195"/>
        </w:trPr>
        <w:tc>
          <w:tcPr>
            <w:tcW w:w="7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7"/>
        </w:trPr>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24,800</w:t>
            </w:r>
          </w:p>
        </w:tc>
      </w:tr>
      <w:tr>
        <w:trPr>
          <w:trHeight w:val="183"/>
        </w:trPr>
        <w:tc>
          <w:tcPr>
            <w:tcW w:w="7640" w:type="dxa"/>
            <w:vAlign w:val="bottom"/>
          </w:tcPr>
          <w:p>
            <w:pPr>
              <w:ind w:left="120"/>
              <w:spacing w:after="0" w:line="182"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24,201</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24,910</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85"/>
        </w:trPr>
        <w:tc>
          <w:tcPr>
            <w:tcW w:w="76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Current maturities of TRI long-term debt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TRI long-term debt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27,229</w:t>
            </w:r>
          </w:p>
        </w:tc>
      </w:tr>
      <w:tr>
        <w:trPr>
          <w:trHeight w:val="217"/>
        </w:trPr>
        <w:tc>
          <w:tcPr>
            <w:tcW w:w="7640" w:type="dxa"/>
            <w:vAlign w:val="bottom"/>
          </w:tcPr>
          <w:p>
            <w:pPr>
              <w:spacing w:after="0"/>
              <w:rPr>
                <w:sz w:val="20"/>
                <w:szCs w:val="20"/>
                <w:color w:val="auto"/>
              </w:rPr>
            </w:pPr>
            <w:r>
              <w:rPr>
                <w:rFonts w:ascii="Arial" w:cs="Arial" w:eastAsia="Arial" w:hAnsi="Arial"/>
                <w:sz w:val="18"/>
                <w:szCs w:val="18"/>
                <w:color w:val="auto"/>
              </w:rPr>
              <w:t>Noncontrolling interest in VIE</w:t>
            </w: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(3,152)</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183"/>
        </w:trPr>
        <w:tc>
          <w:tcPr>
            <w:tcW w:w="7640" w:type="dxa"/>
            <w:vAlign w:val="bottom"/>
          </w:tcPr>
          <w:p>
            <w:pPr>
              <w:ind w:left="12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24,201</w:t>
            </w: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24,910</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200" w:firstLine="440"/>
        <w:spacing w:after="0" w:line="228" w:lineRule="auto"/>
        <w:rPr>
          <w:sz w:val="20"/>
          <w:szCs w:val="20"/>
          <w:color w:val="auto"/>
        </w:rPr>
      </w:pPr>
      <w:r>
        <w:rPr>
          <w:rFonts w:ascii="Arial" w:cs="Arial" w:eastAsia="Arial" w:hAnsi="Arial"/>
          <w:sz w:val="18"/>
          <w:szCs w:val="18"/>
          <w:color w:val="auto"/>
        </w:rPr>
        <w:t>Earnings per share is computed under the provisions of ASC 260</w:t>
      </w:r>
      <w:r>
        <w:rPr>
          <w:rFonts w:ascii="Arial" w:cs="Arial" w:eastAsia="Arial" w:hAnsi="Arial"/>
          <w:sz w:val="18"/>
          <w:szCs w:val="18"/>
          <w:i w:val="1"/>
          <w:iCs w:val="1"/>
          <w:color w:val="auto"/>
        </w:rPr>
        <w:t>, Earnings Per Share</w:t>
      </w:r>
      <w:r>
        <w:rPr>
          <w:rFonts w:ascii="Arial" w:cs="Arial" w:eastAsia="Arial" w:hAnsi="Arial"/>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The reconciliation of the numerator and denominator of the basic and diluted earnings per share calculation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30, 2022</w:t>
            </w:r>
          </w:p>
        </w:tc>
        <w:tc>
          <w:tcPr>
            <w:tcW w:w="440" w:type="dxa"/>
            <w:vAlign w:val="bottom"/>
          </w:tcPr>
          <w:p>
            <w:pPr>
              <w:spacing w:after="0"/>
              <w:rPr>
                <w:sz w:val="15"/>
                <w:szCs w:val="15"/>
                <w:color w:val="auto"/>
              </w:rPr>
            </w:pPr>
          </w:p>
        </w:tc>
        <w:tc>
          <w:tcPr>
            <w:tcW w:w="1500" w:type="dxa"/>
            <w:vAlign w:val="bottom"/>
          </w:tcPr>
          <w:p>
            <w:pPr>
              <w:jc w:val="right"/>
              <w:ind w:right="353"/>
              <w:spacing w:after="0"/>
              <w:rPr>
                <w:sz w:val="20"/>
                <w:szCs w:val="20"/>
                <w:color w:val="auto"/>
              </w:rPr>
            </w:pPr>
            <w:r>
              <w:rPr>
                <w:rFonts w:ascii="Arial" w:cs="Arial" w:eastAsia="Arial" w:hAnsi="Arial"/>
                <w:sz w:val="14"/>
                <w:szCs w:val="14"/>
                <w:b w:val="1"/>
                <w:bCs w:val="1"/>
                <w:color w:val="auto"/>
                <w:w w:val="92"/>
              </w:rPr>
              <w:t>January 31, 2021</w:t>
            </w:r>
          </w:p>
        </w:tc>
        <w:tc>
          <w:tcPr>
            <w:tcW w:w="0" w:type="dxa"/>
            <w:vAlign w:val="bottom"/>
          </w:tcPr>
          <w:p>
            <w:pPr>
              <w:spacing w:after="0"/>
              <w:rPr>
                <w:sz w:val="1"/>
                <w:szCs w:val="1"/>
                <w:color w:val="auto"/>
              </w:rPr>
            </w:pPr>
          </w:p>
        </w:tc>
      </w:tr>
      <w:tr>
        <w:trPr>
          <w:trHeight w:val="168"/>
        </w:trPr>
        <w:tc>
          <w:tcPr>
            <w:tcW w:w="582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Numerator - net income attributable to controlling interest</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29,702</w:t>
            </w:r>
          </w:p>
        </w:tc>
        <w:tc>
          <w:tcPr>
            <w:tcW w:w="240" w:type="dxa"/>
            <w:vAlign w:val="bottom"/>
          </w:tcPr>
          <w:p>
            <w:pPr>
              <w:spacing w:after="0"/>
              <w:rPr>
                <w:sz w:val="17"/>
                <w:szCs w:val="17"/>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Denominator - weighted average shares (Class A and Class B)</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32,618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32,447</w:t>
            </w:r>
          </w:p>
        </w:tc>
        <w:tc>
          <w:tcPr>
            <w:tcW w:w="0" w:type="dxa"/>
            <w:vAlign w:val="bottom"/>
          </w:tcPr>
          <w:p>
            <w:pPr>
              <w:spacing w:after="0"/>
              <w:rPr>
                <w:sz w:val="1"/>
                <w:szCs w:val="1"/>
                <w:color w:val="auto"/>
              </w:rPr>
            </w:pPr>
          </w:p>
        </w:tc>
      </w:tr>
      <w:tr>
        <w:trPr>
          <w:trHeight w:val="217"/>
        </w:trPr>
        <w:tc>
          <w:tcPr>
            <w:tcW w:w="5820" w:type="dxa"/>
            <w:vAlign w:val="bottom"/>
          </w:tcPr>
          <w:p>
            <w:pPr>
              <w:ind w:left="120"/>
              <w:spacing w:after="0"/>
              <w:rPr>
                <w:sz w:val="20"/>
                <w:szCs w:val="20"/>
                <w:color w:val="auto"/>
              </w:rPr>
            </w:pPr>
            <w:r>
              <w:rPr>
                <w:rFonts w:ascii="Arial" w:cs="Arial" w:eastAsia="Arial" w:hAnsi="Arial"/>
                <w:sz w:val="18"/>
                <w:szCs w:val="18"/>
                <w:color w:val="auto"/>
              </w:rPr>
              <w:t>Dilutive shares</w:t>
            </w: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83"/>
        </w:trPr>
        <w:tc>
          <w:tcPr>
            <w:tcW w:w="5820" w:type="dxa"/>
            <w:vAlign w:val="bottom"/>
          </w:tcPr>
          <w:p>
            <w:pPr>
              <w:ind w:left="120"/>
              <w:spacing w:after="0" w:line="182" w:lineRule="exact"/>
              <w:rPr>
                <w:sz w:val="20"/>
                <w:szCs w:val="20"/>
                <w:color w:val="auto"/>
              </w:rPr>
            </w:pPr>
            <w:r>
              <w:rPr>
                <w:rFonts w:ascii="Arial" w:cs="Arial" w:eastAsia="Arial" w:hAnsi="Arial"/>
                <w:sz w:val="18"/>
                <w:szCs w:val="18"/>
                <w:color w:val="auto"/>
              </w:rPr>
              <w:t>Diluted</w:t>
            </w:r>
          </w:p>
        </w:tc>
        <w:tc>
          <w:tcPr>
            <w:tcW w:w="1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32,851</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32,580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line="195" w:lineRule="exact"/>
              <w:rPr>
                <w:sz w:val="20"/>
                <w:szCs w:val="20"/>
                <w:color w:val="auto"/>
              </w:rPr>
            </w:pPr>
            <w:r>
              <w:rPr>
                <w:rFonts w:ascii="Arial" w:cs="Arial" w:eastAsia="Arial" w:hAnsi="Arial"/>
                <w:sz w:val="18"/>
                <w:szCs w:val="18"/>
                <w:color w:val="auto"/>
              </w:rPr>
              <w:t>Earnings per share (Class A and Class B)</w:t>
            </w: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0.91</w:t>
            </w:r>
          </w:p>
        </w:tc>
        <w:tc>
          <w:tcPr>
            <w:tcW w:w="240" w:type="dxa"/>
            <w:vAlign w:val="bottom"/>
          </w:tcPr>
          <w:p>
            <w:pPr>
              <w:spacing w:after="0"/>
              <w:rPr>
                <w:sz w:val="17"/>
                <w:szCs w:val="17"/>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2"/>
        </w:trPr>
        <w:tc>
          <w:tcPr>
            <w:tcW w:w="58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20"/>
                <w:szCs w:val="20"/>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162" w:lineRule="exact"/>
        <w:rPr>
          <w:sz w:val="20"/>
          <w:szCs w:val="20"/>
          <w:color w:val="auto"/>
        </w:rPr>
      </w:pPr>
    </w:p>
    <w:p>
      <w:pPr>
        <w:ind w:right="220" w:firstLine="570"/>
        <w:spacing w:after="0" w:line="242" w:lineRule="auto"/>
        <w:rPr>
          <w:sz w:val="20"/>
          <w:szCs w:val="20"/>
          <w:color w:val="auto"/>
        </w:rPr>
      </w:pPr>
      <w:r>
        <w:rPr>
          <w:rFonts w:ascii="Arial" w:cs="Arial" w:eastAsia="Arial" w:hAnsi="Arial"/>
          <w:sz w:val="17"/>
          <w:szCs w:val="17"/>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2"/>
          </w:tcPr>
          <w:p>
            <w:pPr>
              <w:ind w:left="240"/>
              <w:spacing w:after="0"/>
              <w:rPr>
                <w:sz w:val="20"/>
                <w:szCs w:val="20"/>
                <w:color w:val="auto"/>
              </w:rPr>
            </w:pPr>
            <w:r>
              <w:rPr>
                <w:rFonts w:ascii="Arial" w:cs="Arial" w:eastAsia="Arial" w:hAnsi="Arial"/>
                <w:sz w:val="14"/>
                <w:szCs w:val="14"/>
                <w:b w:val="1"/>
                <w:bCs w:val="1"/>
                <w:color w:val="auto"/>
              </w:rPr>
              <w:t>January 30, 2022</w:t>
            </w:r>
          </w:p>
        </w:tc>
        <w:tc>
          <w:tcPr>
            <w:tcW w:w="320" w:type="dxa"/>
            <w:vAlign w:val="bottom"/>
          </w:tcPr>
          <w:p>
            <w:pPr>
              <w:spacing w:after="0"/>
              <w:rPr>
                <w:sz w:val="14"/>
                <w:szCs w:val="14"/>
                <w:color w:val="auto"/>
              </w:rPr>
            </w:pPr>
          </w:p>
        </w:tc>
        <w:tc>
          <w:tcPr>
            <w:tcW w:w="1860" w:type="dxa"/>
            <w:vAlign w:val="bottom"/>
          </w:tcPr>
          <w:p>
            <w:pPr>
              <w:jc w:val="right"/>
              <w:ind w:right="475"/>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Direct-to-consumer</w:t>
            </w:r>
          </w:p>
        </w:tc>
        <w:tc>
          <w:tcPr>
            <w:tcW w:w="3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438,464</w:t>
            </w:r>
          </w:p>
        </w:tc>
        <w:tc>
          <w:tcPr>
            <w:tcW w:w="26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460,839</w:t>
            </w:r>
          </w:p>
        </w:tc>
        <w:tc>
          <w:tcPr>
            <w:tcW w:w="0" w:type="dxa"/>
            <w:vAlign w:val="bottom"/>
          </w:tcPr>
          <w:p>
            <w:pPr>
              <w:spacing w:after="0"/>
              <w:rPr>
                <w:sz w:val="1"/>
                <w:szCs w:val="1"/>
                <w:color w:val="auto"/>
              </w:rPr>
            </w:pPr>
          </w:p>
        </w:tc>
      </w:tr>
      <w:tr>
        <w:trPr>
          <w:trHeight w:val="418"/>
        </w:trPr>
        <w:tc>
          <w:tcPr>
            <w:tcW w:w="3480" w:type="dxa"/>
            <w:vAlign w:val="bottom"/>
          </w:tcPr>
          <w:p>
            <w:pPr>
              <w:spacing w:after="0"/>
              <w:rPr>
                <w:sz w:val="20"/>
                <w:szCs w:val="20"/>
                <w:color w:val="auto"/>
              </w:rPr>
            </w:pPr>
            <w:r>
              <w:rPr>
                <w:rFonts w:ascii="Arial" w:cs="Arial" w:eastAsia="Arial" w:hAnsi="Arial"/>
                <w:sz w:val="18"/>
                <w:szCs w:val="18"/>
                <w:color w:val="auto"/>
              </w:rPr>
              <w:t>Stores</w:t>
            </w:r>
          </w:p>
        </w:tc>
        <w:tc>
          <w:tcPr>
            <w:tcW w:w="3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260,120</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177,944</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698,584</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638,783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20" w:type="dxa"/>
            <w:vAlign w:val="bottom"/>
            <w:vMerge w:val="restart"/>
          </w:tcPr>
          <w:p>
            <w:pPr>
              <w:jc w:val="right"/>
              <w:ind w:right="819"/>
              <w:spacing w:after="0"/>
              <w:rPr>
                <w:sz w:val="20"/>
                <w:szCs w:val="20"/>
                <w:color w:val="auto"/>
              </w:rPr>
            </w:pPr>
            <w:r>
              <w:rPr>
                <w:rFonts w:ascii="Arial" w:cs="Arial" w:eastAsia="Arial" w:hAnsi="Arial"/>
                <w:sz w:val="14"/>
                <w:szCs w:val="14"/>
                <w:color w:val="auto"/>
              </w:rPr>
              <w:t>60</w:t>
            </w: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4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34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58" w:lineRule="exact"/>
        <w:rPr>
          <w:sz w:val="20"/>
          <w:szCs w:val="20"/>
          <w:color w:val="auto"/>
        </w:rPr>
      </w:pPr>
    </w:p>
    <w:p>
      <w:pPr>
        <w:ind w:right="60" w:firstLine="402"/>
        <w:spacing w:after="0" w:line="242" w:lineRule="auto"/>
        <w:rPr>
          <w:sz w:val="20"/>
          <w:szCs w:val="20"/>
          <w:color w:val="auto"/>
        </w:rPr>
      </w:pPr>
      <w:r>
        <w:rPr>
          <w:rFonts w:ascii="Arial" w:cs="Arial" w:eastAsia="Arial" w:hAnsi="Arial"/>
          <w:sz w:val="17"/>
          <w:szCs w:val="17"/>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upon issuance in Accrued expenses and other current liabilities under deferred revenue (see Note 5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Contract assets and liabilities on the Company’s Consolidated Balance Sheets are presented in the following table: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January 30, 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January 31, 2021</w:t>
            </w:r>
          </w:p>
        </w:tc>
      </w:tr>
      <w:tr>
        <w:trPr>
          <w:trHeight w:val="222"/>
        </w:trPr>
        <w:tc>
          <w:tcPr>
            <w:tcW w:w="6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Contract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2,235</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10,791</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9,788</w:t>
            </w:r>
          </w:p>
        </w:tc>
      </w:tr>
    </w:tbl>
    <w:p>
      <w:pPr>
        <w:spacing w:after="0" w:line="148" w:lineRule="exact"/>
        <w:rPr>
          <w:sz w:val="20"/>
          <w:szCs w:val="20"/>
          <w:color w:val="auto"/>
        </w:rPr>
      </w:pPr>
    </w:p>
    <w:p>
      <w:pPr>
        <w:ind w:right="260" w:firstLine="402"/>
        <w:spacing w:after="0" w:line="231" w:lineRule="auto"/>
        <w:rPr>
          <w:sz w:val="20"/>
          <w:szCs w:val="20"/>
          <w:color w:val="auto"/>
        </w:rPr>
      </w:pPr>
      <w:r>
        <w:rPr>
          <w:rFonts w:ascii="Arial" w:cs="Arial" w:eastAsia="Arial" w:hAnsi="Arial"/>
          <w:sz w:val="18"/>
          <w:szCs w:val="18"/>
          <w:color w:val="auto"/>
        </w:rPr>
        <w:t>Revenue from gift cards is recognized when the gift card is redeemed by the customer for merchandise, or as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jc w:val="right"/>
              <w:ind w:right="493"/>
              <w:spacing w:after="0"/>
              <w:rPr>
                <w:sz w:val="20"/>
                <w:szCs w:val="20"/>
                <w:color w:val="auto"/>
              </w:rPr>
            </w:pPr>
            <w:r>
              <w:rPr>
                <w:rFonts w:ascii="Arial" w:cs="Arial" w:eastAsia="Arial" w:hAnsi="Arial"/>
                <w:sz w:val="14"/>
                <w:szCs w:val="14"/>
                <w:b w:val="1"/>
                <w:bCs w:val="1"/>
                <w:color w:val="auto"/>
                <w:w w:val="98"/>
              </w:rPr>
              <w:t>January 31, 2021</w:t>
            </w:r>
          </w:p>
        </w:tc>
        <w:tc>
          <w:tcPr>
            <w:tcW w:w="0" w:type="dxa"/>
            <w:vAlign w:val="bottom"/>
          </w:tcPr>
          <w:p>
            <w:pPr>
              <w:spacing w:after="0"/>
              <w:rPr>
                <w:sz w:val="1"/>
                <w:szCs w:val="1"/>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Balance as of Beginning of Period</w:t>
            </w:r>
          </w:p>
        </w:tc>
        <w:tc>
          <w:tcPr>
            <w:tcW w:w="400" w:type="dxa"/>
            <w:vAlign w:val="bottom"/>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Gift cards sold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18,901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17,098</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Gift cards redeemed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(16,047)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17"/>
        </w:trPr>
        <w:tc>
          <w:tcPr>
            <w:tcW w:w="6480" w:type="dxa"/>
            <w:vAlign w:val="bottom"/>
          </w:tcPr>
          <w:p>
            <w:pPr>
              <w:spacing w:after="0"/>
              <w:rPr>
                <w:sz w:val="20"/>
                <w:szCs w:val="20"/>
                <w:color w:val="auto"/>
              </w:rPr>
            </w:pPr>
            <w:r>
              <w:rPr>
                <w:rFonts w:ascii="Arial" w:cs="Arial" w:eastAsia="Arial" w:hAnsi="Arial"/>
                <w:sz w:val="18"/>
                <w:szCs w:val="18"/>
                <w:color w:val="auto"/>
              </w:rPr>
              <w:t>Gift card breakage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(1,851)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196"/>
        </w:trPr>
        <w:tc>
          <w:tcPr>
            <w:tcW w:w="6480" w:type="dxa"/>
            <w:vAlign w:val="bottom"/>
          </w:tcPr>
          <w:p>
            <w:pPr>
              <w:spacing w:after="0" w:line="196" w:lineRule="exact"/>
              <w:rPr>
                <w:sz w:val="20"/>
                <w:szCs w:val="20"/>
                <w:color w:val="auto"/>
              </w:rPr>
            </w:pPr>
            <w:r>
              <w:rPr>
                <w:rFonts w:ascii="Arial" w:cs="Arial" w:eastAsia="Arial" w:hAnsi="Arial"/>
                <w:sz w:val="18"/>
                <w:szCs w:val="18"/>
                <w:color w:val="auto"/>
              </w:rPr>
              <w:t>Balance as of End of Period</w:t>
            </w:r>
          </w:p>
        </w:tc>
        <w:tc>
          <w:tcPr>
            <w:tcW w:w="400" w:type="dxa"/>
            <w:vAlign w:val="bottom"/>
            <w:tcBorders>
              <w:top w:val="single" w:sz="8" w:color="auto"/>
              <w:bottom w:val="single" w:sz="8" w:color="auto"/>
            </w:tcBorders>
            <w:gridSpan w:val="2"/>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80" w:type="dxa"/>
            <w:vAlign w:val="bottom"/>
          </w:tcPr>
          <w:p>
            <w:pPr>
              <w:ind w:left="440"/>
              <w:spacing w:after="0"/>
              <w:rPr>
                <w:sz w:val="20"/>
                <w:szCs w:val="20"/>
                <w:color w:val="auto"/>
              </w:rPr>
            </w:pPr>
            <w:r>
              <w:rPr>
                <w:rFonts w:ascii="Arial" w:cs="Arial" w:eastAsia="Arial" w:hAnsi="Arial"/>
                <w:sz w:val="18"/>
                <w:szCs w:val="18"/>
                <w:color w:val="auto"/>
              </w:rPr>
              <w:t>The components of income tax expense were as follows: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January 30, 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ind w:right="493"/>
              <w:spacing w:after="0"/>
              <w:rPr>
                <w:sz w:val="20"/>
                <w:szCs w:val="20"/>
                <w:color w:val="auto"/>
              </w:rPr>
            </w:pPr>
            <w:r>
              <w:rPr>
                <w:rFonts w:ascii="Arial" w:cs="Arial" w:eastAsia="Arial" w:hAnsi="Arial"/>
                <w:sz w:val="14"/>
                <w:szCs w:val="14"/>
                <w:b w:val="1"/>
                <w:bCs w:val="1"/>
                <w:color w:val="auto"/>
                <w:w w:val="98"/>
              </w:rPr>
              <w:t>January 31, 2021</w:t>
            </w:r>
          </w:p>
        </w:tc>
        <w:tc>
          <w:tcPr>
            <w:tcW w:w="0" w:type="dxa"/>
            <w:vAlign w:val="bottom"/>
          </w:tcPr>
          <w:p>
            <w:pPr>
              <w:spacing w:after="0"/>
              <w:rPr>
                <w:sz w:val="1"/>
                <w:szCs w:val="1"/>
                <w:color w:val="auto"/>
              </w:rPr>
            </w:pPr>
          </w:p>
        </w:tc>
      </w:tr>
      <w:tr>
        <w:trPr>
          <w:trHeight w:val="168"/>
        </w:trPr>
        <w:tc>
          <w:tcPr>
            <w:tcW w:w="6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4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12,678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7"/>
        </w:trPr>
        <w:tc>
          <w:tcPr>
            <w:tcW w:w="6480" w:type="dxa"/>
            <w:vAlign w:val="bottom"/>
          </w:tcPr>
          <w:p>
            <w:pPr>
              <w:ind w:left="120"/>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4"/>
        </w:trPr>
        <w:tc>
          <w:tcPr>
            <w:tcW w:w="648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15,368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147"/>
        </w:trPr>
        <w:tc>
          <w:tcPr>
            <w:tcW w:w="6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(4,945)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7"/>
        </w:trPr>
        <w:tc>
          <w:tcPr>
            <w:tcW w:w="6480" w:type="dxa"/>
            <w:vAlign w:val="bottom"/>
          </w:tcPr>
          <w:p>
            <w:pPr>
              <w:ind w:left="120"/>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83"/>
        </w:trPr>
        <w:tc>
          <w:tcPr>
            <w:tcW w:w="6480" w:type="dxa"/>
            <w:vAlign w:val="bottom"/>
            <w:vMerge w:val="restart"/>
          </w:tcPr>
          <w:p>
            <w:pPr>
              <w:spacing w:after="0"/>
              <w:rPr>
                <w:sz w:val="20"/>
                <w:szCs w:val="20"/>
                <w:color w:val="auto"/>
              </w:rPr>
            </w:pPr>
            <w:r>
              <w:rPr>
                <w:rFonts w:ascii="Arial" w:cs="Arial" w:eastAsia="Arial" w:hAnsi="Arial"/>
                <w:sz w:val="18"/>
                <w:szCs w:val="18"/>
                <w:color w:val="auto"/>
              </w:rPr>
              <w:t>Total income tax expense</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(5,481)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83"/>
        </w:trPr>
        <w:tc>
          <w:tcPr>
            <w:tcW w:w="6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9,887</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5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40"/>
        <w:spacing w:after="0" w:line="246" w:lineRule="auto"/>
        <w:rPr>
          <w:sz w:val="20"/>
          <w:szCs w:val="20"/>
          <w:color w:val="auto"/>
        </w:rPr>
      </w:pPr>
      <w:r>
        <w:rPr>
          <w:rFonts w:ascii="Arial" w:cs="Arial" w:eastAsia="Arial" w:hAnsi="Arial"/>
          <w:sz w:val="18"/>
          <w:szCs w:val="18"/>
          <w:color w:val="auto"/>
        </w:rPr>
        <w:t>The tax effects of unrealized gains and losses on securities are components of other comprehensive income and therefore excluded from deferred tax expense.</w:t>
      </w:r>
    </w:p>
    <w:p>
      <w:pPr>
        <w:spacing w:after="0" w:line="143" w:lineRule="exact"/>
        <w:rPr>
          <w:sz w:val="20"/>
          <w:szCs w:val="20"/>
          <w:color w:val="auto"/>
        </w:rPr>
      </w:pPr>
    </w:p>
    <w:p>
      <w:pPr>
        <w:jc w:val="both"/>
        <w:ind w:right="40" w:firstLine="440"/>
        <w:spacing w:after="0" w:line="238" w:lineRule="auto"/>
        <w:rPr>
          <w:sz w:val="20"/>
          <w:szCs w:val="20"/>
          <w:color w:val="auto"/>
        </w:rPr>
      </w:pPr>
      <w:r>
        <w:rPr>
          <w:rFonts w:ascii="Arial" w:cs="Arial" w:eastAsia="Arial" w:hAnsi="Arial"/>
          <w:sz w:val="17"/>
          <w:szCs w:val="17"/>
          <w:color w:val="auto"/>
        </w:rPr>
        <w:t>Realization of the deferred tax asset over time is dependent upon the Company generating sufficient taxable earnings in future periods. In making the determination that the realization of the deferred tax was more likely than not, the Company considered several factors including its recent earnings history, its expected earnings in the future, and appropriate tax planning strategies. The Company believes it will be able to fully utilize its established deferred tax assets and therefore no valuation allowance has been established as of January 30, 2022 and January 31,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income tax expense to the amount computed at the federal statutory rate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209"/>
        </w:trPr>
        <w:tc>
          <w:tcPr>
            <w:tcW w:w="5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January 30, 2022</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January 31, 2021</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68"/>
        </w:trPr>
        <w:tc>
          <w:tcPr>
            <w:tcW w:w="5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Federal taxes at statutory rate</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8,314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7"/>
                <w:szCs w:val="17"/>
                <w:color w:val="auto"/>
              </w:rPr>
            </w:pP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3,824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State and local income taxes, net of federal benefit</w:t>
            </w: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1,692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786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Research and development tax credits</w:t>
            </w:r>
          </w:p>
        </w:tc>
        <w:tc>
          <w:tcPr>
            <w:tcW w:w="4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(226)</w:t>
            </w:r>
          </w:p>
        </w:tc>
        <w:tc>
          <w:tcPr>
            <w:tcW w:w="3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(151)</w:t>
            </w:r>
          </w:p>
        </w:tc>
        <w:tc>
          <w:tcPr>
            <w:tcW w:w="4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r>
      <w:tr>
        <w:trPr>
          <w:trHeight w:val="217"/>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Total income tax expense</w:t>
            </w:r>
          </w:p>
        </w:tc>
        <w:tc>
          <w:tcPr>
            <w:tcW w:w="4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9,887</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25.0</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4,637</w:t>
            </w:r>
          </w:p>
        </w:tc>
        <w:tc>
          <w:tcPr>
            <w:tcW w:w="2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25.5</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r>
      <w:tr>
        <w:trPr>
          <w:trHeight w:val="20"/>
        </w:trPr>
        <w:tc>
          <w:tcPr>
            <w:tcW w:w="5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420" w:firstLine="440"/>
        <w:spacing w:after="0" w:line="246" w:lineRule="auto"/>
        <w:rPr>
          <w:sz w:val="20"/>
          <w:szCs w:val="20"/>
          <w:color w:val="auto"/>
        </w:rPr>
      </w:pPr>
      <w:r>
        <w:rPr>
          <w:rFonts w:ascii="Arial" w:cs="Arial" w:eastAsia="Arial" w:hAnsi="Arial"/>
          <w:sz w:val="18"/>
          <w:szCs w:val="18"/>
          <w:color w:val="auto"/>
        </w:rPr>
        <w:t>Deferred income taxes reflect the net tax effects of temporary differences between U.S. GAAP and tax bases of assets and liabilities. Significant components of deferred tax assets and liabilities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30, 2022</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January 31, 2021</w:t>
            </w:r>
          </w:p>
        </w:tc>
      </w:tr>
      <w:tr>
        <w:trPr>
          <w:trHeight w:val="168"/>
        </w:trPr>
        <w:tc>
          <w:tcPr>
            <w:tcW w:w="6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Returns allowance</w:t>
            </w:r>
          </w:p>
        </w:tc>
        <w:tc>
          <w:tcPr>
            <w:tcW w:w="1640" w:type="dxa"/>
            <w:vAlign w:val="bottom"/>
          </w:tcPr>
          <w:p>
            <w:pPr>
              <w:jc w:val="right"/>
              <w:ind w:right="145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1,367</w:t>
            </w:r>
          </w:p>
        </w:tc>
        <w:tc>
          <w:tcPr>
            <w:tcW w:w="2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1,330</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Uniform capitalization</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3,007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3,425</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Inventory</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Deferred rent</w:t>
            </w:r>
          </w:p>
        </w:tc>
        <w:tc>
          <w:tcPr>
            <w:tcW w:w="1640" w:type="dxa"/>
            <w:vAlign w:val="bottom"/>
          </w:tcPr>
          <w:p>
            <w:pPr>
              <w:spacing w:after="0"/>
              <w:rPr>
                <w:sz w:val="17"/>
                <w:szCs w:val="17"/>
                <w:color w:val="auto"/>
              </w:rPr>
            </w:pP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Lease liability</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50,735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49,243</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Accruals</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2,361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1,841</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Advance payments</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689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17"/>
        </w:trPr>
        <w:tc>
          <w:tcPr>
            <w:tcW w:w="6560" w:type="dxa"/>
            <w:vAlign w:val="bottom"/>
          </w:tcPr>
          <w:p>
            <w:pPr>
              <w:ind w:left="120"/>
              <w:spacing w:after="0"/>
              <w:rPr>
                <w:sz w:val="20"/>
                <w:szCs w:val="20"/>
                <w:color w:val="auto"/>
              </w:rPr>
            </w:pPr>
            <w:r>
              <w:rPr>
                <w:rFonts w:ascii="Arial" w:cs="Arial" w:eastAsia="Arial" w:hAnsi="Arial"/>
                <w:sz w:val="18"/>
                <w:szCs w:val="18"/>
                <w:color w:val="auto"/>
              </w:rPr>
              <w:t>Unrecognized tax benefits</w:t>
            </w:r>
          </w:p>
        </w:tc>
        <w:tc>
          <w:tcPr>
            <w:tcW w:w="1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4"/>
        </w:trPr>
        <w:tc>
          <w:tcPr>
            <w:tcW w:w="65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58,501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56,962</w:t>
            </w:r>
          </w:p>
        </w:tc>
      </w:tr>
      <w:tr>
        <w:trPr>
          <w:trHeight w:val="349"/>
        </w:trPr>
        <w:tc>
          <w:tcPr>
            <w:tcW w:w="6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2"/>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Property and equipment</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8,815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13,202</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Unrealized gain on investment</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Inventory</w:t>
            </w:r>
          </w:p>
        </w:tc>
        <w:tc>
          <w:tcPr>
            <w:tcW w:w="1640" w:type="dxa"/>
            <w:vAlign w:val="bottom"/>
          </w:tcPr>
          <w:p>
            <w:pPr>
              <w:spacing w:after="0"/>
              <w:rPr>
                <w:sz w:val="17"/>
                <w:szCs w:val="17"/>
                <w:color w:val="auto"/>
              </w:rPr>
            </w:pP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927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868</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Right-of-use asset</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51,395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50,697</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Goodwill and intangibles</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17"/>
        </w:trPr>
        <w:tc>
          <w:tcPr>
            <w:tcW w:w="6560" w:type="dxa"/>
            <w:vAlign w:val="bottom"/>
          </w:tcPr>
          <w:p>
            <w:pPr>
              <w:ind w:left="120"/>
              <w:spacing w:after="0"/>
              <w:rPr>
                <w:sz w:val="20"/>
                <w:szCs w:val="20"/>
                <w:color w:val="auto"/>
              </w:rPr>
            </w:pPr>
            <w:r>
              <w:rPr>
                <w:rFonts w:ascii="Arial" w:cs="Arial" w:eastAsia="Arial" w:hAnsi="Arial"/>
                <w:sz w:val="18"/>
                <w:szCs w:val="18"/>
                <w:color w:val="auto"/>
              </w:rPr>
              <w:t>Revenue recognition method adjustment</w:t>
            </w:r>
          </w:p>
        </w:tc>
        <w:tc>
          <w:tcPr>
            <w:tcW w:w="16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183"/>
        </w:trPr>
        <w:tc>
          <w:tcPr>
            <w:tcW w:w="6560" w:type="dxa"/>
            <w:vAlign w:val="bottom"/>
          </w:tcPr>
          <w:p>
            <w:pPr>
              <w:spacing w:after="0" w:line="182" w:lineRule="exact"/>
              <w:rPr>
                <w:sz w:val="20"/>
                <w:szCs w:val="20"/>
                <w:color w:val="auto"/>
              </w:rPr>
            </w:pPr>
            <w:r>
              <w:rPr>
                <w:rFonts w:ascii="Arial" w:cs="Arial" w:eastAsia="Arial" w:hAnsi="Arial"/>
                <w:sz w:val="18"/>
                <w:szCs w:val="18"/>
                <w:color w:val="auto"/>
              </w:rPr>
              <w:t>Total deferred tax liabilities</w:t>
            </w:r>
          </w:p>
        </w:tc>
        <w:tc>
          <w:tcPr>
            <w:tcW w:w="16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61,368</w:t>
            </w:r>
          </w:p>
        </w:tc>
        <w:tc>
          <w:tcPr>
            <w:tcW w:w="26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65,162</w:t>
            </w:r>
          </w:p>
        </w:tc>
      </w:tr>
      <w:tr>
        <w:trPr>
          <w:trHeight w:val="183"/>
        </w:trPr>
        <w:tc>
          <w:tcPr>
            <w:tcW w:w="6560" w:type="dxa"/>
            <w:vAlign w:val="bottom"/>
          </w:tcPr>
          <w:p>
            <w:pPr>
              <w:spacing w:after="0" w:line="182" w:lineRule="exact"/>
              <w:rPr>
                <w:sz w:val="20"/>
                <w:szCs w:val="20"/>
                <w:color w:val="auto"/>
              </w:rPr>
            </w:pPr>
            <w:r>
              <w:rPr>
                <w:rFonts w:ascii="Arial" w:cs="Arial" w:eastAsia="Arial" w:hAnsi="Arial"/>
                <w:sz w:val="18"/>
                <w:szCs w:val="18"/>
                <w:color w:val="auto"/>
              </w:rPr>
              <w:t>Net deferred tax liabilities</w:t>
            </w:r>
          </w:p>
        </w:tc>
        <w:tc>
          <w:tcPr>
            <w:tcW w:w="1640" w:type="dxa"/>
            <w:vAlign w:val="bottom"/>
            <w:tcBorders>
              <w:bottom w:val="single" w:sz="8" w:color="auto"/>
            </w:tcBorders>
          </w:tcPr>
          <w:p>
            <w:pPr>
              <w:jc w:val="right"/>
              <w:ind w:right="1456"/>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2,867</w:t>
            </w:r>
          </w:p>
        </w:tc>
        <w:tc>
          <w:tcPr>
            <w:tcW w:w="26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8,200</w:t>
            </w:r>
          </w:p>
        </w:tc>
      </w:tr>
      <w:tr>
        <w:trPr>
          <w:trHeight w:val="20"/>
        </w:trPr>
        <w:tc>
          <w:tcPr>
            <w:tcW w:w="65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January 30, 2022</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January 31, 2021</w:t>
            </w:r>
          </w:p>
        </w:tc>
      </w:tr>
      <w:tr>
        <w:trPr>
          <w:trHeight w:val="222"/>
        </w:trPr>
        <w:tc>
          <w:tcPr>
            <w:tcW w:w="6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Balance beginning of year</w:t>
            </w:r>
          </w:p>
        </w:tc>
        <w:tc>
          <w:tcPr>
            <w:tcW w:w="1760" w:type="dxa"/>
            <w:vAlign w:val="bottom"/>
          </w:tcPr>
          <w:p>
            <w:pPr>
              <w:jc w:val="right"/>
              <w:ind w:right="157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Additions for tax positions in prior years</w:t>
            </w:r>
          </w:p>
        </w:tc>
        <w:tc>
          <w:tcPr>
            <w:tcW w:w="1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Additions for tax positions in current year</w:t>
            </w:r>
          </w:p>
        </w:tc>
        <w:tc>
          <w:tcPr>
            <w:tcW w:w="1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Statue of limitations</w:t>
            </w:r>
          </w:p>
        </w:tc>
        <w:tc>
          <w:tcPr>
            <w:tcW w:w="17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560" w:type="dxa"/>
            <w:vAlign w:val="bottom"/>
          </w:tcPr>
          <w:p>
            <w:pPr>
              <w:spacing w:after="0" w:line="196" w:lineRule="exact"/>
              <w:rPr>
                <w:sz w:val="20"/>
                <w:szCs w:val="20"/>
                <w:color w:val="auto"/>
              </w:rPr>
            </w:pPr>
            <w:r>
              <w:rPr>
                <w:rFonts w:ascii="Arial" w:cs="Arial" w:eastAsia="Arial" w:hAnsi="Arial"/>
                <w:sz w:val="18"/>
                <w:szCs w:val="18"/>
                <w:color w:val="auto"/>
              </w:rPr>
              <w:t>Balance at end of year</w:t>
            </w:r>
          </w:p>
        </w:tc>
        <w:tc>
          <w:tcPr>
            <w:tcW w:w="1760" w:type="dxa"/>
            <w:vAlign w:val="bottom"/>
            <w:tcBorders>
              <w:top w:val="single" w:sz="8" w:color="auto"/>
              <w:bottom w:val="single" w:sz="8" w:color="auto"/>
            </w:tcBorders>
          </w:tcPr>
          <w:p>
            <w:pPr>
              <w:jc w:val="right"/>
              <w:ind w:right="157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w:t>
            </w:r>
          </w:p>
        </w:tc>
      </w:tr>
      <w:tr>
        <w:trPr>
          <w:trHeight w:val="20"/>
        </w:trPr>
        <w:tc>
          <w:tcPr>
            <w:tcW w:w="6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40" w:firstLine="440"/>
        <w:spacing w:after="0" w:line="227" w:lineRule="auto"/>
        <w:rPr>
          <w:sz w:val="20"/>
          <w:szCs w:val="20"/>
          <w:color w:val="auto"/>
        </w:rPr>
      </w:pPr>
      <w:r>
        <w:rPr>
          <w:rFonts w:ascii="Arial" w:cs="Arial" w:eastAsia="Arial" w:hAnsi="Arial"/>
          <w:sz w:val="18"/>
          <w:szCs w:val="18"/>
          <w:color w:val="auto"/>
        </w:rPr>
        <w:t>If recognized, $0.3 million of the Company’s unrecognized tax benefits as of January 30, 2022, would affect the Company’s effective tax rate. The Company does not anticipate that there will be a material change in the balance of the unrecognized tax benefits in the next 12 months. Any interest and penalties related to uncertain tax positions are recorded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ind w:right="-39"/>
        <w:spacing w:after="0" w:line="219" w:lineRule="auto"/>
        <w:rPr>
          <w:sz w:val="20"/>
          <w:szCs w:val="20"/>
          <w:color w:val="auto"/>
        </w:rPr>
      </w:pPr>
      <w:r>
        <w:rPr>
          <w:rFonts w:ascii="Arial" w:cs="Arial" w:eastAsia="Arial" w:hAnsi="Arial"/>
          <w:sz w:val="18"/>
          <w:szCs w:val="18"/>
          <w:b w:val="1"/>
          <w:bCs w:val="1"/>
          <w:color w:val="auto"/>
        </w:rPr>
        <w:t>DULUTH HOLDINGS INC.</w:t>
      </w: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income tax expense. There were no material amounts recorded as tax expense for interest or penalties for the years ended January 30, 2022 and January 31, 2021.</w:t>
      </w:r>
    </w:p>
    <w:p>
      <w:pPr>
        <w:spacing w:after="0" w:line="143"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The Company files income tax returns in the United States federal jurisdiction and in various state jurisdictions. Federal tax returns for tax year 2018, and state tax returns for tax year 2017, are open for examination.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PLAN</w:t>
      </w:r>
    </w:p>
    <w:p>
      <w:pPr>
        <w:spacing w:after="0" w:line="162" w:lineRule="exact"/>
        <w:rPr>
          <w:sz w:val="20"/>
          <w:szCs w:val="20"/>
          <w:color w:val="auto"/>
        </w:rPr>
      </w:pPr>
    </w:p>
    <w:p>
      <w:pPr>
        <w:ind w:right="140" w:firstLine="440"/>
        <w:spacing w:after="0" w:line="231" w:lineRule="auto"/>
        <w:rPr>
          <w:sz w:val="20"/>
          <w:szCs w:val="20"/>
          <w:color w:val="auto"/>
        </w:rPr>
      </w:pPr>
      <w:r>
        <w:rPr>
          <w:rFonts w:ascii="Arial" w:cs="Arial" w:eastAsia="Arial" w:hAnsi="Arial"/>
          <w:sz w:val="18"/>
          <w:szCs w:val="18"/>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spacing w:after="0" w:line="148"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The Company is also permitted to make discretionary profit sharing contributions to the Plan. There were no profit sharing contributions for the plan year ended December 31, 2021.</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total expenses under the Plan were $2.1 million and $1.6 million for fiscal 2021 and fiscal 2020,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5" w:lineRule="exact"/>
        <w:rPr>
          <w:sz w:val="20"/>
          <w:szCs w:val="20"/>
          <w:color w:val="auto"/>
        </w:rPr>
      </w:pPr>
    </w:p>
    <w:p>
      <w:pPr>
        <w:ind w:right="20" w:firstLine="440"/>
        <w:spacing w:after="0" w:line="225" w:lineRule="auto"/>
        <w:rPr>
          <w:sz w:val="20"/>
          <w:szCs w:val="20"/>
          <w:color w:val="auto"/>
        </w:rPr>
      </w:pPr>
      <w:r>
        <w:rPr>
          <w:rFonts w:ascii="Arial" w:cs="Arial" w:eastAsia="Arial" w:hAnsi="Arial"/>
          <w:sz w:val="18"/>
          <w:szCs w:val="18"/>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Intangibles – Goodwill and Other – Internal-use Software</w:t>
      </w:r>
    </w:p>
    <w:p>
      <w:pPr>
        <w:spacing w:after="0" w:line="158" w:lineRule="exact"/>
        <w:rPr>
          <w:sz w:val="20"/>
          <w:szCs w:val="20"/>
          <w:color w:val="auto"/>
        </w:rPr>
      </w:pPr>
    </w:p>
    <w:p>
      <w:pPr>
        <w:ind w:right="20" w:firstLine="440"/>
        <w:spacing w:after="0" w:line="237" w:lineRule="auto"/>
        <w:rPr>
          <w:sz w:val="20"/>
          <w:szCs w:val="20"/>
          <w:color w:val="auto"/>
        </w:rPr>
      </w:pPr>
      <w:r>
        <w:rPr>
          <w:rFonts w:ascii="Arial" w:cs="Arial" w:eastAsia="Arial" w:hAnsi="Arial"/>
          <w:sz w:val="17"/>
          <w:szCs w:val="17"/>
          <w:color w:val="auto"/>
        </w:rPr>
        <w:t xml:space="preserve">On February 3, 2020, the Company adopted Accounting Standards Update (“ASU”) No. 2018-15, </w:t>
      </w:r>
      <w:r>
        <w:rPr>
          <w:rFonts w:ascii="Arial" w:cs="Arial" w:eastAsia="Arial" w:hAnsi="Arial"/>
          <w:sz w:val="17"/>
          <w:szCs w:val="17"/>
          <w:i w:val="1"/>
          <w:iCs w:val="1"/>
          <w:color w:val="auto"/>
        </w:rPr>
        <w:t>Intangibles – Goodwill and Other – 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(Subtopic 350-40) </w:t>
      </w:r>
      <w:r>
        <w:rPr>
          <w:rFonts w:ascii="Arial" w:cs="Arial" w:eastAsia="Arial" w:hAnsi="Arial"/>
          <w:sz w:val="17"/>
          <w:szCs w:val="17"/>
          <w:color w:val="auto"/>
        </w:rPr>
        <w:t>(“ASU 2018-15”) which provides additional guidance on the accounting for costs of implementation activities performed in a</w:t>
      </w:r>
      <w:r>
        <w:rPr>
          <w:rFonts w:ascii="Arial" w:cs="Arial" w:eastAsia="Arial" w:hAnsi="Arial"/>
          <w:sz w:val="17"/>
          <w:szCs w:val="17"/>
          <w:i w:val="1"/>
          <w:iCs w:val="1"/>
          <w:color w:val="auto"/>
        </w:rPr>
        <w:t xml:space="preserve"> </w:t>
      </w:r>
      <w:r>
        <w:rPr>
          <w:rFonts w:ascii="Arial" w:cs="Arial" w:eastAsia="Arial" w:hAnsi="Arial"/>
          <w:sz w:val="17"/>
          <w:szCs w:val="17"/>
          <w:color w:val="auto"/>
        </w:rPr>
        <w:t>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Company adopted ASU 2018-15 using the prospective method. In fiscal 2021, $4.4 million of capitalized costs associated with implementation activities, net of amortization are classified within Prepaid expenses &amp; other current assets on the Company’s Consolidated Balance Sheets and $1.8 million of related amortization costs are included in Selling, general and administrative expenses on the Company’s Consolidated Statement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 – Credit Losses – Measurement of Credit Losses on Financial Instruments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ind w:right="-19"/>
        <w:spacing w:after="0" w:line="219" w:lineRule="auto"/>
        <w:rPr>
          <w:sz w:val="20"/>
          <w:szCs w:val="20"/>
          <w:color w:val="auto"/>
        </w:rPr>
      </w:pPr>
      <w:r>
        <w:rPr>
          <w:rFonts w:ascii="Arial" w:cs="Arial" w:eastAsia="Arial" w:hAnsi="Arial"/>
          <w:sz w:val="18"/>
          <w:szCs w:val="18"/>
          <w:b w:val="1"/>
          <w:bCs w:val="1"/>
          <w:color w:val="auto"/>
        </w:rPr>
        <w:t>DULUTH HOLDINGS INC.</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p>
      <w:pPr>
        <w:ind w:firstLine="440"/>
        <w:spacing w:after="0" w:line="237"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Instruments-Credit Losses (Topic 326):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(“ASU 2016-13”), which amends the impairment model by requiring entities to use a forward-looking approach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Arial" w:cs="Arial" w:eastAsia="Arial" w:hAnsi="Arial"/>
          <w:sz w:val="17"/>
          <w:szCs w:val="17"/>
          <w:i w:val="1"/>
          <w:iCs w:val="1"/>
          <w:color w:val="auto"/>
        </w:rPr>
        <w:t>“Financial Instruments-Credit Losses (Topic 326),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(Topic 815, and Leases (Topic 842),” </w:t>
      </w:r>
      <w:r>
        <w:rPr>
          <w:rFonts w:ascii="Arial" w:cs="Arial" w:eastAsia="Arial" w:hAnsi="Arial"/>
          <w:sz w:val="17"/>
          <w:szCs w:val="17"/>
          <w:color w:val="auto"/>
        </w:rPr>
        <w:t>(ASU 2019-10”), which provides framework to stagger effective dates for future major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level of impact adopting ASU 2016-13 will have on the Company’s consolidated financial statements.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spacing w:after="0" w:line="219" w:lineRule="auto"/>
        <w:rPr>
          <w:sz w:val="20"/>
          <w:szCs w:val="20"/>
          <w:color w:val="auto"/>
        </w:rPr>
      </w:pPr>
      <w:r>
        <w:rPr>
          <w:rFonts w:ascii="Arial" w:cs="Arial" w:eastAsia="Arial" w:hAnsi="Arial"/>
          <w:sz w:val="18"/>
          <w:szCs w:val="18"/>
          <w:b w:val="1"/>
          <w:bCs w:val="1"/>
          <w:color w:val="auto"/>
        </w:rPr>
        <w:t>DULUTH HOLDINGS INC.</w:t>
      </w:r>
    </w:p>
    <w:p>
      <w:pPr>
        <w:jc w:val="center"/>
        <w:ind w:right="-179"/>
        <w:spacing w:after="0" w:line="219" w:lineRule="auto"/>
        <w:rPr>
          <w:sz w:val="20"/>
          <w:szCs w:val="20"/>
          <w:color w:val="auto"/>
        </w:rPr>
      </w:pPr>
      <w:r>
        <w:rPr>
          <w:rFonts w:ascii="Arial" w:cs="Arial" w:eastAsia="Arial" w:hAnsi="Arial"/>
          <w:sz w:val="18"/>
          <w:szCs w:val="18"/>
          <w:b w:val="1"/>
          <w:bCs w:val="1"/>
          <w:color w:val="auto"/>
        </w:rPr>
        <w:t>SCHEDULE II</w:t>
      </w:r>
    </w:p>
    <w:p>
      <w:pPr>
        <w:jc w:val="center"/>
        <w:spacing w:after="0" w:line="219" w:lineRule="auto"/>
        <w:rPr>
          <w:sz w:val="20"/>
          <w:szCs w:val="20"/>
          <w:color w:val="auto"/>
        </w:rPr>
      </w:pPr>
      <w:r>
        <w:rPr>
          <w:rFonts w:ascii="Arial" w:cs="Arial" w:eastAsia="Arial" w:hAnsi="Arial"/>
          <w:sz w:val="18"/>
          <w:szCs w:val="18"/>
          <w:b w:val="1"/>
          <w:bCs w:val="1"/>
          <w:color w:val="auto"/>
        </w:rPr>
        <w:t>VALUATION AND QUALIFYING ACCOUNTS</w:t>
      </w:r>
    </w:p>
    <w:p>
      <w:pPr>
        <w:jc w:val="center"/>
        <w:spacing w:after="0"/>
        <w:rPr>
          <w:sz w:val="20"/>
          <w:szCs w:val="20"/>
          <w:color w:val="auto"/>
        </w:rPr>
      </w:pPr>
      <w:r>
        <w:rPr>
          <w:rFonts w:ascii="Arial" w:cs="Arial" w:eastAsia="Arial" w:hAnsi="Arial"/>
          <w:sz w:val="16"/>
          <w:szCs w:val="16"/>
          <w:b w:val="1"/>
          <w:bCs w:val="1"/>
          <w:color w:val="auto"/>
        </w:rPr>
        <w:t>For the Years Ended January 30, 2022 and January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ectPr>
          <w:pgSz w:w="11900" w:h="16838" w:orient="portrait"/>
          <w:cols w:equalWidth="0" w:num="1">
            <w:col w:w="11240"/>
          </w:cols>
          <w:pgMar w:left="320" w:top="1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reserve</w:t>
      </w:r>
    </w:p>
    <w:p>
      <w:pPr>
        <w:spacing w:after="0" w:line="12"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color w:val="auto"/>
        </w:rPr>
        <w:t>Year ended January 30, 2022 Year ended January 31,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returns reserve</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Year ended January 30, 2022</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Year ended January 31, 2021</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Charged to</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Charged to</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Cost and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Arial" w:cs="Arial" w:eastAsia="Arial" w:hAnsi="Arial"/>
                <w:sz w:val="14"/>
                <w:szCs w:val="14"/>
                <w:b w:val="1"/>
                <w:bCs w:val="1"/>
                <w:color w:val="auto"/>
              </w:rPr>
              <w:t>Ending</w:t>
            </w:r>
          </w:p>
        </w:tc>
      </w:tr>
      <w:tr>
        <w:trPr>
          <w:trHeight w:val="188"/>
        </w:trPr>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5"/>
              </w:rPr>
              <w:t>Expenses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7"/>
              </w:rPr>
              <w:t>Accounts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Balance</w:t>
            </w:r>
          </w:p>
        </w:tc>
      </w:tr>
      <w:tr>
        <w:trPr>
          <w:trHeight w:val="37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30"/>
        </w:trPr>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58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5,304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5,439</w:t>
            </w:r>
          </w:p>
        </w:tc>
      </w:tr>
      <w:tr>
        <w:trPr>
          <w:trHeight w:val="230"/>
        </w:trPr>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1,796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ectPr>
          <w:pgSz w:w="11900" w:h="16838" w:orient="portrait"/>
          <w:cols w:equalWidth="0" w:num="2">
            <w:col w:w="2200" w:space="600"/>
            <w:col w:w="8440"/>
          </w:cols>
          <w:pgMar w:left="320" w:top="110" w:right="33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left="1040" w:right="1880" w:hanging="1025"/>
        <w:spacing w:after="0" w:line="246" w:lineRule="auto"/>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color w:val="auto"/>
        </w:rPr>
        <w:t>CHANGES IN AND DISAGREEMENTS WITH ACCOUNTANTS ON ACCOUNTING AND FINANCIAL DISCLOSURE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7"/>
          <w:szCs w:val="17"/>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The Company carried out an evaluation, under the supervision of and with the participation of our management, including our Chief Executive Officer and Chief Financial Officer, of the effectiveness of the design and operation of our disclosure controls and procedures at the reasonable assurance level pursuant to Rule 13a-15 of the Exchange Act. Based on this evaluation, our Chief Executive Officer and Chief Financial Officer have concluded that, as of such date,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58" w:lineRule="exact"/>
        <w:rPr>
          <w:sz w:val="20"/>
          <w:szCs w:val="20"/>
          <w:color w:val="auto"/>
        </w:rPr>
      </w:pPr>
    </w:p>
    <w:p>
      <w:pPr>
        <w:ind w:right="80" w:firstLine="440"/>
        <w:spacing w:after="0" w:line="22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under the Exchange Act). Management assessed the effectiveness of its internal control over financial reporting as of January 30, 2022. In making this assessment, management used the criteria set forth by the Committee of Sponsoring Organizations of the Treadway Commission (“COSO”) in the Internal Control-Integrated Framework (2013), or the COSO Report. Based on this assessment, management concluded that our internal control over financial reporting is effective as of January 30, 2022.</w:t>
      </w:r>
    </w:p>
    <w:p>
      <w:pPr>
        <w:spacing w:after="0" w:line="137"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180" w:firstLine="440"/>
        <w:spacing w:after="0" w:line="307" w:lineRule="auto"/>
        <w:rPr>
          <w:sz w:val="20"/>
          <w:szCs w:val="20"/>
          <w:color w:val="auto"/>
        </w:rPr>
      </w:pPr>
      <w:r>
        <w:rPr>
          <w:rFonts w:ascii="Arial" w:cs="Arial" w:eastAsia="Arial" w:hAnsi="Arial"/>
          <w:sz w:val="16"/>
          <w:szCs w:val="16"/>
          <w:color w:val="auto"/>
        </w:rPr>
        <w:t>KPMG LLP, an independent registered public accounting firm, has audited the consolidated financial statements included in this Annual Report on Form 10-K and, as part of its audit, has issued an attestation report, included herein, on the effectiveness of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ind w:right="400" w:firstLine="440"/>
        <w:spacing w:after="0" w:line="235"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our fiscal fourth quarter that has materially affected, or is reasonably likely to materially affect, our internal control over financial reporting.</w:t>
      </w:r>
    </w:p>
    <w:p>
      <w:pPr>
        <w:spacing w:after="0" w:line="33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7"/>
          <w:szCs w:val="17"/>
          <w:color w:val="auto"/>
        </w:rPr>
        <w:t>OTHER INFORMATION</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9C.</w:t>
      </w:r>
      <w:r>
        <w:rPr>
          <w:sz w:val="20"/>
          <w:szCs w:val="20"/>
          <w:color w:val="auto"/>
        </w:rPr>
        <w:tab/>
      </w:r>
      <w:r>
        <w:rPr>
          <w:rFonts w:ascii="Arial" w:cs="Arial" w:eastAsia="Arial" w:hAnsi="Arial"/>
          <w:sz w:val="17"/>
          <w:szCs w:val="17"/>
          <w:color w:val="auto"/>
        </w:rPr>
        <w:t>DISCLOSURE REGARDING FOREIGN JURISDICTIONS THAT PREVENT INSPECTIONS</w:t>
      </w:r>
    </w:p>
    <w:p>
      <w:pPr>
        <w:spacing w:after="0" w:line="3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225" w:lineRule="exact"/>
        <w:rPr>
          <w:sz w:val="20"/>
          <w:szCs w:val="20"/>
          <w:color w:val="auto"/>
        </w:rPr>
      </w:pPr>
    </w:p>
    <w:p>
      <w:pPr>
        <w:ind w:right="360" w:firstLine="440"/>
        <w:spacing w:after="0" w:line="231" w:lineRule="auto"/>
        <w:rPr>
          <w:sz w:val="20"/>
          <w:szCs w:val="20"/>
          <w:color w:val="auto"/>
        </w:rPr>
      </w:pPr>
      <w:r>
        <w:rPr>
          <w:rFonts w:ascii="Arial" w:cs="Arial" w:eastAsia="Arial" w:hAnsi="Arial"/>
          <w:sz w:val="18"/>
          <w:szCs w:val="18"/>
          <w:color w:val="auto"/>
        </w:rPr>
        <w:t>Information required by this Item concerning our directors, audit committee, and audit committee financial experts and compliance with Section 16(a) of the Exchange Act is incorporated by reference to information under the captions “Proposal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One: Election of Directors” and “Delinquent Section 16(a) Reports” in our definitive proxy statement for our 2022 annual meeting of shareholders to be held on May 26, 2022 (the “Proxy Statement”). It is anticipated that our Proxy Statement will be filed with the Securities and Exchange Commission on or about April 8, 2022.</w:t>
      </w:r>
    </w:p>
    <w:p>
      <w:pPr>
        <w:spacing w:after="0" w:line="148" w:lineRule="exact"/>
        <w:rPr>
          <w:sz w:val="20"/>
          <w:szCs w:val="20"/>
          <w:color w:val="auto"/>
        </w:rPr>
      </w:pPr>
    </w:p>
    <w:p>
      <w:pPr>
        <w:ind w:firstLine="440"/>
        <w:spacing w:after="0" w:line="227" w:lineRule="auto"/>
        <w:rPr>
          <w:sz w:val="20"/>
          <w:szCs w:val="20"/>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35" w:lineRule="exact"/>
        <w:rPr>
          <w:sz w:val="20"/>
          <w:szCs w:val="20"/>
          <w:color w:val="auto"/>
        </w:rPr>
      </w:pPr>
    </w:p>
    <w:p>
      <w:pPr>
        <w:jc w:val="both"/>
        <w:ind w:right="180" w:firstLine="440"/>
        <w:spacing w:after="0" w:line="235" w:lineRule="auto"/>
        <w:rPr>
          <w:sz w:val="20"/>
          <w:szCs w:val="20"/>
          <w:color w:val="auto"/>
        </w:rPr>
      </w:pPr>
      <w:r>
        <w:rPr>
          <w:rFonts w:ascii="Arial" w:cs="Arial" w:eastAsia="Arial" w:hAnsi="Arial"/>
          <w:sz w:val="18"/>
          <w:szCs w:val="18"/>
          <w:color w:val="auto"/>
        </w:rPr>
        <w:t>Our code of business conduct and ethics is available in print for any shareholder who requests it by writing to: Secretary, Duluth Holdings Inc., 201 East Front Street, Mount Horeb, Wisconsin, 53572. We are not including the information available on or through our website as part of, or incorporating such information by reference into, this Annual Report on Form 10-K.</w:t>
      </w:r>
    </w:p>
    <w:p>
      <w:pPr>
        <w:spacing w:after="0" w:line="134" w:lineRule="exact"/>
        <w:rPr>
          <w:sz w:val="20"/>
          <w:szCs w:val="20"/>
          <w:color w:val="auto"/>
        </w:rPr>
      </w:pPr>
    </w:p>
    <w:p>
      <w:pPr>
        <w:ind w:right="120" w:firstLine="440"/>
        <w:spacing w:after="0" w:line="246" w:lineRule="auto"/>
        <w:rPr>
          <w:sz w:val="20"/>
          <w:szCs w:val="20"/>
          <w:color w:val="auto"/>
        </w:rPr>
      </w:pPr>
      <w:r>
        <w:rPr>
          <w:rFonts w:ascii="Arial" w:cs="Arial" w:eastAsia="Arial" w:hAnsi="Arial"/>
          <w:sz w:val="18"/>
          <w:szCs w:val="18"/>
          <w:color w:val="auto"/>
        </w:rPr>
        <w:t>Pursuant to General Instruction G(3), certain information with respect to our executive officers is set forth under the caption “Information about Our Executive Officers” as of March 25, 2022 in this Annual Report on Form 10-K.</w:t>
      </w:r>
    </w:p>
    <w:p>
      <w:pPr>
        <w:spacing w:after="0" w:line="34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25"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“Executive Compensation,” “Director Compensation,” and “Compensation Committee Interlocks and Insider Participation.”</w:t>
      </w:r>
    </w:p>
    <w:p>
      <w:pPr>
        <w:spacing w:after="0" w:line="332" w:lineRule="exact"/>
        <w:rPr>
          <w:sz w:val="20"/>
          <w:szCs w:val="20"/>
          <w:color w:val="auto"/>
        </w:rPr>
      </w:pPr>
    </w:p>
    <w:p>
      <w:pPr>
        <w:ind w:left="1080" w:right="2160" w:hanging="1065"/>
        <w:spacing w:after="0" w:line="246" w:lineRule="auto"/>
        <w:tabs>
          <w:tab w:leader="none" w:pos="106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SHAREHOLDER MATTERS</w:t>
      </w:r>
    </w:p>
    <w:p>
      <w:pPr>
        <w:spacing w:after="0" w:line="251" w:lineRule="exact"/>
        <w:rPr>
          <w:sz w:val="20"/>
          <w:szCs w:val="20"/>
          <w:color w:val="auto"/>
        </w:rPr>
      </w:pPr>
    </w:p>
    <w:p>
      <w:pPr>
        <w:ind w:right="640" w:firstLine="440"/>
        <w:spacing w:after="0" w:line="246"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“Security Ownership of Certain Beneficial Owners.”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Weighted-average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be issued upon exercise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 price of</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of outstanding options,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outstanding options,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202"/>
        </w:trPr>
        <w:tc>
          <w:tcPr>
            <w:tcW w:w="50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warrants and rights</w:t>
            </w:r>
          </w:p>
        </w:tc>
        <w:tc>
          <w:tcPr>
            <w:tcW w:w="21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1"/>
              </w:rPr>
              <w:t>reflected in first column)</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Equity compensation plans approved</w:t>
            </w:r>
          </w:p>
        </w:tc>
        <w:tc>
          <w:tcPr>
            <w:tcW w:w="1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by security holders</w:t>
            </w:r>
          </w:p>
        </w:tc>
        <w:tc>
          <w:tcPr>
            <w:tcW w:w="1900" w:type="dxa"/>
            <w:vAlign w:val="bottom"/>
          </w:tcPr>
          <w:p>
            <w:pPr>
              <w:ind w:left="16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ind w:left="1500"/>
              <w:spacing w:after="0" w:line="202" w:lineRule="exact"/>
              <w:rPr>
                <w:sz w:val="20"/>
                <w:szCs w:val="20"/>
                <w:color w:val="auto"/>
              </w:rPr>
            </w:pPr>
            <w:r>
              <w:rPr>
                <w:rFonts w:ascii="Arial" w:cs="Arial" w:eastAsia="Arial" w:hAnsi="Arial"/>
                <w:sz w:val="18"/>
                <w:szCs w:val="18"/>
                <w:color w:val="auto"/>
              </w:rPr>
              <w:t>—</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3,750,245</w:t>
            </w:r>
          </w:p>
        </w:tc>
        <w:tc>
          <w:tcPr>
            <w:tcW w:w="0" w:type="dxa"/>
            <w:vAlign w:val="bottom"/>
          </w:tcPr>
          <w:p>
            <w:pPr>
              <w:spacing w:after="0"/>
              <w:rPr>
                <w:sz w:val="1"/>
                <w:szCs w:val="1"/>
                <w:color w:val="auto"/>
              </w:rPr>
            </w:pPr>
          </w:p>
        </w:tc>
      </w:tr>
      <w:tr>
        <w:trPr>
          <w:trHeight w:val="220"/>
        </w:trPr>
        <w:tc>
          <w:tcPr>
            <w:tcW w:w="5000" w:type="dxa"/>
            <w:vAlign w:val="bottom"/>
          </w:tcPr>
          <w:p>
            <w:pPr>
              <w:spacing w:after="0"/>
              <w:rPr>
                <w:sz w:val="20"/>
                <w:szCs w:val="20"/>
                <w:color w:val="auto"/>
              </w:rPr>
            </w:pPr>
            <w:r>
              <w:rPr>
                <w:rFonts w:ascii="Arial" w:cs="Arial" w:eastAsia="Arial" w:hAnsi="Arial"/>
                <w:sz w:val="18"/>
                <w:szCs w:val="18"/>
                <w:color w:val="auto"/>
              </w:rPr>
              <w:t>Equity compensation plans not approved</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00" w:type="dxa"/>
            <w:vAlign w:val="bottom"/>
          </w:tcPr>
          <w:p>
            <w:pPr>
              <w:spacing w:after="0" w:line="253" w:lineRule="exact"/>
              <w:rPr>
                <w:sz w:val="20"/>
                <w:szCs w:val="20"/>
                <w:color w:val="auto"/>
              </w:rPr>
            </w:pPr>
            <w:r>
              <w:rPr>
                <w:rFonts w:ascii="Arial" w:cs="Arial" w:eastAsia="Arial" w:hAnsi="Arial"/>
                <w:sz w:val="18"/>
                <w:szCs w:val="18"/>
                <w:color w:val="auto"/>
              </w:rPr>
              <w:t>by security holders</w:t>
            </w:r>
            <w:r>
              <w:rPr>
                <w:rFonts w:ascii="Arial" w:cs="Arial" w:eastAsia="Arial" w:hAnsi="Arial"/>
                <w:sz w:val="29"/>
                <w:szCs w:val="29"/>
                <w:color w:val="auto"/>
                <w:vertAlign w:val="superscript"/>
              </w:rPr>
              <w:t>(2)</w:t>
            </w: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00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1900" w:type="dxa"/>
            <w:vAlign w:val="bottom"/>
            <w:tcBorders>
              <w:top w:val="single" w:sz="8" w:color="auto"/>
              <w:bottom w:val="single" w:sz="8" w:color="auto"/>
            </w:tcBorders>
          </w:tcPr>
          <w:p>
            <w:pPr>
              <w:ind w:left="1640"/>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500"/>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3,750,245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_____________________________</w:t>
            </w: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00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2,458,307 shares are available under the Company’s 2015 Equity Incentive Plan and 1,291,938 shares are available under the Company’s Employee Stock Purchase Plan.</w:t>
      </w:r>
    </w:p>
    <w:p>
      <w:pPr>
        <w:spacing w:after="0" w:line="83"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of our existing equity compensation plans have been approved by shareholders.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225" w:lineRule="exact"/>
        <w:rPr>
          <w:sz w:val="20"/>
          <w:szCs w:val="20"/>
          <w:color w:val="auto"/>
        </w:rPr>
      </w:pPr>
    </w:p>
    <w:p>
      <w:pPr>
        <w:ind w:right="380" w:firstLine="440"/>
        <w:spacing w:after="0" w:line="246"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“Certain Relationships and Related Party Transactions” and “Proposal One: Election of Directors.”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tabs>
          <w:tab w:leader="none" w:pos="106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required by this Item is incorporated by reference to the section of the Proxy Statement entitled “Audit Committee Report.”</w:t>
      </w:r>
    </w:p>
    <w:p>
      <w:pPr>
        <w:spacing w:after="0" w:line="3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10" w:right="1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FINANCIAL STATEMENTS AND SCHEDULE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w:t>
      </w:r>
    </w:p>
    <w:p>
      <w:pPr>
        <w:spacing w:after="0" w:line="175" w:lineRule="exact"/>
        <w:rPr>
          <w:sz w:val="20"/>
          <w:szCs w:val="20"/>
          <w:color w:val="auto"/>
        </w:rPr>
      </w:pPr>
    </w:p>
    <w:p>
      <w:pPr>
        <w:jc w:val="both"/>
        <w:ind w:right="180" w:firstLine="440"/>
        <w:spacing w:after="0" w:line="253" w:lineRule="auto"/>
        <w:rPr>
          <w:sz w:val="20"/>
          <w:szCs w:val="20"/>
          <w:color w:val="auto"/>
        </w:rPr>
      </w:pPr>
      <w:r>
        <w:rPr>
          <w:rFonts w:ascii="Arial" w:cs="Arial" w:eastAsia="Arial" w:hAnsi="Arial"/>
          <w:sz w:val="17"/>
          <w:szCs w:val="17"/>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in the accompanying index to exhibits are filed or incorporated as part of this Annual Report on Form 10-K.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20" w:type="dxa"/>
            <w:vAlign w:val="bottom"/>
            <w:gridSpan w:val="22"/>
          </w:tcPr>
          <w:p>
            <w:pPr>
              <w:jc w:val="center"/>
              <w:ind w:right="4340"/>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 INDEX</w:t>
            </w:r>
          </w:p>
        </w:tc>
        <w:tc>
          <w:tcPr>
            <w:tcW w:w="0" w:type="dxa"/>
            <w:vAlign w:val="bottom"/>
          </w:tcPr>
          <w:p>
            <w:pPr>
              <w:spacing w:after="0"/>
              <w:rPr>
                <w:sz w:val="1"/>
                <w:szCs w:val="1"/>
                <w:color w:val="auto"/>
              </w:rPr>
            </w:pPr>
          </w:p>
        </w:tc>
      </w:tr>
      <w:tr>
        <w:trPr>
          <w:trHeight w:val="405"/>
        </w:trPr>
        <w:tc>
          <w:tcPr>
            <w:tcW w:w="14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9840" w:type="dxa"/>
            <w:vAlign w:val="bottom"/>
            <w:gridSpan w:val="26"/>
          </w:tcPr>
          <w:p>
            <w:pPr>
              <w:spacing w:after="0"/>
              <w:rPr>
                <w:rFonts w:ascii="Arial" w:cs="Arial" w:eastAsia="Arial" w:hAnsi="Arial"/>
                <w:sz w:val="18"/>
                <w:szCs w:val="18"/>
                <w:color w:val="0000FF"/>
                <w:w w:val="96"/>
              </w:rPr>
            </w:pPr>
            <w:hyperlink r:id="rId88">
              <w:r>
                <w:rPr>
                  <w:rFonts w:ascii="Arial" w:cs="Arial" w:eastAsia="Arial" w:hAnsi="Arial"/>
                  <w:sz w:val="18"/>
                  <w:szCs w:val="18"/>
                  <w:color w:val="0000FF"/>
                  <w:w w:val="96"/>
                </w:rPr>
                <w:t>Amended and Restated Articles of Incorporation of Duluth Holdings Inc., incorporated by reference to Exhibit 3.1 of Pre-Effective</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Amendment No. 2 to the Company’s Registration Statement on Form S-1 (File No. 333-207300), filed November 9, 2015.</w:t>
              </w:r>
            </w:hyperlink>
          </w:p>
        </w:tc>
        <w:tc>
          <w:tcPr>
            <w:tcW w:w="20" w:type="dxa"/>
            <w:vAlign w:val="bottom"/>
            <w:tcBorders>
              <w:top w:val="single" w:sz="8" w:color="0000FF"/>
              <w:bottom w:val="single" w:sz="8" w:color="0000EE"/>
            </w:tcBorders>
          </w:tcPr>
          <w:p>
            <w:pPr>
              <w:spacing w:after="0"/>
              <w:rPr>
                <w:sz w:val="15"/>
                <w:szCs w:val="15"/>
                <w:color w:val="auto"/>
              </w:rPr>
            </w:pPr>
          </w:p>
        </w:tc>
        <w:tc>
          <w:tcPr>
            <w:tcW w:w="64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Amended and Restated Bylaws of Duluth Holdings Inc., incorporated by reference to Exhibit 3.2 of the Pre-Effective Amendment No. 2</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to the Company’s Registration Statement on Form S-1 (File No. 333-207300), filed November 9, 2015.</w:t>
              </w:r>
            </w:hyperlink>
          </w:p>
        </w:tc>
        <w:tc>
          <w:tcPr>
            <w:tcW w:w="2420" w:type="dxa"/>
            <w:vAlign w:val="bottom"/>
            <w:tcBorders>
              <w:top w:val="single" w:sz="8" w:color="0000FF"/>
            </w:tcBorders>
            <w:gridSpan w:val="15"/>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FF"/>
              </w:rPr>
            </w:pPr>
            <w:hyperlink r:id="rId90">
              <w:r>
                <w:rPr>
                  <w:rFonts w:ascii="Arial" w:cs="Arial" w:eastAsia="Arial" w:hAnsi="Arial"/>
                  <w:sz w:val="18"/>
                  <w:szCs w:val="18"/>
                  <w:color w:val="0000FF"/>
                </w:rPr>
                <w:t>Description of Registrant’s Securities.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Arial" w:cs="Arial" w:eastAsia="Arial" w:hAnsi="Arial"/>
                <w:sz w:val="18"/>
                <w:szCs w:val="18"/>
                <w:color w:val="auto"/>
              </w:rPr>
              <w:t>9.1</w:t>
            </w:r>
          </w:p>
        </w:tc>
        <w:tc>
          <w:tcPr>
            <w:tcW w:w="580" w:type="dxa"/>
            <w:vAlign w:val="bottom"/>
          </w:tcPr>
          <w:p>
            <w:pPr>
              <w:spacing w:after="0"/>
              <w:rPr>
                <w:sz w:val="18"/>
                <w:szCs w:val="18"/>
                <w:color w:val="auto"/>
              </w:rPr>
            </w:pPr>
          </w:p>
        </w:tc>
        <w:tc>
          <w:tcPr>
            <w:tcW w:w="9840" w:type="dxa"/>
            <w:vAlign w:val="bottom"/>
            <w:gridSpan w:val="26"/>
          </w:tcPr>
          <w:p>
            <w:pPr>
              <w:spacing w:after="0"/>
              <w:rPr>
                <w:rFonts w:ascii="Arial" w:cs="Arial" w:eastAsia="Arial" w:hAnsi="Arial"/>
                <w:sz w:val="18"/>
                <w:szCs w:val="18"/>
                <w:color w:val="0000FF"/>
                <w:w w:val="97"/>
              </w:rPr>
            </w:pPr>
            <w:hyperlink w:anchor="page74">
              <w:r>
                <w:rPr>
                  <w:rFonts w:ascii="Arial" w:cs="Arial" w:eastAsia="Arial" w:hAnsi="Arial"/>
                  <w:sz w:val="18"/>
                  <w:szCs w:val="18"/>
                  <w:color w:val="0000FF"/>
                  <w:w w:val="97"/>
                </w:rPr>
                <w:t>Voting Trust Agreement, dated November 1, 2021, by and between Stephen L. Schlecht, as trustee, and Duluth Holdings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8"/>
                <w:szCs w:val="18"/>
                <w:color w:val="auto"/>
              </w:rPr>
            </w:pPr>
          </w:p>
        </w:tc>
        <w:tc>
          <w:tcPr>
            <w:tcW w:w="9840" w:type="dxa"/>
            <w:vAlign w:val="bottom"/>
            <w:gridSpan w:val="26"/>
          </w:tcPr>
          <w:p>
            <w:pPr>
              <w:spacing w:after="0"/>
              <w:rPr>
                <w:rFonts w:ascii="Arial" w:cs="Arial" w:eastAsia="Arial" w:hAnsi="Arial"/>
                <w:sz w:val="18"/>
                <w:szCs w:val="18"/>
                <w:color w:val="0000FF"/>
              </w:rPr>
            </w:pPr>
            <w:hyperlink r:id="rId91">
              <w:r>
                <w:rPr>
                  <w:rFonts w:ascii="Arial" w:cs="Arial" w:eastAsia="Arial" w:hAnsi="Arial"/>
                  <w:sz w:val="18"/>
                  <w:szCs w:val="18"/>
                  <w:color w:val="0000FF"/>
                </w:rPr>
                <w:t>Summary of Outside Director Compensation Program.</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8"/>
                <w:szCs w:val="18"/>
                <w:color w:val="auto"/>
              </w:rPr>
            </w:pPr>
          </w:p>
        </w:tc>
        <w:tc>
          <w:tcPr>
            <w:tcW w:w="9840" w:type="dxa"/>
            <w:vAlign w:val="bottom"/>
            <w:gridSpan w:val="26"/>
          </w:tcPr>
          <w:p>
            <w:pPr>
              <w:spacing w:after="0"/>
              <w:rPr>
                <w:rFonts w:ascii="Arial" w:cs="Arial" w:eastAsia="Arial" w:hAnsi="Arial"/>
                <w:sz w:val="18"/>
                <w:szCs w:val="18"/>
                <w:color w:val="0000FF"/>
                <w:w w:val="94"/>
              </w:rPr>
            </w:pPr>
            <w:hyperlink r:id="rId92">
              <w:r>
                <w:rPr>
                  <w:rFonts w:ascii="Arial" w:cs="Arial" w:eastAsia="Arial" w:hAnsi="Arial"/>
                  <w:sz w:val="18"/>
                  <w:szCs w:val="18"/>
                  <w:color w:val="0000FF"/>
                  <w:w w:val="94"/>
                </w:rPr>
                <w:t>2015 Equity Incentive Plan of Duluth Holdings Inc., incorporated by reference to Exhibit 10.7 of the Company’s Quarterly Report on</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Form 10-Q, filed December 18, 2015.</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0"/>
                <w:szCs w:val="20"/>
                <w:color w:val="auto"/>
              </w:rPr>
            </w:pPr>
          </w:p>
        </w:tc>
        <w:tc>
          <w:tcPr>
            <w:tcW w:w="9840" w:type="dxa"/>
            <w:vAlign w:val="bottom"/>
            <w:gridSpan w:val="26"/>
          </w:tcPr>
          <w:p>
            <w:pPr>
              <w:spacing w:after="0"/>
              <w:rPr>
                <w:rFonts w:ascii="Arial" w:cs="Arial" w:eastAsia="Arial" w:hAnsi="Arial"/>
                <w:sz w:val="18"/>
                <w:szCs w:val="18"/>
                <w:color w:val="0000FF"/>
                <w:w w:val="94"/>
              </w:rPr>
            </w:pPr>
            <w:hyperlink r:id="rId93">
              <w:r>
                <w:rPr>
                  <w:rFonts w:ascii="Arial" w:cs="Arial" w:eastAsia="Arial" w:hAnsi="Arial"/>
                  <w:sz w:val="18"/>
                  <w:szCs w:val="18"/>
                  <w:color w:val="0000FF"/>
                  <w:w w:val="94"/>
                </w:rPr>
                <w:t>Form of Restricted Stock Agreement for non-employee directors under the 2015 Equity Incentive Plan, incorporated by reference to</w:t>
              </w:r>
            </w:hyperlink>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Exhibit 10.17 of the Company’s Registration Statement on Form S-1 (File No. 333-207300), filed October 6, 2015.</w:t>
              </w:r>
            </w:hyperlink>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Commercial Lease between Schlecht Retail Ventures LLC and Duluth Holdings Inc., dated February 14, 2010 (100 West Main Street,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80" w:type="dxa"/>
            <w:vAlign w:val="bottom"/>
            <w:gridSpan w:val="6"/>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20" w:type="dxa"/>
            <w:vAlign w:val="bottom"/>
            <w:tcBorders>
              <w:bottom w:val="single" w:sz="8" w:color="0000FF"/>
            </w:tcBorders>
            <w:gridSpan w:val="25"/>
          </w:tcPr>
          <w:p>
            <w:pPr>
              <w:spacing w:after="0" w:line="182"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Mt. Horeb, Wisconsin), incorporated by reference to Exhibit 10.19 of the Company’s Registration Statement on Form S-1 (File No. 333-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20" w:type="dxa"/>
            <w:vAlign w:val="bottom"/>
            <w:gridSpan w:val="25"/>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207300)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October 6, 2015.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Retail Space Lease between LDC-728 Milwaukee, LLC and Duluth Holdings Inc., dated January 23, 2012 (108 North Franklin Street,</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00" w:type="dxa"/>
            <w:vAlign w:val="bottom"/>
            <w:tcBorders>
              <w:top w:val="single" w:sz="8" w:color="0000FF"/>
            </w:tcBorders>
            <w:gridSpan w:val="23"/>
          </w:tcPr>
          <w:p>
            <w:pPr>
              <w:spacing w:after="0" w:line="182"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Port Washington, Wisconsin), incorporated by reference to Exhibit 10.20 of the Company’s Registration Statement on Form S-1 (File</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No. 333-207300), filed October 6, 2015.</w:t>
              </w:r>
            </w:hyperlink>
          </w:p>
        </w:tc>
        <w:tc>
          <w:tcPr>
            <w:tcW w:w="20" w:type="dxa"/>
            <w:vAlign w:val="bottom"/>
            <w:tcBorders>
              <w:top w:val="single" w:sz="8" w:color="0000FF"/>
              <w:bottom w:val="single" w:sz="8" w:color="0000EE"/>
            </w:tcBorders>
          </w:tcPr>
          <w:p>
            <w:pPr>
              <w:spacing w:after="0"/>
              <w:rPr>
                <w:sz w:val="15"/>
                <w:szCs w:val="15"/>
                <w:color w:val="auto"/>
              </w:rPr>
            </w:pPr>
          </w:p>
        </w:tc>
        <w:tc>
          <w:tcPr>
            <w:tcW w:w="6700" w:type="dxa"/>
            <w:vAlign w:val="bottom"/>
            <w:tcBorders>
              <w:top w:val="single" w:sz="8" w:color="0000FF"/>
            </w:tcBorders>
            <w:gridSpan w:val="16"/>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18"/>
                <w:szCs w:val="18"/>
                <w:color w:val="auto"/>
              </w:rPr>
            </w:pPr>
          </w:p>
        </w:tc>
        <w:tc>
          <w:tcPr>
            <w:tcW w:w="9840" w:type="dxa"/>
            <w:vAlign w:val="bottom"/>
            <w:gridSpan w:val="26"/>
          </w:tcPr>
          <w:p>
            <w:pPr>
              <w:spacing w:after="0"/>
              <w:rPr>
                <w:rFonts w:ascii="Arial" w:cs="Arial" w:eastAsia="Arial" w:hAnsi="Arial"/>
                <w:sz w:val="18"/>
                <w:szCs w:val="18"/>
                <w:color w:val="0000FF"/>
                <w:w w:val="94"/>
              </w:rPr>
            </w:pPr>
            <w:hyperlink r:id="rId96">
              <w:r>
                <w:rPr>
                  <w:rFonts w:ascii="Arial" w:cs="Arial" w:eastAsia="Arial" w:hAnsi="Arial"/>
                  <w:sz w:val="18"/>
                  <w:szCs w:val="18"/>
                  <w:color w:val="0000FF"/>
                  <w:w w:val="94"/>
                </w:rPr>
                <w:t>First Amendment to Retail Lease between LDC-728 Milwaukee, LLC and Duluth Holdings Inc., dated January 23, 2012 (108 North</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80" w:type="dxa"/>
            <w:vAlign w:val="bottom"/>
            <w:gridSpan w:val="6"/>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40" w:type="dxa"/>
            <w:vAlign w:val="bottom"/>
            <w:gridSpan w:val="26"/>
          </w:tcPr>
          <w:p>
            <w:pPr>
              <w:spacing w:after="0" w:line="182"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Franklin Street, Port Washington, Wisconsin), incorporated by reference to Exhibit 10.21 of the Company’s Registration Statement on</w:t>
              </w:r>
            </w:hyperlink>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8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Form S-1 (File No. 333-207300), filed October 6, 2015.</w:t>
              </w:r>
            </w:hyperlink>
          </w:p>
        </w:tc>
        <w:tc>
          <w:tcPr>
            <w:tcW w:w="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4020" w:type="dxa"/>
            <w:vAlign w:val="bottom"/>
            <w:tcBorders>
              <w:right w:val="single" w:sz="8" w:color="0000EE"/>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Second Amendment to Retail Lease between Schlecht Port Washington LLC and Duluth Holdings Inc., dated January 23, 2012 (108</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60" w:type="dxa"/>
            <w:vAlign w:val="bottom"/>
            <w:tcBorders>
              <w:top w:val="single" w:sz="8" w:color="0000FF"/>
            </w:tcBorders>
            <w:gridSpan w:val="19"/>
          </w:tcPr>
          <w:p>
            <w:pPr>
              <w:spacing w:after="0" w:line="182"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North Franklin Street, Port Washington, Wisconsin), incorporated by reference to Exhibit 10.22 of the Company’s Registration</w:t>
              </w:r>
            </w:hyperlink>
          </w:p>
        </w:tc>
        <w:tc>
          <w:tcPr>
            <w:tcW w:w="12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Statement on Form S-1 (File No. 333-207300), filed October 6, 2015.</w:t>
              </w:r>
            </w:hyperlink>
          </w:p>
        </w:tc>
        <w:tc>
          <w:tcPr>
            <w:tcW w:w="4160" w:type="dxa"/>
            <w:vAlign w:val="bottom"/>
            <w:tcBorders>
              <w:top w:val="single" w:sz="8" w:color="0000FF"/>
            </w:tcBorders>
            <w:gridSpan w:val="7"/>
          </w:tcPr>
          <w:p>
            <w:pPr>
              <w:spacing w:after="0"/>
              <w:rPr>
                <w:sz w:val="15"/>
                <w:szCs w:val="15"/>
                <w:color w:val="auto"/>
              </w:rPr>
            </w:pPr>
          </w:p>
        </w:tc>
        <w:tc>
          <w:tcPr>
            <w:tcW w:w="340" w:type="dxa"/>
            <w:vAlign w:val="bottom"/>
            <w:gridSpan w:val="2"/>
          </w:tcPr>
          <w:p>
            <w:pPr>
              <w:spacing w:after="0"/>
              <w:rPr>
                <w:sz w:val="15"/>
                <w:szCs w:val="15"/>
                <w:color w:val="auto"/>
              </w:rPr>
            </w:pPr>
          </w:p>
        </w:tc>
        <w:tc>
          <w:tcPr>
            <w:tcW w:w="1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Form of S Corporation Termination, Tax Allocation and Indemnification Agreement among Duluth Holdings Inc. and shareholders of</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80" w:type="dxa"/>
            <w:vAlign w:val="bottom"/>
            <w:tcBorders>
              <w:top w:val="single" w:sz="8" w:color="0000FF"/>
            </w:tcBorders>
            <w:gridSpan w:val="22"/>
          </w:tcPr>
          <w:p>
            <w:pPr>
              <w:spacing w:after="0" w:line="182"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Duluth Holdings Inc., incorporated by reference to Exhibit 10.23 of Pre-Effective Amendment No. 1 to the Company’s Registration</w:t>
              </w:r>
            </w:hyperlink>
          </w:p>
        </w:tc>
        <w:tc>
          <w:tcPr>
            <w:tcW w:w="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vMerge w:val="restart"/>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15"/>
                <w:szCs w:val="15"/>
                <w:color w:val="auto"/>
              </w:rPr>
            </w:pPr>
          </w:p>
        </w:tc>
        <w:tc>
          <w:tcPr>
            <w:tcW w:w="950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Statement on Form S-1 (File No. 333-207300), filed October 13, 2015.</w:t>
              </w:r>
            </w:hyperlink>
          </w:p>
        </w:tc>
        <w:tc>
          <w:tcPr>
            <w:tcW w:w="220" w:type="dxa"/>
            <w:vAlign w:val="bottom"/>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4060" w:type="dxa"/>
            <w:vAlign w:val="bottom"/>
            <w:tcBorders>
              <w:right w:val="single" w:sz="8" w:color="0000FF"/>
            </w:tcBorders>
            <w:gridSpan w:val="7"/>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40" w:type="dxa"/>
            <w:vAlign w:val="bottom"/>
            <w:gridSpan w:val="14"/>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5080" w:type="dxa"/>
            <w:vAlign w:val="bottom"/>
            <w:gridSpan w:val="10"/>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Annual Incentive Plan, As Amended February 21, 2018.</w:t>
              </w:r>
            </w:hyperlink>
          </w:p>
        </w:tc>
        <w:tc>
          <w:tcPr>
            <w:tcW w:w="4640" w:type="dxa"/>
            <w:vAlign w:val="bottom"/>
            <w:gridSpan w:val="14"/>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4060" w:type="dxa"/>
            <w:vAlign w:val="bottom"/>
            <w:tcBorders>
              <w:right w:val="single" w:sz="8" w:color="0000EE"/>
            </w:tcBorders>
            <w:gridSpan w:val="7"/>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80" w:type="dxa"/>
            <w:vAlign w:val="bottom"/>
            <w:gridSpan w:val="1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18"/>
                <w:szCs w:val="18"/>
                <w:color w:val="auto"/>
              </w:rPr>
            </w:pPr>
          </w:p>
        </w:tc>
        <w:tc>
          <w:tcPr>
            <w:tcW w:w="9840" w:type="dxa"/>
            <w:vAlign w:val="bottom"/>
            <w:gridSpan w:val="26"/>
          </w:tcPr>
          <w:p>
            <w:pPr>
              <w:spacing w:after="0"/>
              <w:rPr>
                <w:rFonts w:ascii="Arial" w:cs="Arial" w:eastAsia="Arial" w:hAnsi="Arial"/>
                <w:sz w:val="18"/>
                <w:szCs w:val="18"/>
                <w:color w:val="0000FF"/>
                <w:w w:val="92"/>
              </w:rPr>
            </w:pPr>
            <w:hyperlink r:id="rId100">
              <w:r>
                <w:rPr>
                  <w:rFonts w:ascii="Arial" w:cs="Arial" w:eastAsia="Arial" w:hAnsi="Arial"/>
                  <w:sz w:val="18"/>
                  <w:szCs w:val="18"/>
                  <w:color w:val="0000FF"/>
                  <w:w w:val="92"/>
                </w:rPr>
                <w:t>Form of Restricted Stock Agreement for executives under the 2015 Equity Incentive Plan, incorporated by reference to Exhibit 10.1 of</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2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the Company’s Quarterly Report on Form 10-Q dated May 1, 2016.</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40" w:type="dxa"/>
            <w:vAlign w:val="bottom"/>
            <w:tcBorders>
              <w:top w:val="single" w:sz="8" w:color="0000FF"/>
            </w:tcBorders>
            <w:gridSpan w:val="8"/>
          </w:tcPr>
          <w:p>
            <w:pPr>
              <w:jc w:val="right"/>
              <w:ind w:right="560"/>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4"/>
        </w:trPr>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1400" w:right="200" w:hanging="1389"/>
        <w:spacing w:after="0" w:line="243"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03">
        <w:r>
          <w:rPr>
            <w:rFonts w:ascii="Arial" w:cs="Arial" w:eastAsia="Arial" w:hAnsi="Arial"/>
            <w:sz w:val="18"/>
            <w:szCs w:val="18"/>
            <w:u w:val="single" w:color="auto"/>
            <w:color w:val="0000FF"/>
          </w:rPr>
          <w:t>Offer Letter Dated July 14, 2017 by and between Dave Loretta and Duluth Holdings Inc., incorporated by reference to Exhibit 10.1 of</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the Company’s Current Report on Form 8-K dated July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-154940</wp:posOffset>
            </wp:positionV>
            <wp:extent cx="6153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6153150"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-26670</wp:posOffset>
            </wp:positionV>
            <wp:extent cx="2983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10.12</w:t>
            </w:r>
          </w:p>
        </w:tc>
        <w:tc>
          <w:tcPr>
            <w:tcW w:w="9860" w:type="dxa"/>
            <w:vAlign w:val="bottom"/>
            <w:gridSpan w:val="33"/>
          </w:tcPr>
          <w:p>
            <w:pPr>
              <w:spacing w:after="0"/>
              <w:rPr>
                <w:rFonts w:ascii="Arial" w:cs="Arial" w:eastAsia="Arial" w:hAnsi="Arial"/>
                <w:sz w:val="18"/>
                <w:szCs w:val="18"/>
                <w:color w:val="0000FF"/>
                <w:w w:val="95"/>
              </w:rPr>
            </w:pPr>
            <w:hyperlink r:id="rId106">
              <w:r>
                <w:rPr>
                  <w:rFonts w:ascii="Arial" w:cs="Arial" w:eastAsia="Arial" w:hAnsi="Arial"/>
                  <w:sz w:val="18"/>
                  <w:szCs w:val="18"/>
                  <w:color w:val="0000FF"/>
                  <w:w w:val="95"/>
                </w:rPr>
                <w:t>Form of Restrictive Covenant Agreement, incorporated by reference to Exhibit 10.2 of the Company’s Current Report on Form 8-K</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7"/>
              </w:rPr>
            </w:pPr>
            <w:hyperlink r:id="rId106">
              <w:r>
                <w:rPr>
                  <w:rFonts w:ascii="Arial" w:cs="Arial" w:eastAsia="Arial" w:hAnsi="Arial"/>
                  <w:sz w:val="18"/>
                  <w:szCs w:val="18"/>
                  <w:color w:val="0000FF"/>
                  <w:w w:val="87"/>
                </w:rPr>
                <w:t>dated July 24, 2017.</w:t>
              </w:r>
            </w:hyperlink>
          </w:p>
        </w:tc>
        <w:tc>
          <w:tcPr>
            <w:tcW w:w="40" w:type="dxa"/>
            <w:vAlign w:val="bottom"/>
            <w:tcBorders>
              <w:top w:val="single" w:sz="8" w:color="0000FF"/>
              <w:bottom w:val="single" w:sz="8" w:color="0000EE"/>
            </w:tcBorders>
          </w:tcPr>
          <w:p>
            <w:pPr>
              <w:spacing w:after="0"/>
              <w:rPr>
                <w:sz w:val="15"/>
                <w:szCs w:val="15"/>
                <w:color w:val="auto"/>
              </w:rPr>
            </w:pPr>
          </w:p>
        </w:tc>
        <w:tc>
          <w:tcPr>
            <w:tcW w:w="8020" w:type="dxa"/>
            <w:vAlign w:val="bottom"/>
            <w:tcBorders>
              <w:top w:val="single" w:sz="8" w:color="0000FF"/>
            </w:tcBorders>
            <w:gridSpan w:val="18"/>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0"/>
                <w:szCs w:val="20"/>
                <w:color w:val="auto"/>
              </w:rPr>
            </w:pPr>
            <w:r>
              <w:rPr>
                <w:rFonts w:ascii="Arial" w:cs="Arial" w:eastAsia="Arial" w:hAnsi="Arial"/>
                <w:sz w:val="18"/>
                <w:szCs w:val="18"/>
                <w:color w:val="auto"/>
              </w:rPr>
              <w:t>10.13</w:t>
            </w:r>
          </w:p>
        </w:tc>
        <w:tc>
          <w:tcPr>
            <w:tcW w:w="9860" w:type="dxa"/>
            <w:vAlign w:val="bottom"/>
            <w:gridSpan w:val="33"/>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Credit Agreement, dated as of May 17, 2018, among Duluth Holdings Inc., as the borrower, BMO Harris Bank N.A., as Administrative</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29"/>
          </w:tcPr>
          <w:p>
            <w:pPr>
              <w:spacing w:after="0" w:line="182"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Agent, Swingline Lender and L/C Issuer, the Other Lenders Party Thereto, and BMO Capital Markets Corp., as Sole Lead Arranger and</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31"/>
          </w:tcPr>
          <w:p>
            <w:pPr>
              <w:spacing w:after="0" w:line="182" w:lineRule="exact"/>
              <w:rPr>
                <w:rFonts w:ascii="Arial" w:cs="Arial" w:eastAsia="Arial" w:hAnsi="Arial"/>
                <w:sz w:val="18"/>
                <w:szCs w:val="18"/>
                <w:color w:val="0000FF"/>
                <w:w w:val="95"/>
              </w:rPr>
            </w:pPr>
            <w:hyperlink r:id="rId107">
              <w:r>
                <w:rPr>
                  <w:rFonts w:ascii="Arial" w:cs="Arial" w:eastAsia="Arial" w:hAnsi="Arial"/>
                  <w:sz w:val="18"/>
                  <w:szCs w:val="18"/>
                  <w:color w:val="0000FF"/>
                  <w:w w:val="95"/>
                </w:rPr>
                <w:t>Sole Book Runner, incorporated by reference to Exhibit 10.1 of the Company’s Current Report on Form 8-K dated May 17, 2018.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1400" w:type="dxa"/>
            <w:vAlign w:val="bottom"/>
          </w:tcPr>
          <w:p>
            <w:pPr>
              <w:spacing w:after="0"/>
              <w:rPr>
                <w:sz w:val="20"/>
                <w:szCs w:val="20"/>
                <w:color w:val="auto"/>
              </w:rPr>
            </w:pPr>
            <w:r>
              <w:rPr>
                <w:rFonts w:ascii="Arial" w:cs="Arial" w:eastAsia="Arial" w:hAnsi="Arial"/>
                <w:sz w:val="18"/>
                <w:szCs w:val="18"/>
                <w:color w:val="auto"/>
              </w:rPr>
              <w:t>10.14</w:t>
            </w:r>
          </w:p>
        </w:tc>
        <w:tc>
          <w:tcPr>
            <w:tcW w:w="9860" w:type="dxa"/>
            <w:vAlign w:val="bottom"/>
            <w:gridSpan w:val="33"/>
          </w:tcPr>
          <w:p>
            <w:pPr>
              <w:spacing w:after="0"/>
              <w:rPr>
                <w:rFonts w:ascii="Arial" w:cs="Arial" w:eastAsia="Arial" w:hAnsi="Arial"/>
                <w:sz w:val="18"/>
                <w:szCs w:val="18"/>
                <w:color w:val="0000FF"/>
                <w:w w:val="93"/>
              </w:rPr>
            </w:pPr>
            <w:hyperlink r:id="rId108">
              <w:r>
                <w:rPr>
                  <w:rFonts w:ascii="Arial" w:cs="Arial" w:eastAsia="Arial" w:hAnsi="Arial"/>
                  <w:sz w:val="18"/>
                  <w:szCs w:val="18"/>
                  <w:color w:val="0000FF"/>
                  <w:w w:val="93"/>
                </w:rPr>
                <w:t>General Security Agreement, dated of May 17, 2018, by and between Duluth Holdings Inc. and BMO Harris Bank N.A., incorporated</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9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by reference to Exhibit 10.2 of the Company’s Current Report on Form 8-K dated May 17, 2018.</w:t>
              </w:r>
            </w:hyperlink>
          </w:p>
        </w:tc>
        <w:tc>
          <w:tcPr>
            <w:tcW w:w="20" w:type="dxa"/>
            <w:vAlign w:val="bottom"/>
            <w:tcBorders>
              <w:top w:val="single" w:sz="8" w:color="0000FF"/>
              <w:bottom w:val="single" w:sz="8" w:color="0000EE"/>
            </w:tcBorders>
          </w:tcPr>
          <w:p>
            <w:pPr>
              <w:spacing w:after="0"/>
              <w:rPr>
                <w:sz w:val="15"/>
                <w:szCs w:val="15"/>
                <w:color w:val="auto"/>
              </w:rPr>
            </w:pPr>
          </w:p>
        </w:tc>
        <w:tc>
          <w:tcPr>
            <w:tcW w:w="268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140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gridSpan w:val="33"/>
          </w:tcPr>
          <w:p>
            <w:pPr>
              <w:spacing w:after="0"/>
              <w:rPr>
                <w:rFonts w:ascii="Arial" w:cs="Arial" w:eastAsia="Arial" w:hAnsi="Arial"/>
                <w:sz w:val="18"/>
                <w:szCs w:val="18"/>
                <w:color w:val="0000FF"/>
                <w:w w:val="95"/>
              </w:rPr>
            </w:pPr>
            <w:hyperlink r:id="rId109">
              <w:r>
                <w:rPr>
                  <w:rFonts w:ascii="Arial" w:cs="Arial" w:eastAsia="Arial" w:hAnsi="Arial"/>
                  <w:sz w:val="18"/>
                  <w:szCs w:val="18"/>
                  <w:color w:val="0000FF"/>
                  <w:w w:val="95"/>
                </w:rPr>
                <w:t>Amendment No. 1, dated as of April 30, 2020, to Credit Agreement, dated as of May 17, 2018, among Duluth Holdings Inc., as the</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borrower, BMO Harris Bank N.A., as Administrative Agent, Swingline Lender and L/C Issuer, the Other Lender party thereto, and</w:t>
              </w:r>
            </w:hyperlink>
          </w:p>
        </w:tc>
        <w:tc>
          <w:tcPr>
            <w:tcW w:w="20" w:type="dxa"/>
            <w:vAlign w:val="bottom"/>
            <w:tcBorders>
              <w:top w:val="single" w:sz="8" w:color="0000FF"/>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32"/>
          </w:tcPr>
          <w:p>
            <w:pPr>
              <w:spacing w:after="0" w:line="182"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BMO Capital Markets Corp., as Sole Lead Arranger and Sole Bookrunner, incorporated by reference to Exhibit 10.1 to the Company’s</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6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Quarterly Report on Form 10-Q filed June 5, 2020.</w:t>
              </w:r>
            </w:hyperlink>
          </w:p>
        </w:tc>
        <w:tc>
          <w:tcPr>
            <w:tcW w:w="606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400" w:type="dxa"/>
            <w:vAlign w:val="bottom"/>
          </w:tcPr>
          <w:p>
            <w:pPr>
              <w:spacing w:after="0"/>
              <w:rPr>
                <w:sz w:val="20"/>
                <w:szCs w:val="20"/>
                <w:color w:val="auto"/>
              </w:rPr>
            </w:pPr>
            <w:r>
              <w:rPr>
                <w:rFonts w:ascii="Arial" w:cs="Arial" w:eastAsia="Arial" w:hAnsi="Arial"/>
                <w:sz w:val="18"/>
                <w:szCs w:val="18"/>
                <w:color w:val="auto"/>
              </w:rPr>
              <w:t>10.16+</w:t>
            </w:r>
          </w:p>
        </w:tc>
        <w:tc>
          <w:tcPr>
            <w:tcW w:w="9860" w:type="dxa"/>
            <w:vAlign w:val="bottom"/>
            <w:gridSpan w:val="33"/>
          </w:tcPr>
          <w:p>
            <w:pP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First Amended and Restate Employment Agreement, dated as of May 27, 2021, between Stephen L. Schlecht and the Company,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50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incorporated by reference to Exhibit 10.1 of the Company’s Quarterly Report on Form 10-Q dated September 3, 2021.</w:t>
              </w:r>
            </w:hyperlink>
          </w:p>
        </w:tc>
        <w:tc>
          <w:tcPr>
            <w:tcW w:w="74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33"/>
        </w:trPr>
        <w:tc>
          <w:tcPr>
            <w:tcW w:w="1400" w:type="dxa"/>
            <w:vAlign w:val="bottom"/>
          </w:tcPr>
          <w:p>
            <w:pPr>
              <w:spacing w:after="0"/>
              <w:rPr>
                <w:sz w:val="20"/>
                <w:szCs w:val="20"/>
                <w:color w:val="auto"/>
              </w:rPr>
            </w:pPr>
            <w:r>
              <w:rPr>
                <w:rFonts w:ascii="Arial" w:cs="Arial" w:eastAsia="Arial" w:hAnsi="Arial"/>
                <w:sz w:val="18"/>
                <w:szCs w:val="18"/>
                <w:color w:val="auto"/>
              </w:rPr>
              <w:t>10.17+</w:t>
            </w:r>
          </w:p>
        </w:tc>
        <w:tc>
          <w:tcPr>
            <w:tcW w:w="9860" w:type="dxa"/>
            <w:vAlign w:val="bottom"/>
            <w:gridSpan w:val="33"/>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Offer Letter dated January 24, 2020 by and between Christopher M. Teufel and Duluth Holdings Inc.*</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10.18+</w:t>
            </w:r>
          </w:p>
        </w:tc>
        <w:tc>
          <w:tcPr>
            <w:tcW w:w="9860" w:type="dxa"/>
            <w:vAlign w:val="bottom"/>
            <w:gridSpan w:val="33"/>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Offer Letter dated January 24, 2020 by and between David S. Homolka and Duluth Holdings Inc.*</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10.19+</w:t>
            </w:r>
          </w:p>
        </w:tc>
        <w:tc>
          <w:tcPr>
            <w:tcW w:w="9860" w:type="dxa"/>
            <w:vAlign w:val="bottom"/>
            <w:gridSpan w:val="33"/>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Offer Letter dated January 24, 2020 by and between Richard W. Schlecht and Duluth Holdings Inc.*</w:t>
              </w:r>
            </w:hyperlink>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line="202" w:lineRule="exact"/>
              <w:rPr>
                <w:sz w:val="20"/>
                <w:szCs w:val="20"/>
                <w:color w:val="auto"/>
              </w:rPr>
            </w:pPr>
            <w:r>
              <w:rPr>
                <w:rFonts w:ascii="Arial" w:cs="Arial" w:eastAsia="Arial" w:hAnsi="Arial"/>
                <w:sz w:val="18"/>
                <w:szCs w:val="18"/>
                <w:color w:val="auto"/>
              </w:rPr>
              <w:t>10.20</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4"/>
            <w:shd w:val="clear" w:color="auto" w:fill="0000FF"/>
          </w:tcPr>
          <w:p>
            <w:pPr>
              <w:spacing w:after="0" w:line="20" w:lineRule="exact"/>
              <w:rPr>
                <w:sz w:val="1"/>
                <w:szCs w:val="1"/>
                <w:color w:val="auto"/>
              </w:rPr>
            </w:pPr>
          </w:p>
        </w:tc>
        <w:tc>
          <w:tcPr>
            <w:tcW w:w="2600" w:type="dxa"/>
            <w:vAlign w:val="bottom"/>
            <w:gridSpan w:val="18"/>
            <w:vMerge w:val="restart"/>
          </w:tcPr>
          <w:p>
            <w:pPr>
              <w:ind w:left="80"/>
              <w:spacing w:after="0" w:line="202" w:lineRule="exact"/>
              <w:rPr>
                <w:rFonts w:ascii="Arial" w:cs="Arial" w:eastAsia="Arial" w:hAnsi="Arial"/>
                <w:sz w:val="18"/>
                <w:szCs w:val="18"/>
                <w:color w:val="0000FF"/>
              </w:rPr>
            </w:pPr>
            <w:hyperlink r:id="rId111">
              <w:r>
                <w:rPr>
                  <w:rFonts w:ascii="Arial" w:cs="Arial" w:eastAsia="Arial" w:hAnsi="Arial"/>
                  <w:sz w:val="18"/>
                  <w:szCs w:val="18"/>
                  <w:color w:val="0000FF"/>
                </w:rPr>
                <w:t>Bank of America, N.A., as</w:t>
              </w:r>
            </w:hyperlink>
          </w:p>
        </w:tc>
        <w:tc>
          <w:tcPr>
            <w:tcW w:w="0" w:type="dxa"/>
            <w:vAlign w:val="bottom"/>
          </w:tcPr>
          <w:p>
            <w:pPr>
              <w:spacing w:after="0" w:line="20" w:lineRule="exact"/>
              <w:rPr>
                <w:sz w:val="1"/>
                <w:szCs w:val="1"/>
                <w:color w:val="auto"/>
              </w:rPr>
            </w:pPr>
          </w:p>
        </w:tc>
      </w:tr>
      <w:tr>
        <w:trPr>
          <w:trHeight w:val="183"/>
        </w:trPr>
        <w:tc>
          <w:tcPr>
            <w:tcW w:w="1400" w:type="dxa"/>
            <w:vAlign w:val="bottom"/>
            <w:vMerge w:val="continue"/>
          </w:tcPr>
          <w:p>
            <w:pPr>
              <w:spacing w:after="0"/>
              <w:rPr>
                <w:sz w:val="15"/>
                <w:szCs w:val="15"/>
                <w:color w:val="auto"/>
              </w:rPr>
            </w:pPr>
          </w:p>
        </w:tc>
        <w:tc>
          <w:tcPr>
            <w:tcW w:w="7260" w:type="dxa"/>
            <w:vAlign w:val="bottom"/>
            <w:gridSpan w:val="15"/>
          </w:tcPr>
          <w:p>
            <w:pPr>
              <w:spacing w:after="0" w:line="182"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Credit Agreement, dated as of May 14, 2021, among Duluth Holdings Inc., the Lenders party thereto,</w:t>
              </w:r>
            </w:hyperlink>
          </w:p>
        </w:tc>
        <w:tc>
          <w:tcPr>
            <w:tcW w:w="260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9840" w:type="dxa"/>
            <w:vAlign w:val="bottom"/>
            <w:gridSpan w:val="32"/>
          </w:tcPr>
          <w:p>
            <w:pPr>
              <w:spacing w:after="0" w:line="182" w:lineRule="exact"/>
              <w:rPr>
                <w:rFonts w:ascii="Arial" w:cs="Arial" w:eastAsia="Arial" w:hAnsi="Arial"/>
                <w:sz w:val="18"/>
                <w:szCs w:val="18"/>
                <w:color w:val="0000FF"/>
                <w:w w:val="95"/>
              </w:rPr>
            </w:pPr>
            <w:hyperlink r:id="rId111">
              <w:r>
                <w:rPr>
                  <w:rFonts w:ascii="Arial" w:cs="Arial" w:eastAsia="Arial" w:hAnsi="Arial"/>
                  <w:sz w:val="18"/>
                  <w:szCs w:val="18"/>
                  <w:color w:val="0000FF"/>
                  <w:w w:val="95"/>
                </w:rPr>
                <w:t>Administrative Agent, Swingline Lender and L/C Issuer, BofA Securities, Inc., as a Joint Lead Arranger and Sole Bookrunner, and</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top w:val="single" w:sz="8" w:color="0000FF"/>
            </w:tcBorders>
            <w:gridSpan w:val="21"/>
          </w:tcPr>
          <w:p>
            <w:pPr>
              <w:spacing w:after="0" w:line="182"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Keybanc Capital Markets Inc., as a Joint Lead Arranger, incorporated by reference to Exhibit 10.1 of the Company’s Current Report</w:t>
              </w:r>
            </w:hyperlink>
          </w:p>
        </w:tc>
        <w:tc>
          <w:tcPr>
            <w:tcW w:w="400" w:type="dxa"/>
            <w:vAlign w:val="bottom"/>
            <w:gridSpan w:val="11"/>
          </w:tcPr>
          <w:p>
            <w:pPr>
              <w:ind w:left="100"/>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Form 8-K dated May 14, 2021.</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400" w:type="dxa"/>
            <w:vAlign w:val="bottom"/>
          </w:tcPr>
          <w:p>
            <w:pPr>
              <w:spacing w:after="0"/>
              <w:rPr>
                <w:sz w:val="20"/>
                <w:szCs w:val="20"/>
                <w:color w:val="auto"/>
              </w:rPr>
            </w:pPr>
            <w:r>
              <w:rPr>
                <w:rFonts w:ascii="Arial" w:cs="Arial" w:eastAsia="Arial" w:hAnsi="Arial"/>
                <w:sz w:val="18"/>
                <w:szCs w:val="18"/>
                <w:color w:val="auto"/>
              </w:rPr>
              <w:t>10.21</w:t>
            </w:r>
          </w:p>
        </w:tc>
        <w:tc>
          <w:tcPr>
            <w:tcW w:w="9860" w:type="dxa"/>
            <w:vAlign w:val="bottom"/>
            <w:gridSpan w:val="33"/>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Security Agreement, dated as of May 14, 2021, by and between Duluth Holdings Inc. and Bank of America, N.A., incorporated by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74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reference to Exhibit 10.2 of the Company’s Current Report on Form 8-K dated May 14, 2021.</w:t>
              </w:r>
            </w:hyperlink>
          </w:p>
        </w:tc>
        <w:tc>
          <w:tcPr>
            <w:tcW w:w="2680" w:type="dxa"/>
            <w:vAlign w:val="bottom"/>
            <w:tcBorders>
              <w:top w:val="single" w:sz="8" w:color="0000FF"/>
            </w:tcBorders>
            <w:gridSpan w:val="10"/>
          </w:tcPr>
          <w:p>
            <w:pPr>
              <w:spacing w:after="0"/>
              <w:rPr>
                <w:sz w:val="15"/>
                <w:szCs w:val="15"/>
                <w:color w:val="auto"/>
              </w:rPr>
            </w:pPr>
          </w:p>
        </w:tc>
        <w:tc>
          <w:tcPr>
            <w:tcW w:w="2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400" w:type="dxa"/>
            <w:vAlign w:val="bottom"/>
          </w:tcPr>
          <w:p>
            <w:pPr>
              <w:spacing w:after="0"/>
              <w:rPr>
                <w:sz w:val="20"/>
                <w:szCs w:val="20"/>
                <w:color w:val="auto"/>
              </w:rPr>
            </w:pPr>
            <w:r>
              <w:rPr>
                <w:rFonts w:ascii="Arial" w:cs="Arial" w:eastAsia="Arial" w:hAnsi="Arial"/>
                <w:sz w:val="18"/>
                <w:szCs w:val="18"/>
                <w:color w:val="auto"/>
              </w:rPr>
              <w:t>23.1</w:t>
            </w:r>
          </w:p>
        </w:tc>
        <w:tc>
          <w:tcPr>
            <w:tcW w:w="9860" w:type="dxa"/>
            <w:vAlign w:val="bottom"/>
            <w:gridSpan w:val="33"/>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Consent of KPMG LLP.*</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8"/>
                <w:szCs w:val="18"/>
                <w:color w:val="auto"/>
              </w:rPr>
              <w:t>23.2</w:t>
            </w:r>
          </w:p>
        </w:tc>
        <w:tc>
          <w:tcPr>
            <w:tcW w:w="9860" w:type="dxa"/>
            <w:vAlign w:val="bottom"/>
            <w:gridSpan w:val="33"/>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Consent of Grant Thornton LLP.*</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8"/>
                <w:szCs w:val="18"/>
                <w:color w:val="auto"/>
              </w:rPr>
              <w:t>24.1</w:t>
            </w:r>
          </w:p>
        </w:tc>
        <w:tc>
          <w:tcPr>
            <w:tcW w:w="9860" w:type="dxa"/>
            <w:vAlign w:val="bottom"/>
            <w:gridSpan w:val="33"/>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Power of Attorney.*</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33"/>
          </w:tcPr>
          <w:p>
            <w:pPr>
              <w:spacing w:after="0"/>
              <w:rPr>
                <w:rFonts w:ascii="Arial" w:cs="Arial" w:eastAsia="Arial" w:hAnsi="Arial"/>
                <w:sz w:val="18"/>
                <w:szCs w:val="18"/>
                <w:color w:val="0000FF"/>
                <w:w w:val="98"/>
              </w:rPr>
            </w:pPr>
            <w:hyperlink w:anchor="page94">
              <w:r>
                <w:rPr>
                  <w:rFonts w:ascii="Arial" w:cs="Arial" w:eastAsia="Arial" w:hAnsi="Arial"/>
                  <w:sz w:val="18"/>
                  <w:szCs w:val="18"/>
                  <w:color w:val="0000FF"/>
                  <w:w w:val="98"/>
                </w:rPr>
                <w:t>Certification of Chief Executive Officer pursuant to Rule 13a-14(a) and Rule 15d-14(a) of the Securities and Exchange Act, as</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w:anchor="page94">
              <w:r>
                <w:rPr>
                  <w:rFonts w:ascii="Arial" w:cs="Arial" w:eastAsia="Arial" w:hAnsi="Arial"/>
                  <w:sz w:val="18"/>
                  <w:szCs w:val="18"/>
                  <w:color w:val="0000FF"/>
                </w:rPr>
                <w:t>amended.*</w:t>
              </w:r>
            </w:hyperlink>
          </w:p>
        </w:tc>
        <w:tc>
          <w:tcPr>
            <w:tcW w:w="54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33"/>
          </w:tcPr>
          <w:p>
            <w:pPr>
              <w:spacing w:after="0"/>
              <w:rPr>
                <w:rFonts w:ascii="Arial" w:cs="Arial" w:eastAsia="Arial" w:hAnsi="Arial"/>
                <w:sz w:val="18"/>
                <w:szCs w:val="18"/>
                <w:color w:val="0000FF"/>
                <w:w w:val="93"/>
              </w:rPr>
            </w:pPr>
            <w:hyperlink w:anchor="page95">
              <w:r>
                <w:rPr>
                  <w:rFonts w:ascii="Arial" w:cs="Arial" w:eastAsia="Arial" w:hAnsi="Arial"/>
                  <w:sz w:val="18"/>
                  <w:szCs w:val="18"/>
                  <w:color w:val="0000FF"/>
                  <w:w w:val="93"/>
                </w:rPr>
                <w:t>Certification of Chief Financial Officer pursuant to Rule 13a-14(a) and Rule 15d-14(a) of the Securities and Exchange Act of 1934, as</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w:anchor="page95">
              <w:r>
                <w:rPr>
                  <w:rFonts w:ascii="Arial" w:cs="Arial" w:eastAsia="Arial" w:hAnsi="Arial"/>
                  <w:sz w:val="18"/>
                  <w:szCs w:val="18"/>
                  <w:color w:val="0000FF"/>
                </w:rPr>
                <w:t>amended.*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00" w:type="dxa"/>
            <w:vAlign w:val="bottom"/>
            <w:gridSpan w:val="2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gridSpan w:val="33"/>
          </w:tcPr>
          <w:p>
            <w:pPr>
              <w:spacing w:after="0"/>
              <w:rPr>
                <w:rFonts w:ascii="Arial" w:cs="Arial" w:eastAsia="Arial" w:hAnsi="Arial"/>
                <w:sz w:val="18"/>
                <w:szCs w:val="18"/>
                <w:color w:val="0000FF"/>
                <w:w w:val="91"/>
              </w:rPr>
            </w:pPr>
            <w:hyperlink w:anchor="page96">
              <w:r>
                <w:rPr>
                  <w:rFonts w:ascii="Arial" w:cs="Arial" w:eastAsia="Arial" w:hAnsi="Arial"/>
                  <w:sz w:val="18"/>
                  <w:szCs w:val="18"/>
                  <w:color w:val="0000FF"/>
                  <w:w w:val="91"/>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9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3"/>
              </w:rPr>
            </w:pPr>
            <w:hyperlink w:anchor="page96">
              <w:r>
                <w:rPr>
                  <w:rFonts w:ascii="Arial" w:cs="Arial" w:eastAsia="Arial" w:hAnsi="Arial"/>
                  <w:sz w:val="18"/>
                  <w:szCs w:val="18"/>
                  <w:color w:val="0000FF"/>
                  <w:w w:val="93"/>
                </w:rPr>
                <w:t>Act of 2002.*</w:t>
              </w:r>
            </w:hyperlink>
          </w:p>
        </w:tc>
        <w:tc>
          <w:tcPr>
            <w:tcW w:w="20" w:type="dxa"/>
            <w:vAlign w:val="bottom"/>
            <w:tcBorders>
              <w:top w:val="single" w:sz="8" w:color="0000FF"/>
              <w:bottom w:val="single" w:sz="8" w:color="0000EE"/>
            </w:tcBorders>
          </w:tcPr>
          <w:p>
            <w:pPr>
              <w:spacing w:after="0"/>
              <w:rPr>
                <w:sz w:val="15"/>
                <w:szCs w:val="15"/>
                <w:color w:val="auto"/>
              </w:rPr>
            </w:pPr>
          </w:p>
        </w:tc>
        <w:tc>
          <w:tcPr>
            <w:tcW w:w="8740" w:type="dxa"/>
            <w:vAlign w:val="bottom"/>
            <w:tcBorders>
              <w:top w:val="single" w:sz="8" w:color="0000FF"/>
            </w:tcBorders>
            <w:gridSpan w:val="25"/>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gridSpan w:val="33"/>
          </w:tcPr>
          <w:p>
            <w:pPr>
              <w:spacing w:after="0"/>
              <w:rPr>
                <w:rFonts w:ascii="Arial" w:cs="Arial" w:eastAsia="Arial" w:hAnsi="Arial"/>
                <w:sz w:val="18"/>
                <w:szCs w:val="18"/>
                <w:color w:val="0000FF"/>
                <w:w w:val="92"/>
              </w:rPr>
            </w:pPr>
            <w:hyperlink w:anchor="page97">
              <w:r>
                <w:rPr>
                  <w:rFonts w:ascii="Arial" w:cs="Arial" w:eastAsia="Arial" w:hAnsi="Arial"/>
                  <w:sz w:val="18"/>
                  <w:szCs w:val="18"/>
                  <w:color w:val="0000FF"/>
                  <w:w w:val="92"/>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9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3"/>
              </w:rPr>
            </w:pPr>
            <w:hyperlink w:anchor="page97">
              <w:r>
                <w:rPr>
                  <w:rFonts w:ascii="Arial" w:cs="Arial" w:eastAsia="Arial" w:hAnsi="Arial"/>
                  <w:sz w:val="18"/>
                  <w:szCs w:val="18"/>
                  <w:color w:val="0000FF"/>
                  <w:w w:val="93"/>
                </w:rPr>
                <w:t>Act of 2002.*</w:t>
              </w:r>
            </w:hyperlink>
          </w:p>
        </w:tc>
        <w:tc>
          <w:tcPr>
            <w:tcW w:w="20" w:type="dxa"/>
            <w:vAlign w:val="bottom"/>
            <w:tcBorders>
              <w:top w:val="single" w:sz="8" w:color="0000FF"/>
              <w:bottom w:val="single" w:sz="8" w:color="0000EE"/>
            </w:tcBorders>
          </w:tcPr>
          <w:p>
            <w:pPr>
              <w:spacing w:after="0"/>
              <w:rPr>
                <w:sz w:val="15"/>
                <w:szCs w:val="15"/>
                <w:color w:val="auto"/>
              </w:rPr>
            </w:pPr>
          </w:p>
        </w:tc>
        <w:tc>
          <w:tcPr>
            <w:tcW w:w="8700" w:type="dxa"/>
            <w:vAlign w:val="bottom"/>
            <w:tcBorders>
              <w:top w:val="single" w:sz="8" w:color="0000FF"/>
            </w:tcBorders>
            <w:gridSpan w:val="23"/>
          </w:tcPr>
          <w:p>
            <w:pPr>
              <w:spacing w:after="0"/>
              <w:rPr>
                <w:sz w:val="15"/>
                <w:szCs w:val="15"/>
                <w:color w:val="auto"/>
              </w:rPr>
            </w:pPr>
          </w:p>
        </w:tc>
        <w:tc>
          <w:tcPr>
            <w:tcW w:w="1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3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3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3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33"/>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3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6760" w:type="dxa"/>
            <w:vAlign w:val="bottom"/>
            <w:gridSpan w:val="11"/>
          </w:tcPr>
          <w:p>
            <w:pPr>
              <w:ind w:left="4160"/>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FF"/>
                <w:w w:val="92"/>
              </w:rPr>
            </w:pPr>
            <w:hyperlink w:anchor="page2">
              <w:r>
                <w:rPr>
                  <w:rFonts w:ascii="Arial" w:cs="Arial" w:eastAsia="Arial" w:hAnsi="Arial"/>
                  <w:sz w:val="18"/>
                  <w:szCs w:val="18"/>
                  <w:color w:val="0000FF"/>
                  <w:w w:val="92"/>
                </w:rPr>
                <w:t>Table of Contents</w:t>
              </w:r>
            </w:hyperlink>
          </w:p>
        </w:tc>
        <w:tc>
          <w:tcPr>
            <w:tcW w:w="6480" w:type="dxa"/>
            <w:vAlign w:val="bottom"/>
            <w:vMerge w:val="restart"/>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195"/>
        </w:trPr>
        <w:tc>
          <w:tcPr>
            <w:tcW w:w="1280" w:type="dxa"/>
            <w:vAlign w:val="bottom"/>
            <w:tcBorders>
              <w:top w:val="single" w:sz="8" w:color="0000FF"/>
            </w:tcBorders>
          </w:tcPr>
          <w:p>
            <w:pPr>
              <w:spacing w:after="0" w:line="195"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6"/>
                <w:szCs w:val="16"/>
                <w:color w:val="auto"/>
              </w:rPr>
            </w:pPr>
          </w:p>
        </w:tc>
        <w:tc>
          <w:tcPr>
            <w:tcW w:w="6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0"/>
                <w:szCs w:val="20"/>
                <w:color w:val="auto"/>
              </w:rPr>
            </w:pPr>
          </w:p>
        </w:tc>
        <w:tc>
          <w:tcPr>
            <w:tcW w:w="6480" w:type="dxa"/>
            <w:vAlign w:val="bottom"/>
          </w:tcPr>
          <w:p>
            <w:pPr>
              <w:ind w:left="6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400" w:right="5180" w:hanging="2"/>
        <w:spacing w:after="0"/>
        <w:tabs>
          <w:tab w:leader="none" w:pos="1661" w:val="left"/>
        </w:tabs>
        <w:numPr>
          <w:ilvl w:val="0"/>
          <w:numId w:val="5"/>
        </w:numPr>
        <w:rPr>
          <w:rFonts w:ascii="Arial" w:cs="Arial" w:eastAsia="Arial" w:hAnsi="Arial"/>
          <w:sz w:val="14"/>
          <w:szCs w:val="14"/>
          <w:color w:val="auto"/>
        </w:rPr>
      </w:pPr>
      <w:r>
        <w:rPr>
          <w:rFonts w:ascii="Arial" w:cs="Arial" w:eastAsia="Arial" w:hAnsi="Arial"/>
          <w:sz w:val="14"/>
          <w:szCs w:val="14"/>
          <w:color w:val="auto"/>
        </w:rPr>
        <w:t>Indicates a management contract or compensation plan or arrangement * Filed herewith</w:t>
      </w:r>
    </w:p>
    <w:p>
      <w:pPr>
        <w:ind w:left="1400"/>
        <w:spacing w:after="0"/>
        <w:rPr>
          <w:rFonts w:ascii="Arial" w:cs="Arial" w:eastAsia="Arial" w:hAnsi="Arial"/>
          <w:sz w:val="14"/>
          <w:szCs w:val="14"/>
          <w:color w:val="auto"/>
        </w:rPr>
      </w:pPr>
      <w:r>
        <w:rPr>
          <w:rFonts w:ascii="Arial" w:cs="Arial" w:eastAsia="Arial" w:hAnsi="Arial"/>
          <w:sz w:val="13"/>
          <w:szCs w:val="13"/>
          <w:color w:val="auto"/>
        </w:rPr>
        <w:t>**  In accordance with Regulation S-T, the XBRL-related information in Exhibit 101 to this Annual Report on Form 10-K shall be deemed to be “furnished” and not</w:t>
      </w:r>
    </w:p>
    <w:p>
      <w:pPr>
        <w:spacing w:after="0" w:line="41"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“filed.”</w:t>
      </w:r>
    </w:p>
    <w:p>
      <w:pPr>
        <w:spacing w:after="0" w:line="200" w:lineRule="exact"/>
        <w:rPr>
          <w:sz w:val="20"/>
          <w:szCs w:val="20"/>
          <w:color w:val="auto"/>
        </w:rPr>
      </w:pPr>
    </w:p>
    <w:p>
      <w:pPr>
        <w:spacing w:after="0" w:line="38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7"/>
          <w:szCs w:val="17"/>
          <w:color w:val="auto"/>
        </w:rPr>
        <w:t>FORM 10-K SUMMARY</w:t>
      </w:r>
    </w:p>
    <w:p>
      <w:pPr>
        <w:spacing w:after="0" w:line="200" w:lineRule="exact"/>
        <w:rPr>
          <w:sz w:val="20"/>
          <w:szCs w:val="20"/>
          <w:color w:val="auto"/>
        </w:rPr>
      </w:pP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5" w:right="6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42"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DULUTH HOLDINGS INC.</w:t>
      </w:r>
    </w:p>
    <w:p>
      <w:pPr>
        <w:spacing w:after="0" w:line="200" w:lineRule="exact"/>
        <w:rPr>
          <w:sz w:val="20"/>
          <w:szCs w:val="20"/>
          <w:color w:val="auto"/>
        </w:rPr>
      </w:pPr>
    </w:p>
    <w:p>
      <w:pPr>
        <w:spacing w:after="0" w:line="2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Samuel 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75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Samuel M. Sato</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171" w:lineRule="exact"/>
        <w:rPr>
          <w:sz w:val="20"/>
          <w:szCs w:val="20"/>
          <w:color w:val="auto"/>
        </w:rPr>
      </w:pPr>
    </w:p>
    <w:p>
      <w:pPr>
        <w:ind w:right="280" w:firstLine="44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620" w:type="dxa"/>
            <w:vAlign w:val="bottom"/>
            <w:gridSpan w:val="4"/>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3080" w:type="dxa"/>
            <w:vAlign w:val="bottom"/>
            <w:gridSpan w:val="5"/>
          </w:tcPr>
          <w:p>
            <w:pPr>
              <w:spacing w:after="0"/>
              <w:rPr>
                <w:sz w:val="20"/>
                <w:szCs w:val="20"/>
                <w:color w:val="auto"/>
              </w:rPr>
            </w:pPr>
            <w:r>
              <w:rPr>
                <w:rFonts w:ascii="Arial" w:cs="Arial" w:eastAsia="Arial" w:hAnsi="Arial"/>
                <w:sz w:val="18"/>
                <w:szCs w:val="18"/>
                <w:i w:val="1"/>
                <w:iCs w:val="1"/>
                <w:color w:val="auto"/>
              </w:rPr>
              <w:t>/s/ Samuel M. Sato</w:t>
            </w:r>
          </w:p>
        </w:tc>
        <w:tc>
          <w:tcPr>
            <w:tcW w:w="3080" w:type="dxa"/>
            <w:vAlign w:val="bottom"/>
            <w:gridSpan w:val="2"/>
          </w:tcPr>
          <w:p>
            <w:pPr>
              <w:spacing w:after="0"/>
              <w:rPr>
                <w:sz w:val="20"/>
                <w:szCs w:val="20"/>
                <w:color w:val="auto"/>
              </w:rPr>
            </w:pPr>
            <w:r>
              <w:rPr>
                <w:rFonts w:ascii="Arial" w:cs="Arial" w:eastAsia="Arial" w:hAnsi="Arial"/>
                <w:sz w:val="18"/>
                <w:szCs w:val="18"/>
                <w:color w:val="auto"/>
              </w:rPr>
              <w:t>President and</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25, 2022</w:t>
            </w:r>
          </w:p>
        </w:tc>
      </w:tr>
      <w:tr>
        <w:trPr>
          <w:trHeight w:val="168"/>
        </w:trPr>
        <w:tc>
          <w:tcPr>
            <w:tcW w:w="2080" w:type="dxa"/>
            <w:vAlign w:val="bottom"/>
            <w:tcBorders>
              <w:top w:val="single" w:sz="8" w:color="auto"/>
            </w:tcBorders>
            <w:gridSpan w:val="3"/>
          </w:tcPr>
          <w:p>
            <w:pPr>
              <w:spacing w:after="0" w:line="168" w:lineRule="exact"/>
              <w:rPr>
                <w:sz w:val="20"/>
                <w:szCs w:val="20"/>
                <w:color w:val="auto"/>
              </w:rPr>
            </w:pPr>
            <w:r>
              <w:rPr>
                <w:rFonts w:ascii="Arial" w:cs="Arial" w:eastAsia="Arial" w:hAnsi="Arial"/>
                <w:sz w:val="18"/>
                <w:szCs w:val="18"/>
                <w:color w:val="auto"/>
              </w:rPr>
              <w:t>Samuel M. Sato</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gridSpan w:val="2"/>
          </w:tcPr>
          <w:p>
            <w:pPr>
              <w:spacing w:after="0" w:line="168" w:lineRule="exact"/>
              <w:rPr>
                <w:sz w:val="20"/>
                <w:szCs w:val="20"/>
                <w:color w:val="auto"/>
              </w:rPr>
            </w:pPr>
            <w:r>
              <w:rPr>
                <w:rFonts w:ascii="Arial" w:cs="Arial" w:eastAsia="Arial" w:hAnsi="Arial"/>
                <w:sz w:val="18"/>
                <w:szCs w:val="18"/>
                <w:color w:val="auto"/>
              </w:rPr>
              <w:t>Chief Executive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8"/>
        </w:trPr>
        <w:tc>
          <w:tcPr>
            <w:tcW w:w="3080" w:type="dxa"/>
            <w:vAlign w:val="bottom"/>
            <w:gridSpan w:val="5"/>
          </w:tcPr>
          <w:p>
            <w:pPr>
              <w:spacing w:after="0"/>
              <w:rPr>
                <w:sz w:val="20"/>
                <w:szCs w:val="20"/>
                <w:color w:val="auto"/>
              </w:rPr>
            </w:pPr>
            <w:r>
              <w:rPr>
                <w:rFonts w:ascii="Arial" w:cs="Arial" w:eastAsia="Arial" w:hAnsi="Arial"/>
                <w:sz w:val="18"/>
                <w:szCs w:val="18"/>
                <w:i w:val="1"/>
                <w:iCs w:val="1"/>
                <w:color w:val="auto"/>
              </w:rPr>
              <w:t>/s/ David Loretta</w:t>
            </w:r>
          </w:p>
        </w:tc>
        <w:tc>
          <w:tcPr>
            <w:tcW w:w="308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25, 2022</w:t>
            </w:r>
          </w:p>
        </w:tc>
      </w:tr>
      <w:tr>
        <w:trPr>
          <w:trHeight w:val="168"/>
        </w:trPr>
        <w:tc>
          <w:tcPr>
            <w:tcW w:w="204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8"/>
                <w:szCs w:val="18"/>
                <w:color w:val="auto"/>
              </w:rPr>
              <w:t>David Loretta</w:t>
            </w:r>
          </w:p>
        </w:tc>
        <w:tc>
          <w:tcPr>
            <w:tcW w:w="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gridSpan w:val="2"/>
          </w:tcPr>
          <w:p>
            <w:pPr>
              <w:spacing w:after="0" w:line="168" w:lineRule="exact"/>
              <w:rPr>
                <w:sz w:val="20"/>
                <w:szCs w:val="20"/>
                <w:color w:val="auto"/>
              </w:rPr>
            </w:pPr>
            <w:r>
              <w:rPr>
                <w:rFonts w:ascii="Arial" w:cs="Arial" w:eastAsia="Arial" w:hAnsi="Arial"/>
                <w:sz w:val="18"/>
                <w:szCs w:val="18"/>
                <w:color w:val="auto"/>
              </w:rPr>
              <w:t>Chief Financial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7"/>
        </w:trPr>
        <w:tc>
          <w:tcPr>
            <w:tcW w:w="3080" w:type="dxa"/>
            <w:vAlign w:val="bottom"/>
            <w:gridSpan w:val="5"/>
          </w:tcPr>
          <w:p>
            <w:pPr>
              <w:spacing w:after="0"/>
              <w:rPr>
                <w:sz w:val="20"/>
                <w:szCs w:val="20"/>
                <w:color w:val="auto"/>
              </w:rPr>
            </w:pPr>
            <w:r>
              <w:rPr>
                <w:rFonts w:ascii="Arial" w:cs="Arial" w:eastAsia="Arial" w:hAnsi="Arial"/>
                <w:sz w:val="18"/>
                <w:szCs w:val="18"/>
                <w:i w:val="1"/>
                <w:iCs w:val="1"/>
                <w:color w:val="auto"/>
              </w:rPr>
              <w:t>/s/ Michael Murphy</w:t>
            </w:r>
          </w:p>
        </w:tc>
        <w:tc>
          <w:tcPr>
            <w:tcW w:w="3080" w:type="dxa"/>
            <w:vAlign w:val="bottom"/>
            <w:gridSpan w:val="2"/>
          </w:tcPr>
          <w:p>
            <w:pPr>
              <w:spacing w:after="0"/>
              <w:rPr>
                <w:sz w:val="20"/>
                <w:szCs w:val="20"/>
                <w:color w:val="auto"/>
              </w:rPr>
            </w:pPr>
            <w:r>
              <w:rPr>
                <w:rFonts w:ascii="Arial" w:cs="Arial" w:eastAsia="Arial" w:hAnsi="Arial"/>
                <w:sz w:val="18"/>
                <w:szCs w:val="18"/>
                <w:color w:val="auto"/>
              </w:rPr>
              <w:t>Vice President and</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25, 2022</w:t>
            </w:r>
          </w:p>
        </w:tc>
      </w:tr>
      <w:tr>
        <w:trPr>
          <w:trHeight w:val="168"/>
        </w:trPr>
        <w:tc>
          <w:tcPr>
            <w:tcW w:w="2100" w:type="dxa"/>
            <w:vAlign w:val="bottom"/>
            <w:tcBorders>
              <w:top w:val="single" w:sz="8" w:color="auto"/>
            </w:tcBorders>
            <w:gridSpan w:val="4"/>
          </w:tcPr>
          <w:p>
            <w:pPr>
              <w:spacing w:after="0" w:line="168" w:lineRule="exact"/>
              <w:rPr>
                <w:sz w:val="20"/>
                <w:szCs w:val="20"/>
                <w:color w:val="auto"/>
              </w:rPr>
            </w:pPr>
            <w:r>
              <w:rPr>
                <w:rFonts w:ascii="Arial" w:cs="Arial" w:eastAsia="Arial" w:hAnsi="Arial"/>
                <w:sz w:val="18"/>
                <w:szCs w:val="18"/>
                <w:color w:val="auto"/>
              </w:rPr>
              <w:t>Michael Murphy</w:t>
            </w:r>
          </w:p>
        </w:tc>
        <w:tc>
          <w:tcPr>
            <w:tcW w:w="980" w:type="dxa"/>
            <w:vAlign w:val="bottom"/>
          </w:tcPr>
          <w:p>
            <w:pPr>
              <w:spacing w:after="0"/>
              <w:rPr>
                <w:sz w:val="14"/>
                <w:szCs w:val="14"/>
                <w:color w:val="auto"/>
              </w:rPr>
            </w:pPr>
          </w:p>
        </w:tc>
        <w:tc>
          <w:tcPr>
            <w:tcW w:w="3080" w:type="dxa"/>
            <w:vAlign w:val="bottom"/>
            <w:gridSpan w:val="2"/>
          </w:tcPr>
          <w:p>
            <w:pPr>
              <w:spacing w:after="0" w:line="168" w:lineRule="exact"/>
              <w:rPr>
                <w:sz w:val="20"/>
                <w:szCs w:val="20"/>
                <w:color w:val="auto"/>
              </w:rPr>
            </w:pPr>
            <w:r>
              <w:rPr>
                <w:rFonts w:ascii="Arial" w:cs="Arial" w:eastAsia="Arial" w:hAnsi="Arial"/>
                <w:sz w:val="18"/>
                <w:szCs w:val="18"/>
                <w:color w:val="auto"/>
              </w:rPr>
              <w:t>Chief Accounting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33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Samuel M. Sato, Brett L. Paschke, Francesca M. Edwardson, Thomas G. Folliard, David C. Finch, Brenda I. Morris, Stephen L. Schlecht and</w:t>
      </w:r>
      <w:r>
        <w:rPr>
          <w:rFonts w:ascii="Arial" w:cs="Arial" w:eastAsia="Arial" w:hAnsi="Arial"/>
          <w:sz w:val="18"/>
          <w:szCs w:val="18"/>
          <w:b w:val="1"/>
          <w:bCs w:val="1"/>
          <w:color w:val="auto"/>
        </w:rPr>
        <w:t xml:space="preserve"> </w:t>
      </w:r>
      <w:r>
        <w:rPr>
          <w:rFonts w:ascii="Arial" w:cs="Arial" w:eastAsia="Arial" w:hAnsi="Arial"/>
          <w:sz w:val="18"/>
          <w:szCs w:val="18"/>
          <w:color w:val="auto"/>
        </w:rPr>
        <w:t>Scott K. Williams.</w:t>
      </w:r>
    </w:p>
    <w:p>
      <w:pPr>
        <w:spacing w:after="0" w:line="153" w:lineRule="exact"/>
        <w:rPr>
          <w:sz w:val="20"/>
          <w:szCs w:val="20"/>
          <w:color w:val="auto"/>
        </w:rPr>
      </w:pPr>
    </w:p>
    <w:p>
      <w:pPr>
        <w:ind w:left="1200"/>
        <w:spacing w:after="0"/>
        <w:tabs>
          <w:tab w:leader="none" w:pos="1920" w:val="left"/>
          <w:tab w:leader="none" w:pos="8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Dave Loretta</w:t>
      </w:r>
      <w:r>
        <w:rPr>
          <w:sz w:val="20"/>
          <w:szCs w:val="20"/>
          <w:color w:val="auto"/>
        </w:rPr>
        <w:tab/>
      </w:r>
      <w:r>
        <w:rPr>
          <w:rFonts w:ascii="Arial" w:cs="Arial" w:eastAsia="Arial" w:hAnsi="Arial"/>
          <w:sz w:val="16"/>
          <w:szCs w:val="16"/>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6350</wp:posOffset>
            </wp:positionV>
            <wp:extent cx="27089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1940"/>
        <w:spacing w:after="0" w:line="232" w:lineRule="auto"/>
        <w:rPr>
          <w:sz w:val="20"/>
          <w:szCs w:val="20"/>
          <w:color w:val="auto"/>
        </w:rPr>
      </w:pPr>
      <w:r>
        <w:rPr>
          <w:rFonts w:ascii="Arial" w:cs="Arial" w:eastAsia="Arial" w:hAnsi="Arial"/>
          <w:sz w:val="18"/>
          <w:szCs w:val="18"/>
          <w:color w:val="auto"/>
        </w:rPr>
        <w:t>David Loretta</w:t>
      </w:r>
    </w:p>
    <w:p>
      <w:pPr>
        <w:ind w:left="194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160"/>
          </w:cols>
          <w:pgMar w:left="320" w:top="110" w:right="41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u w:val="single" w:color="auto"/>
          <w:color w:val="auto"/>
        </w:rPr>
        <w:t>DULUTH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VOTING TRUST AGREEMENT</w:t>
      </w:r>
    </w:p>
    <w:p>
      <w:pPr>
        <w:spacing w:after="0" w:line="220" w:lineRule="exact"/>
        <w:rPr>
          <w:sz w:val="20"/>
          <w:szCs w:val="20"/>
          <w:color w:val="auto"/>
        </w:rPr>
      </w:pPr>
    </w:p>
    <w:p>
      <w:pPr>
        <w:ind w:left="180" w:right="239" w:firstLine="648"/>
        <w:spacing w:after="0" w:line="263" w:lineRule="auto"/>
        <w:rPr>
          <w:sz w:val="20"/>
          <w:szCs w:val="20"/>
          <w:color w:val="auto"/>
        </w:rPr>
      </w:pPr>
      <w:r>
        <w:rPr>
          <w:rFonts w:ascii="Arial" w:cs="Arial" w:eastAsia="Arial" w:hAnsi="Arial"/>
          <w:sz w:val="19"/>
          <w:szCs w:val="19"/>
          <w:color w:val="auto"/>
        </w:rPr>
        <w:t>THIS VOTING TRUST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November 1, 2021 by and among the individual named herein as the initial Trustee (such Trustee and his successors hereinafter referred to as the “</w:t>
      </w:r>
      <w:r>
        <w:rPr>
          <w:rFonts w:ascii="Arial" w:cs="Arial" w:eastAsia="Arial" w:hAnsi="Arial"/>
          <w:sz w:val="19"/>
          <w:szCs w:val="19"/>
          <w:u w:val="single" w:color="auto"/>
          <w:color w:val="auto"/>
        </w:rPr>
        <w:t>Trustee</w:t>
      </w:r>
      <w:r>
        <w:rPr>
          <w:rFonts w:ascii="Arial" w:cs="Arial" w:eastAsia="Arial" w:hAnsi="Arial"/>
          <w:sz w:val="19"/>
          <w:szCs w:val="19"/>
          <w:color w:val="auto"/>
        </w:rPr>
        <w:t>”) of the Duluth Holdings Inc. Voting Trust as of the date hereof and the undersigned shareholder of Duluth Holdings Inc. (the “</w:t>
      </w:r>
      <w:r>
        <w:rPr>
          <w:rFonts w:ascii="Arial" w:cs="Arial" w:eastAsia="Arial" w:hAnsi="Arial"/>
          <w:sz w:val="19"/>
          <w:szCs w:val="19"/>
          <w:u w:val="single" w:color="auto"/>
          <w:color w:val="auto"/>
        </w:rPr>
        <w:t>Transferor</w:t>
      </w:r>
      <w:r>
        <w:rPr>
          <w:rFonts w:ascii="Arial" w:cs="Arial" w:eastAsia="Arial" w:hAnsi="Arial"/>
          <w:sz w:val="19"/>
          <w:szCs w:val="19"/>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11" w:lineRule="exact"/>
        <w:rPr>
          <w:sz w:val="20"/>
          <w:szCs w:val="20"/>
          <w:color w:val="auto"/>
        </w:rPr>
      </w:pPr>
    </w:p>
    <w:p>
      <w:pPr>
        <w:ind w:left="180" w:right="499" w:firstLine="648"/>
        <w:spacing w:after="0" w:line="250" w:lineRule="auto"/>
        <w:rPr>
          <w:sz w:val="20"/>
          <w:szCs w:val="20"/>
          <w:color w:val="auto"/>
        </w:rPr>
      </w:pPr>
      <w:r>
        <w:rPr>
          <w:rFonts w:ascii="Arial" w:cs="Arial" w:eastAsia="Arial" w:hAnsi="Arial"/>
          <w:sz w:val="20"/>
          <w:szCs w:val="20"/>
          <w:color w:val="auto"/>
        </w:rPr>
        <w:t>WHEREAS, as of November 1, 2021, the Transferor is the owner of 3,364,200 shares of Class A Common Stock of Duluth Holdings Inc., a Wisconsin corporation, hereinafter referred to as the “</w:t>
      </w:r>
      <w:r>
        <w:rPr>
          <w:rFonts w:ascii="Arial" w:cs="Arial" w:eastAsia="Arial" w:hAnsi="Arial"/>
          <w:sz w:val="20"/>
          <w:szCs w:val="20"/>
          <w:u w:val="single" w:color="auto"/>
          <w:color w:val="auto"/>
        </w:rPr>
        <w:t>Corporation</w:t>
      </w:r>
      <w:r>
        <w:rPr>
          <w:rFonts w:ascii="Arial" w:cs="Arial" w:eastAsia="Arial" w:hAnsi="Arial"/>
          <w:sz w:val="20"/>
          <w:szCs w:val="20"/>
          <w:color w:val="auto"/>
        </w:rPr>
        <w:t>”; and</w:t>
      </w:r>
    </w:p>
    <w:p>
      <w:pPr>
        <w:spacing w:after="0" w:line="181" w:lineRule="exact"/>
        <w:rPr>
          <w:sz w:val="20"/>
          <w:szCs w:val="20"/>
          <w:color w:val="auto"/>
        </w:rPr>
      </w:pPr>
    </w:p>
    <w:p>
      <w:pPr>
        <w:ind w:left="180" w:right="299" w:firstLine="648"/>
        <w:spacing w:after="0" w:line="252" w:lineRule="auto"/>
        <w:rPr>
          <w:sz w:val="20"/>
          <w:szCs w:val="20"/>
          <w:color w:val="auto"/>
        </w:rPr>
      </w:pPr>
      <w:r>
        <w:rPr>
          <w:rFonts w:ascii="Arial" w:cs="Arial" w:eastAsia="Arial" w:hAnsi="Arial"/>
          <w:sz w:val="21"/>
          <w:szCs w:val="21"/>
          <w:color w:val="auto"/>
        </w:rPr>
        <w:t>WHEREAS, in order to ensure, among other things, that voting control of the Corporation reposes with persons who have knowledge about and expertise in business generally and the Corporation’s business in particular, the Transferor and Trustee have agreed to create a voting trust subject to the terms and conditions hereinafter set forth;</w:t>
      </w:r>
    </w:p>
    <w:p>
      <w:pPr>
        <w:spacing w:after="0" w:line="174" w:lineRule="exact"/>
        <w:rPr>
          <w:sz w:val="20"/>
          <w:szCs w:val="20"/>
          <w:color w:val="auto"/>
        </w:rPr>
      </w:pPr>
    </w:p>
    <w:p>
      <w:pPr>
        <w:ind w:left="180" w:right="459" w:firstLine="648"/>
        <w:spacing w:after="0" w:line="250" w:lineRule="auto"/>
        <w:rPr>
          <w:sz w:val="20"/>
          <w:szCs w:val="20"/>
          <w:color w:val="auto"/>
        </w:rPr>
      </w:pPr>
      <w:r>
        <w:rPr>
          <w:rFonts w:ascii="Arial" w:cs="Arial" w:eastAsia="Arial" w:hAnsi="Arial"/>
          <w:sz w:val="22"/>
          <w:szCs w:val="22"/>
          <w:color w:val="auto"/>
        </w:rPr>
        <w:t>NOW, THEREFORE, in consideration of the premises and the covenants and agreements herein set forth, the parties mutually covenant and agree as follows:</w:t>
      </w:r>
    </w:p>
    <w:p>
      <w:pPr>
        <w:spacing w:after="0" w:line="169"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Name of Voting Trust</w:t>
      </w:r>
    </w:p>
    <w:p>
      <w:pPr>
        <w:spacing w:after="0" w:line="188" w:lineRule="exact"/>
        <w:rPr>
          <w:sz w:val="20"/>
          <w:szCs w:val="20"/>
          <w:color w:val="auto"/>
        </w:rPr>
      </w:pPr>
    </w:p>
    <w:p>
      <w:pPr>
        <w:ind w:left="180" w:right="1079" w:firstLine="648"/>
        <w:spacing w:after="0" w:line="250" w:lineRule="auto"/>
        <w:rPr>
          <w:sz w:val="20"/>
          <w:szCs w:val="20"/>
          <w:color w:val="auto"/>
        </w:rPr>
      </w:pPr>
      <w:r>
        <w:rPr>
          <w:rFonts w:ascii="Arial" w:cs="Arial" w:eastAsia="Arial" w:hAnsi="Arial"/>
          <w:sz w:val="22"/>
          <w:szCs w:val="22"/>
          <w:color w:val="auto"/>
        </w:rPr>
        <w:t>This voting trust shall be known as the “</w:t>
      </w:r>
      <w:r>
        <w:rPr>
          <w:rFonts w:ascii="Arial" w:cs="Arial" w:eastAsia="Arial" w:hAnsi="Arial"/>
          <w:sz w:val="22"/>
          <w:szCs w:val="22"/>
          <w:u w:val="single" w:color="auto"/>
          <w:color w:val="auto"/>
        </w:rPr>
        <w:t>Duluth Holdings Inc. Voting Trust</w:t>
      </w:r>
      <w:r>
        <w:rPr>
          <w:rFonts w:ascii="Arial" w:cs="Arial" w:eastAsia="Arial" w:hAnsi="Arial"/>
          <w:sz w:val="22"/>
          <w:szCs w:val="22"/>
          <w:color w:val="auto"/>
        </w:rPr>
        <w:t>” and is hereinafter sometimes referred to as the “</w:t>
      </w:r>
      <w:r>
        <w:rPr>
          <w:rFonts w:ascii="Arial" w:cs="Arial" w:eastAsia="Arial" w:hAnsi="Arial"/>
          <w:sz w:val="22"/>
          <w:szCs w:val="22"/>
          <w:u w:val="single" w:color="auto"/>
          <w:color w:val="auto"/>
        </w:rPr>
        <w:t>Voting Trust</w:t>
      </w:r>
      <w:r>
        <w:rPr>
          <w:rFonts w:ascii="Arial" w:cs="Arial" w:eastAsia="Arial" w:hAnsi="Arial"/>
          <w:sz w:val="22"/>
          <w:szCs w:val="22"/>
          <w:color w:val="auto"/>
        </w:rPr>
        <w: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Transfers to Trustee, Issuance of Trust Certificates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Transfer of Shares to Trust</w:t>
      </w:r>
    </w:p>
    <w:p>
      <w:pPr>
        <w:spacing w:after="0" w:line="8" w:lineRule="exact"/>
        <w:rPr>
          <w:sz w:val="20"/>
          <w:szCs w:val="20"/>
          <w:color w:val="auto"/>
        </w:rPr>
      </w:pPr>
    </w:p>
    <w:p>
      <w:pPr>
        <w:ind w:left="180" w:right="259" w:firstLine="652"/>
        <w:spacing w:after="0" w:line="243" w:lineRule="auto"/>
        <w:tabs>
          <w:tab w:leader="none" w:pos="990" w:val="left"/>
        </w:tabs>
        <w:numPr>
          <w:ilvl w:val="0"/>
          <w:numId w:val="6"/>
        </w:numPr>
        <w:rPr>
          <w:rFonts w:ascii="Arial" w:cs="Arial" w:eastAsia="Arial" w:hAnsi="Arial"/>
          <w:sz w:val="21"/>
          <w:szCs w:val="21"/>
          <w:color w:val="auto"/>
        </w:rPr>
      </w:pPr>
      <w:r>
        <w:rPr>
          <w:rFonts w:ascii="Arial" w:cs="Arial" w:eastAsia="Arial" w:hAnsi="Arial"/>
          <w:sz w:val="21"/>
          <w:szCs w:val="21"/>
          <w:color w:val="auto"/>
        </w:rPr>
        <w:t>Upon the execution of this Agreement, the Transferor shall assign and deliver to the Trustee all of the shares of “</w:t>
      </w:r>
      <w:r>
        <w:rPr>
          <w:rFonts w:ascii="Arial" w:cs="Arial" w:eastAsia="Arial" w:hAnsi="Arial"/>
          <w:sz w:val="21"/>
          <w:szCs w:val="21"/>
          <w:u w:val="single" w:color="auto"/>
          <w:color w:val="auto"/>
        </w:rPr>
        <w:t>Voting Stock</w:t>
      </w:r>
      <w:r>
        <w:rPr>
          <w:rFonts w:ascii="Arial" w:cs="Arial" w:eastAsia="Arial" w:hAnsi="Arial"/>
          <w:sz w:val="21"/>
          <w:szCs w:val="21"/>
          <w:color w:val="auto"/>
        </w:rPr>
        <w:t>” (as defined in Section 10.1, below) owned by the Transferor as of the date hereof. Thereafter, if during the existence of this Voting Trust, any holder of a Trust Certificate (other than the Transferor) shall acquire any additional shares of Voting Stock other than pursuant to Section 7.4(a) or 7.4(b), such Transferor or holder immediately shall deliver the same to the Trustee to be held pursuant to the terms of this Agreement, together with such endorsements or stock powers as the Trustee may request in order to obtain the issuance and registration of such shares in the name of the Trustee as Trustee of the Duluth Holdings Inc. Voting Trust.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Issuance of Trust Certificates</w:t>
      </w:r>
    </w:p>
    <w:p>
      <w:pPr>
        <w:spacing w:after="0" w:line="8" w:lineRule="exact"/>
        <w:rPr>
          <w:sz w:val="20"/>
          <w:szCs w:val="20"/>
          <w:color w:val="auto"/>
        </w:rPr>
      </w:pPr>
    </w:p>
    <w:p>
      <w:pPr>
        <w:ind w:left="180" w:right="319" w:firstLine="652"/>
        <w:spacing w:after="0" w:line="245" w:lineRule="auto"/>
        <w:tabs>
          <w:tab w:leader="none" w:pos="990" w:val="left"/>
        </w:tabs>
        <w:numPr>
          <w:ilvl w:val="0"/>
          <w:numId w:val="7"/>
        </w:numPr>
        <w:rPr>
          <w:rFonts w:ascii="Arial" w:cs="Arial" w:eastAsia="Arial" w:hAnsi="Arial"/>
          <w:sz w:val="21"/>
          <w:szCs w:val="21"/>
          <w:color w:val="auto"/>
        </w:rPr>
      </w:pPr>
      <w:r>
        <w:rPr>
          <w:rFonts w:ascii="Arial" w:cs="Arial" w:eastAsia="Arial" w:hAnsi="Arial"/>
          <w:sz w:val="21"/>
          <w:szCs w:val="21"/>
          <w:color w:val="auto"/>
        </w:rPr>
        <w:t>Upon receipt from the Transferor or a holder of a Trust Certificate of one or more certificates for shares of Voting Stock, in proper form and upon receipt from the Corporation (or any other issuer of Voting Stock) of one or more certificates for shares of Voting Stock issued with respect to any shares of Voting Stock subject to the Voting Trust, the Trustee shall issue to such Transferor, such holder, or other such person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338455</wp:posOffset>
            </wp:positionV>
            <wp:extent cx="552894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4" w:name="page75"/>
    <w:bookmarkEnd w:id="74"/>
    <w:p>
      <w:pPr>
        <w:ind w:left="180" w:right="239"/>
        <w:spacing w:after="0" w:line="244" w:lineRule="auto"/>
        <w:rPr>
          <w:sz w:val="20"/>
          <w:szCs w:val="20"/>
          <w:color w:val="auto"/>
        </w:rPr>
      </w:pPr>
      <w:r>
        <w:rPr>
          <w:rFonts w:ascii="Arial" w:cs="Arial" w:eastAsia="Arial" w:hAnsi="Arial"/>
          <w:sz w:val="21"/>
          <w:szCs w:val="21"/>
          <w:color w:val="auto"/>
        </w:rPr>
        <w:t>thereto one or more Trust Certificates evidencing shares of beneficial interest in the Voting Trust equal to the number of shares of such Voting Stock received by the Trustee (the “</w:t>
      </w:r>
      <w:r>
        <w:rPr>
          <w:rFonts w:ascii="Arial" w:cs="Arial" w:eastAsia="Arial" w:hAnsi="Arial"/>
          <w:sz w:val="21"/>
          <w:szCs w:val="21"/>
          <w:u w:val="single" w:color="auto"/>
          <w:color w:val="auto"/>
        </w:rPr>
        <w:t>Trust</w:t>
      </w:r>
      <w:r>
        <w:rPr>
          <w:rFonts w:ascii="Arial" w:cs="Arial" w:eastAsia="Arial" w:hAnsi="Arial"/>
          <w:sz w:val="21"/>
          <w:szCs w:val="21"/>
          <w:color w:val="auto"/>
        </w:rPr>
        <w:t xml:space="preserve"> </w:t>
      </w:r>
      <w:r>
        <w:rPr>
          <w:rFonts w:ascii="Arial" w:cs="Arial" w:eastAsia="Arial" w:hAnsi="Arial"/>
          <w:sz w:val="21"/>
          <w:szCs w:val="21"/>
          <w:u w:val="single" w:color="auto"/>
          <w:color w:val="auto"/>
        </w:rPr>
        <w:t>Certificates</w:t>
      </w:r>
      <w:r>
        <w:rPr>
          <w:rFonts w:ascii="Arial" w:cs="Arial" w:eastAsia="Arial" w:hAnsi="Arial"/>
          <w:sz w:val="21"/>
          <w:szCs w:val="21"/>
          <w:color w:val="auto"/>
        </w:rPr>
        <w:t xml:space="preserve">”). Trust Certificates may, in the discretion of the Trustee, be issued in certificated or uncertificated form. If a Trust Certificate is issued in certificated form, such Trust Certificate shall be in the form of </w:t>
      </w:r>
      <w:r>
        <w:rPr>
          <w:rFonts w:ascii="Arial" w:cs="Arial" w:eastAsia="Arial" w:hAnsi="Arial"/>
          <w:sz w:val="21"/>
          <w:szCs w:val="21"/>
          <w:b w:val="1"/>
          <w:bCs w:val="1"/>
          <w:u w:val="single" w:color="auto"/>
          <w:color w:val="auto"/>
        </w:rPr>
        <w:t>Exhibit 2.2</w:t>
      </w:r>
      <w:r>
        <w:rPr>
          <w:rFonts w:ascii="Arial" w:cs="Arial" w:eastAsia="Arial" w:hAnsi="Arial"/>
          <w:sz w:val="21"/>
          <w:szCs w:val="21"/>
          <w:color w:val="auto"/>
        </w:rPr>
        <w:t xml:space="preserve"> attached hereto or such other form as the Trustee from time to time may approve and may be signed by, and shall be deemed to be validly issued if signed by the Trustee. If a Trust Certificate is issued in uncertificated form, the Trustee shall, upon reasonable request of the Trust Certificate holder, provide such holder with a statement that includes the information set forth in </w:t>
      </w:r>
      <w:r>
        <w:rPr>
          <w:rFonts w:ascii="Arial" w:cs="Arial" w:eastAsia="Arial" w:hAnsi="Arial"/>
          <w:sz w:val="21"/>
          <w:szCs w:val="21"/>
          <w:b w:val="1"/>
          <w:bCs w:val="1"/>
          <w:u w:val="single" w:color="auto"/>
          <w:color w:val="auto"/>
        </w:rPr>
        <w:t>Exhibit 2.2</w:t>
      </w:r>
      <w:r>
        <w:rPr>
          <w:rFonts w:ascii="Arial" w:cs="Arial" w:eastAsia="Arial" w:hAnsi="Arial"/>
          <w:sz w:val="21"/>
          <w:szCs w:val="21"/>
          <w:color w:val="auto"/>
        </w:rPr>
        <w:t>. In addition, the Trustee, in his, her or its sole discretion, may issue new or additional Trust Certificates to the owners of shares of beneficial interest in the Voting Trust to reflect any change in the number of the “</w:t>
      </w:r>
      <w:r>
        <w:rPr>
          <w:rFonts w:ascii="Arial" w:cs="Arial" w:eastAsia="Arial" w:hAnsi="Arial"/>
          <w:sz w:val="21"/>
          <w:szCs w:val="21"/>
          <w:u w:val="single" w:color="auto"/>
          <w:color w:val="auto"/>
        </w:rPr>
        <w:t>Subject Shares</w:t>
      </w:r>
      <w:r>
        <w:rPr>
          <w:rFonts w:ascii="Arial" w:cs="Arial" w:eastAsia="Arial" w:hAnsi="Arial"/>
          <w:sz w:val="21"/>
          <w:szCs w:val="21"/>
          <w:color w:val="auto"/>
        </w:rPr>
        <w:t>” (as defined in Section 10.2, below) or the proportionate interest of any owner of one or more shares of beneficial interest in the Voting Trust.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Records of Owners of Beneficial Interests</w:t>
      </w:r>
    </w:p>
    <w:p>
      <w:pPr>
        <w:spacing w:after="0" w:line="8" w:lineRule="exact"/>
        <w:rPr>
          <w:sz w:val="20"/>
          <w:szCs w:val="20"/>
          <w:color w:val="auto"/>
        </w:rPr>
      </w:pPr>
    </w:p>
    <w:p>
      <w:pPr>
        <w:ind w:left="180" w:right="239" w:firstLine="652"/>
        <w:spacing w:after="0" w:line="243" w:lineRule="auto"/>
        <w:tabs>
          <w:tab w:leader="none" w:pos="986"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Trustee shall keep correct and complete books and records of account relating to the Voting Trust, including a record containing the names and addresses of all persons who are owners of shares of beneficial interest in the Voting Trust and the number and class of shares each such owner has transferred to the Voting Trust and the dates when Trust Certificates were issued to such owners. Such records shall initially be maintained at the principal office of the Corporation in Mt. Horeb, Wisconsin. Such records may from time to time be maintained at such other place or places as the Trustee may select.</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Shares to be Held Subject to Agreement</w:t>
      </w:r>
    </w:p>
    <w:p>
      <w:pPr>
        <w:spacing w:after="0" w:line="188" w:lineRule="exact"/>
        <w:rPr>
          <w:sz w:val="20"/>
          <w:szCs w:val="20"/>
          <w:color w:val="auto"/>
        </w:rPr>
      </w:pPr>
    </w:p>
    <w:p>
      <w:pPr>
        <w:ind w:left="180" w:right="279" w:firstLine="648"/>
        <w:spacing w:after="0" w:line="235" w:lineRule="auto"/>
        <w:rPr>
          <w:sz w:val="20"/>
          <w:szCs w:val="20"/>
          <w:color w:val="auto"/>
        </w:rPr>
      </w:pPr>
      <w:r>
        <w:rPr>
          <w:rFonts w:ascii="Arial" w:cs="Arial" w:eastAsia="Arial" w:hAnsi="Arial"/>
          <w:sz w:val="22"/>
          <w:szCs w:val="22"/>
          <w:color w:val="auto"/>
        </w:rPr>
        <w:t>The Trustee agrees to hold the Subject Shares in the Voting Trust in accordance with the terms and conditions of this Agreement solely for the benefit of the holders of the Trust Certificates. The Trustee shall have only such rights and powers with respect to the Subject Shares as are expressly granted herein, and nothing contained herein shall be construed as granting to the Trustee, in his, her or its capacity as Trustee, any power to sell, pledge or otherwise dispose of or encumber the Subject Shares.</w:t>
      </w:r>
    </w:p>
    <w:p>
      <w:pPr>
        <w:spacing w:after="0" w:line="182"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Voting of Shares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Voting Rights of Trustee</w:t>
      </w:r>
    </w:p>
    <w:p>
      <w:pPr>
        <w:spacing w:after="0" w:line="8" w:lineRule="exact"/>
        <w:rPr>
          <w:sz w:val="20"/>
          <w:szCs w:val="20"/>
          <w:color w:val="auto"/>
        </w:rPr>
      </w:pPr>
    </w:p>
    <w:p>
      <w:pPr>
        <w:ind w:left="180" w:right="199" w:firstLine="4"/>
        <w:spacing w:after="0" w:line="266" w:lineRule="auto"/>
        <w:tabs>
          <w:tab w:leader="none" w:pos="342" w:val="left"/>
        </w:tabs>
        <w:numPr>
          <w:ilvl w:val="0"/>
          <w:numId w:val="9"/>
        </w:numPr>
        <w:rPr>
          <w:rFonts w:ascii="Arial" w:cs="Arial" w:eastAsia="Arial" w:hAnsi="Arial"/>
          <w:sz w:val="19"/>
          <w:szCs w:val="19"/>
          <w:color w:val="auto"/>
        </w:rPr>
      </w:pPr>
      <w:r>
        <w:rPr>
          <w:rFonts w:ascii="Arial" w:cs="Arial" w:eastAsia="Arial" w:hAnsi="Arial"/>
          <w:sz w:val="19"/>
          <w:szCs w:val="19"/>
          <w:color w:val="auto"/>
        </w:rPr>
        <w:t>Subject to the provisions of this Article IV, during the term of this Agreement, the Trustee shall have and may exercise all voting rights with respect to the Subject Shares as fully and to the same extent as such rights could be exercised by the holders of the Trust Certificates if the Subject Shares were registered in the names of such holders, including, without limitation, the right to vote at all regular or special meetings of shareholders of the Corporation, in all elections of directors and upon all other matters with respect to which the shareholders of the Corporation are entitled to vote, and the right to take and to participate in informal actions of the shareholders of the Corporation, by execution of consent resolutions pursuant to §180.0704 of the Wisconsin Statutes, or</w:t>
      </w:r>
    </w:p>
    <w:p>
      <w:pPr>
        <w:spacing w:after="0" w:line="6" w:lineRule="exact"/>
        <w:rPr>
          <w:rFonts w:ascii="Arial" w:cs="Arial" w:eastAsia="Arial" w:hAnsi="Arial"/>
          <w:sz w:val="19"/>
          <w:szCs w:val="19"/>
          <w:color w:val="auto"/>
        </w:rPr>
      </w:pPr>
    </w:p>
    <w:p>
      <w:pPr>
        <w:ind w:left="180" w:right="419"/>
        <w:spacing w:after="0" w:line="234" w:lineRule="auto"/>
        <w:rPr>
          <w:rFonts w:ascii="Arial" w:cs="Arial" w:eastAsia="Arial" w:hAnsi="Arial"/>
          <w:sz w:val="19"/>
          <w:szCs w:val="19"/>
          <w:color w:val="auto"/>
        </w:rPr>
      </w:pPr>
      <w:r>
        <w:rPr>
          <w:rFonts w:ascii="Arial" w:cs="Arial" w:eastAsia="Arial" w:hAnsi="Arial"/>
          <w:sz w:val="22"/>
          <w:szCs w:val="22"/>
          <w:color w:val="auto"/>
        </w:rPr>
        <w:t>otherwise. The Trustee may, in his, her or its discretion, exercise such voting rights personally or may appoint one or more proxies to exercise such rights on their behalf to the extent such appointment is not considered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5" w:name="page76"/>
    <w:bookmarkEnd w:id="75"/>
    <w:p>
      <w:pPr>
        <w:ind w:left="180" w:right="399"/>
        <w:spacing w:after="0"/>
        <w:rPr>
          <w:sz w:val="20"/>
          <w:szCs w:val="20"/>
          <w:color w:val="auto"/>
        </w:rPr>
      </w:pPr>
      <w:r>
        <w:rPr>
          <w:rFonts w:ascii="Arial" w:cs="Arial" w:eastAsia="Arial" w:hAnsi="Arial"/>
          <w:sz w:val="22"/>
          <w:szCs w:val="22"/>
          <w:color w:val="auto"/>
        </w:rPr>
        <w:t>“Transfer” under the Amended and Restated Articles of Incorporation of the Company, as may be amended from time to time (the “</w:t>
      </w:r>
      <w:r>
        <w:rPr>
          <w:rFonts w:ascii="Arial" w:cs="Arial" w:eastAsia="Arial" w:hAnsi="Arial"/>
          <w:sz w:val="22"/>
          <w:szCs w:val="22"/>
          <w:u w:val="single" w:color="auto"/>
          <w:color w:val="auto"/>
        </w:rPr>
        <w:t>Articles</w:t>
      </w:r>
      <w:r>
        <w:rPr>
          <w:rFonts w:ascii="Arial" w:cs="Arial" w:eastAsia="Arial" w:hAnsi="Arial"/>
          <w:sz w:val="22"/>
          <w:szCs w:val="22"/>
          <w:color w:val="auto"/>
        </w:rPr>
        <w:t>”). All of the Subject Shares shall be voted in a like manner.</w:t>
      </w:r>
    </w:p>
    <w:p>
      <w:pPr>
        <w:spacing w:after="0" w:line="187"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22"/>
          <w:szCs w:val="22"/>
          <w:u w:val="single" w:color="auto"/>
          <w:color w:val="auto"/>
        </w:rPr>
        <w:t>4.2</w:t>
      </w:r>
      <w:r>
        <w:rPr>
          <w:sz w:val="20"/>
          <w:szCs w:val="20"/>
          <w:color w:val="auto"/>
        </w:rPr>
        <w:tab/>
      </w:r>
      <w:r>
        <w:rPr>
          <w:rFonts w:ascii="Arial" w:cs="Arial" w:eastAsia="Arial" w:hAnsi="Arial"/>
          <w:sz w:val="19"/>
          <w:szCs w:val="19"/>
          <w:u w:val="single" w:color="auto"/>
          <w:color w:val="auto"/>
        </w:rPr>
        <w:t>Action of Trustee. Without limiting the right of the Trustee to act by verbal</w:t>
      </w:r>
    </w:p>
    <w:p>
      <w:pPr>
        <w:spacing w:after="0" w:line="8" w:lineRule="exact"/>
        <w:rPr>
          <w:sz w:val="20"/>
          <w:szCs w:val="20"/>
          <w:color w:val="auto"/>
        </w:rPr>
      </w:pPr>
    </w:p>
    <w:p>
      <w:pPr>
        <w:ind w:left="180" w:right="299"/>
        <w:spacing w:after="0" w:line="233" w:lineRule="auto"/>
        <w:rPr>
          <w:sz w:val="20"/>
          <w:szCs w:val="20"/>
          <w:color w:val="auto"/>
        </w:rPr>
      </w:pPr>
      <w:r>
        <w:rPr>
          <w:rFonts w:ascii="Arial" w:cs="Arial" w:eastAsia="Arial" w:hAnsi="Arial"/>
          <w:sz w:val="22"/>
          <w:szCs w:val="22"/>
          <w:u w:val="single" w:color="auto"/>
          <w:color w:val="auto"/>
        </w:rPr>
        <w:t>agreement or consent, a writing executed by the Trustee shall be conclusively deemed to be the act of the Trustee and any third person dealing with the Voting Trust shall have the right to rely upon such writing unless such person shall have actual notice that the action referred to therein has been subsequently rescinded or revoked.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Rules and Regulations</w:t>
      </w:r>
    </w:p>
    <w:p>
      <w:pPr>
        <w:spacing w:after="0" w:line="8" w:lineRule="exact"/>
        <w:rPr>
          <w:sz w:val="20"/>
          <w:szCs w:val="20"/>
          <w:color w:val="auto"/>
        </w:rPr>
      </w:pPr>
    </w:p>
    <w:p>
      <w:pPr>
        <w:ind w:left="180" w:right="419" w:firstLine="652"/>
        <w:spacing w:after="0" w:line="234" w:lineRule="auto"/>
        <w:tabs>
          <w:tab w:leader="none" w:pos="98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Trustee shall have the right and power to adopt from time to time rules and regulations not inconsistent with the provisions hereof relating to the administration of the Voting Trust.</w:t>
      </w:r>
    </w:p>
    <w:p>
      <w:pPr>
        <w:spacing w:after="0" w:line="181"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Trustee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Initial Trustee</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The initial Trustee shall be Stephen L. Schlecht.</w:t>
      </w:r>
    </w:p>
    <w:p>
      <w:pPr>
        <w:spacing w:after="0" w:line="188" w:lineRule="exact"/>
        <w:rPr>
          <w:sz w:val="20"/>
          <w:szCs w:val="20"/>
          <w:color w:val="auto"/>
        </w:rPr>
      </w:pPr>
    </w:p>
    <w:p>
      <w:pPr>
        <w:ind w:left="180" w:right="239" w:firstLine="648"/>
        <w:spacing w:after="0" w:line="272" w:lineRule="auto"/>
        <w:rPr>
          <w:sz w:val="20"/>
          <w:szCs w:val="20"/>
          <w:color w:val="auto"/>
        </w:rPr>
      </w:pPr>
      <w:r>
        <w:rPr>
          <w:rFonts w:ascii="Arial" w:cs="Arial" w:eastAsia="Arial" w:hAnsi="Arial"/>
          <w:sz w:val="19"/>
          <w:szCs w:val="19"/>
          <w:u w:val="single" w:color="auto"/>
          <w:color w:val="auto"/>
        </w:rPr>
        <w:t>5.2 Successor Trustees. Upon the resignation, Incapacity or death of the initial Trustee, the initial Trustee shall cease to be the Trustee and shall be succeeded by Richard W. Schlecht, who shall serve as the Trustee until his resignation, Incapacity or death. Upon the resignation, Incapacity or death of Richard W. Schlecht, or in the event he is unwilling or unable to succeed the initial Trustee due to Incapacity, death or for any other reason, he shall be succeeded by John A. Dickens, who shall serve as Trustee until his resignation, Incapacity or death. Upon the resignation, Incapacity or death of John A. Dickens, or in the event he is unwilling or unable to succeed Richard W. Schlecht due to death, Incapacity or for any other reason, the then President of the law firm of Godfrey &amp; Kahn, S.C., Milwaukee, Wisconsin, or its successor, shall appoint a successor trustee; provided, however, such successor trustee shall be a professional in the business of providing trustee services, which includes a private professional fiduciary (including but not limited to an attorney), a trust company or a bank trust department.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Resignation, Incapacity or Death of Trustee</w:t>
      </w:r>
    </w:p>
    <w:p>
      <w:pPr>
        <w:spacing w:after="0" w:line="8" w:lineRule="exact"/>
        <w:rPr>
          <w:sz w:val="20"/>
          <w:szCs w:val="20"/>
          <w:color w:val="auto"/>
        </w:rPr>
      </w:pPr>
    </w:p>
    <w:p>
      <w:pPr>
        <w:ind w:left="180" w:right="379" w:firstLine="652"/>
        <w:spacing w:after="0" w:line="272" w:lineRule="auto"/>
        <w:tabs>
          <w:tab w:leader="none" w:pos="978" w:val="left"/>
        </w:tabs>
        <w:numPr>
          <w:ilvl w:val="0"/>
          <w:numId w:val="11"/>
        </w:numPr>
        <w:rPr>
          <w:rFonts w:ascii="Arial" w:cs="Arial" w:eastAsia="Arial" w:hAnsi="Arial"/>
          <w:sz w:val="19"/>
          <w:szCs w:val="19"/>
          <w:color w:val="auto"/>
        </w:rPr>
      </w:pPr>
      <w:r>
        <w:rPr>
          <w:rFonts w:ascii="Arial" w:cs="Arial" w:eastAsia="Arial" w:hAnsi="Arial"/>
          <w:sz w:val="19"/>
          <w:szCs w:val="19"/>
          <w:color w:val="auto"/>
        </w:rPr>
        <w:t>A Trustee may resign at any time by written notice given to the individual or entity that will serve as successor trustee or who shall appoint such successor trustee pursuant to Section 5.2 and shall cause copies of such notice to be given to the Corporation and those persons then shown on the records of the Voting Trust to be holders of outstanding Trust Certificates. Unless it provides for a later effective date, such resignation shall be effective when delivered to the individual or entity that will serve as successor trustee or who shall appoint such successor trustee pursuant to Section 5.2. If, and then at such time when, a Trustee becomes Incapacitated or dies, such individual shall cease to be a Trustee.</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Compensation</w:t>
      </w:r>
    </w:p>
    <w:p>
      <w:pPr>
        <w:spacing w:after="0" w:line="8" w:lineRule="exact"/>
        <w:rPr>
          <w:sz w:val="20"/>
          <w:szCs w:val="20"/>
          <w:color w:val="auto"/>
        </w:rPr>
      </w:pPr>
    </w:p>
    <w:p>
      <w:pPr>
        <w:ind w:left="180" w:right="239" w:firstLine="652"/>
        <w:spacing w:after="0" w:line="277" w:lineRule="auto"/>
        <w:tabs>
          <w:tab w:leader="none" w:pos="986"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Trustee shall receive no compensation for his, her or its services hereunder but shall be entitled to reimbursement for out-of-pocket expenses reasonably incurred in connection with the performance of their duties. The Trustee may, however, if approved by the “</w:t>
      </w:r>
      <w:r>
        <w:rPr>
          <w:rFonts w:ascii="Arial" w:cs="Arial" w:eastAsia="Arial" w:hAnsi="Arial"/>
          <w:sz w:val="19"/>
          <w:szCs w:val="19"/>
          <w:u w:val="single" w:color="auto"/>
          <w:color w:val="auto"/>
        </w:rPr>
        <w:t>Requisite Vote</w:t>
      </w:r>
      <w:r>
        <w:rPr>
          <w:rFonts w:ascii="Arial" w:cs="Arial" w:eastAsia="Arial" w:hAnsi="Arial"/>
          <w:sz w:val="19"/>
          <w:szCs w:val="19"/>
          <w:color w:val="auto"/>
        </w:rPr>
        <w:t>” (as defined in Section 10.3, below), hereafter establish such compensation for the Trustee as the Trustee and the holders of Trust Certificates may consider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6" w:name="page77"/>
    <w:bookmarkEnd w:id="76"/>
    <w:p>
      <w:pPr>
        <w:ind w:left="180" w:right="239"/>
        <w:spacing w:after="0" w:line="235" w:lineRule="auto"/>
        <w:rPr>
          <w:sz w:val="20"/>
          <w:szCs w:val="20"/>
          <w:color w:val="auto"/>
        </w:rPr>
      </w:pPr>
      <w:r>
        <w:rPr>
          <w:rFonts w:ascii="Arial" w:cs="Arial" w:eastAsia="Arial" w:hAnsi="Arial"/>
          <w:sz w:val="22"/>
          <w:szCs w:val="22"/>
          <w:color w:val="auto"/>
        </w:rPr>
        <w:t>appropriate under the circumstances. Any out-of-pocket expenses or compensation which may hereafter be payable to any Trustee may be deducted pro rata from the dividends or other monies or properties subject to being distributed to the holders of Trust Certificates pursuant hereto. If there are no funds available to make any such payments, the Trustee may vote the Subject Shares and otherwise use their best efforts to cause the Corporation to make distributions to permit such payments to be made.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Nonliability of Trustee</w:t>
      </w:r>
    </w:p>
    <w:p>
      <w:pPr>
        <w:spacing w:after="0" w:line="8" w:lineRule="exact"/>
        <w:rPr>
          <w:sz w:val="20"/>
          <w:szCs w:val="20"/>
          <w:color w:val="auto"/>
        </w:rPr>
      </w:pPr>
    </w:p>
    <w:p>
      <w:pPr>
        <w:ind w:left="180" w:right="219" w:firstLine="4"/>
        <w:spacing w:after="0" w:line="271" w:lineRule="auto"/>
        <w:tabs>
          <w:tab w:leader="none" w:pos="338"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interests of the Trustee hereunder shall be solely as Trustee of the Voting Trust and in such capacity the Trustee neither assumes nor shall have any liability for any purpose as a shareholder of the Corporation. Except for liability resulting from his, her or its own gross negligence or willful misconduct, the Trustee shall not have any liability to the Voting Trust, any holder of a Trust Certificate or any other person for any conduct, act or omission hereunder and the Trustee shall be entitled to rely and to act upon the advice of his, her or its own legal counsel with respect to matters arising under this Agreement or actions taken by such Trustee pursuant hereto. The Trustee shall be entitled to assume the validity and genuineness of any stock certificates deposited hereunder and of any notice, request, assignment, power of attorney, acknowledgment or other instrument or document relating hereto or executed and/or presented pursuant hereto as well as all endorsements and signatures thereon.</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Conflicts of Interest</w:t>
      </w:r>
    </w:p>
    <w:p>
      <w:pPr>
        <w:spacing w:after="0" w:line="8" w:lineRule="exact"/>
        <w:rPr>
          <w:sz w:val="20"/>
          <w:szCs w:val="20"/>
          <w:color w:val="auto"/>
        </w:rPr>
      </w:pPr>
    </w:p>
    <w:p>
      <w:pPr>
        <w:ind w:left="180" w:right="199" w:firstLine="652"/>
        <w:spacing w:after="0" w:line="271" w:lineRule="auto"/>
        <w:tabs>
          <w:tab w:leader="none" w:pos="990"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Nothing herein shall preclude the Trustee or any employer of the Trustee or any subsidiary or affiliate of any such employer from serving as a consultant or professional advisor of or to the Corporation or any other business enterprise or from engaging in any other transaction or establishing any other relationship with the Corporation or any other business or with any holder of a Trust Certificate, whether for compensation or otherwise. The Trustee may, in his, her or its individual capacity, buy, sell, hold and deal in stock or other securities of the Corporation or Trust Certificates issued hereunder (subject to the provisions of this Agreement and any other agreement restricting the transferability thereof from time to time in effect) and, in his or her individual capacity or as Trustee, may vote for himself or herself as director and may participate in fixing the amount of his or her compensation for services rendered by him or her in such capacity.</w:t>
      </w:r>
    </w:p>
    <w:p>
      <w:pPr>
        <w:spacing w:after="0" w:line="161" w:lineRule="exact"/>
        <w:rPr>
          <w:sz w:val="20"/>
          <w:szCs w:val="20"/>
          <w:color w:val="auto"/>
        </w:rPr>
      </w:pPr>
    </w:p>
    <w:p>
      <w:pPr>
        <w:ind w:left="180" w:right="319" w:firstLine="648"/>
        <w:spacing w:after="0" w:line="274" w:lineRule="auto"/>
        <w:rPr>
          <w:sz w:val="20"/>
          <w:szCs w:val="20"/>
          <w:color w:val="auto"/>
        </w:rPr>
      </w:pPr>
      <w:r>
        <w:rPr>
          <w:rFonts w:ascii="Arial" w:cs="Arial" w:eastAsia="Arial" w:hAnsi="Arial"/>
          <w:sz w:val="19"/>
          <w:szCs w:val="19"/>
          <w:u w:val="single" w:color="auto"/>
          <w:color w:val="auto"/>
        </w:rPr>
        <w:t>5.7 Medical Information Regarding Trustee Capacity. Acceptance of an appointment as Trustee hereunder shall be deemed a waiver of all provisions of law relating to the disclosure of confidential medical information, insofar as the disclosure is pertinent to his or her ability to act as Trustee. If an individual Trustee fails to release medical information reasonably required by the person or entity that would serve as such individual Trustee’s successor trustee pursuant to Section 5.2 to establish his or her capacity, said Trustee shall be deemed to have resigned as Trustee. If, after taking into consideration such medical information the person or entity that would serve as such individual Trustee’s successor trustee pursuant to Section 5.2 determines that such individual lacks the capacity to serve as a Trustee, the Trustee shall be deemed to have resigned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-1282700</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Dividends and Securities Offerings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Dividends</w:t>
      </w:r>
    </w:p>
    <w:p>
      <w:pPr>
        <w:spacing w:after="0" w:line="8" w:lineRule="exact"/>
        <w:rPr>
          <w:sz w:val="20"/>
          <w:szCs w:val="20"/>
          <w:color w:val="auto"/>
        </w:rPr>
      </w:pPr>
    </w:p>
    <w:p>
      <w:pPr>
        <w:ind w:left="180" w:right="619" w:firstLine="652"/>
        <w:spacing w:after="0" w:line="236" w:lineRule="auto"/>
        <w:tabs>
          <w:tab w:leader="none" w:pos="986"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Trustee shall collect and receive all dividends and rights to purchase or otherwise acquire stock which are granted with respect to the Subject Shares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7" w:name="page78"/>
    <w:bookmarkEnd w:id="77"/>
    <w:p>
      <w:pPr>
        <w:ind w:left="180" w:right="319"/>
        <w:spacing w:after="0" w:line="248" w:lineRule="auto"/>
        <w:rPr>
          <w:sz w:val="20"/>
          <w:szCs w:val="20"/>
          <w:color w:val="auto"/>
        </w:rPr>
      </w:pPr>
      <w:r>
        <w:rPr>
          <w:rFonts w:ascii="Arial" w:cs="Arial" w:eastAsia="Arial" w:hAnsi="Arial"/>
          <w:sz w:val="21"/>
          <w:szCs w:val="21"/>
          <w:color w:val="auto"/>
        </w:rPr>
        <w:t>shall divide them and distribute them to the holders of the Trust Certificates in proportion to the shares of beneficial interest in the Voting Trust owned by each. The Trustee is authorized to direct the Corporation orally or in writing to pay any and all cash dividends to the holders of the Trust Certificates representing the Subject Shares on which such dividends are paid. The Corporation is hereby authorized to rely on any such direction which it receives from the Trustee until such direction is revoked in writing by the Trustee.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Securities Offering</w:t>
      </w:r>
    </w:p>
    <w:p>
      <w:pPr>
        <w:spacing w:after="0" w:line="8" w:lineRule="exact"/>
        <w:rPr>
          <w:sz w:val="20"/>
          <w:szCs w:val="20"/>
          <w:color w:val="auto"/>
        </w:rPr>
      </w:pPr>
    </w:p>
    <w:p>
      <w:pPr>
        <w:ind w:left="180" w:right="239" w:firstLine="652"/>
        <w:spacing w:after="0" w:line="255" w:lineRule="auto"/>
        <w:tabs>
          <w:tab w:leader="none" w:pos="99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 the event that any stock or other securities are offered for sale to the Voting Trust as the holder of the Subject Shares, the Trustee shall give written notice to the holders of Trust Certificates of such offer not more than ten (10) days after the Trustee are notified of such offer or such fewer number of days (but in no event less than two (2)) after the Trustee is notified of such offer as is reasonably necessary in order to permit the holders of Trust Certificates to accept such offer in the event that acceptance thereof must be made by a time sooner than the tenth (10</w:t>
      </w:r>
      <w:r>
        <w:rPr>
          <w:rFonts w:ascii="Arial" w:cs="Arial" w:eastAsia="Arial" w:hAnsi="Arial"/>
          <w:sz w:val="10"/>
          <w:szCs w:val="10"/>
          <w:color w:val="auto"/>
        </w:rPr>
        <w:t>th</w:t>
      </w:r>
      <w:r>
        <w:rPr>
          <w:rFonts w:ascii="Arial" w:cs="Arial" w:eastAsia="Arial" w:hAnsi="Arial"/>
          <w:sz w:val="20"/>
          <w:szCs w:val="20"/>
          <w:color w:val="auto"/>
        </w:rPr>
        <w:t>) day after the Trustee is notified of such offer. If any holder of a Trust Certificate notifies the Trustee of his, her or its desire to accept such offer and tenders the purchase price for such stock or securities to the Trustee, the Trustee shall accept the offer to the extent of the amount tendered. Upon receipt of the certificates or other documents evidencing such stock or securities, the Trustee shall distribute such certificates or documents to such Trust Certificate holder, endorsed in blank, unless such stock or securities are Voting Stock, in which event the Trustee shall retain such certificates or other documents and issue to such Trust Certificate holder one or more Trust Certificates evidencing ownership of such stock or securities.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Transfer of Beneficial Interests; Withdrawals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Right of Certificate Holders to Transfer Beneficial Interest</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840" w:right="699" w:firstLine="640"/>
        <w:spacing w:after="0"/>
        <w:tabs>
          <w:tab w:leader="none" w:pos="2187" w:val="left"/>
        </w:tabs>
        <w:numPr>
          <w:ilvl w:val="0"/>
          <w:numId w:val="17"/>
        </w:numPr>
        <w:rPr>
          <w:rFonts w:ascii="Arial" w:cs="Arial" w:eastAsia="Arial" w:hAnsi="Arial"/>
          <w:sz w:val="22"/>
          <w:szCs w:val="22"/>
          <w:u w:val="single" w:color="auto"/>
          <w:color w:val="auto"/>
        </w:rPr>
      </w:pPr>
      <w:r>
        <w:rPr>
          <w:rFonts w:ascii="Arial" w:cs="Arial" w:eastAsia="Arial" w:hAnsi="Arial"/>
          <w:sz w:val="22"/>
          <w:szCs w:val="22"/>
          <w:color w:val="auto"/>
        </w:rPr>
        <w:t xml:space="preserve">The Trust Certificates held by the Transferor may be sold, transferred, </w:t>
      </w:r>
      <w:r>
        <w:rPr>
          <w:rFonts w:ascii="Arial" w:cs="Arial" w:eastAsia="Arial" w:hAnsi="Arial"/>
          <w:sz w:val="22"/>
          <w:szCs w:val="22"/>
          <w:u w:val="single" w:color="auto"/>
          <w:color w:val="auto"/>
        </w:rPr>
        <w:t>pledged or otherwise encumbered in his sole discretion, during his lifetime or upon his death.</w:t>
      </w:r>
    </w:p>
    <w:p>
      <w:pPr>
        <w:spacing w:after="0" w:line="186" w:lineRule="exact"/>
        <w:rPr>
          <w:rFonts w:ascii="Arial" w:cs="Arial" w:eastAsia="Arial" w:hAnsi="Arial"/>
          <w:sz w:val="22"/>
          <w:szCs w:val="22"/>
          <w:u w:val="single" w:color="auto"/>
          <w:color w:val="auto"/>
        </w:rPr>
      </w:pPr>
    </w:p>
    <w:p>
      <w:pPr>
        <w:ind w:left="840" w:right="259" w:firstLine="640"/>
        <w:spacing w:after="0" w:line="287" w:lineRule="auto"/>
        <w:tabs>
          <w:tab w:leader="none" w:pos="2199" w:val="left"/>
        </w:tabs>
        <w:numPr>
          <w:ilvl w:val="0"/>
          <w:numId w:val="1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Any or all of the Trust Certificates held by anyone other than the Transferor may be transferred to one or more “Permitted Transferees” as defined in the Articles. Upon completion of a transfer to a Permitted Transferee as described herein, the Permitted Transferee shall become a Trust Certificate holder for all purposes of this Agreement.</w:t>
      </w:r>
    </w:p>
    <w:p>
      <w:pPr>
        <w:spacing w:after="0" w:line="142" w:lineRule="exact"/>
        <w:rPr>
          <w:rFonts w:ascii="Arial" w:cs="Arial" w:eastAsia="Arial" w:hAnsi="Arial"/>
          <w:sz w:val="19"/>
          <w:szCs w:val="19"/>
          <w:u w:val="single" w:color="auto"/>
          <w:color w:val="auto"/>
        </w:rPr>
      </w:pPr>
    </w:p>
    <w:p>
      <w:pPr>
        <w:ind w:left="840" w:right="399" w:firstLine="640"/>
        <w:spacing w:after="0" w:line="297" w:lineRule="auto"/>
        <w:tabs>
          <w:tab w:leader="none" w:pos="2187" w:val="left"/>
        </w:tabs>
        <w:numPr>
          <w:ilvl w:val="0"/>
          <w:numId w:val="1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Except as provided in Section 7.1(a) and 7.1(b), the Trust Certificates may only be sold, transferred, pledged or otherwise encumbered with the approval of the Trustee, which approval shall be within his, her or its sole discretion.</w:t>
      </w:r>
    </w:p>
    <w:p>
      <w:pPr>
        <w:spacing w:after="0" w:line="133" w:lineRule="exact"/>
        <w:rPr>
          <w:rFonts w:ascii="Arial" w:cs="Arial" w:eastAsia="Arial" w:hAnsi="Arial"/>
          <w:sz w:val="19"/>
          <w:szCs w:val="19"/>
          <w:u w:val="single" w:color="auto"/>
          <w:color w:val="auto"/>
        </w:rPr>
      </w:pPr>
    </w:p>
    <w:p>
      <w:pPr>
        <w:ind w:left="840" w:right="219" w:firstLine="640"/>
        <w:spacing w:after="0" w:line="252" w:lineRule="auto"/>
        <w:tabs>
          <w:tab w:leader="none" w:pos="2199" w:val="left"/>
        </w:tabs>
        <w:numPr>
          <w:ilvl w:val="0"/>
          <w:numId w:val="1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Any transfers of Trust Certificates that are not made in compliance with Sections 7.1(a), 7.1(b) or 7.1(c) or that would result in a Transfer (as defined in the Articles) that is not a Permitted Transfer (as defined in the Articles) shall result in a distribution of Voting Stock in the manner contemplated by Section 7.4(c).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-2455545</wp:posOffset>
            </wp:positionV>
            <wp:extent cx="38792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3879215" cy="8890"/>
                    </a:xfrm>
                    <a:prstGeom prst="rect">
                      <a:avLst/>
                    </a:prstGeom>
                    <a:noFill/>
                  </pic:spPr>
                </pic:pic>
              </a:graphicData>
            </a:graphic>
          </wp:anchor>
        </w:drawing>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8" w:name="page79"/>
    <w:bookmarkEnd w:id="78"/>
    <w:p>
      <w:pPr>
        <w:ind w:left="840" w:right="259" w:firstLine="640"/>
        <w:spacing w:after="0" w:line="272" w:lineRule="auto"/>
        <w:tabs>
          <w:tab w:leader="none" w:pos="2187" w:val="left"/>
        </w:tabs>
        <w:numPr>
          <w:ilvl w:val="0"/>
          <w:numId w:val="1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Before any sale, transfer, pledge or encumbrance of a Trust Certificate may be made, the transferee shall agree in a writing that such Trust Certificates shall be held subject to all of the terms and conditions in this Agreement and that the transferee shall be bound by this Agreement. Neither the failure of any transferee of a Trust Certificate to execute the written agreement required under the foregoing provision with respect to any sale, transfer, pledge or encumbrance of a Trust Certificate to the transferee, nor the failure of any party hereto to require that the transferee execute such written agreement, shall release such transferee of the beneficial interest in the Voting Trust evidenced by such Trust Certificate from this Agreement or waive such condition with respect to such transfer or otherwise impair the rights of any party hereto with respect to such transferee or such beneficial interest. The Transferor and each subsequent holder of a Trust Certificate hereby acknowledges and agrees that the Trustee shall place the following legend upon the Trust Certificates from time to time issued pursuant to this Agreement:</w:t>
      </w:r>
    </w:p>
    <w:p>
      <w:pPr>
        <w:spacing w:after="0" w:line="157" w:lineRule="exact"/>
        <w:rPr>
          <w:sz w:val="20"/>
          <w:szCs w:val="20"/>
          <w:color w:val="auto"/>
        </w:rPr>
      </w:pPr>
    </w:p>
    <w:p>
      <w:pPr>
        <w:ind w:left="1480" w:right="1619"/>
        <w:spacing w:after="0" w:line="246" w:lineRule="auto"/>
        <w:rPr>
          <w:sz w:val="20"/>
          <w:szCs w:val="20"/>
          <w:color w:val="auto"/>
        </w:rPr>
      </w:pPr>
      <w:r>
        <w:rPr>
          <w:rFonts w:ascii="Arial" w:cs="Arial" w:eastAsia="Arial" w:hAnsi="Arial"/>
          <w:sz w:val="21"/>
          <w:szCs w:val="21"/>
          <w:color w:val="auto"/>
        </w:rPr>
        <w:t>The shares of Duluth Holdings Inc. represented by this Trust Certificate are subject to the provisions of a Voting Trust Agreement dated as of November 1, 2021, and as from time to time may be amended, and this Trust Certificate may not be sold or otherwise transferred except in compliance with such agreement. A copy of such agreement is on file in the office of the Secretary of Duluth Holdings Inc. and with the Trustee.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Manner of Transferring Trust Certificates</w:t>
      </w:r>
    </w:p>
    <w:p>
      <w:pPr>
        <w:spacing w:after="0" w:line="8" w:lineRule="exact"/>
        <w:rPr>
          <w:sz w:val="20"/>
          <w:szCs w:val="20"/>
          <w:color w:val="auto"/>
        </w:rPr>
      </w:pPr>
    </w:p>
    <w:p>
      <w:pPr>
        <w:ind w:left="180" w:right="219" w:firstLine="652"/>
        <w:spacing w:after="0" w:line="243" w:lineRule="auto"/>
        <w:tabs>
          <w:tab w:leader="none" w:pos="986" w:val="left"/>
        </w:tabs>
        <w:numPr>
          <w:ilvl w:val="0"/>
          <w:numId w:val="19"/>
        </w:numPr>
        <w:rPr>
          <w:rFonts w:ascii="Arial" w:cs="Arial" w:eastAsia="Arial" w:hAnsi="Arial"/>
          <w:sz w:val="21"/>
          <w:szCs w:val="21"/>
          <w:color w:val="auto"/>
        </w:rPr>
      </w:pPr>
      <w:r>
        <w:rPr>
          <w:rFonts w:ascii="Arial" w:cs="Arial" w:eastAsia="Arial" w:hAnsi="Arial"/>
          <w:sz w:val="21"/>
          <w:szCs w:val="21"/>
          <w:color w:val="auto"/>
        </w:rPr>
        <w:t>Trust Certificates shall be transferrable only upon the registration of any such transfer on the books of the Trustee upon the surrender of the Trust Certificates (to the extent they are in certificated form) to be transferred, properly endorsed and accompanied by such stock powers or other instruments in such form and with such endorsements and signatures as the Trustee may reasonably request. Except as provided in Section 7.4, upon the surrender of any Trust Certificate for transfer (to the extent it is in certificated form), the Trustee shall cancel such Trust Certificate and issue to the transferee one or more new Trust Certificates in the same form and representing the same aggregate number of shares of beneficial interest in the Voting Trust as the Trust Certificate presented for cancellation.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Mutilated or Lost Trust Certificates</w:t>
      </w:r>
    </w:p>
    <w:p>
      <w:pPr>
        <w:spacing w:after="0" w:line="8" w:lineRule="exact"/>
        <w:rPr>
          <w:sz w:val="20"/>
          <w:szCs w:val="20"/>
          <w:color w:val="auto"/>
        </w:rPr>
      </w:pPr>
    </w:p>
    <w:p>
      <w:pPr>
        <w:ind w:left="180" w:right="219" w:firstLine="652"/>
        <w:spacing w:after="0" w:line="271" w:lineRule="auto"/>
        <w:tabs>
          <w:tab w:leader="none" w:pos="99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case any Trust Certificate should be mutilated or be destroyed, lost or stolen, the Trustee may, upon request of the registered holder thereof, issue and deliver to such holder in exchange for and upon cancellation of such mutilated Trust Certificate or in substitution of such destroyed, lost or stolen Trust Certificate a new Trust Certificate in the same form and representing the same aggregate number of shares of beneficial interest in the Voting Trust as the mutilated, destroyed, lost or stolen Trust Certificate. The applicant for any such new or substituted Trust Certificate shall furnish proof, reasonably satisfactory to the Trustee, of such destruction, loss or theft and, upon request of the Trustee, shall furnish indemnity reasonably satisfactory to the Trustee and shall take such other actions to assure the Voting Trust and the holders of Trust Certificate against loss as the Trustee may reasonably request.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9" w:name="page80"/>
    <w:bookmarkEnd w:id="79"/>
    <w:p>
      <w:pPr>
        <w:ind w:left="840"/>
        <w:spacing w:after="0"/>
        <w:tabs>
          <w:tab w:leader="none" w:pos="1520" w:val="left"/>
        </w:tabs>
        <w:rPr>
          <w:sz w:val="20"/>
          <w:szCs w:val="20"/>
          <w:color w:val="auto"/>
        </w:rPr>
      </w:pPr>
      <w:r>
        <w:rPr>
          <w:rFonts w:ascii="Arial" w:cs="Arial" w:eastAsia="Arial" w:hAnsi="Arial"/>
          <w:sz w:val="22"/>
          <w:szCs w:val="22"/>
          <w:u w:val="single" w:color="auto"/>
          <w:color w:val="auto"/>
        </w:rPr>
        <w:t>7.4</w:t>
      </w:r>
      <w:r>
        <w:rPr>
          <w:sz w:val="20"/>
          <w:szCs w:val="20"/>
          <w:color w:val="auto"/>
        </w:rPr>
        <w:tab/>
      </w:r>
      <w:r>
        <w:rPr>
          <w:rFonts w:ascii="Arial" w:cs="Arial" w:eastAsia="Arial" w:hAnsi="Arial"/>
          <w:sz w:val="19"/>
          <w:szCs w:val="19"/>
          <w:u w:val="single" w:color="auto"/>
          <w:color w:val="auto"/>
        </w:rPr>
        <w:t>Distribution of Voting Stock.</w:t>
      </w:r>
    </w:p>
    <w:p>
      <w:pPr>
        <w:spacing w:after="0" w:line="207" w:lineRule="exact"/>
        <w:rPr>
          <w:sz w:val="20"/>
          <w:szCs w:val="20"/>
          <w:color w:val="auto"/>
        </w:rPr>
      </w:pPr>
    </w:p>
    <w:p>
      <w:pPr>
        <w:ind w:left="840" w:right="379" w:firstLine="640"/>
        <w:spacing w:after="0" w:line="252" w:lineRule="auto"/>
        <w:tabs>
          <w:tab w:leader="none" w:pos="2187" w:val="left"/>
        </w:tabs>
        <w:numPr>
          <w:ilvl w:val="0"/>
          <w:numId w:val="2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Certificates or stock powers endorsed in blank representing that number of shares of Voting Stock equal to the number of Transferor’s shares of beneficial interest in the Voting Trust surrendered to the Trustee shall be distributed in the Transferor’s sole discretion, during his lifetime or upon his death.</w:t>
      </w:r>
    </w:p>
    <w:p>
      <w:pPr>
        <w:spacing w:after="0" w:line="173" w:lineRule="exact"/>
        <w:rPr>
          <w:rFonts w:ascii="Arial" w:cs="Arial" w:eastAsia="Arial" w:hAnsi="Arial"/>
          <w:sz w:val="21"/>
          <w:szCs w:val="21"/>
          <w:u w:val="single" w:color="auto"/>
          <w:color w:val="auto"/>
        </w:rPr>
      </w:pPr>
    </w:p>
    <w:p>
      <w:pPr>
        <w:ind w:left="840" w:right="199" w:firstLine="640"/>
        <w:spacing w:after="0" w:line="269" w:lineRule="auto"/>
        <w:tabs>
          <w:tab w:leader="none" w:pos="2199" w:val="left"/>
        </w:tabs>
        <w:numPr>
          <w:ilvl w:val="0"/>
          <w:numId w:val="2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Except as provided in Section 7.4(a), certificates or stock powers endorsed in blank representing that number of shares of Voting Stock equal to the number of shares of beneficial interest in the Voting Trust so surrendered to the Trustee may be distributed to a holder of a Trust Certificate with the approval of the Trustee, which approval shall be within his, her or its sole discretion; provided that if the holder of a Trust Certificate is a Permitted Trust (as defined in the Articles) for the benefit of any entity that is described in Sections 501(c)(3), 170(b)(1)(A), 170(c), 2055(a) or 2522(a) of the United States Internal Revenue Code of 1986, as amended (or any successor provision thereto) (such trust, a “Charitable Entity”), such holder shall have the right to withdraw certificates or stock powers endorsed in blank representing that number of shares of Voting Stock equal to the number of shares of beneficial interest in the Voting Trust so surrendered to the Trustee that the Trustee determines are reasonably necessary, after taking into account the other assets of the Charitable Entity, excess qualifying distributions from prior tax years and set-asides for major projects, as certified to the Trustee by the Charitable Entity, to fund any obligations under Section 4942 of the Internal Revenue Code of 1986, as amended, or any successor provision; provided further, that any such shares of Voting Stock so withdrawn shall not be delivered to the Charitable Entity, but rather the Trustee shall give irrevocable notice of conversion to the Corporation pursuant to Section A(3)(a) of Article IV of the Corporation’s Amended and Restated Articles of Incorporation to convert shares of Voting Stock represented by such Trust Certificates to Class B Common Stock of the Corporation and cause such shares of Class B Common Stock received upon conversion thereof to be distributed from the Voting Trust and delivered to the Charitable Entity.</w:t>
      </w:r>
    </w:p>
    <w:p>
      <w:pPr>
        <w:spacing w:after="0" w:line="174" w:lineRule="exact"/>
        <w:rPr>
          <w:rFonts w:ascii="Arial" w:cs="Arial" w:eastAsia="Arial" w:hAnsi="Arial"/>
          <w:sz w:val="19"/>
          <w:szCs w:val="19"/>
          <w:u w:val="single" w:color="auto"/>
          <w:color w:val="auto"/>
        </w:rPr>
      </w:pPr>
    </w:p>
    <w:p>
      <w:pPr>
        <w:ind w:left="840" w:right="219" w:firstLine="640"/>
        <w:spacing w:after="0" w:line="271" w:lineRule="auto"/>
        <w:tabs>
          <w:tab w:leader="none" w:pos="2187" w:val="left"/>
        </w:tabs>
        <w:numPr>
          <w:ilvl w:val="0"/>
          <w:numId w:val="21"/>
        </w:numPr>
        <w:rPr>
          <w:rFonts w:ascii="Arial" w:cs="Arial" w:eastAsia="Arial" w:hAnsi="Arial"/>
          <w:sz w:val="19"/>
          <w:szCs w:val="19"/>
          <w:u w:val="single" w:color="auto"/>
          <w:color w:val="auto"/>
        </w:rPr>
      </w:pPr>
      <w:r>
        <w:rPr>
          <w:rFonts w:ascii="Arial" w:cs="Arial" w:eastAsia="Arial" w:hAnsi="Arial"/>
          <w:sz w:val="19"/>
          <w:szCs w:val="19"/>
          <w:color w:val="auto"/>
        </w:rPr>
        <w:t xml:space="preserve">In the event of any transfer of a Trust Certificate that is not made in </w:t>
      </w:r>
      <w:r>
        <w:rPr>
          <w:rFonts w:ascii="Arial" w:cs="Arial" w:eastAsia="Arial" w:hAnsi="Arial"/>
          <w:sz w:val="19"/>
          <w:szCs w:val="19"/>
          <w:u w:val="single" w:color="auto"/>
          <w:color w:val="auto"/>
        </w:rPr>
        <w:t>compliance with Sections 7.1(a), 7.1(b) or 7.1(c) or that would result in a Transfer (as defined in the Articles) that is not a Permitted Transfer (as defined in the Articles), or any interests therein, the shares of Voting Stock represented by such Trust Certificates, or interests therein, shall be distributed to the transferee, subject to the conditions set forth below. Any transfer of Trust Certificates as contemplated by this Section 7.4(c) shall not be effective until proper notice has been given by the transferring holder to the Trustee of the Voting Trust in accordance with Section 11.1, below, or upon a determination by the Trustee that such a transfer has occurred. Following receipt of such notice or upon such determination, upon surrender of the Trust Certificates (to the extent they are in certificated form) so transferred to the Trustee or the cancellation of such Trust Certificates upon the books and records of the Trustee, the Trustee shall give irrevocable notice of conversion to the Corporation pursuant to Section A(3)(a) of Article IV of the Corporation’s Amended and Restated Articles of Incorporation to convert shares of Voting Stock represented by such Trust Certificates to Class B Common Stock of the Corporation and cause such shares of Class B Common Stock received upon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-2363470</wp:posOffset>
            </wp:positionV>
            <wp:extent cx="37388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137"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0" w:name="page81"/>
    <w:bookmarkEnd w:id="80"/>
    <w:p>
      <w:pPr>
        <w:ind w:left="840" w:right="419"/>
        <w:spacing w:after="0" w:line="236" w:lineRule="auto"/>
        <w:rPr>
          <w:sz w:val="20"/>
          <w:szCs w:val="20"/>
          <w:color w:val="auto"/>
        </w:rPr>
      </w:pPr>
      <w:r>
        <w:rPr>
          <w:rFonts w:ascii="Arial" w:cs="Arial" w:eastAsia="Arial" w:hAnsi="Arial"/>
          <w:sz w:val="22"/>
          <w:szCs w:val="22"/>
          <w:u w:val="single" w:color="auto"/>
          <w:color w:val="auto"/>
        </w:rPr>
        <w:t>thereof to be distributed from the Voting Trust and delivered to the transferee. Until such Trust Certificates are surrendered (to the extent they are in certificated form) or canceled, the transferor shall be treated as the holder of the Trust Certificates for all purposes hereunder, and with respect to the transferee, such transferee shall not be deemed a holder of Trust Certificates.</w:t>
      </w:r>
    </w:p>
    <w:p>
      <w:pPr>
        <w:spacing w:after="0" w:line="188" w:lineRule="exact"/>
        <w:rPr>
          <w:sz w:val="20"/>
          <w:szCs w:val="20"/>
          <w:color w:val="auto"/>
        </w:rPr>
      </w:pPr>
    </w:p>
    <w:p>
      <w:pPr>
        <w:ind w:left="840" w:right="639" w:firstLine="640"/>
        <w:spacing w:after="0" w:line="238" w:lineRule="auto"/>
        <w:tabs>
          <w:tab w:leader="none" w:pos="2199" w:val="left"/>
        </w:tabs>
        <w:numPr>
          <w:ilvl w:val="0"/>
          <w:numId w:val="2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Following each such transfer or withdrawal, the Trustee shall issue a replacement Trust Certificate to such holder making such transfer or withdrawal representing such holder’s beneficial interest in the reduced number of shares of Voting Stock, if any.</w:t>
      </w:r>
    </w:p>
    <w:p>
      <w:pPr>
        <w:spacing w:after="0" w:line="185" w:lineRule="exact"/>
        <w:rPr>
          <w:sz w:val="20"/>
          <w:szCs w:val="20"/>
          <w:color w:val="auto"/>
        </w:rPr>
      </w:pPr>
    </w:p>
    <w:p>
      <w:pPr>
        <w:ind w:left="180" w:right="259" w:firstLine="648"/>
        <w:spacing w:after="0" w:line="234" w:lineRule="auto"/>
        <w:rPr>
          <w:sz w:val="20"/>
          <w:szCs w:val="20"/>
          <w:color w:val="auto"/>
        </w:rPr>
      </w:pPr>
      <w:r>
        <w:rPr>
          <w:rFonts w:ascii="Arial" w:cs="Arial" w:eastAsia="Arial" w:hAnsi="Arial"/>
          <w:sz w:val="22"/>
          <w:szCs w:val="22"/>
          <w:color w:val="auto"/>
        </w:rPr>
        <w:t>7.5 Compliance with Securities Laws. Any transfer, sale, pledge or encumbrance of any Trust Certificate shall comply with all applicable federal and state securities laws and regulations. The Trustee shall have the right to delay any such transfer, sale, pledge or encumbrance until (i) the completion of such registration or qualification of such Trust Certificates under any federal or state law, ruling or regulation as the Trustee shall determine to be necessary or advisable, and (ii) receipt from the holder of such Trust Certificate of such documents and information as the Trustee may deem necessary or appropriate in connection with such registration or qualification.</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Termination of Trust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w:t>
      </w:r>
    </w:p>
    <w:p>
      <w:pPr>
        <w:spacing w:after="0" w:line="8" w:lineRule="exact"/>
        <w:rPr>
          <w:sz w:val="20"/>
          <w:szCs w:val="20"/>
          <w:color w:val="auto"/>
        </w:rPr>
      </w:pPr>
    </w:p>
    <w:p>
      <w:pPr>
        <w:jc w:val="both"/>
        <w:ind w:left="180" w:right="379" w:firstLine="652"/>
        <w:spacing w:after="0" w:line="234" w:lineRule="auto"/>
        <w:tabs>
          <w:tab w:leader="none" w:pos="98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Voting Trust created hereby commenced as of November 1, 2021 and shall continue in effect until the first occurrence of any of the following events, whereupon the Voting Trust and this Agreement automatically shall terminate:</w:t>
      </w:r>
    </w:p>
    <w:p>
      <w:pPr>
        <w:spacing w:after="0" w:line="187" w:lineRule="exact"/>
        <w:rPr>
          <w:rFonts w:ascii="Arial" w:cs="Arial" w:eastAsia="Arial" w:hAnsi="Arial"/>
          <w:sz w:val="22"/>
          <w:szCs w:val="22"/>
          <w:color w:val="auto"/>
        </w:rPr>
      </w:pPr>
    </w:p>
    <w:p>
      <w:pPr>
        <w:ind w:left="840" w:right="599" w:firstLine="640"/>
        <w:spacing w:after="0" w:line="250" w:lineRule="auto"/>
        <w:tabs>
          <w:tab w:leader="none" w:pos="2187" w:val="left"/>
        </w:tabs>
        <w:numPr>
          <w:ilvl w:val="1"/>
          <w:numId w:val="23"/>
        </w:numPr>
        <w:rPr>
          <w:rFonts w:ascii="Arial" w:cs="Arial" w:eastAsia="Arial" w:hAnsi="Arial"/>
          <w:sz w:val="22"/>
          <w:szCs w:val="22"/>
          <w:u w:val="single" w:color="auto"/>
          <w:color w:val="auto"/>
        </w:rPr>
      </w:pPr>
      <w:r>
        <w:rPr>
          <w:rFonts w:ascii="Arial" w:cs="Arial" w:eastAsia="Arial" w:hAnsi="Arial"/>
          <w:sz w:val="22"/>
          <w:szCs w:val="22"/>
          <w:color w:val="auto"/>
        </w:rPr>
        <w:t xml:space="preserve">A determination by the Transferor during his lifetime while he is legally </w:t>
      </w:r>
      <w:r>
        <w:rPr>
          <w:rFonts w:ascii="Arial" w:cs="Arial" w:eastAsia="Arial" w:hAnsi="Arial"/>
          <w:sz w:val="22"/>
          <w:szCs w:val="22"/>
          <w:u w:val="single" w:color="auto"/>
          <w:color w:val="auto"/>
        </w:rPr>
        <w:t>competent to terminate the Voting Trust;</w:t>
      </w:r>
    </w:p>
    <w:p>
      <w:pPr>
        <w:spacing w:after="0" w:line="174" w:lineRule="exact"/>
        <w:rPr>
          <w:rFonts w:ascii="Arial" w:cs="Arial" w:eastAsia="Arial" w:hAnsi="Arial"/>
          <w:sz w:val="22"/>
          <w:szCs w:val="22"/>
          <w:u w:val="single" w:color="auto"/>
          <w:color w:val="auto"/>
        </w:rPr>
      </w:pPr>
    </w:p>
    <w:p>
      <w:pPr>
        <w:ind w:left="2200" w:hanging="720"/>
        <w:spacing w:after="0"/>
        <w:tabs>
          <w:tab w:leader="none" w:pos="2200" w:val="left"/>
        </w:tabs>
        <w:numPr>
          <w:ilvl w:val="1"/>
          <w:numId w:val="23"/>
        </w:numPr>
        <w:rPr>
          <w:rFonts w:ascii="Arial" w:cs="Arial" w:eastAsia="Arial" w:hAnsi="Arial"/>
          <w:sz w:val="22"/>
          <w:szCs w:val="22"/>
          <w:u w:val="single" w:color="auto"/>
          <w:color w:val="auto"/>
        </w:rPr>
      </w:pPr>
      <w:r>
        <w:rPr>
          <w:rFonts w:ascii="Arial" w:cs="Arial" w:eastAsia="Arial" w:hAnsi="Arial"/>
          <w:sz w:val="22"/>
          <w:szCs w:val="22"/>
          <w:color w:val="auto"/>
        </w:rPr>
        <w:t>A determination by the Trustee to terminate the Trust;</w:t>
      </w:r>
    </w:p>
    <w:p>
      <w:pPr>
        <w:spacing w:after="0" w:line="206" w:lineRule="exact"/>
        <w:rPr>
          <w:rFonts w:ascii="Arial" w:cs="Arial" w:eastAsia="Arial" w:hAnsi="Arial"/>
          <w:sz w:val="22"/>
          <w:szCs w:val="22"/>
          <w:u w:val="single" w:color="auto"/>
          <w:color w:val="auto"/>
        </w:rPr>
      </w:pPr>
    </w:p>
    <w:p>
      <w:pPr>
        <w:ind w:left="840" w:right="199" w:firstLine="640"/>
        <w:spacing w:after="0" w:line="271" w:lineRule="auto"/>
        <w:tabs>
          <w:tab w:leader="none" w:pos="2187" w:val="left"/>
        </w:tabs>
        <w:numPr>
          <w:ilvl w:val="1"/>
          <w:numId w:val="23"/>
        </w:numPr>
        <w:rPr>
          <w:rFonts w:ascii="Arial" w:cs="Arial" w:eastAsia="Arial" w:hAnsi="Arial"/>
          <w:sz w:val="19"/>
          <w:szCs w:val="19"/>
          <w:u w:val="single" w:color="auto"/>
          <w:color w:val="auto"/>
        </w:rPr>
      </w:pPr>
      <w:r>
        <w:rPr>
          <w:rFonts w:ascii="Arial" w:cs="Arial" w:eastAsia="Arial" w:hAnsi="Arial"/>
          <w:sz w:val="19"/>
          <w:szCs w:val="19"/>
          <w:color w:val="auto"/>
        </w:rPr>
        <w:t xml:space="preserve">the sale, lease, exchange, encumbrance or other disposition (other than </w:t>
      </w:r>
      <w:r>
        <w:rPr>
          <w:rFonts w:ascii="Arial" w:cs="Arial" w:eastAsia="Arial" w:hAnsi="Arial"/>
          <w:sz w:val="19"/>
          <w:szCs w:val="19"/>
          <w:u w:val="single" w:color="auto"/>
          <w:color w:val="auto"/>
        </w:rPr>
        <w:t>licenses that do not constitute an effective disposition of all or substantially all of the assets of the Corporation and its subsidiaries taken as a whole, and the grant of security interests in the ordinary course of business) by the Corporation of all or substantially all of</w:t>
      </w:r>
    </w:p>
    <w:p>
      <w:pPr>
        <w:spacing w:after="0" w:line="3" w:lineRule="exact"/>
        <w:rPr>
          <w:rFonts w:ascii="Arial" w:cs="Arial" w:eastAsia="Arial" w:hAnsi="Arial"/>
          <w:sz w:val="19"/>
          <w:szCs w:val="19"/>
          <w:u w:val="single" w:color="auto"/>
          <w:color w:val="auto"/>
        </w:rPr>
      </w:pPr>
    </w:p>
    <w:p>
      <w:pPr>
        <w:ind w:left="840"/>
        <w:spacing w:after="0"/>
        <w:rPr>
          <w:rFonts w:ascii="Arial" w:cs="Arial" w:eastAsia="Arial" w:hAnsi="Arial"/>
          <w:sz w:val="19"/>
          <w:szCs w:val="19"/>
          <w:u w:val="single" w:color="auto"/>
          <w:color w:val="auto"/>
        </w:rPr>
      </w:pPr>
      <w:r>
        <w:rPr>
          <w:rFonts w:ascii="Arial" w:cs="Arial" w:eastAsia="Arial" w:hAnsi="Arial"/>
          <w:sz w:val="22"/>
          <w:szCs w:val="22"/>
          <w:u w:val="single" w:color="auto"/>
          <w:color w:val="auto"/>
        </w:rPr>
        <w:t>the Corporation’s assets;</w:t>
      </w:r>
    </w:p>
    <w:p>
      <w:pPr>
        <w:spacing w:after="0" w:line="188" w:lineRule="exact"/>
        <w:rPr>
          <w:rFonts w:ascii="Arial" w:cs="Arial" w:eastAsia="Arial" w:hAnsi="Arial"/>
          <w:sz w:val="19"/>
          <w:szCs w:val="19"/>
          <w:u w:val="single" w:color="auto"/>
          <w:color w:val="auto"/>
        </w:rPr>
      </w:pPr>
    </w:p>
    <w:p>
      <w:pPr>
        <w:ind w:left="840" w:right="219" w:firstLine="640"/>
        <w:spacing w:after="0" w:line="277" w:lineRule="auto"/>
        <w:tabs>
          <w:tab w:leader="none" w:pos="2199" w:val="left"/>
        </w:tabs>
        <w:numPr>
          <w:ilvl w:val="1"/>
          <w:numId w:val="23"/>
        </w:numPr>
        <w:rPr>
          <w:rFonts w:ascii="Arial" w:cs="Arial" w:eastAsia="Arial" w:hAnsi="Arial"/>
          <w:sz w:val="19"/>
          <w:szCs w:val="19"/>
          <w:u w:val="single" w:color="auto"/>
          <w:color w:val="auto"/>
        </w:rPr>
      </w:pPr>
      <w:r>
        <w:rPr>
          <w:rFonts w:ascii="Arial" w:cs="Arial" w:eastAsia="Arial" w:hAnsi="Arial"/>
          <w:sz w:val="19"/>
          <w:szCs w:val="19"/>
          <w:color w:val="auto"/>
        </w:rPr>
        <w:t xml:space="preserve">the merger or consolidation of the Corporation with or into any other entity, </w:t>
      </w:r>
      <w:r>
        <w:rPr>
          <w:rFonts w:ascii="Arial" w:cs="Arial" w:eastAsia="Arial" w:hAnsi="Arial"/>
          <w:sz w:val="19"/>
          <w:szCs w:val="19"/>
          <w:u w:val="single" w:color="auto"/>
          <w:color w:val="auto"/>
        </w:rPr>
        <w:t>other than a merger or consolidation that would result in the Class A Common Stock of the Corporation outstanding immediately prior thereto continuing to represent (either by remaining outstanding or by being converted into voting securities of the surviving entity or its sole parent entity) more than fifty percent (50%) of the total voting power represented by the voting securities of the Corporation or such surviving entity or its sole parent entity outstanding immediately after such merger or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-2623820</wp:posOffset>
            </wp:positionV>
            <wp:extent cx="39947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3994785" cy="889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-2178050</wp:posOffset>
            </wp:positionV>
            <wp:extent cx="29952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2995295"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-1886585</wp:posOffset>
            </wp:positionV>
            <wp:extent cx="39116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3911600" cy="825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-977900</wp:posOffset>
            </wp:positionV>
            <wp:extent cx="41859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4185920" cy="825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1" w:name="page82"/>
    <w:bookmarkEnd w:id="81"/>
    <w:p>
      <w:pPr>
        <w:ind w:left="840" w:right="279" w:firstLine="640"/>
        <w:spacing w:after="0" w:line="297" w:lineRule="auto"/>
        <w:tabs>
          <w:tab w:leader="none" w:pos="2187" w:val="left"/>
        </w:tabs>
        <w:numPr>
          <w:ilvl w:val="0"/>
          <w:numId w:val="24"/>
        </w:numPr>
        <w:rPr>
          <w:rFonts w:ascii="Arial" w:cs="Arial" w:eastAsia="Arial" w:hAnsi="Arial"/>
          <w:sz w:val="19"/>
          <w:szCs w:val="19"/>
          <w:u w:val="single" w:color="auto"/>
          <w:color w:val="auto"/>
        </w:rPr>
      </w:pPr>
      <w:r>
        <w:rPr>
          <w:rFonts w:ascii="Arial" w:cs="Arial" w:eastAsia="Arial" w:hAnsi="Arial"/>
          <w:sz w:val="19"/>
          <w:szCs w:val="19"/>
          <w:color w:val="auto"/>
        </w:rPr>
        <w:t xml:space="preserve">the date on which the number of shares of Voting Stock held in the Voting </w:t>
      </w:r>
      <w:r>
        <w:rPr>
          <w:rFonts w:ascii="Arial" w:cs="Arial" w:eastAsia="Arial" w:hAnsi="Arial"/>
          <w:sz w:val="19"/>
          <w:szCs w:val="19"/>
          <w:u w:val="single" w:color="auto"/>
          <w:color w:val="auto"/>
        </w:rPr>
        <w:t>Trust represent less than 25 percent (25%) of the aggregate voting power of the outstanding Class A Common Stock and Class B Common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-372110</wp:posOffset>
            </wp:positionV>
            <wp:extent cx="40900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4090035" cy="8255"/>
                    </a:xfrm>
                    <a:prstGeom prst="rect">
                      <a:avLst/>
                    </a:prstGeom>
                    <a:noFill/>
                  </pic:spPr>
                </pic:pic>
              </a:graphicData>
            </a:graphic>
          </wp:anchor>
        </w:drawing>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Procedure Upon Termination</w:t>
      </w:r>
    </w:p>
    <w:p>
      <w:pPr>
        <w:spacing w:after="0" w:line="8" w:lineRule="exact"/>
        <w:rPr>
          <w:sz w:val="20"/>
          <w:szCs w:val="20"/>
          <w:color w:val="auto"/>
        </w:rPr>
      </w:pPr>
    </w:p>
    <w:p>
      <w:pPr>
        <w:ind w:left="180" w:right="339" w:firstLine="652"/>
        <w:spacing w:after="0" w:line="271" w:lineRule="auto"/>
        <w:tabs>
          <w:tab w:leader="none" w:pos="990" w:val="left"/>
        </w:tabs>
        <w:numPr>
          <w:ilvl w:val="0"/>
          <w:numId w:val="25"/>
        </w:numPr>
        <w:rPr>
          <w:rFonts w:ascii="Arial" w:cs="Arial" w:eastAsia="Arial" w:hAnsi="Arial"/>
          <w:sz w:val="19"/>
          <w:szCs w:val="19"/>
          <w:color w:val="auto"/>
        </w:rPr>
      </w:pPr>
      <w:r>
        <w:rPr>
          <w:rFonts w:ascii="Arial" w:cs="Arial" w:eastAsia="Arial" w:hAnsi="Arial"/>
          <w:sz w:val="19"/>
          <w:szCs w:val="19"/>
          <w:color w:val="auto"/>
        </w:rPr>
        <w:t>Upon termination of the Voting Trust, the Trustee shall distribute to the holders of the Trust Certificates, upon surrender of the same to the Trustee (to the extent they are in certificated form), certificates or stock powers endorsed in blank representing that number of shares of Voting Stock equal to the number of shares of beneficial interest in the Voting Trust so surrendered to the Trustee, or in the case of dissolution or liquidation, a pro rata share of the money or other property received by the Trustee in such liquidation or dissolution, based on the number of shares of beneficial interest in the Voting Trust so surrendered to the Trustee and the aggregate number of shares of beneficial interest in the Voting Trust. If at the time of such termination no Trustee is serving hereunder, the then President of the law firm of Godfrey &amp; Kahn, S.C., Milwaukee, Wisconsin, or its successor, may appoint a person to perform the duties of the Trustee under this Section 8.2 as successor trustee for such purpose only.</w:t>
      </w:r>
    </w:p>
    <w:p>
      <w:pPr>
        <w:spacing w:after="0" w:line="151"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Additional Parties</w:t>
      </w:r>
    </w:p>
    <w:p>
      <w:pPr>
        <w:spacing w:after="0" w:line="188" w:lineRule="exact"/>
        <w:rPr>
          <w:sz w:val="20"/>
          <w:szCs w:val="20"/>
          <w:color w:val="auto"/>
        </w:rPr>
      </w:pPr>
    </w:p>
    <w:p>
      <w:pPr>
        <w:ind w:left="180" w:right="219" w:firstLine="648"/>
        <w:spacing w:after="0" w:line="248" w:lineRule="auto"/>
        <w:rPr>
          <w:sz w:val="20"/>
          <w:szCs w:val="20"/>
          <w:color w:val="auto"/>
        </w:rPr>
      </w:pPr>
      <w:r>
        <w:rPr>
          <w:rFonts w:ascii="Arial" w:cs="Arial" w:eastAsia="Arial" w:hAnsi="Arial"/>
          <w:sz w:val="21"/>
          <w:szCs w:val="21"/>
          <w:color w:val="auto"/>
        </w:rPr>
        <w:t>Any person who is now or hereafter becomes a holder of Voting Stock shall, with the approval of the Trustee, become a party to and be subject to this Agreement. Any person whom the Trustee approves as an additional party to this Agreement shall execute an appropriate written agreement acceptable to the Trustee pursuant to which such person shall agree to assume and be bound by the provisions of this Agreement and shall deposit his, her or its Voting Stock with the Trustee as provided in Section 2.1, above.</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Certain Definitions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Voting Stock</w:t>
      </w:r>
    </w:p>
    <w:p>
      <w:pPr>
        <w:spacing w:after="0" w:line="8" w:lineRule="exact"/>
        <w:rPr>
          <w:sz w:val="20"/>
          <w:szCs w:val="20"/>
          <w:color w:val="auto"/>
        </w:rPr>
      </w:pPr>
    </w:p>
    <w:p>
      <w:pPr>
        <w:ind w:left="180" w:right="239" w:firstLine="652"/>
        <w:spacing w:after="0" w:line="266" w:lineRule="auto"/>
        <w:tabs>
          <w:tab w:leader="none" w:pos="990" w:val="left"/>
        </w:tabs>
        <w:numPr>
          <w:ilvl w:val="0"/>
          <w:numId w:val="26"/>
        </w:numPr>
        <w:rPr>
          <w:rFonts w:ascii="Arial" w:cs="Arial" w:eastAsia="Arial" w:hAnsi="Arial"/>
          <w:sz w:val="19"/>
          <w:szCs w:val="19"/>
          <w:color w:val="auto"/>
        </w:rPr>
      </w:pPr>
      <w:r>
        <w:rPr>
          <w:rFonts w:ascii="Arial" w:cs="Arial" w:eastAsia="Arial" w:hAnsi="Arial"/>
          <w:sz w:val="19"/>
          <w:szCs w:val="19"/>
          <w:color w:val="auto"/>
        </w:rPr>
        <w:t>For purposes hereof, “</w:t>
      </w:r>
      <w:r>
        <w:rPr>
          <w:rFonts w:ascii="Arial" w:cs="Arial" w:eastAsia="Arial" w:hAnsi="Arial"/>
          <w:sz w:val="19"/>
          <w:szCs w:val="19"/>
          <w:u w:val="single" w:color="auto"/>
          <w:color w:val="auto"/>
        </w:rPr>
        <w:t>Voting Stock</w:t>
      </w:r>
      <w:r>
        <w:rPr>
          <w:rFonts w:ascii="Arial" w:cs="Arial" w:eastAsia="Arial" w:hAnsi="Arial"/>
          <w:sz w:val="19"/>
          <w:szCs w:val="19"/>
          <w:color w:val="auto"/>
        </w:rPr>
        <w:t>” shall mean, and this Agreement shall apply to, any shares of the Class A Common Stock of the Corporation now owned or hereafter acquired by the Transferor or any holder of a Trust Certificate and any shares of “</w:t>
      </w:r>
      <w:r>
        <w:rPr>
          <w:rFonts w:ascii="Arial" w:cs="Arial" w:eastAsia="Arial" w:hAnsi="Arial"/>
          <w:sz w:val="19"/>
          <w:szCs w:val="19"/>
          <w:u w:val="single" w:color="auto"/>
          <w:color w:val="auto"/>
        </w:rPr>
        <w:t>voting stock</w:t>
      </w:r>
      <w:r>
        <w:rPr>
          <w:rFonts w:ascii="Arial" w:cs="Arial" w:eastAsia="Arial" w:hAnsi="Arial"/>
          <w:sz w:val="19"/>
          <w:szCs w:val="19"/>
          <w:color w:val="auto"/>
        </w:rPr>
        <w:t>” of the Corporation or any other corporation which may from time to time be issued or distributed with respect to any shares of Voting Stock subject to the Voting Trust, including, without limitation, any shares issued or distributed as a stock dividend or as a result of a split up or spin off or in connection with any reorganization, recapitalization, merger, consolidation, share exchange, asset sale, rights offering or other transaction to which the Corporation or any other corporation is a party. For purposes of the foregoing provision, “</w:t>
      </w:r>
      <w:r>
        <w:rPr>
          <w:rFonts w:ascii="Arial" w:cs="Arial" w:eastAsia="Arial" w:hAnsi="Arial"/>
          <w:sz w:val="19"/>
          <w:szCs w:val="19"/>
          <w:u w:val="single" w:color="auto"/>
          <w:color w:val="auto"/>
        </w:rPr>
        <w:t>voting stock</w:t>
      </w:r>
      <w:r>
        <w:rPr>
          <w:rFonts w:ascii="Arial" w:cs="Arial" w:eastAsia="Arial" w:hAnsi="Arial"/>
          <w:sz w:val="19"/>
          <w:szCs w:val="19"/>
          <w:color w:val="auto"/>
        </w:rPr>
        <w:t>” shall mean any security of the Corporation or any other corporation having the right, either currently or upon the occurrence of any contingency, to vote for the election of one or more members of the Board of Directors of the Corporation or such other corporation or any security convertible into securities having any such voting</w:t>
      </w:r>
    </w:p>
    <w:p>
      <w:pPr>
        <w:spacing w:after="0" w:line="10" w:lineRule="exact"/>
        <w:rPr>
          <w:rFonts w:ascii="Arial" w:cs="Arial" w:eastAsia="Arial" w:hAnsi="Arial"/>
          <w:sz w:val="19"/>
          <w:szCs w:val="19"/>
          <w:color w:val="auto"/>
        </w:rPr>
      </w:pPr>
    </w:p>
    <w:p>
      <w:pPr>
        <w:ind w:left="180" w:right="199"/>
        <w:spacing w:after="0" w:line="233" w:lineRule="auto"/>
        <w:rPr>
          <w:rFonts w:ascii="Arial" w:cs="Arial" w:eastAsia="Arial" w:hAnsi="Arial"/>
          <w:sz w:val="19"/>
          <w:szCs w:val="19"/>
          <w:color w:val="auto"/>
        </w:rPr>
      </w:pPr>
      <w:r>
        <w:rPr>
          <w:rFonts w:ascii="Arial" w:cs="Arial" w:eastAsia="Arial" w:hAnsi="Arial"/>
          <w:sz w:val="22"/>
          <w:szCs w:val="22"/>
          <w:color w:val="auto"/>
        </w:rPr>
        <w:t>rights. Notwithstanding the foregoing, in no event shall the term “Voting Stock” include Class B Common Stock of the Corporation. Except as provided in Sections 7.4(b) and Section 7.4(c), in the event any Class B Common Stock is issued to the Voting Trust, the Trustee shall distribute such Class B Common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2" w:name="page83"/>
    <w:bookmarkEnd w:id="82"/>
    <w:p>
      <w:pPr>
        <w:ind w:left="180" w:right="359"/>
        <w:spacing w:after="0" w:line="251" w:lineRule="auto"/>
        <w:rPr>
          <w:sz w:val="20"/>
          <w:szCs w:val="20"/>
          <w:color w:val="auto"/>
        </w:rPr>
      </w:pPr>
      <w:r>
        <w:rPr>
          <w:rFonts w:ascii="Arial" w:cs="Arial" w:eastAsia="Arial" w:hAnsi="Arial"/>
          <w:sz w:val="22"/>
          <w:szCs w:val="22"/>
          <w:color w:val="auto"/>
        </w:rPr>
        <w:t>Stock to the holders of the Trust Certificates in proportion to the ownership of shares of beneficial interest in the Voting Trust represented thereby.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Subject Shares</w:t>
      </w:r>
    </w:p>
    <w:p>
      <w:pPr>
        <w:spacing w:after="0" w:line="8" w:lineRule="exact"/>
        <w:rPr>
          <w:sz w:val="20"/>
          <w:szCs w:val="20"/>
          <w:color w:val="auto"/>
        </w:rPr>
      </w:pPr>
    </w:p>
    <w:p>
      <w:pPr>
        <w:ind w:left="180" w:right="199" w:firstLine="652"/>
        <w:spacing w:after="0" w:line="233" w:lineRule="auto"/>
        <w:tabs>
          <w:tab w:leader="none" w:pos="990" w:val="left"/>
        </w:tabs>
        <w:numPr>
          <w:ilvl w:val="0"/>
          <w:numId w:val="27"/>
        </w:numPr>
        <w:rPr>
          <w:rFonts w:ascii="Arial" w:cs="Arial" w:eastAsia="Arial" w:hAnsi="Arial"/>
          <w:sz w:val="22"/>
          <w:szCs w:val="22"/>
          <w:color w:val="auto"/>
        </w:rPr>
      </w:pPr>
      <w:r>
        <w:rPr>
          <w:rFonts w:ascii="Arial" w:cs="Arial" w:eastAsia="Arial" w:hAnsi="Arial"/>
          <w:sz w:val="22"/>
          <w:szCs w:val="22"/>
          <w:color w:val="auto"/>
        </w:rPr>
        <w:t>For purposes hereof, “</w:t>
      </w:r>
      <w:r>
        <w:rPr>
          <w:rFonts w:ascii="Arial" w:cs="Arial" w:eastAsia="Arial" w:hAnsi="Arial"/>
          <w:sz w:val="22"/>
          <w:szCs w:val="22"/>
          <w:u w:val="single" w:color="auto"/>
          <w:color w:val="auto"/>
        </w:rPr>
        <w:t>Subject Shares</w:t>
      </w:r>
      <w:r>
        <w:rPr>
          <w:rFonts w:ascii="Arial" w:cs="Arial" w:eastAsia="Arial" w:hAnsi="Arial"/>
          <w:sz w:val="22"/>
          <w:szCs w:val="22"/>
          <w:color w:val="auto"/>
        </w:rPr>
        <w:t>” shall mean the shares of Voting Stock received by the Trustee from the Transferor or a holder of a Trust Certificate under Section 2.1, above, or shares of Voting Stock issued or distributed with respect to any shares of Voting Stock subject to the Voting Trust.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Requisite Vote</w:t>
      </w:r>
    </w:p>
    <w:p>
      <w:pPr>
        <w:spacing w:after="0" w:line="8" w:lineRule="exact"/>
        <w:rPr>
          <w:sz w:val="20"/>
          <w:szCs w:val="20"/>
          <w:color w:val="auto"/>
        </w:rPr>
      </w:pPr>
    </w:p>
    <w:p>
      <w:pPr>
        <w:ind w:left="180" w:right="219" w:firstLine="652"/>
        <w:spacing w:after="0" w:line="233" w:lineRule="auto"/>
        <w:tabs>
          <w:tab w:leader="none" w:pos="990" w:val="left"/>
        </w:tabs>
        <w:numPr>
          <w:ilvl w:val="0"/>
          <w:numId w:val="28"/>
        </w:numPr>
        <w:rPr>
          <w:rFonts w:ascii="Arial" w:cs="Arial" w:eastAsia="Arial" w:hAnsi="Arial"/>
          <w:sz w:val="22"/>
          <w:szCs w:val="22"/>
          <w:color w:val="auto"/>
        </w:rPr>
      </w:pPr>
      <w:r>
        <w:rPr>
          <w:rFonts w:ascii="Arial" w:cs="Arial" w:eastAsia="Arial" w:hAnsi="Arial"/>
          <w:sz w:val="22"/>
          <w:szCs w:val="22"/>
          <w:color w:val="auto"/>
        </w:rPr>
        <w:t>For purposes hereof, “</w:t>
      </w:r>
      <w:r>
        <w:rPr>
          <w:rFonts w:ascii="Arial" w:cs="Arial" w:eastAsia="Arial" w:hAnsi="Arial"/>
          <w:sz w:val="22"/>
          <w:szCs w:val="22"/>
          <w:u w:val="single" w:color="auto"/>
          <w:color w:val="auto"/>
        </w:rPr>
        <w:t>Requisite Vote</w:t>
      </w:r>
      <w:r>
        <w:rPr>
          <w:rFonts w:ascii="Arial" w:cs="Arial" w:eastAsia="Arial" w:hAnsi="Arial"/>
          <w:sz w:val="22"/>
          <w:szCs w:val="22"/>
          <w:color w:val="auto"/>
        </w:rPr>
        <w:t>” as of any given date shall mean the affirmative vote of the holders of Trust Certificates then holding more than fifty percent (50%) of the shares of beneficial interest in the Voting Trust as reflected on the books and records of account maintained by the Trustee hereunder.</w:t>
      </w:r>
    </w:p>
    <w:p>
      <w:pPr>
        <w:spacing w:after="0" w:line="188" w:lineRule="exact"/>
        <w:rPr>
          <w:sz w:val="20"/>
          <w:szCs w:val="20"/>
          <w:color w:val="auto"/>
        </w:rPr>
      </w:pPr>
    </w:p>
    <w:p>
      <w:pPr>
        <w:ind w:left="180" w:right="359" w:firstLine="648"/>
        <w:spacing w:after="0" w:line="236" w:lineRule="auto"/>
        <w:rPr>
          <w:sz w:val="20"/>
          <w:szCs w:val="20"/>
          <w:color w:val="auto"/>
        </w:rPr>
      </w:pPr>
      <w:r>
        <w:rPr>
          <w:rFonts w:ascii="Arial" w:cs="Arial" w:eastAsia="Arial" w:hAnsi="Arial"/>
          <w:sz w:val="22"/>
          <w:szCs w:val="22"/>
          <w:u w:val="single" w:color="auto"/>
          <w:color w:val="auto"/>
        </w:rPr>
        <w:t>10.4 Incapacity; Incapacitated. For purposes hereof, “Incapacity” or “Incapacitated” shall mean an individual Trustee appointed to act hereunder is under legal disability or, by reason of illness or mental or physical disability, is in the opinion of the Trustee’s regular or attending physician (as evidenced by a writing filed with the Trust records) unable to fulfill his or her duties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-647065</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1"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Miscellaneous Provisions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Notices</w:t>
      </w:r>
    </w:p>
    <w:p>
      <w:pPr>
        <w:spacing w:after="0" w:line="8" w:lineRule="exact"/>
        <w:rPr>
          <w:sz w:val="20"/>
          <w:szCs w:val="20"/>
          <w:color w:val="auto"/>
        </w:rPr>
      </w:pPr>
    </w:p>
    <w:p>
      <w:pPr>
        <w:ind w:left="180" w:right="339" w:firstLine="652"/>
        <w:spacing w:after="0" w:line="266" w:lineRule="auto"/>
        <w:tabs>
          <w:tab w:leader="none" w:pos="978" w:val="left"/>
        </w:tabs>
        <w:numPr>
          <w:ilvl w:val="1"/>
          <w:numId w:val="29"/>
        </w:numPr>
        <w:rPr>
          <w:rFonts w:ascii="Arial" w:cs="Arial" w:eastAsia="Arial" w:hAnsi="Arial"/>
          <w:sz w:val="19"/>
          <w:szCs w:val="19"/>
          <w:color w:val="auto"/>
        </w:rPr>
      </w:pPr>
      <w:r>
        <w:rPr>
          <w:rFonts w:ascii="Arial" w:cs="Arial" w:eastAsia="Arial" w:hAnsi="Arial"/>
          <w:sz w:val="19"/>
          <w:szCs w:val="19"/>
          <w:color w:val="auto"/>
        </w:rPr>
        <w:t>All notices or other communications required or permitted to be given hereunder shall be in writing and shall be deemed sufficiently given and received in all respects (a) when hand delivered, (b) when deposited in the United States mail, certified mail, return receipt requested, or</w:t>
      </w:r>
    </w:p>
    <w:p>
      <w:pPr>
        <w:spacing w:after="0" w:line="2" w:lineRule="exact"/>
        <w:rPr>
          <w:rFonts w:ascii="Arial" w:cs="Arial" w:eastAsia="Arial" w:hAnsi="Arial"/>
          <w:sz w:val="19"/>
          <w:szCs w:val="19"/>
          <w:color w:val="auto"/>
        </w:rPr>
      </w:pPr>
    </w:p>
    <w:p>
      <w:pPr>
        <w:ind w:left="180" w:right="279" w:firstLine="4"/>
        <w:spacing w:after="0" w:line="233" w:lineRule="auto"/>
        <w:tabs>
          <w:tab w:leader="none" w:pos="474" w:val="left"/>
        </w:tabs>
        <w:numPr>
          <w:ilvl w:val="0"/>
          <w:numId w:val="29"/>
        </w:numPr>
        <w:rPr>
          <w:rFonts w:ascii="Arial" w:cs="Arial" w:eastAsia="Arial" w:hAnsi="Arial"/>
          <w:sz w:val="22"/>
          <w:szCs w:val="22"/>
          <w:color w:val="auto"/>
        </w:rPr>
      </w:pPr>
      <w:r>
        <w:rPr>
          <w:rFonts w:ascii="Arial" w:cs="Arial" w:eastAsia="Arial" w:hAnsi="Arial"/>
          <w:sz w:val="22"/>
          <w:szCs w:val="22"/>
          <w:color w:val="auto"/>
        </w:rPr>
        <w:t>delivered via overnight courier service to the Trustee, any Transferor or Trust Certificate holder at such party’s address from time to time appearing in the records of the Trustee or to any party at such other address as such party may designate for such purpose by notice duly given hereunder to all other parties hereto.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Deposit of Agreement</w:t>
      </w:r>
    </w:p>
    <w:p>
      <w:pPr>
        <w:spacing w:after="0" w:line="8" w:lineRule="exact"/>
        <w:rPr>
          <w:sz w:val="20"/>
          <w:szCs w:val="20"/>
          <w:color w:val="auto"/>
        </w:rPr>
      </w:pPr>
    </w:p>
    <w:p>
      <w:pPr>
        <w:ind w:left="180" w:right="359" w:firstLine="652"/>
        <w:spacing w:after="0" w:line="243" w:lineRule="auto"/>
        <w:tabs>
          <w:tab w:leader="none" w:pos="990" w:val="left"/>
        </w:tabs>
        <w:numPr>
          <w:ilvl w:val="0"/>
          <w:numId w:val="30"/>
        </w:numPr>
        <w:rPr>
          <w:rFonts w:ascii="Arial" w:cs="Arial" w:eastAsia="Arial" w:hAnsi="Arial"/>
          <w:sz w:val="21"/>
          <w:szCs w:val="21"/>
          <w:color w:val="auto"/>
        </w:rPr>
      </w:pPr>
      <w:r>
        <w:rPr>
          <w:rFonts w:ascii="Arial" w:cs="Arial" w:eastAsia="Arial" w:hAnsi="Arial"/>
          <w:sz w:val="21"/>
          <w:szCs w:val="21"/>
          <w:color w:val="auto"/>
        </w:rPr>
        <w:t>Pursuant to §180.0730, or any appropriate successor thereto, of the Wisconsin Statutes, the Trustee shall deposit with the Secretary of the Corporation at the principal office of the Corporation a copy of this Agreement and all amendments, if any, hereto, and all copies of this Agreement executed by new parties to the Agreement, as well as a list of the names and addresses of all persons who are owners of shares of beneficial interest in the Voting Trust and the number and class of shares each such owner has transferred to the Voting Trust and the dates when Trust Certificates were issued to such owners.</w:t>
      </w:r>
    </w:p>
    <w:p>
      <w:pPr>
        <w:spacing w:after="0" w:line="188" w:lineRule="exact"/>
        <w:rPr>
          <w:sz w:val="20"/>
          <w:szCs w:val="20"/>
          <w:color w:val="auto"/>
        </w:rPr>
      </w:pPr>
    </w:p>
    <w:p>
      <w:pPr>
        <w:ind w:left="180" w:right="339" w:firstLine="648"/>
        <w:spacing w:after="0" w:line="287" w:lineRule="auto"/>
        <w:rPr>
          <w:sz w:val="20"/>
          <w:szCs w:val="20"/>
          <w:color w:val="auto"/>
        </w:rPr>
      </w:pPr>
      <w:r>
        <w:rPr>
          <w:rFonts w:ascii="Arial" w:cs="Arial" w:eastAsia="Arial" w:hAnsi="Arial"/>
          <w:sz w:val="19"/>
          <w:szCs w:val="19"/>
          <w:u w:val="single" w:color="auto"/>
          <w:color w:val="auto"/>
        </w:rPr>
        <w:t>11.3 Certain Transfers. Notwithstanding anything in this Agreement to the contrary, no action shall be taken hereunder that will result in a Transfer (as defined in the Articles) of Voting Stock or a Trust Certificate or any interest therein that will result in the Voting Trust not being a Permitted Trust (as defined in the Articles), and any such action shall be void and given no effect.</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Binding Effect</w:t>
      </w:r>
    </w:p>
    <w:p>
      <w:pPr>
        <w:spacing w:after="0" w:line="8" w:lineRule="exact"/>
        <w:rPr>
          <w:sz w:val="20"/>
          <w:szCs w:val="20"/>
          <w:color w:val="auto"/>
        </w:rPr>
      </w:pPr>
    </w:p>
    <w:p>
      <w:pPr>
        <w:ind w:left="180" w:right="459" w:firstLine="652"/>
        <w:spacing w:after="0" w:line="308" w:lineRule="auto"/>
        <w:tabs>
          <w:tab w:leader="none" w:pos="98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This Agreement shall be binding upon and inure to the benefit of the Transferor and the Trustee and their respective personal representatives, heirs, successors and assigns.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ind w:left="180"/>
        <w:spacing w:after="0"/>
        <w:rPr>
          <w:sz w:val="20"/>
          <w:szCs w:val="20"/>
          <w:color w:val="auto"/>
        </w:rPr>
      </w:pPr>
      <w:r>
        <w:rPr>
          <w:rFonts w:ascii="Arial" w:cs="Arial" w:eastAsia="Arial" w:hAnsi="Arial"/>
          <w:sz w:val="22"/>
          <w:szCs w:val="22"/>
          <w:color w:val="auto"/>
        </w:rPr>
        <w:t>Amendment</w:t>
      </w:r>
    </w:p>
    <w:p>
      <w:pPr>
        <w:spacing w:after="0" w:line="9" w:lineRule="exact"/>
        <w:rPr>
          <w:sz w:val="20"/>
          <w:szCs w:val="20"/>
          <w:color w:val="auto"/>
        </w:rPr>
      </w:pPr>
    </w:p>
    <w:p>
      <w:pPr>
        <w:jc w:val="both"/>
        <w:ind w:left="180" w:right="219" w:firstLine="652"/>
        <w:spacing w:after="0" w:line="233" w:lineRule="auto"/>
        <w:tabs>
          <w:tab w:leader="none" w:pos="986"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This Agreement may be amended from time to time by the Trustee;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Trust Certificate holder shall, without his, her or its consent, be bound by any amendment which has the effect of diminishing or impairing the distributions of cash or other property to which such holder is entitled pursuant to the provisions hereof.</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Applicable Law</w:t>
      </w:r>
    </w:p>
    <w:p>
      <w:pPr>
        <w:spacing w:after="0" w:line="8" w:lineRule="exact"/>
        <w:rPr>
          <w:sz w:val="20"/>
          <w:szCs w:val="20"/>
          <w:color w:val="auto"/>
        </w:rPr>
      </w:pPr>
    </w:p>
    <w:p>
      <w:pPr>
        <w:ind w:left="180" w:right="659" w:firstLine="652"/>
        <w:spacing w:after="0" w:line="234" w:lineRule="auto"/>
        <w:tabs>
          <w:tab w:leader="none" w:pos="98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This Agreement and the rights of the Trust Certificate holders hereunder shall be governed, construed and interpreted in accordance with the internal laws of Wisconsin without regard to principles of conflicts of law.</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Captions, Use of Certain Terms</w:t>
      </w:r>
    </w:p>
    <w:p>
      <w:pPr>
        <w:spacing w:after="0" w:line="8" w:lineRule="exact"/>
        <w:rPr>
          <w:sz w:val="20"/>
          <w:szCs w:val="20"/>
          <w:color w:val="auto"/>
        </w:rPr>
      </w:pPr>
    </w:p>
    <w:p>
      <w:pPr>
        <w:ind w:left="180" w:right="199" w:firstLine="652"/>
        <w:spacing w:after="0" w:line="244" w:lineRule="auto"/>
        <w:tabs>
          <w:tab w:leader="none" w:pos="986"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captions in this Agreement are inserted only as a matter of convenience and in no way affect the terms or intent of any provision of this Agreement. All defined phrases, pronouns and other variances thereof shall be deemed to refer to the masculine, feminine, neuter, singular or plural as the actual identity of the entity(ies) or person(s) referred to may require and the term the “</w:t>
      </w:r>
      <w:r>
        <w:rPr>
          <w:rFonts w:ascii="Arial" w:cs="Arial" w:eastAsia="Arial" w:hAnsi="Arial"/>
          <w:sz w:val="21"/>
          <w:szCs w:val="21"/>
          <w:u w:val="single" w:color="auto"/>
          <w:color w:val="auto"/>
        </w:rPr>
        <w:t>Corporation</w:t>
      </w:r>
      <w:r>
        <w:rPr>
          <w:rFonts w:ascii="Arial" w:cs="Arial" w:eastAsia="Arial" w:hAnsi="Arial"/>
          <w:sz w:val="21"/>
          <w:szCs w:val="21"/>
          <w:color w:val="auto"/>
        </w:rPr>
        <w:t>” shall be deemed to refer to each other corporation whose shares constitute Subject Shares as may be appropriate.</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Counterparts</w:t>
      </w:r>
    </w:p>
    <w:p>
      <w:pPr>
        <w:spacing w:after="0" w:line="8" w:lineRule="exact"/>
        <w:rPr>
          <w:sz w:val="20"/>
          <w:szCs w:val="20"/>
          <w:color w:val="auto"/>
        </w:rPr>
      </w:pPr>
    </w:p>
    <w:p>
      <w:pPr>
        <w:ind w:left="180" w:right="379" w:firstLine="652"/>
        <w:spacing w:after="0" w:line="234" w:lineRule="auto"/>
        <w:tabs>
          <w:tab w:leader="none" w:pos="986"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This Agreement may be executed in one or more counterparts and all such executed counterparts shall constitute one agreement binding upon all parties hereto even though all parties are not signatory to the original or the same counterpart.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4" w:name="page85"/>
    <w:bookmarkEnd w:id="84"/>
    <w:p>
      <w:pPr>
        <w:ind w:left="180" w:right="559" w:firstLine="648"/>
        <w:spacing w:after="0" w:line="251" w:lineRule="auto"/>
        <w:rPr>
          <w:sz w:val="20"/>
          <w:szCs w:val="20"/>
          <w:color w:val="auto"/>
        </w:rPr>
      </w:pPr>
      <w:r>
        <w:rPr>
          <w:rFonts w:ascii="Arial" w:cs="Arial" w:eastAsia="Arial" w:hAnsi="Arial"/>
          <w:sz w:val="22"/>
          <w:szCs w:val="22"/>
          <w:color w:val="auto"/>
        </w:rPr>
        <w:t>IN WITNESS WHEREOF, the undersigned have executed this Agreement as of the day, month and year first above written.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TRANSFEROR:</w:t>
      </w: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/s/ Stephen L. Schlecht</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Stephen L. Schlecht</w:t>
      </w: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/s/ Stephen L. Schlecht</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Stephen L. Schlecht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5" w:name="page86"/>
    <w:bookmarkEnd w:id="85"/>
    <w:tbl>
      <w:tblPr>
        <w:tblLayout w:type="fixed"/>
        <w:tblInd w:w="18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700" w:type="dxa"/>
            <w:vAlign w:val="bottom"/>
            <w:gridSpan w:val="2"/>
          </w:tcPr>
          <w:p>
            <w:pPr>
              <w:jc w:val="center"/>
              <w:ind w:right="3592"/>
              <w:spacing w:after="0"/>
              <w:rPr>
                <w:sz w:val="20"/>
                <w:szCs w:val="20"/>
                <w:color w:val="auto"/>
              </w:rPr>
            </w:pPr>
            <w:r>
              <w:rPr>
                <w:rFonts w:ascii="Arial" w:cs="Arial" w:eastAsia="Arial" w:hAnsi="Arial"/>
                <w:sz w:val="22"/>
                <w:szCs w:val="22"/>
                <w:b w:val="1"/>
                <w:bCs w:val="1"/>
                <w:color w:val="auto"/>
                <w:w w:val="90"/>
              </w:rPr>
              <w:t>Exhibit 2.2</w:t>
            </w:r>
          </w:p>
        </w:tc>
      </w:tr>
      <w:tr>
        <w:trPr>
          <w:trHeight w:val="20"/>
        </w:trPr>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89"/>
        </w:trPr>
        <w:tc>
          <w:tcPr>
            <w:tcW w:w="2100" w:type="dxa"/>
            <w:vAlign w:val="bottom"/>
          </w:tcPr>
          <w:p>
            <w:pPr>
              <w:spacing w:after="0"/>
              <w:rPr>
                <w:sz w:val="24"/>
                <w:szCs w:val="24"/>
                <w:color w:val="auto"/>
              </w:rPr>
            </w:pPr>
          </w:p>
        </w:tc>
        <w:tc>
          <w:tcPr>
            <w:tcW w:w="6420" w:type="dxa"/>
            <w:vAlign w:val="bottom"/>
            <w:gridSpan w:val="3"/>
          </w:tcPr>
          <w:p>
            <w:pPr>
              <w:jc w:val="center"/>
              <w:ind w:right="1872"/>
              <w:spacing w:after="0"/>
              <w:rPr>
                <w:sz w:val="20"/>
                <w:szCs w:val="20"/>
                <w:color w:val="auto"/>
              </w:rPr>
            </w:pPr>
            <w:r>
              <w:rPr>
                <w:rFonts w:ascii="Arial" w:cs="Arial" w:eastAsia="Arial" w:hAnsi="Arial"/>
                <w:sz w:val="22"/>
                <w:szCs w:val="22"/>
                <w:color w:val="auto"/>
                <w:w w:val="92"/>
              </w:rPr>
              <w:t>(Form of Trust Certificate)</w:t>
            </w:r>
          </w:p>
        </w:tc>
      </w:tr>
      <w:tr>
        <w:trPr>
          <w:trHeight w:val="428"/>
        </w:trPr>
        <w:tc>
          <w:tcPr>
            <w:tcW w:w="2100" w:type="dxa"/>
            <w:vAlign w:val="bottom"/>
          </w:tcPr>
          <w:p>
            <w:pPr>
              <w:spacing w:after="0"/>
              <w:rPr>
                <w:sz w:val="20"/>
                <w:szCs w:val="20"/>
                <w:color w:val="auto"/>
              </w:rPr>
            </w:pPr>
            <w:r>
              <w:rPr>
                <w:rFonts w:ascii="Arial" w:cs="Arial" w:eastAsia="Arial" w:hAnsi="Arial"/>
                <w:sz w:val="22"/>
                <w:szCs w:val="22"/>
                <w:color w:val="auto"/>
              </w:rPr>
              <w:t>No. _______</w:t>
            </w: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tcPr>
          <w:p>
            <w:pPr>
              <w:ind w:left="820"/>
              <w:spacing w:after="0"/>
              <w:rPr>
                <w:sz w:val="20"/>
                <w:szCs w:val="20"/>
                <w:color w:val="auto"/>
              </w:rPr>
            </w:pPr>
            <w:r>
              <w:rPr>
                <w:rFonts w:ascii="Arial" w:cs="Arial" w:eastAsia="Arial" w:hAnsi="Arial"/>
                <w:sz w:val="22"/>
                <w:szCs w:val="22"/>
                <w:color w:val="auto"/>
                <w:w w:val="88"/>
              </w:rPr>
              <w:t>__________ Shares of Beneficial</w:t>
            </w:r>
          </w:p>
        </w:tc>
      </w:t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Interest</w:t>
            </w:r>
          </w:p>
        </w:tc>
        <w:tc>
          <w:tcPr>
            <w:tcW w:w="1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644"/>
        </w:trPr>
        <w:tc>
          <w:tcPr>
            <w:tcW w:w="2100" w:type="dxa"/>
            <w:vAlign w:val="bottom"/>
          </w:tcPr>
          <w:p>
            <w:pPr>
              <w:spacing w:after="0"/>
              <w:rPr>
                <w:sz w:val="24"/>
                <w:szCs w:val="24"/>
                <w:color w:val="auto"/>
              </w:rPr>
            </w:pPr>
          </w:p>
        </w:tc>
        <w:tc>
          <w:tcPr>
            <w:tcW w:w="6420" w:type="dxa"/>
            <w:vAlign w:val="bottom"/>
            <w:gridSpan w:val="3"/>
          </w:tcPr>
          <w:p>
            <w:pPr>
              <w:jc w:val="center"/>
              <w:ind w:right="1872"/>
              <w:spacing w:after="0"/>
              <w:rPr>
                <w:sz w:val="20"/>
                <w:szCs w:val="20"/>
                <w:color w:val="auto"/>
              </w:rPr>
            </w:pPr>
            <w:r>
              <w:rPr>
                <w:rFonts w:ascii="Arial" w:cs="Arial" w:eastAsia="Arial" w:hAnsi="Arial"/>
                <w:sz w:val="22"/>
                <w:szCs w:val="22"/>
                <w:color w:val="auto"/>
                <w:w w:val="96"/>
              </w:rPr>
              <w:t>DULUTH HOLDINGS INC.</w:t>
            </w:r>
          </w:p>
        </w:tc>
      </w:tr>
      <w:tr>
        <w:trPr>
          <w:trHeight w:val="243"/>
        </w:trPr>
        <w:tc>
          <w:tcPr>
            <w:tcW w:w="2100" w:type="dxa"/>
            <w:vAlign w:val="bottom"/>
          </w:tcPr>
          <w:p>
            <w:pPr>
              <w:spacing w:after="0"/>
              <w:rPr>
                <w:sz w:val="21"/>
                <w:szCs w:val="21"/>
                <w:color w:val="auto"/>
              </w:rPr>
            </w:pPr>
          </w:p>
        </w:tc>
        <w:tc>
          <w:tcPr>
            <w:tcW w:w="6420" w:type="dxa"/>
            <w:vAlign w:val="bottom"/>
            <w:gridSpan w:val="3"/>
          </w:tcPr>
          <w:p>
            <w:pPr>
              <w:jc w:val="center"/>
              <w:ind w:right="1872"/>
              <w:spacing w:after="0" w:line="243" w:lineRule="exact"/>
              <w:rPr>
                <w:sz w:val="20"/>
                <w:szCs w:val="20"/>
                <w:color w:val="auto"/>
              </w:rPr>
            </w:pPr>
            <w:r>
              <w:rPr>
                <w:rFonts w:ascii="Arial" w:cs="Arial" w:eastAsia="Arial" w:hAnsi="Arial"/>
                <w:sz w:val="22"/>
                <w:szCs w:val="22"/>
                <w:color w:val="auto"/>
                <w:w w:val="91"/>
              </w:rPr>
              <w:t>Mt. Horeb, Wisconsin</w:t>
            </w:r>
          </w:p>
        </w:tc>
      </w:tr>
      <w:tr>
        <w:trPr>
          <w:trHeight w:val="274"/>
        </w:trPr>
        <w:tc>
          <w:tcPr>
            <w:tcW w:w="2100" w:type="dxa"/>
            <w:vAlign w:val="bottom"/>
          </w:tcPr>
          <w:p>
            <w:pPr>
              <w:spacing w:after="0"/>
              <w:rPr>
                <w:sz w:val="23"/>
                <w:szCs w:val="23"/>
                <w:color w:val="auto"/>
              </w:rPr>
            </w:pPr>
          </w:p>
        </w:tc>
        <w:tc>
          <w:tcPr>
            <w:tcW w:w="6420" w:type="dxa"/>
            <w:vAlign w:val="bottom"/>
            <w:gridSpan w:val="3"/>
          </w:tcPr>
          <w:p>
            <w:pPr>
              <w:jc w:val="center"/>
              <w:ind w:right="1872"/>
              <w:spacing w:after="0"/>
              <w:rPr>
                <w:sz w:val="20"/>
                <w:szCs w:val="20"/>
                <w:color w:val="auto"/>
              </w:rPr>
            </w:pPr>
            <w:r>
              <w:rPr>
                <w:rFonts w:ascii="Arial" w:cs="Arial" w:eastAsia="Arial" w:hAnsi="Arial"/>
                <w:sz w:val="22"/>
                <w:szCs w:val="22"/>
                <w:color w:val="auto"/>
                <w:w w:val="92"/>
              </w:rPr>
              <w:t>TRUST CERTIFICATE</w:t>
            </w:r>
          </w:p>
        </w:tc>
      </w:tr>
    </w:tbl>
    <w:p>
      <w:pPr>
        <w:spacing w:after="0" w:line="200" w:lineRule="exact"/>
        <w:rPr>
          <w:sz w:val="20"/>
          <w:szCs w:val="20"/>
          <w:color w:val="auto"/>
        </w:rPr>
      </w:pPr>
    </w:p>
    <w:p>
      <w:pPr>
        <w:spacing w:after="0" w:line="22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_____________________________ (or his predecessor in interest) has deposited with the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undersigned Voting Trustee ______________shares of Class A Common Stock of Duluth Holdings</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Inc.</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Such stock was deposited and this Trust Certificate is issued under and pursuant to the terms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of a certain Voting Trust Agreement relating to such stock, made and entered into as of</w:t>
      </w:r>
    </w:p>
    <w:p>
      <w:pPr>
        <w:ind w:left="180"/>
        <w:spacing w:after="0"/>
        <w:rPr>
          <w:sz w:val="20"/>
          <w:szCs w:val="20"/>
          <w:color w:val="auto"/>
        </w:rPr>
      </w:pPr>
      <w:r>
        <w:rPr>
          <w:rFonts w:ascii="Arial" w:cs="Arial" w:eastAsia="Arial" w:hAnsi="Arial"/>
          <w:sz w:val="19"/>
          <w:szCs w:val="19"/>
          <w:color w:val="auto"/>
        </w:rPr>
        <w:t>November 1, 2021, as from time to time may be amended, and now on file at the principal office of</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21"/>
          <w:szCs w:val="21"/>
          <w:color w:val="auto"/>
        </w:rPr>
        <w:t>Duluth Holdings Inc. in the State of Wisconsin and with the Voting Trustee. Each successive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1"/>
          <w:szCs w:val="21"/>
          <w:color w:val="auto"/>
        </w:rPr>
        <w:t>holder of this Trust Certificate is entitled to the rights, benefits and privileges afforded to such</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holder under, and this Trust Certificate is subject to, the terms, provisions and conditions of the</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above mentioned Voting Trust Agreement.</w:t>
      </w:r>
    </w:p>
    <w:p>
      <w:pPr>
        <w:spacing w:after="0" w:line="188" w:lineRule="exact"/>
        <w:rPr>
          <w:sz w:val="20"/>
          <w:szCs w:val="20"/>
          <w:color w:val="auto"/>
        </w:rPr>
      </w:pPr>
    </w:p>
    <w:p>
      <w:pPr>
        <w:ind w:left="180" w:right="259" w:firstLine="648"/>
        <w:spacing w:after="0" w:line="236" w:lineRule="auto"/>
        <w:rPr>
          <w:sz w:val="20"/>
          <w:szCs w:val="20"/>
          <w:color w:val="auto"/>
        </w:rPr>
      </w:pPr>
      <w:r>
        <w:rPr>
          <w:rFonts w:ascii="Arial" w:cs="Arial" w:eastAsia="Arial" w:hAnsi="Arial"/>
          <w:sz w:val="22"/>
          <w:szCs w:val="22"/>
          <w:color w:val="auto"/>
        </w:rPr>
        <w:t>This Trust Certificate is not negotiable and it is transferable only on the books of the Voting Trustee. The Voting Trustee named in such Voting Trust Agreement at all times and for all purposes and irrespective of notice to the contrary may regard the registered holder of this Trust Certificate, as the name of such registered holder appears on the books of the Voting Trustee, as the sole owner of all rights hereunder.</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IN WITNESS WHEREOF, the Voting Trustee has signed this Trust Certificate this ____</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day of ___________________, _________.</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Voting Trustee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REVERSE SIDE FOR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TRANSFER RESTRICTIONS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9" w:right="1440" w:bottom="1440" w:gutter="0" w:footer="0" w:header="0"/>
        </w:sectPr>
      </w:pPr>
    </w:p>
    <w:bookmarkStart w:id="86" w:name="page87"/>
    <w:bookmarkEnd w:id="86"/>
    <w:p>
      <w:pPr>
        <w:ind w:left="840" w:right="199"/>
        <w:spacing w:after="0" w:line="244" w:lineRule="auto"/>
        <w:rPr>
          <w:sz w:val="20"/>
          <w:szCs w:val="20"/>
          <w:color w:val="auto"/>
        </w:rPr>
      </w:pPr>
      <w:r>
        <w:rPr>
          <w:rFonts w:ascii="Arial" w:cs="Arial" w:eastAsia="Arial" w:hAnsi="Arial"/>
          <w:sz w:val="21"/>
          <w:szCs w:val="21"/>
          <w:color w:val="auto"/>
        </w:rPr>
        <w:t>THE SHARES OF BENEFICIAL INTEREST REPRESENTED HEREBY HAVE NOT BEEN REGISTERED UNDER THE SECURITIES ACT OF 1933, AS AMENDED, OR ANY APPLICABLE STATE SECURITIES LAWS. NO TRANSFER OR OTHER DISPOSITION OF SUCH SHARES BENEFICIAL INTEREST MAY BE MADE EXCEPT UNDER AN EFFECTIVE REGISTRATION STATEMENT UNDER SUCH ACT OR PURSUANT TO AN EXEMPTION FROM REGISTRATION THEREUNDER AND UNDER ANY APPLICABLE STATE SECURITIES LAWS. REFERENCE IS ALSO MADE TO THE DULUTH HOLDINGS INC. VOTING TRUST AGREEMENT TO WHICH THE HOLDER HEREOF SHOULD REFER FOR ADDITIONAL RESTRICTIONS ON THE DISPOSITION OF THE SHARES OF BENEFICIAL INTEREST REPRESENTED HEREBY. A COPY OF SUCH AGREEMENT AND ALL AMENDMENTS, IF ANY, THERETO ARE ON FILE IN THE OFFICE OF THE SECRETARY OF DULUTH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7" w:name="page88"/>
    <w:bookmarkEnd w:id="87"/>
    <w:p>
      <w:pPr>
        <w:jc w:val="right"/>
        <w:ind w:right="20"/>
        <w:spacing w:after="0"/>
        <w:rPr>
          <w:sz w:val="20"/>
          <w:szCs w:val="20"/>
          <w:color w:val="auto"/>
        </w:rPr>
      </w:pPr>
      <w:r>
        <w:rPr>
          <w:rFonts w:ascii="Arial" w:cs="Arial" w:eastAsia="Arial" w:hAnsi="Arial"/>
          <w:sz w:val="23"/>
          <w:szCs w:val="23"/>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366395</wp:posOffset>
            </wp:positionV>
            <wp:extent cx="2571750" cy="8743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January 24, 2020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Dear Chris:</w:t>
      </w:r>
    </w:p>
    <w:p>
      <w:pPr>
        <w:spacing w:after="0" w:line="175" w:lineRule="exact"/>
        <w:rPr>
          <w:sz w:val="20"/>
          <w:szCs w:val="20"/>
          <w:color w:val="auto"/>
        </w:rPr>
      </w:pPr>
    </w:p>
    <w:p>
      <w:pPr>
        <w:ind w:right="1460"/>
        <w:spacing w:after="0" w:line="420" w:lineRule="auto"/>
        <w:rPr>
          <w:sz w:val="20"/>
          <w:szCs w:val="20"/>
          <w:color w:val="auto"/>
        </w:rPr>
      </w:pPr>
      <w:r>
        <w:rPr>
          <w:rFonts w:ascii="Arial" w:cs="Arial" w:eastAsia="Arial" w:hAnsi="Arial"/>
          <w:sz w:val="20"/>
          <w:szCs w:val="20"/>
          <w:color w:val="auto"/>
        </w:rPr>
        <w:t xml:space="preserve">It is my pleasure to extend the following promotion to you on behalf of Duluth Trading Company. </w:t>
      </w:r>
      <w:r>
        <w:rPr>
          <w:rFonts w:ascii="Arial" w:cs="Arial" w:eastAsia="Arial" w:hAnsi="Arial"/>
          <w:sz w:val="20"/>
          <w:szCs w:val="20"/>
          <w:b w:val="1"/>
          <w:bCs w:val="1"/>
          <w:color w:val="auto"/>
        </w:rPr>
        <w:t xml:space="preserve">Position Title: Senior Vice President of IT &amp; Logistics Effective Date: </w:t>
      </w:r>
      <w:r>
        <w:rPr>
          <w:rFonts w:ascii="Arial" w:cs="Arial" w:eastAsia="Arial" w:hAnsi="Arial"/>
          <w:sz w:val="20"/>
          <w:szCs w:val="20"/>
          <w:color w:val="auto"/>
        </w:rPr>
        <w:t>February 3, 2020</w:t>
      </w:r>
    </w:p>
    <w:p>
      <w:pPr>
        <w:spacing w:after="0" w:line="2" w:lineRule="exact"/>
        <w:rPr>
          <w:sz w:val="20"/>
          <w:szCs w:val="20"/>
          <w:color w:val="auto"/>
        </w:rPr>
      </w:pPr>
    </w:p>
    <w:p>
      <w:pPr>
        <w:ind w:right="700"/>
        <w:spacing w:after="0" w:line="230" w:lineRule="auto"/>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Your annual base salary will be $325,000 annual, which is paid bi-weekly and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deductions for taxes and other withholdings that are required by law. Your salary will be reviewed for merit consideration in April of 2020.</w:t>
      </w:r>
    </w:p>
    <w:p>
      <w:pPr>
        <w:spacing w:after="0" w:line="149" w:lineRule="exact"/>
        <w:rPr>
          <w:sz w:val="20"/>
          <w:szCs w:val="20"/>
          <w:color w:val="auto"/>
        </w:rPr>
      </w:pPr>
    </w:p>
    <w:p>
      <w:pPr>
        <w:jc w:val="both"/>
        <w:ind w:right="60"/>
        <w:spacing w:after="0" w:line="230" w:lineRule="auto"/>
        <w:rPr>
          <w:sz w:val="20"/>
          <w:szCs w:val="20"/>
          <w:color w:val="auto"/>
        </w:rPr>
      </w:pPr>
      <w:r>
        <w:rPr>
          <w:rFonts w:ascii="Arial" w:cs="Arial" w:eastAsia="Arial" w:hAnsi="Arial"/>
          <w:sz w:val="20"/>
          <w:szCs w:val="20"/>
          <w:b w:val="1"/>
          <w:bCs w:val="1"/>
          <w:color w:val="auto"/>
        </w:rPr>
        <w:t xml:space="preserve">Bonus: </w:t>
      </w:r>
      <w:r>
        <w:rPr>
          <w:rFonts w:ascii="Arial" w:cs="Arial" w:eastAsia="Arial" w:hAnsi="Arial"/>
          <w:sz w:val="20"/>
          <w:szCs w:val="20"/>
          <w:color w:val="auto"/>
        </w:rPr>
        <w:t>For Fiscal 2020, your bonus target is 50% of your base salary wages earned. You will be eligible for payout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spring of 2021 and is contingent upon the Company meeting certain financial thresholds that are established annually.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I look to your continued contributions at Duluth Trading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Steve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2172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Steve Schlecht, CEO</w:t>
      </w:r>
    </w:p>
    <w:p>
      <w:pPr>
        <w:spacing w:after="0"/>
        <w:rPr>
          <w:sz w:val="20"/>
          <w:szCs w:val="20"/>
          <w:color w:val="auto"/>
        </w:rPr>
      </w:pPr>
      <w:r>
        <w:rPr>
          <w:rFonts w:ascii="Arial" w:cs="Arial" w:eastAsia="Arial" w:hAnsi="Arial"/>
          <w:sz w:val="20"/>
          <w:szCs w:val="20"/>
          <w:color w:val="auto"/>
        </w:rPr>
        <w:t>Duluth Trading Company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20" w:type="dxa"/>
            <w:vAlign w:val="bottom"/>
            <w:gridSpan w:val="2"/>
          </w:tcPr>
          <w:p>
            <w:pPr>
              <w:spacing w:after="0"/>
              <w:rPr>
                <w:sz w:val="20"/>
                <w:szCs w:val="20"/>
                <w:color w:val="auto"/>
              </w:rPr>
            </w:pPr>
            <w:r>
              <w:rPr>
                <w:rFonts w:ascii="Arial" w:cs="Arial" w:eastAsia="Arial" w:hAnsi="Arial"/>
                <w:sz w:val="20"/>
                <w:szCs w:val="20"/>
                <w:color w:val="auto"/>
              </w:rPr>
              <w:t>ACCEPTED:</w:t>
            </w:r>
          </w:p>
        </w:tc>
        <w:tc>
          <w:tcPr>
            <w:tcW w:w="5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Christopher Teufel</w:t>
            </w:r>
          </w:p>
        </w:tc>
        <w:tc>
          <w:tcPr>
            <w:tcW w:w="588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1/24/2020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0" w:type="dxa"/>
            <w:vAlign w:val="bottom"/>
            <w:tcBorders>
              <w:bottom w:val="single" w:sz="8" w:color="auto"/>
            </w:tcBorders>
          </w:tcPr>
          <w:p>
            <w:pPr>
              <w:spacing w:after="0"/>
              <w:rPr>
                <w:sz w:val="15"/>
                <w:szCs w:val="15"/>
                <w:color w:val="auto"/>
              </w:rPr>
            </w:pPr>
          </w:p>
        </w:tc>
        <w:tc>
          <w:tcPr>
            <w:tcW w:w="2920" w:type="dxa"/>
            <w:vAlign w:val="bottom"/>
          </w:tcPr>
          <w:p>
            <w:pPr>
              <w:spacing w:after="0"/>
              <w:rPr>
                <w:sz w:val="15"/>
                <w:szCs w:val="15"/>
                <w:color w:val="auto"/>
              </w:rPr>
            </w:pPr>
          </w:p>
        </w:tc>
        <w:tc>
          <w:tcPr>
            <w:tcW w:w="6080" w:type="dxa"/>
            <w:vAlign w:val="bottom"/>
            <w:gridSpan w:val="2"/>
            <w:vMerge w:val="restart"/>
          </w:tcPr>
          <w:p>
            <w:pPr>
              <w:ind w:left="5480"/>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44"/>
        </w:trPr>
        <w:tc>
          <w:tcPr>
            <w:tcW w:w="3120" w:type="dxa"/>
            <w:vAlign w:val="bottom"/>
            <w:gridSpan w:val="2"/>
          </w:tcPr>
          <w:p>
            <w:pPr>
              <w:spacing w:after="0"/>
              <w:rPr>
                <w:sz w:val="20"/>
                <w:szCs w:val="20"/>
                <w:color w:val="auto"/>
              </w:rPr>
            </w:pPr>
            <w:r>
              <w:rPr>
                <w:rFonts w:ascii="Arial" w:cs="Arial" w:eastAsia="Arial" w:hAnsi="Arial"/>
                <w:sz w:val="20"/>
                <w:szCs w:val="20"/>
                <w:color w:val="auto"/>
              </w:rPr>
              <w:t>Chris Teufel</w:t>
            </w:r>
          </w:p>
        </w:tc>
        <w:tc>
          <w:tcPr>
            <w:tcW w:w="6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880" w:type="dxa"/>
            <w:vAlign w:val="bottom"/>
          </w:tcPr>
          <w:p>
            <w:pPr>
              <w:jc w:val="right"/>
              <w:ind w:right="429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58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-37465</wp:posOffset>
            </wp:positionV>
            <wp:extent cx="3365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429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0"/>
          </w:cols>
          <w:pgMar w:left="1360" w:top="378" w:right="1339" w:bottom="1440" w:gutter="0" w:footer="0" w:header="0"/>
        </w:sectPr>
      </w:pPr>
    </w:p>
    <w:bookmarkStart w:id="88" w:name="page89"/>
    <w:bookmarkEnd w:id="88"/>
    <w:p>
      <w:pPr>
        <w:jc w:val="right"/>
        <w:ind w:right="20"/>
        <w:spacing w:after="0"/>
        <w:rPr>
          <w:sz w:val="20"/>
          <w:szCs w:val="20"/>
          <w:color w:val="auto"/>
        </w:rPr>
      </w:pPr>
      <w:r>
        <w:rPr>
          <w:rFonts w:ascii="Arial" w:cs="Arial" w:eastAsia="Arial" w:hAnsi="Arial"/>
          <w:sz w:val="23"/>
          <w:szCs w:val="23"/>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366395</wp:posOffset>
            </wp:positionV>
            <wp:extent cx="2571750" cy="874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January 24, 2020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Dear Dave: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It is my pleasure to extend the following promotion to you on behalf of Duluth Trading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Position Title: Senior Vice President of Human Resources, Retail &amp; Call Center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February 3, 2020</w:t>
      </w:r>
    </w:p>
    <w:p>
      <w:pPr>
        <w:spacing w:after="0" w:line="175" w:lineRule="exact"/>
        <w:rPr>
          <w:sz w:val="20"/>
          <w:szCs w:val="20"/>
          <w:color w:val="auto"/>
        </w:rPr>
      </w:pPr>
    </w:p>
    <w:p>
      <w:pPr>
        <w:ind w:right="700"/>
        <w:spacing w:after="0" w:line="230" w:lineRule="auto"/>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Your annual base salary will be $325,000 annual, which is paid bi-weekly and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deductions for taxes and other withholdings that are required by law. Your salary will be reviewed for merit consideration in April of 2020.</w:t>
      </w:r>
    </w:p>
    <w:p>
      <w:pPr>
        <w:spacing w:after="0" w:line="149" w:lineRule="exact"/>
        <w:rPr>
          <w:sz w:val="20"/>
          <w:szCs w:val="20"/>
          <w:color w:val="auto"/>
        </w:rPr>
      </w:pPr>
    </w:p>
    <w:p>
      <w:pPr>
        <w:jc w:val="both"/>
        <w:ind w:right="60"/>
        <w:spacing w:after="0" w:line="230" w:lineRule="auto"/>
        <w:rPr>
          <w:sz w:val="20"/>
          <w:szCs w:val="20"/>
          <w:color w:val="auto"/>
        </w:rPr>
      </w:pPr>
      <w:r>
        <w:rPr>
          <w:rFonts w:ascii="Arial" w:cs="Arial" w:eastAsia="Arial" w:hAnsi="Arial"/>
          <w:sz w:val="20"/>
          <w:szCs w:val="20"/>
          <w:b w:val="1"/>
          <w:bCs w:val="1"/>
          <w:color w:val="auto"/>
        </w:rPr>
        <w:t xml:space="preserve">Bonus: </w:t>
      </w:r>
      <w:r>
        <w:rPr>
          <w:rFonts w:ascii="Arial" w:cs="Arial" w:eastAsia="Arial" w:hAnsi="Arial"/>
          <w:sz w:val="20"/>
          <w:szCs w:val="20"/>
          <w:color w:val="auto"/>
        </w:rPr>
        <w:t>For Fiscal 2020, your bonus target is 50% of your base salary wages earned. You will be eligible for payout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spring of 2021 and is contingent upon the Company meeting certain financial thresholds that are established annually.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I look to your continued contributions at Duluth Trading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Steve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2172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Steve Schlecht, CEO</w:t>
      </w:r>
    </w:p>
    <w:p>
      <w:pPr>
        <w:spacing w:after="0"/>
        <w:rPr>
          <w:sz w:val="20"/>
          <w:szCs w:val="20"/>
          <w:color w:val="auto"/>
        </w:rPr>
      </w:pPr>
      <w:r>
        <w:rPr>
          <w:rFonts w:ascii="Arial" w:cs="Arial" w:eastAsia="Arial" w:hAnsi="Arial"/>
          <w:sz w:val="20"/>
          <w:szCs w:val="20"/>
          <w:color w:val="auto"/>
        </w:rPr>
        <w:t>Duluth Trading Company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gridSpan w:val="2"/>
          </w:tcPr>
          <w:p>
            <w:pPr>
              <w:spacing w:after="0"/>
              <w:rPr>
                <w:sz w:val="20"/>
                <w:szCs w:val="20"/>
                <w:color w:val="auto"/>
              </w:rPr>
            </w:pPr>
            <w:r>
              <w:rPr>
                <w:rFonts w:ascii="Arial" w:cs="Arial" w:eastAsia="Arial" w:hAnsi="Arial"/>
                <w:sz w:val="20"/>
                <w:szCs w:val="20"/>
                <w:color w:val="auto"/>
              </w:rPr>
              <w:t>ACCEPTED:</w:t>
            </w:r>
          </w:p>
        </w:tc>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Dave Homolka</w:t>
            </w:r>
          </w:p>
        </w:tc>
        <w:tc>
          <w:tcPr>
            <w:tcW w:w="598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1/24/2020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0" w:type="dxa"/>
            <w:vAlign w:val="bottom"/>
            <w:tcBorders>
              <w:bottom w:val="single" w:sz="8" w:color="auto"/>
            </w:tcBorders>
          </w:tcPr>
          <w:p>
            <w:pPr>
              <w:spacing w:after="0"/>
              <w:rPr>
                <w:sz w:val="15"/>
                <w:szCs w:val="15"/>
                <w:color w:val="auto"/>
              </w:rPr>
            </w:pPr>
          </w:p>
        </w:tc>
        <w:tc>
          <w:tcPr>
            <w:tcW w:w="2780" w:type="dxa"/>
            <w:vAlign w:val="bottom"/>
          </w:tcPr>
          <w:p>
            <w:pPr>
              <w:spacing w:after="0"/>
              <w:rPr>
                <w:sz w:val="15"/>
                <w:szCs w:val="15"/>
                <w:color w:val="auto"/>
              </w:rPr>
            </w:pPr>
          </w:p>
        </w:tc>
        <w:tc>
          <w:tcPr>
            <w:tcW w:w="6220" w:type="dxa"/>
            <w:vAlign w:val="bottom"/>
            <w:gridSpan w:val="2"/>
            <w:vMerge w:val="restart"/>
          </w:tcPr>
          <w:p>
            <w:pPr>
              <w:ind w:left="5580"/>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44"/>
        </w:trPr>
        <w:tc>
          <w:tcPr>
            <w:tcW w:w="2980" w:type="dxa"/>
            <w:vAlign w:val="bottom"/>
            <w:gridSpan w:val="2"/>
          </w:tcPr>
          <w:p>
            <w:pPr>
              <w:spacing w:after="0"/>
              <w:rPr>
                <w:sz w:val="20"/>
                <w:szCs w:val="20"/>
                <w:color w:val="auto"/>
              </w:rPr>
            </w:pPr>
            <w:r>
              <w:rPr>
                <w:rFonts w:ascii="Arial" w:cs="Arial" w:eastAsia="Arial" w:hAnsi="Arial"/>
                <w:sz w:val="20"/>
                <w:szCs w:val="20"/>
                <w:color w:val="auto"/>
              </w:rPr>
              <w:t>Dave Homolka</w:t>
            </w:r>
          </w:p>
        </w:tc>
        <w:tc>
          <w:tcPr>
            <w:tcW w:w="6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980" w:type="dxa"/>
            <w:vAlign w:val="bottom"/>
          </w:tcPr>
          <w:p>
            <w:pPr>
              <w:jc w:val="right"/>
              <w:ind w:right="425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59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-37465</wp:posOffset>
            </wp:positionV>
            <wp:extent cx="3365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429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0"/>
          </w:cols>
          <w:pgMar w:left="1360" w:top="378" w:right="1339" w:bottom="1440" w:gutter="0" w:footer="0" w:header="0"/>
        </w:sectPr>
      </w:pPr>
    </w:p>
    <w:bookmarkStart w:id="89" w:name="page90"/>
    <w:bookmarkEnd w:id="89"/>
    <w:p>
      <w:pPr>
        <w:jc w:val="right"/>
        <w:ind w:right="20"/>
        <w:spacing w:after="0"/>
        <w:rPr>
          <w:sz w:val="20"/>
          <w:szCs w:val="20"/>
          <w:color w:val="auto"/>
        </w:rPr>
      </w:pPr>
      <w:r>
        <w:rPr>
          <w:rFonts w:ascii="Arial" w:cs="Arial" w:eastAsia="Arial" w:hAnsi="Arial"/>
          <w:sz w:val="23"/>
          <w:szCs w:val="23"/>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366395</wp:posOffset>
            </wp:positionV>
            <wp:extent cx="2571750" cy="874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January 24, 2020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Dear Ricker:</w:t>
      </w:r>
    </w:p>
    <w:p>
      <w:pPr>
        <w:spacing w:after="0" w:line="175" w:lineRule="exact"/>
        <w:rPr>
          <w:sz w:val="20"/>
          <w:szCs w:val="20"/>
          <w:color w:val="auto"/>
        </w:rPr>
      </w:pPr>
    </w:p>
    <w:p>
      <w:pPr>
        <w:ind w:right="960"/>
        <w:spacing w:after="0" w:line="420" w:lineRule="auto"/>
        <w:rPr>
          <w:sz w:val="20"/>
          <w:szCs w:val="20"/>
          <w:color w:val="auto"/>
        </w:rPr>
      </w:pPr>
      <w:r>
        <w:rPr>
          <w:rFonts w:ascii="Arial" w:cs="Arial" w:eastAsia="Arial" w:hAnsi="Arial"/>
          <w:sz w:val="20"/>
          <w:szCs w:val="20"/>
          <w:color w:val="auto"/>
        </w:rPr>
        <w:t xml:space="preserve">It is my pleasure to extend the following promotion to you on behalf of Duluth Trading Company. </w:t>
      </w:r>
      <w:r>
        <w:rPr>
          <w:rFonts w:ascii="Arial" w:cs="Arial" w:eastAsia="Arial" w:hAnsi="Arial"/>
          <w:sz w:val="20"/>
          <w:szCs w:val="20"/>
          <w:b w:val="1"/>
          <w:bCs w:val="1"/>
          <w:color w:val="auto"/>
        </w:rPr>
        <w:t xml:space="preserve">Position Title: Senior Vice President of Product Development, Visual Merchandising and Creative Effective Date: </w:t>
      </w:r>
      <w:r>
        <w:rPr>
          <w:rFonts w:ascii="Arial" w:cs="Arial" w:eastAsia="Arial" w:hAnsi="Arial"/>
          <w:sz w:val="20"/>
          <w:szCs w:val="20"/>
          <w:color w:val="auto"/>
        </w:rPr>
        <w:t>February 3, 2020</w:t>
      </w:r>
    </w:p>
    <w:p>
      <w:pPr>
        <w:spacing w:after="0" w:line="2" w:lineRule="exact"/>
        <w:rPr>
          <w:sz w:val="20"/>
          <w:szCs w:val="20"/>
          <w:color w:val="auto"/>
        </w:rPr>
      </w:pPr>
    </w:p>
    <w:p>
      <w:pPr>
        <w:ind w:right="700"/>
        <w:spacing w:after="0" w:line="230" w:lineRule="auto"/>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Your annual base salary will be $300,000 annual, which is paid bi-weekly and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deductions for taxes and other withholdings that are required by law. Your salary will be reviewed for merit consideration in April of 2020.</w:t>
      </w:r>
    </w:p>
    <w:p>
      <w:pPr>
        <w:spacing w:after="0" w:line="149" w:lineRule="exact"/>
        <w:rPr>
          <w:sz w:val="20"/>
          <w:szCs w:val="20"/>
          <w:color w:val="auto"/>
        </w:rPr>
      </w:pPr>
    </w:p>
    <w:p>
      <w:pPr>
        <w:jc w:val="both"/>
        <w:ind w:right="60"/>
        <w:spacing w:after="0" w:line="230" w:lineRule="auto"/>
        <w:rPr>
          <w:sz w:val="20"/>
          <w:szCs w:val="20"/>
          <w:color w:val="auto"/>
        </w:rPr>
      </w:pPr>
      <w:r>
        <w:rPr>
          <w:rFonts w:ascii="Arial" w:cs="Arial" w:eastAsia="Arial" w:hAnsi="Arial"/>
          <w:sz w:val="20"/>
          <w:szCs w:val="20"/>
          <w:b w:val="1"/>
          <w:bCs w:val="1"/>
          <w:color w:val="auto"/>
        </w:rPr>
        <w:t xml:space="preserve">Bonus: </w:t>
      </w:r>
      <w:r>
        <w:rPr>
          <w:rFonts w:ascii="Arial" w:cs="Arial" w:eastAsia="Arial" w:hAnsi="Arial"/>
          <w:sz w:val="20"/>
          <w:szCs w:val="20"/>
          <w:color w:val="auto"/>
        </w:rPr>
        <w:t>For Fiscal 2020, your bonus target is 50% of your base salary wages earned. You will be eligible for payout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spring of 2021 and is contingent upon the Company meeting certain financial thresholds that are established annually.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I look to your continued contributions at Duluth Trading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Steve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2172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Steve Schlecht, CEO</w:t>
      </w:r>
    </w:p>
    <w:p>
      <w:pPr>
        <w:spacing w:after="0"/>
        <w:rPr>
          <w:sz w:val="20"/>
          <w:szCs w:val="20"/>
          <w:color w:val="auto"/>
        </w:rPr>
      </w:pPr>
      <w:r>
        <w:rPr>
          <w:rFonts w:ascii="Arial" w:cs="Arial" w:eastAsia="Arial" w:hAnsi="Arial"/>
          <w:sz w:val="20"/>
          <w:szCs w:val="20"/>
          <w:color w:val="auto"/>
        </w:rPr>
        <w:t>Duluth Trading Company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gridSpan w:val="2"/>
          </w:tcPr>
          <w:p>
            <w:pPr>
              <w:spacing w:after="0"/>
              <w:rPr>
                <w:sz w:val="20"/>
                <w:szCs w:val="20"/>
                <w:color w:val="auto"/>
              </w:rPr>
            </w:pPr>
            <w:r>
              <w:rPr>
                <w:rFonts w:ascii="Arial" w:cs="Arial" w:eastAsia="Arial" w:hAnsi="Arial"/>
                <w:sz w:val="20"/>
                <w:szCs w:val="20"/>
                <w:color w:val="auto"/>
              </w:rPr>
              <w:t>ACCEPTED:</w:t>
            </w:r>
          </w:p>
        </w:tc>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Ricker Schlecht</w:t>
            </w:r>
          </w:p>
        </w:tc>
        <w:tc>
          <w:tcPr>
            <w:tcW w:w="600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1/24/2020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0" w:type="dxa"/>
            <w:vAlign w:val="bottom"/>
            <w:tcBorders>
              <w:bottom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620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44"/>
        </w:trPr>
        <w:tc>
          <w:tcPr>
            <w:tcW w:w="3000" w:type="dxa"/>
            <w:vAlign w:val="bottom"/>
            <w:gridSpan w:val="2"/>
          </w:tcPr>
          <w:p>
            <w:pPr>
              <w:spacing w:after="0"/>
              <w:rPr>
                <w:sz w:val="20"/>
                <w:szCs w:val="20"/>
                <w:color w:val="auto"/>
              </w:rPr>
            </w:pPr>
            <w:r>
              <w:rPr>
                <w:rFonts w:ascii="Arial" w:cs="Arial" w:eastAsia="Arial" w:hAnsi="Arial"/>
                <w:sz w:val="20"/>
                <w:szCs w:val="20"/>
                <w:color w:val="auto"/>
              </w:rPr>
              <w:t>Ricker Schlecht</w:t>
            </w:r>
          </w:p>
        </w:tc>
        <w:tc>
          <w:tcPr>
            <w:tcW w:w="6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0" w:type="dxa"/>
            <w:vAlign w:val="bottom"/>
          </w:tcPr>
          <w:p>
            <w:pPr>
              <w:jc w:val="right"/>
              <w:ind w:right="429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EEEEE"/>
            </w:tcBorders>
          </w:tcPr>
          <w:p>
            <w:pPr>
              <w:spacing w:after="0" w:line="20" w:lineRule="exact"/>
              <w:rPr>
                <w:sz w:val="1"/>
                <w:szCs w:val="1"/>
                <w:color w:val="auto"/>
              </w:rPr>
            </w:pPr>
          </w:p>
        </w:tc>
        <w:tc>
          <w:tcPr>
            <w:tcW w:w="2800" w:type="dxa"/>
            <w:vAlign w:val="bottom"/>
            <w:tcBorders>
              <w:bottom w:val="single" w:sz="8" w:color="EEEEEE"/>
            </w:tcBorders>
          </w:tcPr>
          <w:p>
            <w:pPr>
              <w:spacing w:after="0" w:line="20" w:lineRule="exact"/>
              <w:rPr>
                <w:sz w:val="1"/>
                <w:szCs w:val="1"/>
                <w:color w:val="auto"/>
              </w:rPr>
            </w:pPr>
          </w:p>
        </w:tc>
        <w:tc>
          <w:tcPr>
            <w:tcW w:w="60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-37465</wp:posOffset>
            </wp:positionV>
            <wp:extent cx="3365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429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0"/>
          </w:cols>
          <w:pgMar w:left="1360" w:top="378" w:right="1339" w:bottom="1440" w:gutter="0" w:footer="0" w:header="0"/>
        </w:sectPr>
      </w:pPr>
    </w:p>
    <w:bookmarkStart w:id="90" w:name="page91"/>
    <w:bookmarkEnd w:id="90"/>
    <w:p>
      <w:pPr>
        <w:ind w:left="18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right="239"/>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(Nos. 333-230064, 333-225364, 333-223217, 333-209540, 333-208185, and 333-216128) on Form S-8 of our reports dated March 25, 2022, with respect to the consolidated financial statements and financial statement schedule II of Duluth Holdings Inc. and the effectiveness of internal control over financial reporting.</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KPMG LLP</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Milwaukee, WI</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344805</wp:posOffset>
            </wp:positionV>
            <wp:extent cx="552894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1" w:name="page92"/>
    <w:bookmarkEnd w:id="91"/>
    <w:p>
      <w:pPr>
        <w:ind w:left="18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86" w:lineRule="exact"/>
        <w:rPr>
          <w:sz w:val="20"/>
          <w:szCs w:val="20"/>
          <w:color w:val="auto"/>
        </w:rPr>
      </w:pPr>
    </w:p>
    <w:p>
      <w:pPr>
        <w:jc w:val="both"/>
        <w:ind w:left="180" w:right="199"/>
        <w:spacing w:after="0" w:line="216" w:lineRule="auto"/>
        <w:rPr>
          <w:sz w:val="20"/>
          <w:szCs w:val="20"/>
          <w:color w:val="auto"/>
        </w:rPr>
      </w:pPr>
      <w:r>
        <w:rPr>
          <w:rFonts w:ascii="Arial" w:cs="Arial" w:eastAsia="Arial" w:hAnsi="Arial"/>
          <w:sz w:val="18"/>
          <w:szCs w:val="18"/>
          <w:color w:val="auto"/>
        </w:rPr>
        <w:t>We have issued our report dated March 26, 2021 with respect to the consolidated financial statements included in the Annual Report of Duluth Holdings Inc. on Form 10-K for the year ended January 30, 2022. We consent to the incorporation by reference of said report in the Registration Statements of Duluth Holdings Inc. on Form S-8 (File No. 333-230064, File No. 333-225364, File No. 333-223217, File No. 333-209540, File No. 333-208185, and File No. 333-216128).</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Chicago, Illinois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344805</wp:posOffset>
            </wp:positionV>
            <wp:extent cx="552894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2" w:name="page93"/>
    <w:bookmarkEnd w:id="92"/>
    <w:p>
      <w:pPr>
        <w:ind w:left="7700"/>
        <w:spacing w:after="0"/>
        <w:rPr>
          <w:sz w:val="20"/>
          <w:szCs w:val="20"/>
          <w:color w:val="auto"/>
        </w:rPr>
      </w:pPr>
      <w:r>
        <w:rPr>
          <w:rFonts w:ascii="Arial" w:cs="Arial" w:eastAsia="Arial" w:hAnsi="Arial"/>
          <w:sz w:val="19"/>
          <w:szCs w:val="19"/>
          <w:b w:val="1"/>
          <w:bCs w:val="1"/>
          <w:color w:val="auto"/>
        </w:rPr>
        <w:t>Exhibit 24.1</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POWER OF ATTORNEY FOR ANNUAL REPORT ON FORM 10-K</w:t>
      </w:r>
    </w:p>
    <w:p>
      <w:pPr>
        <w:spacing w:after="0" w:line="200" w:lineRule="exact"/>
        <w:rPr>
          <w:sz w:val="20"/>
          <w:szCs w:val="20"/>
          <w:color w:val="auto"/>
        </w:rPr>
      </w:pPr>
    </w:p>
    <w:p>
      <w:pPr>
        <w:spacing w:after="0" w:line="201" w:lineRule="exact"/>
        <w:rPr>
          <w:sz w:val="20"/>
          <w:szCs w:val="20"/>
          <w:color w:val="auto"/>
        </w:rPr>
      </w:pPr>
    </w:p>
    <w:p>
      <w:pPr>
        <w:ind w:left="180" w:right="219" w:firstLine="648"/>
        <w:spacing w:after="0" w:line="219" w:lineRule="auto"/>
        <w:rPr>
          <w:sz w:val="20"/>
          <w:szCs w:val="20"/>
          <w:color w:val="auto"/>
        </w:rPr>
      </w:pPr>
      <w:r>
        <w:rPr>
          <w:rFonts w:ascii="Arial" w:cs="Arial" w:eastAsia="Arial" w:hAnsi="Arial"/>
          <w:sz w:val="21"/>
          <w:szCs w:val="21"/>
          <w:color w:val="auto"/>
        </w:rPr>
        <w:t>Each of the undersigned directors of Duluth Holdings Inc. (the “Corporation”) hereby designates and appoints Sam Sato and David Loretta,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January 30, 2022,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59" w:lineRule="exact"/>
        <w:rPr>
          <w:sz w:val="20"/>
          <w:szCs w:val="20"/>
          <w:color w:val="auto"/>
        </w:rPr>
      </w:pPr>
    </w:p>
    <w:p>
      <w:pPr>
        <w:ind w:left="180" w:right="339" w:firstLine="648"/>
        <w:spacing w:after="0" w:line="298" w:lineRule="auto"/>
        <w:rPr>
          <w:sz w:val="20"/>
          <w:szCs w:val="20"/>
          <w:color w:val="auto"/>
        </w:rPr>
      </w:pPr>
      <w:r>
        <w:rPr>
          <w:rFonts w:ascii="Arial" w:cs="Arial" w:eastAsia="Arial" w:hAnsi="Arial"/>
          <w:sz w:val="19"/>
          <w:szCs w:val="19"/>
          <w:color w:val="auto"/>
        </w:rPr>
        <w:t>IN WITNESS WHEREOF, the undersigned have each executed this Power of Attorney for Annual Report on Form 10-K, on one or more counterparts, as of the 18th day of March, 2022.</w:t>
      </w:r>
    </w:p>
    <w:p>
      <w:pPr>
        <w:spacing w:after="0" w:line="200" w:lineRule="exact"/>
        <w:rPr>
          <w:sz w:val="20"/>
          <w:szCs w:val="20"/>
          <w:color w:val="auto"/>
        </w:rPr>
      </w:pPr>
    </w:p>
    <w:p>
      <w:pPr>
        <w:spacing w:after="0" w:line="31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440" w:type="dxa"/>
            <w:vAlign w:val="bottom"/>
            <w:gridSpan w:val="5"/>
          </w:tcPr>
          <w:p>
            <w:pPr>
              <w:spacing w:after="0"/>
              <w:rPr>
                <w:sz w:val="20"/>
                <w:szCs w:val="20"/>
                <w:color w:val="auto"/>
              </w:rPr>
            </w:pPr>
            <w:r>
              <w:rPr>
                <w:rFonts w:ascii="Arial" w:cs="Arial" w:eastAsia="Arial" w:hAnsi="Arial"/>
                <w:sz w:val="20"/>
                <w:szCs w:val="20"/>
                <w:i w:val="1"/>
                <w:iCs w:val="1"/>
                <w:color w:val="auto"/>
              </w:rPr>
              <w:t>/s/ Francesca M. Edwardson</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gridSpan w:val="5"/>
          </w:tcPr>
          <w:p>
            <w:pPr>
              <w:spacing w:after="0"/>
              <w:rPr>
                <w:sz w:val="20"/>
                <w:szCs w:val="20"/>
                <w:color w:val="auto"/>
              </w:rPr>
            </w:pPr>
            <w:r>
              <w:rPr>
                <w:rFonts w:ascii="Arial" w:cs="Arial" w:eastAsia="Arial" w:hAnsi="Arial"/>
                <w:sz w:val="20"/>
                <w:szCs w:val="20"/>
                <w:i w:val="1"/>
                <w:iCs w:val="1"/>
                <w:color w:val="auto"/>
              </w:rPr>
              <w:t>/s/ Brett L. Paschke</w:t>
            </w:r>
          </w:p>
        </w:tc>
      </w:tr>
      <w:tr>
        <w:trPr>
          <w:trHeight w:val="20"/>
        </w:trPr>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62"/>
        </w:trPr>
        <w:tc>
          <w:tcPr>
            <w:tcW w:w="2280" w:type="dxa"/>
            <w:vAlign w:val="bottom"/>
            <w:gridSpan w:val="4"/>
          </w:tcPr>
          <w:p>
            <w:pPr>
              <w:spacing w:after="0"/>
              <w:rPr>
                <w:sz w:val="20"/>
                <w:szCs w:val="20"/>
                <w:color w:val="auto"/>
              </w:rPr>
            </w:pPr>
            <w:r>
              <w:rPr>
                <w:rFonts w:ascii="Arial" w:cs="Arial" w:eastAsia="Arial" w:hAnsi="Arial"/>
                <w:sz w:val="20"/>
                <w:szCs w:val="20"/>
                <w:color w:val="auto"/>
                <w:w w:val="99"/>
              </w:rPr>
              <w:t>Francesca M. Edwardson</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80" w:type="dxa"/>
            <w:vAlign w:val="bottom"/>
            <w:gridSpan w:val="6"/>
          </w:tcPr>
          <w:p>
            <w:pPr>
              <w:ind w:left="80"/>
              <w:spacing w:after="0"/>
              <w:rPr>
                <w:sz w:val="20"/>
                <w:szCs w:val="20"/>
                <w:color w:val="auto"/>
              </w:rPr>
            </w:pPr>
            <w:r>
              <w:rPr>
                <w:rFonts w:ascii="Arial" w:cs="Arial" w:eastAsia="Arial" w:hAnsi="Arial"/>
                <w:sz w:val="20"/>
                <w:szCs w:val="20"/>
                <w:color w:val="auto"/>
              </w:rPr>
              <w:t>Brett L. Paschke</w:t>
            </w:r>
          </w:p>
        </w:tc>
      </w:tr>
      <w:tr>
        <w:trPr>
          <w:trHeight w:val="657"/>
        </w:trPr>
        <w:tc>
          <w:tcPr>
            <w:tcW w:w="3440" w:type="dxa"/>
            <w:vAlign w:val="bottom"/>
            <w:gridSpan w:val="5"/>
          </w:tcPr>
          <w:p>
            <w:pPr>
              <w:spacing w:after="0"/>
              <w:rPr>
                <w:sz w:val="20"/>
                <w:szCs w:val="20"/>
                <w:color w:val="auto"/>
              </w:rPr>
            </w:pPr>
            <w:r>
              <w:rPr>
                <w:rFonts w:ascii="Arial" w:cs="Arial" w:eastAsia="Arial" w:hAnsi="Arial"/>
                <w:sz w:val="20"/>
                <w:szCs w:val="20"/>
                <w:i w:val="1"/>
                <w:iCs w:val="1"/>
                <w:color w:val="auto"/>
              </w:rPr>
              <w:t>/s/ David C. Finch</w:t>
            </w:r>
          </w:p>
        </w:tc>
        <w:tc>
          <w:tcPr>
            <w:tcW w:w="1200" w:type="dxa"/>
            <w:vAlign w:val="bottom"/>
          </w:tcPr>
          <w:p>
            <w:pPr>
              <w:spacing w:after="0"/>
              <w:rPr>
                <w:sz w:val="24"/>
                <w:szCs w:val="24"/>
                <w:color w:val="auto"/>
              </w:rPr>
            </w:pPr>
          </w:p>
        </w:tc>
        <w:tc>
          <w:tcPr>
            <w:tcW w:w="4040" w:type="dxa"/>
            <w:vAlign w:val="bottom"/>
            <w:gridSpan w:val="8"/>
          </w:tcPr>
          <w:p>
            <w:pPr>
              <w:ind w:left="20"/>
              <w:spacing w:after="0"/>
              <w:rPr>
                <w:sz w:val="20"/>
                <w:szCs w:val="20"/>
                <w:color w:val="auto"/>
              </w:rPr>
            </w:pPr>
            <w:r>
              <w:rPr>
                <w:rFonts w:ascii="Arial" w:cs="Arial" w:eastAsia="Arial" w:hAnsi="Arial"/>
                <w:sz w:val="20"/>
                <w:szCs w:val="20"/>
                <w:i w:val="1"/>
                <w:iCs w:val="1"/>
                <w:color w:val="auto"/>
              </w:rPr>
              <w:t>/s/ Samuel M. Sato</w:t>
            </w:r>
          </w:p>
        </w:tc>
      </w:tr>
      <w:tr>
        <w:trPr>
          <w:trHeight w:val="362"/>
        </w:trPr>
        <w:tc>
          <w:tcPr>
            <w:tcW w:w="14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David C. Finch</w:t>
            </w:r>
          </w:p>
        </w:tc>
        <w:tc>
          <w:tcPr>
            <w:tcW w:w="1980" w:type="dxa"/>
            <w:vAlign w:val="bottom"/>
            <w:gridSpan w:val="4"/>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top w:val="single" w:sz="8" w:color="auto"/>
            </w:tcBorders>
            <w:gridSpan w:val="3"/>
          </w:tcPr>
          <w:p>
            <w:pPr>
              <w:ind w:left="20"/>
              <w:spacing w:after="0"/>
              <w:rPr>
                <w:sz w:val="20"/>
                <w:szCs w:val="20"/>
                <w:color w:val="auto"/>
              </w:rPr>
            </w:pPr>
            <w:r>
              <w:rPr>
                <w:rFonts w:ascii="Arial" w:cs="Arial" w:eastAsia="Arial" w:hAnsi="Arial"/>
                <w:sz w:val="20"/>
                <w:szCs w:val="20"/>
                <w:color w:val="auto"/>
              </w:rPr>
              <w:t>Samuel M. Sato</w:t>
            </w:r>
          </w:p>
        </w:tc>
        <w:tc>
          <w:tcPr>
            <w:tcW w:w="2540" w:type="dxa"/>
            <w:vAlign w:val="bottom"/>
            <w:gridSpan w:val="4"/>
          </w:tcPr>
          <w:p>
            <w:pPr>
              <w:spacing w:after="0"/>
              <w:rPr>
                <w:sz w:val="24"/>
                <w:szCs w:val="24"/>
                <w:color w:val="auto"/>
              </w:rPr>
            </w:pPr>
          </w:p>
        </w:tc>
      </w:tr>
      <w:tr>
        <w:trPr>
          <w:trHeight w:val="658"/>
        </w:trPr>
        <w:tc>
          <w:tcPr>
            <w:tcW w:w="1820" w:type="dxa"/>
            <w:vAlign w:val="bottom"/>
            <w:gridSpan w:val="3"/>
          </w:tcPr>
          <w:p>
            <w:pPr>
              <w:spacing w:after="0"/>
              <w:rPr>
                <w:sz w:val="20"/>
                <w:szCs w:val="20"/>
                <w:color w:val="auto"/>
              </w:rPr>
            </w:pPr>
            <w:r>
              <w:rPr>
                <w:rFonts w:ascii="Arial" w:cs="Arial" w:eastAsia="Arial" w:hAnsi="Arial"/>
                <w:sz w:val="20"/>
                <w:szCs w:val="20"/>
                <w:i w:val="1"/>
                <w:iCs w:val="1"/>
                <w:color w:val="auto"/>
                <w:w w:val="91"/>
              </w:rPr>
              <w:t>/s/ Thomas G. Folliard</w:t>
            </w:r>
          </w:p>
        </w:tc>
        <w:tc>
          <w:tcPr>
            <w:tcW w:w="162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7"/>
          </w:tcPr>
          <w:p>
            <w:pPr>
              <w:ind w:left="40"/>
              <w:spacing w:after="0"/>
              <w:rPr>
                <w:sz w:val="20"/>
                <w:szCs w:val="20"/>
                <w:color w:val="auto"/>
              </w:rPr>
            </w:pPr>
            <w:r>
              <w:rPr>
                <w:rFonts w:ascii="Arial" w:cs="Arial" w:eastAsia="Arial" w:hAnsi="Arial"/>
                <w:sz w:val="20"/>
                <w:szCs w:val="20"/>
                <w:i w:val="1"/>
                <w:iCs w:val="1"/>
                <w:color w:val="auto"/>
              </w:rPr>
              <w:t>/s/ Stephen L. Schlecht</w:t>
            </w:r>
          </w:p>
        </w:tc>
      </w:tr>
      <w:tr>
        <w:trPr>
          <w:trHeight w:val="362"/>
        </w:trPr>
        <w:tc>
          <w:tcPr>
            <w:tcW w:w="182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Thomas G. Folliard</w:t>
            </w:r>
          </w:p>
        </w:tc>
        <w:tc>
          <w:tcPr>
            <w:tcW w:w="162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top w:val="single" w:sz="8" w:color="auto"/>
            </w:tcBorders>
            <w:gridSpan w:val="5"/>
          </w:tcPr>
          <w:p>
            <w:pPr>
              <w:ind w:left="40"/>
              <w:spacing w:after="0"/>
              <w:rPr>
                <w:sz w:val="20"/>
                <w:szCs w:val="20"/>
                <w:color w:val="auto"/>
              </w:rPr>
            </w:pPr>
            <w:r>
              <w:rPr>
                <w:rFonts w:ascii="Arial" w:cs="Arial" w:eastAsia="Arial" w:hAnsi="Arial"/>
                <w:sz w:val="20"/>
                <w:szCs w:val="20"/>
                <w:color w:val="auto"/>
                <w:w w:val="97"/>
              </w:rPr>
              <w:t>Stephen L. Schlecht</w:t>
            </w:r>
          </w:p>
        </w:tc>
        <w:tc>
          <w:tcPr>
            <w:tcW w:w="2180" w:type="dxa"/>
            <w:vAlign w:val="bottom"/>
          </w:tcPr>
          <w:p>
            <w:pPr>
              <w:spacing w:after="0"/>
              <w:rPr>
                <w:sz w:val="24"/>
                <w:szCs w:val="24"/>
                <w:color w:val="auto"/>
              </w:rPr>
            </w:pPr>
          </w:p>
        </w:tc>
      </w:tr>
      <w:tr>
        <w:trPr>
          <w:trHeight w:val="658"/>
        </w:trPr>
        <w:tc>
          <w:tcPr>
            <w:tcW w:w="1580" w:type="dxa"/>
            <w:vAlign w:val="bottom"/>
            <w:gridSpan w:val="2"/>
          </w:tcPr>
          <w:p>
            <w:pPr>
              <w:spacing w:after="0"/>
              <w:rPr>
                <w:sz w:val="20"/>
                <w:szCs w:val="20"/>
                <w:color w:val="auto"/>
              </w:rPr>
            </w:pPr>
            <w:r>
              <w:rPr>
                <w:rFonts w:ascii="Arial" w:cs="Arial" w:eastAsia="Arial" w:hAnsi="Arial"/>
                <w:sz w:val="20"/>
                <w:szCs w:val="20"/>
                <w:i w:val="1"/>
                <w:iCs w:val="1"/>
                <w:color w:val="auto"/>
                <w:w w:val="92"/>
              </w:rPr>
              <w:t>/s/ Brenda I. Morris</w:t>
            </w:r>
          </w:p>
        </w:tc>
        <w:tc>
          <w:tcPr>
            <w:tcW w:w="186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4040" w:type="dxa"/>
            <w:vAlign w:val="bottom"/>
            <w:gridSpan w:val="8"/>
          </w:tcPr>
          <w:p>
            <w:pPr>
              <w:spacing w:after="0"/>
              <w:rPr>
                <w:sz w:val="20"/>
                <w:szCs w:val="20"/>
                <w:color w:val="auto"/>
              </w:rPr>
            </w:pPr>
            <w:r>
              <w:rPr>
                <w:rFonts w:ascii="Arial" w:cs="Arial" w:eastAsia="Arial" w:hAnsi="Arial"/>
                <w:sz w:val="20"/>
                <w:szCs w:val="20"/>
                <w:i w:val="1"/>
                <w:iCs w:val="1"/>
                <w:color w:val="auto"/>
              </w:rPr>
              <w:t>/s/ Scott K. Williams</w:t>
            </w:r>
          </w:p>
        </w:tc>
      </w:tr>
      <w:tr>
        <w:trPr>
          <w:trHeight w:val="20"/>
        </w:trPr>
        <w:tc>
          <w:tcPr>
            <w:tcW w:w="1580" w:type="dxa"/>
            <w:vAlign w:val="bottom"/>
            <w:gridSpan w:val="2"/>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gridSpan w:val="5"/>
            <w:shd w:val="clear" w:color="auto" w:fill="000000"/>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362"/>
        </w:trPr>
        <w:tc>
          <w:tcPr>
            <w:tcW w:w="1580" w:type="dxa"/>
            <w:vAlign w:val="bottom"/>
            <w:gridSpan w:val="2"/>
          </w:tcPr>
          <w:p>
            <w:pPr>
              <w:spacing w:after="0"/>
              <w:rPr>
                <w:sz w:val="20"/>
                <w:szCs w:val="20"/>
                <w:color w:val="auto"/>
              </w:rPr>
            </w:pPr>
            <w:r>
              <w:rPr>
                <w:rFonts w:ascii="Arial" w:cs="Arial" w:eastAsia="Arial" w:hAnsi="Arial"/>
                <w:sz w:val="20"/>
                <w:szCs w:val="20"/>
                <w:color w:val="auto"/>
              </w:rPr>
              <w:t>Brenda I. Morris</w:t>
            </w:r>
          </w:p>
        </w:tc>
        <w:tc>
          <w:tcPr>
            <w:tcW w:w="1860" w:type="dxa"/>
            <w:vAlign w:val="bottom"/>
            <w:gridSpan w:val="3"/>
          </w:tcPr>
          <w:p>
            <w:pPr>
              <w:spacing w:after="0"/>
              <w:rPr>
                <w:sz w:val="24"/>
                <w:szCs w:val="24"/>
                <w:color w:val="auto"/>
              </w:rPr>
            </w:pPr>
          </w:p>
        </w:tc>
        <w:tc>
          <w:tcPr>
            <w:tcW w:w="5240" w:type="dxa"/>
            <w:vAlign w:val="bottom"/>
            <w:gridSpan w:val="9"/>
          </w:tcPr>
          <w:p>
            <w:pPr>
              <w:ind w:left="1160"/>
              <w:spacing w:after="0"/>
              <w:rPr>
                <w:sz w:val="20"/>
                <w:szCs w:val="20"/>
                <w:color w:val="auto"/>
              </w:rPr>
            </w:pPr>
            <w:r>
              <w:rPr>
                <w:rFonts w:ascii="Arial" w:cs="Arial" w:eastAsia="Arial" w:hAnsi="Arial"/>
                <w:sz w:val="20"/>
                <w:szCs w:val="20"/>
                <w:color w:val="auto"/>
              </w:rPr>
              <w:t>Scott K. Williams</w:t>
            </w:r>
          </w:p>
        </w:tc>
      </w:tr>
      <w:tr>
        <w:trPr>
          <w:trHeight w:val="199"/>
        </w:trPr>
        <w:tc>
          <w:tcPr>
            <w:tcW w:w="14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180" w:type="dxa"/>
            <w:vAlign w:val="bottom"/>
            <w:tcBorders>
              <w:bottom w:val="single" w:sz="8" w:color="9A9A9A"/>
            </w:tcBorders>
          </w:tcPr>
          <w:p>
            <w:pPr>
              <w:spacing w:after="0"/>
              <w:rPr>
                <w:sz w:val="17"/>
                <w:szCs w:val="17"/>
                <w:color w:val="auto"/>
              </w:rPr>
            </w:pPr>
          </w:p>
        </w:tc>
      </w:tr>
      <w:tr>
        <w:trPr>
          <w:trHeight w:val="20"/>
        </w:trPr>
        <w:tc>
          <w:tcPr>
            <w:tcW w:w="1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Sam Sato, Chief Executive Officer, certify that:</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Duluth Holdings Inc. (the “registrant”);</w:t>
      </w:r>
    </w:p>
    <w:p>
      <w:pPr>
        <w:spacing w:after="0" w:line="171" w:lineRule="exact"/>
        <w:rPr>
          <w:rFonts w:ascii="Arial" w:cs="Arial" w:eastAsia="Arial" w:hAnsi="Arial"/>
          <w:sz w:val="18"/>
          <w:szCs w:val="18"/>
          <w:color w:val="auto"/>
        </w:rPr>
      </w:pPr>
    </w:p>
    <w:p>
      <w:pPr>
        <w:jc w:val="both"/>
        <w:ind w:left="660" w:right="2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980" w:right="80" w:hanging="324"/>
        <w:spacing w:after="0" w:line="259"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660" w:right="160" w:hanging="319"/>
        <w:spacing w:after="0" w:line="263" w:lineRule="auto"/>
        <w:tabs>
          <w:tab w:leader="none" w:pos="640" w:val="left"/>
        </w:tabs>
        <w:rPr>
          <w:sz w:val="20"/>
          <w:szCs w:val="20"/>
          <w:color w:val="auto"/>
        </w:rPr>
      </w:pPr>
      <w:r>
        <w:rPr>
          <w:rFonts w:ascii="Arial" w:cs="Arial" w:eastAsia="Arial" w:hAnsi="Arial"/>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980" w:right="280" w:hanging="324"/>
        <w:spacing w:after="0" w:line="26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i w:val="1"/>
          <w:iCs w:val="1"/>
          <w:color w:val="auto"/>
        </w:rPr>
        <w:t>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602615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Duluth Holdings Inc. (the “registrant”);</w:t>
      </w:r>
    </w:p>
    <w:p>
      <w:pPr>
        <w:spacing w:after="0" w:line="171" w:lineRule="exact"/>
        <w:rPr>
          <w:rFonts w:ascii="Arial" w:cs="Arial" w:eastAsia="Arial" w:hAnsi="Arial"/>
          <w:sz w:val="18"/>
          <w:szCs w:val="18"/>
          <w:color w:val="auto"/>
        </w:rPr>
      </w:pPr>
    </w:p>
    <w:p>
      <w:pPr>
        <w:jc w:val="both"/>
        <w:ind w:left="660" w:right="2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980" w:right="80" w:hanging="324"/>
        <w:spacing w:after="0" w:line="25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660" w:right="160" w:hanging="319"/>
        <w:spacing w:after="0" w:line="263" w:lineRule="auto"/>
        <w:tabs>
          <w:tab w:leader="none" w:pos="640" w:val="left"/>
        </w:tabs>
        <w:rPr>
          <w:sz w:val="20"/>
          <w:szCs w:val="20"/>
          <w:color w:val="auto"/>
        </w:rPr>
      </w:pPr>
      <w:r>
        <w:rPr>
          <w:rFonts w:ascii="Arial" w:cs="Arial" w:eastAsia="Arial" w:hAnsi="Arial"/>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980" w:right="280" w:hanging="324"/>
        <w:spacing w:after="0" w:line="263"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i w:val="1"/>
          <w:i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602615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January 30, 2022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660" w:right="3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i w:val="1"/>
          <w:iCs w:val="1"/>
          <w:color w:val="auto"/>
        </w:rPr>
        <w:t>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March 25, 2022</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02615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January 30, 2022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20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i w:val="1"/>
          <w:i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March 25, 2022</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02615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5"/>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5"/>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4"/>
    </w:lvl>
  </w:abstractNum>
  <w:abstractNum w:abstractNumId="22">
    <w:nsid w:val="6CEAF087"/>
    <w:multiLevelType w:val="hybridMultilevel"/>
    <w:lvl w:ilvl="0">
      <w:lvlJc w:val="left"/>
      <w:lvlText w:val="."/>
      <w:numFmt w:val="bullet"/>
      <w:start w:val="1"/>
    </w:lvl>
    <w:lvl w:ilvl="1">
      <w:lvlJc w:val="left"/>
      <w:lvlText w:val="(%2)"/>
      <w:numFmt w:val="lowerLetter"/>
      <w:start w:val="1"/>
    </w:lvl>
  </w:abstractNum>
  <w:abstractNum w:abstractNumId="23">
    <w:nsid w:val="22221A70"/>
    <w:multiLevelType w:val="hybridMultilevel"/>
    <w:lvl w:ilvl="0">
      <w:lvlJc w:val="left"/>
      <w:lvlText w:val="(%1)"/>
      <w:numFmt w:val="lowerLetter"/>
      <w:start w:val="5"/>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lowerLetter"/>
      <w:start w:val="2"/>
    </w:lvl>
    <w:lvl w:ilvl="1">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jpe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jpe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jpe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37" Type="http://schemas.openxmlformats.org/officeDocument/2006/relationships/hyperlink" Target="https://www.sec.gov/Archives/edgar/data/1649744/000164974420000008/dlth-20200202x10k.htm" TargetMode="External"/><Relationship Id="rId88" Type="http://schemas.openxmlformats.org/officeDocument/2006/relationships/hyperlink" Target="http://www.sec.gov/Archives/edgar/data/1649744/000119312515371181/d70652dex31.htm" TargetMode="External"/><Relationship Id="rId89" Type="http://schemas.openxmlformats.org/officeDocument/2006/relationships/hyperlink" Target="http://www.sec.gov/Archives/edgar/data/1649744/000119312515371181/d70652dex32.htm" TargetMode="External"/><Relationship Id="rId90" Type="http://schemas.openxmlformats.org/officeDocument/2006/relationships/hyperlink" Target="https://www.sec.gov/Archives/edgar/data/1649744/000164974420000008/dlth-20200202xex4_1.htm" TargetMode="External"/><Relationship Id="rId91" Type="http://schemas.openxmlformats.org/officeDocument/2006/relationships/hyperlink" Target="http://www.sec.gov/Archives/edgar/data/1649744/000164974419000010/dlth-20190203xex10_10.htm" TargetMode="External"/><Relationship Id="rId92" Type="http://schemas.openxmlformats.org/officeDocument/2006/relationships/hyperlink" Target="http://www.sec.gov/Archives/edgar/data/1649744/000164974415000014/dlth-20151101ex107695db3.htm" TargetMode="External"/><Relationship Id="rId93" Type="http://schemas.openxmlformats.org/officeDocument/2006/relationships/hyperlink" Target="http://www.sec.gov/Archives/edgar/data/1649744/000119312515338287/d70652dex1017.htm" TargetMode="External"/><Relationship Id="rId94" Type="http://schemas.openxmlformats.org/officeDocument/2006/relationships/hyperlink" Target="http://www.sec.gov/Archives/edgar/data/1649744/000119312515338287/d70652dex1019.htm" TargetMode="External"/><Relationship Id="rId95" Type="http://schemas.openxmlformats.org/officeDocument/2006/relationships/hyperlink" Target="http://www.sec.gov/Archives/edgar/data/1649744/000119312515338287/d70652dex1020.htm" TargetMode="External"/><Relationship Id="rId96" Type="http://schemas.openxmlformats.org/officeDocument/2006/relationships/hyperlink" Target="http://www.sec.gov/Archives/edgar/data/1649744/000119312515338287/d70652dex1021.htm" TargetMode="External"/><Relationship Id="rId97" Type="http://schemas.openxmlformats.org/officeDocument/2006/relationships/hyperlink" Target="http://www.sec.gov/Archives/edgar/data/1649744/000119312515338287/d70652dex1022.htm" TargetMode="External"/><Relationship Id="rId98" Type="http://schemas.openxmlformats.org/officeDocument/2006/relationships/hyperlink" Target="http://www.sec.gov/Archives/edgar/data/1649744/000119312515342675/d70652dex1023.htm" TargetMode="External"/><Relationship Id="rId99" Type="http://schemas.openxmlformats.org/officeDocument/2006/relationships/hyperlink" Target="http://www.sec.gov/Archives/edgar/data/1649744/000164974419000010/dlth-20190203xex10_19.htm" TargetMode="External"/><Relationship Id="rId100" Type="http://schemas.openxmlformats.org/officeDocument/2006/relationships/hyperlink" Target="http://www.sec.gov/Archives/edgar/data/1649744/000164974416000030/dlth-20160501xex10_1.htm" TargetMode="External"/><Relationship Id="rId103" Type="http://schemas.openxmlformats.org/officeDocument/2006/relationships/hyperlink" Target="http://www.sec.gov/Archives/edgar/data/1649744/000089271217000564/exhibit101.htm" TargetMode="External"/><Relationship Id="rId106" Type="http://schemas.openxmlformats.org/officeDocument/2006/relationships/hyperlink" Target="http://www.sec.gov/Archives/edgar/data/1649744/000089271217000564/exhibit102.htm" TargetMode="External"/><Relationship Id="rId107" Type="http://schemas.openxmlformats.org/officeDocument/2006/relationships/hyperlink" Target="http://www.sec.gov/Archives/edgar/data/1649744/000089271218000244/exhibit101.htm" TargetMode="External"/><Relationship Id="rId108" Type="http://schemas.openxmlformats.org/officeDocument/2006/relationships/hyperlink" Target="http://www.sec.gov/Archives/edgar/data/1649744/000089271218000244/exhibit102.htm" TargetMode="External"/><Relationship Id="rId109" Type="http://schemas.openxmlformats.org/officeDocument/2006/relationships/hyperlink" Target="https://www.sec.gov/Archives/edgar/data/0001649744/000164974420000015/dlth-20200503xex10_1.htm" TargetMode="External"/><Relationship Id="rId110" Type="http://schemas.openxmlformats.org/officeDocument/2006/relationships/hyperlink" Target="https://www.sec.gov/Archives/edgar/data/1649744/000164974421000028/dlth-20210801xex10_1.htm" TargetMode="External"/><Relationship Id="rId111" Type="http://schemas.openxmlformats.org/officeDocument/2006/relationships/hyperlink" Target="https://www.sec.gov/Archives/edgar/data/0001649744/000119312521166645/d1570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2022-03-25T10:10:06Z</dcterms:created>
  <dcterms:modified xsi:type="dcterms:W3CDTF">2022-03-25T10:10:06Z</dcterms:modified>
</cp:coreProperties>
</file>