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line="228" w:lineRule="auto"/>
        <w:rPr>
          <w:sz w:val="20"/>
          <w:szCs w:val="20"/>
          <w:color w:val="auto"/>
        </w:rPr>
      </w:pPr>
      <w:r>
        <w:rPr>
          <w:rFonts w:ascii="Arial" w:cs="Arial" w:eastAsia="Arial" w:hAnsi="Arial"/>
          <w:sz w:val="22"/>
          <w:szCs w:val="22"/>
          <w:b w:val="1"/>
          <w:bCs w:val="1"/>
          <w:color w:val="auto"/>
        </w:rPr>
        <w:t>Washington, D.C. 20549</w:t>
      </w:r>
    </w:p>
    <w:p>
      <w:pPr>
        <w:ind w:left="330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20"/>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560" w:right="680" w:hanging="435"/>
        <w:spacing w:after="0" w:line="25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May 5, 2019</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60" w:right="660" w:hanging="435"/>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2940"/>
        <w:spacing w:after="0"/>
        <w:tabs>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_________________________________________</w:t>
      </w:r>
    </w:p>
    <w:p>
      <w:pPr>
        <w:jc w:val="center"/>
        <w:ind w:right="20"/>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5180" w:type="dxa"/>
            <w:vAlign w:val="bottom"/>
          </w:tcPr>
          <w:p>
            <w:pPr>
              <w:jc w:val="center"/>
              <w:ind w:right="2702"/>
              <w:spacing w:after="0"/>
              <w:rPr>
                <w:sz w:val="20"/>
                <w:szCs w:val="20"/>
                <w:color w:val="auto"/>
              </w:rPr>
            </w:pPr>
            <w:r>
              <w:rPr>
                <w:rFonts w:ascii="Arial" w:cs="Arial" w:eastAsia="Arial" w:hAnsi="Arial"/>
                <w:sz w:val="18"/>
                <w:szCs w:val="18"/>
                <w:b w:val="1"/>
                <w:bCs w:val="1"/>
                <w:color w:val="auto"/>
                <w:w w:val="88"/>
              </w:rPr>
              <w:t>Wisconsin</w:t>
            </w:r>
          </w:p>
        </w:tc>
        <w:tc>
          <w:tcPr>
            <w:tcW w:w="150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5180" w:type="dxa"/>
            <w:vAlign w:val="bottom"/>
          </w:tcPr>
          <w:p>
            <w:pPr>
              <w:jc w:val="center"/>
              <w:ind w:right="27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180" w:type="dxa"/>
            <w:vAlign w:val="bottom"/>
          </w:tcPr>
          <w:p>
            <w:pPr>
              <w:jc w:val="center"/>
              <w:ind w:right="2702"/>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Identification Number)</w:t>
            </w:r>
          </w:p>
        </w:tc>
      </w:tr>
      <w:tr>
        <w:trPr>
          <w:trHeight w:val="331"/>
        </w:trPr>
        <w:tc>
          <w:tcPr>
            <w:tcW w:w="5180" w:type="dxa"/>
            <w:vAlign w:val="bottom"/>
          </w:tcPr>
          <w:p>
            <w:pPr>
              <w:jc w:val="center"/>
              <w:ind w:right="2702"/>
              <w:spacing w:after="0"/>
              <w:rPr>
                <w:sz w:val="20"/>
                <w:szCs w:val="20"/>
                <w:color w:val="auto"/>
              </w:rPr>
            </w:pPr>
            <w:r>
              <w:rPr>
                <w:rFonts w:ascii="Arial" w:cs="Arial" w:eastAsia="Arial" w:hAnsi="Arial"/>
                <w:sz w:val="18"/>
                <w:szCs w:val="18"/>
                <w:b w:val="1"/>
                <w:bCs w:val="1"/>
                <w:color w:val="auto"/>
                <w:w w:val="91"/>
              </w:rPr>
              <w:t>201 East Front Street</w:t>
            </w:r>
          </w:p>
        </w:tc>
        <w:tc>
          <w:tcPr>
            <w:tcW w:w="1500" w:type="dxa"/>
            <w:vAlign w:val="bottom"/>
          </w:tcPr>
          <w:p>
            <w:pPr>
              <w:spacing w:after="0"/>
              <w:rPr>
                <w:sz w:val="24"/>
                <w:szCs w:val="24"/>
                <w:color w:val="auto"/>
              </w:rPr>
            </w:pPr>
          </w:p>
        </w:tc>
      </w:tr>
      <w:tr>
        <w:trPr>
          <w:trHeight w:val="239"/>
        </w:trPr>
        <w:tc>
          <w:tcPr>
            <w:tcW w:w="5180" w:type="dxa"/>
            <w:vAlign w:val="bottom"/>
          </w:tcPr>
          <w:p>
            <w:pPr>
              <w:jc w:val="center"/>
              <w:ind w:right="2702"/>
              <w:spacing w:after="0"/>
              <w:rPr>
                <w:sz w:val="20"/>
                <w:szCs w:val="20"/>
                <w:color w:val="auto"/>
              </w:rPr>
            </w:pPr>
            <w:r>
              <w:rPr>
                <w:rFonts w:ascii="Arial" w:cs="Arial" w:eastAsia="Arial" w:hAnsi="Arial"/>
                <w:sz w:val="18"/>
                <w:szCs w:val="18"/>
                <w:b w:val="1"/>
                <w:bCs w:val="1"/>
                <w:color w:val="auto"/>
                <w:w w:val="90"/>
              </w:rPr>
              <w:t>Mount Horeb, Wisconsin</w:t>
            </w:r>
          </w:p>
        </w:tc>
        <w:tc>
          <w:tcPr>
            <w:tcW w:w="150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5180" w:type="dxa"/>
            <w:vAlign w:val="bottom"/>
          </w:tcPr>
          <w:p>
            <w:pPr>
              <w:jc w:val="center"/>
              <w:ind w:right="272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5180" w:type="dxa"/>
            <w:vAlign w:val="bottom"/>
          </w:tcPr>
          <w:p>
            <w:pPr>
              <w:jc w:val="right"/>
              <w:ind w:right="1142"/>
              <w:spacing w:after="0"/>
              <w:rPr>
                <w:sz w:val="20"/>
                <w:szCs w:val="20"/>
                <w:color w:val="auto"/>
              </w:rPr>
            </w:pPr>
            <w:r>
              <w:rPr>
                <w:rFonts w:ascii="Arial" w:cs="Arial" w:eastAsia="Arial" w:hAnsi="Arial"/>
                <w:sz w:val="14"/>
                <w:szCs w:val="14"/>
                <w:b w:val="1"/>
                <w:bCs w:val="1"/>
                <w:color w:val="auto"/>
              </w:rPr>
              <w:t>(608) 424-1544</w:t>
            </w:r>
          </w:p>
        </w:tc>
        <w:tc>
          <w:tcPr>
            <w:tcW w:w="1500" w:type="dxa"/>
            <w:vAlign w:val="bottom"/>
          </w:tcPr>
          <w:p>
            <w:pPr>
              <w:spacing w:after="0"/>
              <w:rPr>
                <w:sz w:val="16"/>
                <w:szCs w:val="16"/>
                <w:color w:val="auto"/>
              </w:rPr>
            </w:pPr>
          </w:p>
        </w:tc>
      </w:tr>
      <w:tr>
        <w:trPr>
          <w:trHeight w:val="166"/>
        </w:trPr>
        <w:tc>
          <w:tcPr>
            <w:tcW w:w="5180" w:type="dxa"/>
            <w:vAlign w:val="bottom"/>
          </w:tcPr>
          <w:p>
            <w:pPr>
              <w:jc w:val="center"/>
              <w:ind w:left="174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4"/>
                <w:szCs w:val="14"/>
                <w:color w:val="auto"/>
              </w:rPr>
            </w:pPr>
          </w:p>
        </w:tc>
      </w:tr>
      <w:tr>
        <w:trPr>
          <w:trHeight w:val="182"/>
        </w:trPr>
        <w:tc>
          <w:tcPr>
            <w:tcW w:w="5180" w:type="dxa"/>
            <w:vAlign w:val="bottom"/>
          </w:tcPr>
          <w:p>
            <w:pPr>
              <w:jc w:val="right"/>
              <w:ind w:right="42"/>
              <w:spacing w:after="0"/>
              <w:rPr>
                <w:sz w:val="20"/>
                <w:szCs w:val="20"/>
                <w:color w:val="auto"/>
              </w:rPr>
            </w:pPr>
            <w:r>
              <w:rPr>
                <w:rFonts w:ascii="Arial" w:cs="Arial" w:eastAsia="Arial" w:hAnsi="Arial"/>
                <w:sz w:val="14"/>
                <w:szCs w:val="14"/>
                <w:color w:val="auto"/>
              </w:rPr>
              <w:t>_________________________________________</w:t>
            </w:r>
          </w:p>
        </w:tc>
        <w:tc>
          <w:tcPr>
            <w:tcW w:w="1500" w:type="dxa"/>
            <w:vAlign w:val="bottom"/>
          </w:tcPr>
          <w:p>
            <w:pPr>
              <w:spacing w:after="0"/>
              <w:rPr>
                <w:sz w:val="15"/>
                <w:szCs w:val="15"/>
                <w:color w:val="auto"/>
              </w:rPr>
            </w:pPr>
          </w:p>
        </w:tc>
      </w:tr>
    </w:tbl>
    <w:p>
      <w:pPr>
        <w:spacing w:after="0" w:line="7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0" w:lineRule="exact"/>
        <w:rPr>
          <w:sz w:val="24"/>
          <w:szCs w:val="24"/>
          <w:color w:val="auto"/>
        </w:rPr>
      </w:pPr>
    </w:p>
    <w:p>
      <w:pPr>
        <w:spacing w:after="0" w:line="227" w:lineRule="exact"/>
        <w:rPr>
          <w:sz w:val="24"/>
          <w:szCs w:val="24"/>
          <w:color w:val="auto"/>
        </w:rPr>
      </w:pPr>
    </w:p>
    <w:tbl>
      <w:tblPr>
        <w:tblLayout w:type="fixed"/>
        <w:tblInd w:w="3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Class B Common Stock, No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DLTH</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06" w:lineRule="exact"/>
        <w:rPr>
          <w:sz w:val="24"/>
          <w:szCs w:val="24"/>
          <w:color w:val="auto"/>
        </w:rPr>
      </w:pPr>
    </w:p>
    <w:p>
      <w:pPr>
        <w:ind w:right="4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10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22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60" w:firstLine="43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number of shares outstanding of the Registrant’s Class A common stock, no par value, as of June 10, 2019, was 3,364,200.</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B common stock, no par value, as of June 10, 2019, was 29,360,357.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627380</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215" w:right="11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QUARTER ENDED May 5,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Borders>
              <w:bottom w:val="single" w:sz="8" w:color="0000EE"/>
            </w:tcBorders>
            <w:gridSpan w:val="6"/>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820" w:type="dxa"/>
            <w:vAlign w:val="bottom"/>
            <w:gridSpan w:val="9"/>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Page</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73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00" w:type="dxa"/>
            <w:vAlign w:val="bottom"/>
            <w:gridSpan w:val="23"/>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Balance Sheets as of May 5, 2019 and February 3, 2019 (Unaudited)</w:t>
              </w:r>
            </w:hyperlink>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May 5, 2019</w:t>
              </w:r>
            </w:hyperlink>
          </w:p>
        </w:tc>
        <w:tc>
          <w:tcPr>
            <w:tcW w:w="180" w:type="dxa"/>
            <w:vAlign w:val="bottom"/>
            <w:tcBorders>
              <w:top w:val="single" w:sz="8" w:color="0000EE"/>
            </w:tcBorders>
            <w:gridSpan w:val="4"/>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and April 29, 2018 (Unaudited)</w:t>
              </w:r>
            </w:hyperlink>
          </w:p>
        </w:tc>
        <w:tc>
          <w:tcPr>
            <w:tcW w:w="50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months ended</w:t>
              </w:r>
            </w:hyperlink>
          </w:p>
        </w:tc>
        <w:tc>
          <w:tcPr>
            <w:tcW w:w="7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May 5, 2019 and April 29, 2018 (Unaudited)</w:t>
              </w:r>
            </w:hyperlink>
          </w:p>
        </w:tc>
        <w:tc>
          <w:tcPr>
            <w:tcW w:w="406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Shareholders’ Equity for the three months ended May</w:t>
              </w:r>
            </w:hyperlink>
          </w:p>
        </w:tc>
        <w:tc>
          <w:tcPr>
            <w:tcW w:w="62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5, 2019 (Unaudited)</w:t>
              </w:r>
            </w:hyperlink>
          </w:p>
        </w:tc>
        <w:tc>
          <w:tcPr>
            <w:tcW w:w="5800" w:type="dxa"/>
            <w:vAlign w:val="bottom"/>
            <w:gridSpan w:val="19"/>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00" w:type="dxa"/>
            <w:vAlign w:val="bottom"/>
            <w:gridSpan w:val="23"/>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 of Shareholders’ Equity for the three months ended April</w:t>
              </w:r>
            </w:hyperlink>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29, 2018 (Unaudited)</w:t>
              </w:r>
            </w:hyperlink>
          </w:p>
        </w:tc>
        <w:tc>
          <w:tcPr>
            <w:tcW w:w="5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three months ended May 5, 2019</w:t>
              </w:r>
            </w:hyperlink>
          </w:p>
        </w:tc>
        <w:tc>
          <w:tcPr>
            <w:tcW w:w="64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and April 29, 2018 (Unaudited)</w:t>
              </w:r>
            </w:hyperlink>
          </w:p>
        </w:tc>
        <w:tc>
          <w:tcPr>
            <w:tcW w:w="50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Condensed Consolidated Financial Statements (Unaudited)</w:t>
              </w:r>
            </w:hyperlink>
          </w:p>
        </w:tc>
        <w:tc>
          <w:tcPr>
            <w:tcW w:w="238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740" w:type="dxa"/>
            <w:vAlign w:val="bottom"/>
            <w:gridSpan w:val="3"/>
          </w:tcPr>
          <w:p>
            <w:pPr>
              <w:spacing w:after="0"/>
              <w:rPr>
                <w:sz w:val="24"/>
                <w:szCs w:val="24"/>
                <w:color w:val="auto"/>
              </w:rPr>
            </w:pPr>
          </w:p>
        </w:tc>
        <w:tc>
          <w:tcPr>
            <w:tcW w:w="730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740" w:type="dxa"/>
            <w:vAlign w:val="bottom"/>
            <w:gridSpan w:val="3"/>
          </w:tcPr>
          <w:p>
            <w:pPr>
              <w:spacing w:after="0"/>
              <w:rPr>
                <w:sz w:val="24"/>
                <w:szCs w:val="24"/>
                <w:color w:val="auto"/>
              </w:rPr>
            </w:pP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84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94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4"/>
          </w:tcPr>
          <w:p>
            <w:pPr>
              <w:jc w:val="cente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II—Other Information</w:t>
              </w:r>
            </w:hyperlink>
          </w:p>
        </w:tc>
        <w:tc>
          <w:tcPr>
            <w:tcW w:w="292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5960" w:type="dxa"/>
            <w:vAlign w:val="bottom"/>
            <w:gridSpan w:val="2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730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30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296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98"/>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1"/>
          </w:tcPr>
          <w:p>
            <w:pPr>
              <w:ind w:left="33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21" w:right="11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May 5, 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7"/>
              </w:rPr>
              <w:t>February 3, 2019</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20" w:type="dxa"/>
            <w:vAlign w:val="bottom"/>
          </w:tcPr>
          <w:p>
            <w:pPr>
              <w:spacing w:after="0"/>
              <w:rPr>
                <w:sz w:val="19"/>
                <w:szCs w:val="19"/>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42"/>
        </w:trPr>
        <w:tc>
          <w:tcPr>
            <w:tcW w:w="20" w:type="dxa"/>
            <w:vAlign w:val="bottom"/>
          </w:tcPr>
          <w:p>
            <w:pPr>
              <w:spacing w:after="0"/>
              <w:rPr>
                <w:sz w:val="21"/>
                <w:szCs w:val="21"/>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Inventory, less reserve for excess and obsolete items</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of $2,574 and $2,420, respectively</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104,289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97,685</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&amp; other current assets</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catalog costs</w:t>
            </w:r>
          </w:p>
        </w:tc>
        <w:tc>
          <w:tcPr>
            <w:tcW w:w="1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118,198</w:t>
            </w: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136,652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167,109</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6,295</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r>
      <w:tr>
        <w:trPr>
          <w:trHeight w:val="217"/>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Liabilities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May 5, 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7"/>
              </w:rPr>
              <w:t>February 3, 2019</w:t>
            </w: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w:t>
            </w:r>
          </w:p>
        </w:tc>
      </w:tr>
      <w:tr>
        <w:trPr>
          <w:trHeight w:val="230"/>
        </w:trPr>
        <w:tc>
          <w:tcPr>
            <w:tcW w:w="20" w:type="dxa"/>
            <w:vAlign w:val="bottom"/>
          </w:tcPr>
          <w:p>
            <w:pPr>
              <w:spacing w:after="0"/>
              <w:rPr>
                <w:sz w:val="19"/>
                <w:szCs w:val="19"/>
                <w:color w:val="auto"/>
              </w:rPr>
            </w:pPr>
          </w:p>
        </w:tc>
        <w:tc>
          <w:tcPr>
            <w:tcW w:w="6100" w:type="dxa"/>
            <w:vAlign w:val="bottom"/>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26,530</w:t>
            </w: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20" w:type="dxa"/>
            <w:vAlign w:val="bottom"/>
          </w:tcPr>
          <w:p>
            <w:pPr>
              <w:spacing w:after="0"/>
              <w:rPr>
                <w:sz w:val="19"/>
                <w:szCs w:val="19"/>
                <w:color w:val="auto"/>
              </w:rPr>
            </w:pPr>
          </w:p>
        </w:tc>
        <w:tc>
          <w:tcPr>
            <w:tcW w:w="6100" w:type="dxa"/>
            <w:vAlign w:val="bottom"/>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finance lease liabilities</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maturities of long-term debt</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w:t>
            </w: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29,737</w:t>
            </w: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under build-to-suit leases</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w:t>
            </w: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lease liabilities, less current maturities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118,475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less current maturities</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Long-term line of credit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16,542</w:t>
            </w: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rent obligations, less current maturities</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136,649</w:t>
            </w: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2"/>
        </w:trPr>
        <w:tc>
          <w:tcPr>
            <w:tcW w:w="6120" w:type="dxa"/>
            <w:vAlign w:val="bottom"/>
            <w:gridSpan w:val="2"/>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issued or outstanding as of May 5, 2019 and February 3, 2019</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0" w:type="dxa"/>
            <w:vAlign w:val="bottom"/>
          </w:tcPr>
          <w:p>
            <w:pPr>
              <w:spacing w:after="0"/>
              <w:rPr>
                <w:sz w:val="21"/>
                <w:szCs w:val="21"/>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3,364 shares issued and outstanding as of May 5, 2019 and February 3, 2019</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20" w:type="dxa"/>
            <w:vAlign w:val="bottom"/>
            <w:gridSpan w:val="2"/>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w w:val="98"/>
              </w:rPr>
              <w:t>29,358 shares issued and 29,339 shares outstanding as of May 5, 2019 and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w w:val="98"/>
              </w:rPr>
              <w:t>29,215 shares issued and 29,210 shares outstanding as of February 3, 2019</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0" w:type="dxa"/>
            <w:vAlign w:val="bottom"/>
          </w:tcPr>
          <w:p>
            <w:pPr>
              <w:spacing w:after="0"/>
              <w:rPr>
                <w:sz w:val="21"/>
                <w:szCs w:val="21"/>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19 and 5 shares as of May 5, 2019 and</w:t>
            </w: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February 3, 2019, respectively</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Capital stock</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89,849</w:t>
            </w: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70,592</w:t>
            </w:r>
          </w:p>
        </w:tc>
      </w:tr>
      <w:tr>
        <w:trPr>
          <w:trHeight w:val="210"/>
        </w:trPr>
        <w:tc>
          <w:tcPr>
            <w:tcW w:w="2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160,349</w:t>
            </w: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4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160,110</w:t>
            </w:r>
          </w:p>
        </w:tc>
      </w:tr>
      <w:tr>
        <w:trPr>
          <w:trHeight w:val="217"/>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296,759</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5, 2019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April 29, 2018</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114,244</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100,207</w:t>
            </w: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44,267</w:t>
            </w: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55,940</w:t>
            </w: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56,197</w:t>
            </w: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 noncontrolling interest</w:t>
            </w:r>
          </w:p>
        </w:tc>
        <w:tc>
          <w:tcPr>
            <w:tcW w:w="10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Net loss attributable to controlling interest</w:t>
            </w:r>
          </w:p>
        </w:tc>
        <w:tc>
          <w:tcPr>
            <w:tcW w:w="10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16"/>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loss per share (Class A and Class B):</w:t>
            </w: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32,046</w:t>
            </w: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attributable to controlling interest</w:t>
            </w: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3"/>
        </w:trPr>
        <w:tc>
          <w:tcPr>
            <w:tcW w:w="2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Arial" w:cs="Arial" w:eastAsia="Arial" w:hAnsi="Arial"/>
                <w:sz w:val="18"/>
                <w:szCs w:val="18"/>
                <w:b w:val="1"/>
                <w:bCs w:val="1"/>
                <w:color w:val="auto"/>
              </w:rPr>
              <w:t>Diluted loss per share (Class A and Class B):</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10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32,046</w:t>
            </w: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controlling interest</w:t>
            </w:r>
          </w:p>
        </w:tc>
        <w:tc>
          <w:tcPr>
            <w:tcW w:w="10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May 5, 2019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April 29, 2018</w:t>
            </w: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 income attributable to noncontrolling interest</w:t>
            </w:r>
          </w:p>
        </w:tc>
        <w:tc>
          <w:tcPr>
            <w:tcW w:w="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controlling interest</w:t>
            </w: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776"/>
              <w:spacing w:after="0"/>
              <w:rPr>
                <w:sz w:val="20"/>
                <w:szCs w:val="20"/>
                <w:color w:val="auto"/>
              </w:rPr>
            </w:pPr>
            <w:r>
              <w:rPr>
                <w:rFonts w:ascii="Arial" w:cs="Arial" w:eastAsia="Arial" w:hAnsi="Arial"/>
                <w:sz w:val="14"/>
                <w:szCs w:val="14"/>
                <w:b w:val="1"/>
                <w:bCs w:val="1"/>
                <w:color w:val="auto"/>
                <w:w w:val="94"/>
              </w:rPr>
              <w:t>Three Months Ended May 5, 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Total</w:t>
            </w:r>
          </w:p>
        </w:tc>
      </w:tr>
      <w:tr>
        <w:trPr>
          <w:trHeight w:val="198"/>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shareholders'</w:t>
            </w:r>
          </w:p>
        </w:tc>
      </w:tr>
      <w:tr>
        <w:trPr>
          <w:trHeight w:val="188"/>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stock</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entity</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February 3,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r>
      <w:tr>
        <w:trPr>
          <w:trHeight w:val="242"/>
        </w:trPr>
        <w:tc>
          <w:tcPr>
            <w:tcW w:w="20" w:type="dxa"/>
            <w:vAlign w:val="bottom"/>
          </w:tcPr>
          <w:p>
            <w:pPr>
              <w:spacing w:after="0"/>
              <w:rPr>
                <w:sz w:val="21"/>
                <w:szCs w:val="21"/>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Cumulative effect from</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adoption of ASC 842</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4, 2019</w:t>
            </w: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158,186</w:t>
            </w:r>
          </w:p>
        </w:tc>
      </w:tr>
      <w:tr>
        <w:trPr>
          <w:trHeight w:val="216"/>
        </w:trPr>
        <w:tc>
          <w:tcPr>
            <w:tcW w:w="2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Restricted stock 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w:t>
            </w: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5,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716"/>
              <w:spacing w:after="0"/>
              <w:rPr>
                <w:sz w:val="20"/>
                <w:szCs w:val="20"/>
                <w:color w:val="auto"/>
              </w:rPr>
            </w:pPr>
            <w:r>
              <w:rPr>
                <w:rFonts w:ascii="Arial" w:cs="Arial" w:eastAsia="Arial" w:hAnsi="Arial"/>
                <w:sz w:val="14"/>
                <w:szCs w:val="14"/>
                <w:b w:val="1"/>
                <w:bCs w:val="1"/>
                <w:color w:val="auto"/>
                <w:w w:val="95"/>
              </w:rPr>
              <w:t>Three Months Ended April 29, 2018</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Total</w:t>
            </w:r>
          </w:p>
        </w:tc>
      </w:tr>
      <w:tr>
        <w:trPr>
          <w:trHeight w:val="211"/>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20" w:type="dxa"/>
            <w:vAlign w:val="bottom"/>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stock</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entity</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28, 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139,349</w:t>
            </w:r>
          </w:p>
        </w:tc>
      </w:tr>
      <w:tr>
        <w:trPr>
          <w:trHeight w:val="242"/>
        </w:trPr>
        <w:tc>
          <w:tcPr>
            <w:tcW w:w="20" w:type="dxa"/>
            <w:vAlign w:val="bottom"/>
          </w:tcPr>
          <w:p>
            <w:pPr>
              <w:spacing w:after="0"/>
              <w:rPr>
                <w:sz w:val="21"/>
                <w:szCs w:val="21"/>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Cumulative effect from</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adoption of ASC 606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138,701</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4"/>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Balance at April 29, 2018</w:t>
            </w:r>
          </w:p>
        </w:tc>
        <w:tc>
          <w:tcPr>
            <w:tcW w:w="900" w:type="dxa"/>
            <w:vAlign w:val="bottom"/>
          </w:tcPr>
          <w:p>
            <w:pPr>
              <w:jc w:val="right"/>
              <w:spacing w:after="0"/>
              <w:rPr>
                <w:sz w:val="20"/>
                <w:szCs w:val="20"/>
                <w:color w:val="auto"/>
              </w:rPr>
            </w:pPr>
            <w:r>
              <w:rPr>
                <w:rFonts w:ascii="Arial" w:cs="Arial" w:eastAsia="Arial" w:hAnsi="Arial"/>
                <w:sz w:val="18"/>
                <w:szCs w:val="18"/>
                <w:color w:val="auto"/>
              </w:rPr>
              <w:t>32,566</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88,452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46,745</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138,392</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Three Months Ended</w:t>
            </w:r>
          </w:p>
        </w:tc>
      </w:tr>
      <w:tr>
        <w:trPr>
          <w:trHeight w:val="412"/>
        </w:trPr>
        <w:tc>
          <w:tcPr>
            <w:tcW w:w="20" w:type="dxa"/>
            <w:vAlign w:val="bottom"/>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May 5, 2019</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April 29, 2018</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(7,645)</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to net cash used in operating activities:</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(10,363)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 &amp; other current assets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Deferred catalog costs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towards build-to-suit stores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Principal receipts from available-for-sale security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(13,957)</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37,464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Payments on long term debt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Change in bank overdrafts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finance lease obligations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Shares withheld for tax payments on vested restricted shares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21,963</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restricted cash</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restricted cash at beginning of period</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w:t>
            </w:r>
          </w:p>
        </w:tc>
      </w:tr>
      <w:tr>
        <w:trPr>
          <w:trHeight w:val="230"/>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190"/>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7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taxes paid</w:t>
            </w:r>
          </w:p>
        </w:tc>
        <w:tc>
          <w:tcPr>
            <w:tcW w:w="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2,179</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Property and equipment acquired under build-to-suit leases</w:t>
            </w:r>
          </w:p>
        </w:tc>
        <w:tc>
          <w:tcPr>
            <w:tcW w:w="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7,331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Unpaid liability to acquire property and equipment</w:t>
            </w:r>
          </w:p>
        </w:tc>
        <w:tc>
          <w:tcPr>
            <w:tcW w:w="7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28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right="80" w:firstLine="428"/>
        <w:spacing w:after="0" w:line="293" w:lineRule="auto"/>
        <w:rPr>
          <w:sz w:val="20"/>
          <w:szCs w:val="20"/>
          <w:color w:val="auto"/>
        </w:rPr>
      </w:pPr>
      <w:r>
        <w:rPr>
          <w:rFonts w:ascii="Arial" w:cs="Arial" w:eastAsia="Arial" w:hAnsi="Arial"/>
          <w:sz w:val="16"/>
          <w:szCs w:val="16"/>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May 5, 2019, the Company operated 48 retail stores and three outlet stores. The Company’s products are marketed under the Duluth Trading brand, with the majority of products being exclusively developed and sold as Duluth Trading branded merchandise.</w:t>
      </w:r>
    </w:p>
    <w:p>
      <w:pPr>
        <w:spacing w:after="0" w:line="138"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85" w:lineRule="exact"/>
        <w:rPr>
          <w:sz w:val="20"/>
          <w:szCs w:val="20"/>
          <w:color w:val="auto"/>
        </w:rPr>
      </w:pPr>
    </w:p>
    <w:p>
      <w:pPr>
        <w:ind w:firstLine="428"/>
        <w:spacing w:after="0" w:line="286" w:lineRule="auto"/>
        <w:rPr>
          <w:sz w:val="20"/>
          <w:szCs w:val="20"/>
          <w:color w:val="auto"/>
        </w:rPr>
      </w:pPr>
      <w:r>
        <w:rPr>
          <w:rFonts w:ascii="Arial" w:cs="Arial" w:eastAsia="Arial" w:hAnsi="Arial"/>
          <w:sz w:val="17"/>
          <w:szCs w:val="17"/>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intercompany balances and transactions have been eliminated.</w:t>
      </w:r>
    </w:p>
    <w:p>
      <w:pPr>
        <w:spacing w:after="0" w:line="139" w:lineRule="exact"/>
        <w:rPr>
          <w:sz w:val="20"/>
          <w:szCs w:val="20"/>
          <w:color w:val="auto"/>
        </w:rPr>
      </w:pPr>
    </w:p>
    <w:p>
      <w:pPr>
        <w:jc w:val="both"/>
        <w:ind w:right="240" w:firstLine="428"/>
        <w:spacing w:after="0" w:line="312" w:lineRule="auto"/>
        <w:rPr>
          <w:sz w:val="20"/>
          <w:szCs w:val="20"/>
          <w:color w:val="auto"/>
        </w:rPr>
      </w:pPr>
      <w:r>
        <w:rPr>
          <w:rFonts w:ascii="Arial" w:cs="Arial" w:eastAsia="Arial" w:hAnsi="Arial"/>
          <w:sz w:val="16"/>
          <w:szCs w:val="16"/>
          <w:color w:val="auto"/>
        </w:rPr>
        <w:t>The Company’s fiscal year ends on the Sunday nearest to January 31 of the following year. Fiscal 2019 is a 52-week period and ends on February 2, 2020. Fiscal 2018 was a 53-week period and ended on February 3, 2019. The three months of fiscal 2019 and fiscal 2018 represent the Company’s 13-week periods ended May 5, 2019 and April 29, 2018, respectively.</w:t>
      </w:r>
    </w:p>
    <w:p>
      <w:pPr>
        <w:spacing w:after="0" w:line="106" w:lineRule="exact"/>
        <w:rPr>
          <w:sz w:val="20"/>
          <w:szCs w:val="20"/>
          <w:color w:val="auto"/>
        </w:rPr>
      </w:pPr>
    </w:p>
    <w:p>
      <w:pPr>
        <w:ind w:right="60" w:firstLine="428"/>
        <w:spacing w:after="0" w:line="253" w:lineRule="auto"/>
        <w:rPr>
          <w:sz w:val="20"/>
          <w:szCs w:val="20"/>
          <w:color w:val="auto"/>
        </w:rPr>
      </w:pPr>
      <w:r>
        <w:rPr>
          <w:rFonts w:ascii="Arial" w:cs="Arial" w:eastAsia="Arial" w:hAnsi="Arial"/>
          <w:sz w:val="18"/>
          <w:szCs w:val="18"/>
          <w:color w:val="auto"/>
        </w:rPr>
        <w:t>The accompanying condensed consolidated financial statements as of and for the three months ended May 5, 2019 and April 29, 2018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months ended May 5, 2019 and April 29, 2018. These interim condensed consolidated financial statements should be read in conjunction with the consolidated financial statements and notes included in the Company’s annual report on Form 10-K for the fiscal year ended February 3, 2019.</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98" w:lineRule="exact"/>
        <w:rPr>
          <w:sz w:val="20"/>
          <w:szCs w:val="20"/>
          <w:color w:val="auto"/>
        </w:rPr>
      </w:pPr>
    </w:p>
    <w:p>
      <w:pPr>
        <w:jc w:val="both"/>
        <w:ind w:right="16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Restricted Cash</w:t>
      </w:r>
    </w:p>
    <w:p>
      <w:pPr>
        <w:spacing w:after="0" w:line="185" w:lineRule="exact"/>
        <w:rPr>
          <w:sz w:val="20"/>
          <w:szCs w:val="20"/>
          <w:color w:val="auto"/>
        </w:rPr>
      </w:pPr>
    </w:p>
    <w:p>
      <w:pPr>
        <w:ind w:right="40" w:firstLine="428"/>
        <w:spacing w:after="0" w:line="286" w:lineRule="auto"/>
        <w:rPr>
          <w:sz w:val="20"/>
          <w:szCs w:val="20"/>
          <w:color w:val="auto"/>
        </w:rPr>
      </w:pPr>
      <w:r>
        <w:rPr>
          <w:rFonts w:ascii="Arial" w:cs="Arial" w:eastAsia="Arial" w:hAnsi="Arial"/>
          <w:sz w:val="17"/>
          <w:szCs w:val="17"/>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Significant Accounting Policies</w:t>
      </w:r>
    </w:p>
    <w:p>
      <w:pPr>
        <w:spacing w:after="0" w:line="185" w:lineRule="exact"/>
        <w:rPr>
          <w:sz w:val="20"/>
          <w:szCs w:val="20"/>
          <w:color w:val="auto"/>
        </w:rPr>
      </w:pPr>
    </w:p>
    <w:p>
      <w:pPr>
        <w:ind w:right="660" w:firstLine="428"/>
        <w:spacing w:after="0" w:line="308" w:lineRule="auto"/>
        <w:rPr>
          <w:sz w:val="20"/>
          <w:szCs w:val="20"/>
          <w:color w:val="auto"/>
        </w:rPr>
      </w:pPr>
      <w:r>
        <w:rPr>
          <w:rFonts w:ascii="Arial" w:cs="Arial" w:eastAsia="Arial" w:hAnsi="Arial"/>
          <w:sz w:val="17"/>
          <w:szCs w:val="17"/>
          <w:color w:val="auto"/>
        </w:rPr>
        <w:t>Except as disclosed below, there have been no significant changes to the Company’s significant accounting policies as described in the Company’s Annual Report on Form 10-K for the year ended February 3, 2019.</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8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On February 4,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and related amendments. ASC 842 requires lessees to (i) recognize a right-of-use asset and a lease liability that is initially measured at the present value of the remaining lease payments, on the consolidated balance sheets, (ii) recognize a single lease cost, calculated over the lease term on a straight-line basis and (iii) classify lease related cash payments within operating and financing activities.</w:t>
      </w:r>
    </w:p>
    <w:p>
      <w:pPr>
        <w:spacing w:after="0" w:line="16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The Company adopted ASC 842 utilizing the optional transition method, which allows guidance to be initially applied at the adoption date with a cumulative-effect adjustment to the opening balance of retained earnings. The Company elected the package of practical expedients, which allows the Company to forgo reassessing prior conclusions on lease definition, classification and initial direct costs related to existing leases as of the adoption date. The Company elected not to recognize short-term leases on the consolidated balance sheets and all non-lease components, such as common area maintenance, were excluded.</w:t>
      </w:r>
    </w:p>
    <w:p>
      <w:pPr>
        <w:spacing w:after="0" w:line="11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Company’s existing lease arrangements consist of both operating leases and build-to-suit leases. Under ASC 842, the Company is still required to evaluate whether it is deemed to be the owner of the leased property for accounting purposes during the store construction period, however, the prescriptive rules under ASC 840 have been removed. The Company evaluated its existing build-to-suit leases as of the adoption date and determined that the Company is not the owner of the leased premises during the construction period, which resulted in the derecognition of its build-to-suit assets and liabilities that were previously reported on the Company’s consolidated balance sheets. As of February 4, 2019, substantially all of the previous build-to-suit leases are classified as operating leases.</w:t>
      </w:r>
    </w:p>
    <w:p>
      <w:pPr>
        <w:spacing w:after="0" w:line="14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impact of the adoption was a $121.8 million right-of-use asset (“ROU asset”) with an offsetting $115.5 million lease liability, which is net of $4.9 million of previously recognized straight-line operating lease adjustments on existing leases and $11.2 million of unamortized initial direct costs. The lease liabilities at February 4, 2019 reflect remaining lease payments discounted using an incremental borrowing rate based on the remaining lease term (the “Discount”), as an implicit rate was not readily determinable for any of the Company’s existing leases. See Note 2 “Leases,” for further information.</w:t>
      </w: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189"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Effective February 4, 2019, the Company adopted ASC 842, which resulted in a recognition of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leases retail space under non-cancelable lease agreements, which expire on various dates through</w:t>
      </w:r>
    </w:p>
    <w:p>
      <w:pPr>
        <w:spacing w:after="0" w:line="2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2036. Substantially all of these arrangements are store leases. Store leases generally have initial lease terms ranging from five to fifteen years with renewal options and rent escalation provisions. The Company does not record leases with a lease term of 12 months or less on the Company’s consolidated balance sheets.</w:t>
      </w:r>
    </w:p>
    <w:p>
      <w:pPr>
        <w:spacing w:after="0" w:line="163" w:lineRule="exact"/>
        <w:rPr>
          <w:sz w:val="20"/>
          <w:szCs w:val="20"/>
          <w:color w:val="auto"/>
        </w:rPr>
      </w:pPr>
    </w:p>
    <w:p>
      <w:pPr>
        <w:ind w:right="200" w:firstLine="492"/>
        <w:spacing w:after="0" w:line="342" w:lineRule="auto"/>
        <w:rPr>
          <w:sz w:val="20"/>
          <w:szCs w:val="20"/>
          <w:color w:val="auto"/>
        </w:rPr>
      </w:pPr>
      <w:r>
        <w:rPr>
          <w:rFonts w:ascii="Arial" w:cs="Arial" w:eastAsia="Arial" w:hAnsi="Arial"/>
          <w:sz w:val="16"/>
          <w:szCs w:val="16"/>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83" w:lineRule="exact"/>
        <w:rPr>
          <w:sz w:val="20"/>
          <w:szCs w:val="20"/>
          <w:color w:val="auto"/>
        </w:rPr>
      </w:pPr>
    </w:p>
    <w:p>
      <w:pPr>
        <w:ind w:right="180" w:firstLine="492"/>
        <w:spacing w:after="0" w:line="264" w:lineRule="auto"/>
        <w:rPr>
          <w:sz w:val="20"/>
          <w:szCs w:val="20"/>
          <w:color w:val="auto"/>
        </w:rPr>
      </w:pPr>
      <w:r>
        <w:rPr>
          <w:rFonts w:ascii="Arial" w:cs="Arial" w:eastAsia="Arial" w:hAnsi="Arial"/>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4"/>
            <w:vMerge w:val="restart"/>
          </w:tcPr>
          <w:p>
            <w:pPr>
              <w:jc w:val="right"/>
              <w:ind w:right="130"/>
              <w:spacing w:after="0"/>
              <w:rPr>
                <w:sz w:val="20"/>
                <w:szCs w:val="20"/>
                <w:color w:val="auto"/>
              </w:rPr>
            </w:pPr>
            <w:r>
              <w:rPr>
                <w:rFonts w:ascii="Arial" w:cs="Arial" w:eastAsia="Arial" w:hAnsi="Arial"/>
                <w:sz w:val="18"/>
                <w:szCs w:val="18"/>
                <w:b w:val="1"/>
                <w:bCs w:val="1"/>
                <w:color w:val="auto"/>
                <w:w w:val="95"/>
              </w:rPr>
              <w:t>Consolidated Statement of Operations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tcBorders>
              <w:bottom w:val="single" w:sz="8" w:color="auto"/>
            </w:tcBorders>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May 5,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Amortization of right-of-use assets</w:t>
            </w:r>
          </w:p>
        </w:tc>
        <w:tc>
          <w:tcPr>
            <w:tcW w:w="3440" w:type="dxa"/>
            <w:vAlign w:val="bottom"/>
            <w:gridSpan w:val="5"/>
          </w:tcPr>
          <w:p>
            <w:pPr>
              <w:ind w:left="80"/>
              <w:spacing w:after="0"/>
              <w:rPr>
                <w:sz w:val="20"/>
                <w:szCs w:val="20"/>
                <w:color w:val="auto"/>
              </w:rPr>
            </w:pPr>
            <w:r>
              <w:rPr>
                <w:rFonts w:ascii="Arial" w:cs="Arial" w:eastAsia="Arial" w:hAnsi="Arial"/>
                <w:sz w:val="18"/>
                <w:szCs w:val="18"/>
                <w:color w:val="auto"/>
                <w:w w:val="92"/>
              </w:rPr>
              <w:t>Selling, general and administrative expenses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on lease liabilities</w:t>
            </w:r>
          </w:p>
        </w:tc>
        <w:tc>
          <w:tcPr>
            <w:tcW w:w="18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finance lease expense</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3440" w:type="dxa"/>
            <w:vAlign w:val="bottom"/>
            <w:tcBorders>
              <w:righ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w w:val="92"/>
              </w:rPr>
              <w:t>Selling, general and administrative expenses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Amortization of build-to-suit leases capital contribution</w:t>
            </w:r>
          </w:p>
        </w:tc>
        <w:tc>
          <w:tcPr>
            <w:tcW w:w="3440" w:type="dxa"/>
            <w:vAlign w:val="bottom"/>
            <w:gridSpan w:val="5"/>
          </w:tcPr>
          <w:p>
            <w:pPr>
              <w:ind w:left="80"/>
              <w:spacing w:after="0"/>
              <w:rPr>
                <w:sz w:val="20"/>
                <w:szCs w:val="20"/>
                <w:color w:val="auto"/>
              </w:rPr>
            </w:pPr>
            <w:r>
              <w:rPr>
                <w:rFonts w:ascii="Arial" w:cs="Arial" w:eastAsia="Arial" w:hAnsi="Arial"/>
                <w:sz w:val="18"/>
                <w:szCs w:val="18"/>
                <w:color w:val="auto"/>
                <w:w w:val="92"/>
              </w:rPr>
              <w:t>Selling, general and administrative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3440" w:type="dxa"/>
            <w:vAlign w:val="bottom"/>
            <w:tcBorders>
              <w:righ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w w:val="92"/>
              </w:rPr>
              <w:t>Selling, general and administrative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00" w:type="dxa"/>
            <w:vAlign w:val="bottom"/>
            <w:gridSpan w:val="2"/>
          </w:tcPr>
          <w:p>
            <w:pPr>
              <w:spacing w:after="0"/>
              <w:rPr>
                <w:sz w:val="20"/>
                <w:szCs w:val="20"/>
                <w:color w:val="auto"/>
              </w:rPr>
            </w:pPr>
            <w:r>
              <w:rPr>
                <w:rFonts w:ascii="Arial" w:cs="Arial" w:eastAsia="Arial" w:hAnsi="Arial"/>
                <w:sz w:val="18"/>
                <w:szCs w:val="18"/>
                <w:color w:val="auto"/>
              </w:rPr>
              <w:t>Total lease expense</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w w:val="92"/>
              </w:rPr>
              <w:t>Other information related to leases were as follows:</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May 5,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cash flows from finance leases</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Operating cash flows from operating leases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5"/>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w w:val="98"/>
              </w:rPr>
              <w:t>Weighted-average remaining lease term (in years):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720" w:type="dxa"/>
            <w:vAlign w:val="bottom"/>
            <w:gridSpan w:val="6"/>
          </w:tcPr>
          <w:p>
            <w:pPr>
              <w:ind w:left="480"/>
              <w:spacing w:after="0"/>
              <w:rPr>
                <w:sz w:val="20"/>
                <w:szCs w:val="20"/>
                <w:color w:val="auto"/>
              </w:rPr>
            </w:pPr>
            <w:r>
              <w:rPr>
                <w:rFonts w:ascii="Arial" w:cs="Arial" w:eastAsia="Arial" w:hAnsi="Arial"/>
                <w:sz w:val="18"/>
                <w:szCs w:val="18"/>
                <w:color w:val="auto"/>
                <w:w w:val="90"/>
              </w:rPr>
              <w:t>Future minimum lease payments under the non-cancellable leases are as follows as of May 5, 2019: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2019 (remainder of fiscal year)</w:t>
            </w:r>
          </w:p>
        </w:tc>
        <w:tc>
          <w:tcPr>
            <w:tcW w:w="1880" w:type="dxa"/>
            <w:vAlign w:val="bottom"/>
            <w:gridSpan w:val="4"/>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5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 Discount</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5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40" w:type="dxa"/>
            <w:vAlign w:val="bottom"/>
            <w:gridSpan w:val="2"/>
          </w:tcPr>
          <w:p>
            <w:pPr>
              <w:ind w:left="4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to the adoption of ASC 842, the minimum lease payments under non-cancellable operating leases were as follows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3,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Leases</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Related</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5"/>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party</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15,745</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16,157</w:t>
            </w: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15,444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15,593</w:t>
            </w: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112,098</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190,851</w:t>
            </w:r>
          </w:p>
        </w:tc>
      </w:tr>
    </w:tbl>
    <w:p>
      <w:pPr>
        <w:spacing w:after="0" w:line="200" w:lineRule="exact"/>
        <w:rPr>
          <w:sz w:val="20"/>
          <w:szCs w:val="20"/>
          <w:color w:val="auto"/>
        </w:rPr>
      </w:pPr>
    </w:p>
    <w:p>
      <w:pPr>
        <w:spacing w:after="0" w:line="376" w:lineRule="exact"/>
        <w:rPr>
          <w:sz w:val="20"/>
          <w:szCs w:val="20"/>
          <w:color w:val="auto"/>
        </w:rPr>
      </w:pPr>
    </w:p>
    <w:p>
      <w:pPr>
        <w:jc w:val="center"/>
        <w:ind w:left="440" w:right="6840" w:hanging="432"/>
        <w:spacing w:after="0" w:line="528" w:lineRule="auto"/>
        <w:tabs>
          <w:tab w:leader="none" w:pos="32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AND LINE OF CREDIT </w:t>
      </w:r>
      <w:r>
        <w:rPr>
          <w:rFonts w:ascii="Arial" w:cs="Arial" w:eastAsia="Arial" w:hAnsi="Arial"/>
          <w:sz w:val="17"/>
          <w:szCs w:val="17"/>
          <w:color w:val="auto"/>
        </w:rPr>
        <w:t>Debt consists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May 5, 2019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February 3, 2019</w:t>
            </w:r>
          </w:p>
        </w:tc>
        <w:tc>
          <w:tcPr>
            <w:tcW w:w="0" w:type="dxa"/>
            <w:vAlign w:val="bottom"/>
          </w:tcPr>
          <w:p>
            <w:pPr>
              <w:spacing w:after="0"/>
              <w:rPr>
                <w:sz w:val="1"/>
                <w:szCs w:val="1"/>
                <w:color w:val="auto"/>
              </w:rPr>
            </w:pPr>
          </w:p>
        </w:tc>
      </w:tr>
      <w:tr>
        <w:trPr>
          <w:trHeight w:val="196"/>
        </w:trPr>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2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TRI Note</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30,086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7"/>
        </w:trPr>
        <w:tc>
          <w:tcPr>
            <w:tcW w:w="41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29,576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29,737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Line of credit</w:t>
            </w:r>
          </w:p>
        </w:tc>
        <w:tc>
          <w:tcPr>
            <w:tcW w:w="2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39,240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16,542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98"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1"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98" w:lineRule="exact"/>
        <w:rPr>
          <w:sz w:val="20"/>
          <w:szCs w:val="20"/>
          <w:color w:val="auto"/>
        </w:rPr>
      </w:pPr>
    </w:p>
    <w:p>
      <w:pPr>
        <w:ind w:right="20" w:firstLine="428"/>
        <w:spacing w:after="0" w:line="287" w:lineRule="auto"/>
        <w:rPr>
          <w:sz w:val="20"/>
          <w:szCs w:val="20"/>
          <w:color w:val="auto"/>
        </w:rPr>
      </w:pPr>
      <w:r>
        <w:rPr>
          <w:rFonts w:ascii="Arial" w:cs="Arial" w:eastAsia="Arial" w:hAnsi="Arial"/>
          <w:sz w:val="16"/>
          <w:szCs w:val="16"/>
          <w:color w:val="auto"/>
        </w:rPr>
        <w:t>On May 17, 2018, the Company entered into a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is available to draw upon in differing amounts through May 17, 2020, and matures on May 17, 2023.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At the Company’s option, the interest rate applicable to the Revolver or DDTL will be a floating rate equal to: (i) the base rate plus a margin of 25 to 100 basis points (“bps”), based upon the Company’s rent adjusted leverage ratio, or (ii) a fixed rate for a one-, two-, three- or six-month interest period equal to LIBOR for such interest period plus a margin of 125 to 200 bps, based upon the Company’s rent adjusted leverage ratio (effective rate of 4.0% at May 5, 2019). In addition, outstanding balances under the DDTL require quarterly principal payments with a final balloon payment at maturity.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200" w:firstLine="428"/>
        <w:spacing w:after="0" w:line="277" w:lineRule="auto"/>
        <w:rPr>
          <w:sz w:val="20"/>
          <w:szCs w:val="20"/>
          <w:color w:val="auto"/>
        </w:rPr>
      </w:pPr>
      <w:r>
        <w:rPr>
          <w:rFonts w:ascii="Arial" w:cs="Arial" w:eastAsia="Arial" w:hAnsi="Arial"/>
          <w:sz w:val="18"/>
          <w:szCs w:val="18"/>
          <w:color w:val="auto"/>
        </w:rPr>
        <w:t>As of May 5, 2019 and for the three months then ended, the Company was in compliance with all financial and non-financial covenants for all debts discussed above.</w:t>
      </w:r>
    </w:p>
    <w:p>
      <w:pPr>
        <w:spacing w:after="0" w:line="126" w:lineRule="exact"/>
        <w:rPr>
          <w:sz w:val="20"/>
          <w:szCs w:val="20"/>
          <w:color w:val="auto"/>
        </w:rPr>
      </w:pPr>
    </w:p>
    <w:p>
      <w:pPr>
        <w:ind w:left="440" w:right="4120" w:hanging="432"/>
        <w:spacing w:after="0" w:line="587" w:lineRule="auto"/>
        <w:tabs>
          <w:tab w:leader="none" w:pos="31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May 5, 2019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February 3, 2019</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returns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26,530</w:t>
            </w: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INVESTMENT</w:t>
      </w:r>
    </w:p>
    <w:p>
      <w:pPr>
        <w:spacing w:after="0" w:line="189"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8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43"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The fair value of the Company’s available-for-sale security was valued based on a discounted cash flow method (Level 3), which incorporates the U.S. Treasury yield curve, credit information and an estimate of future cash flows. As of May 5, 2019, the carrying value of the Company’s available-for-sale security approximates its fair value.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May 5, 2019</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February 3, 2019</w:t>
            </w:r>
          </w:p>
        </w:tc>
        <w:tc>
          <w:tcPr>
            <w:tcW w:w="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Unrealized</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6"/>
                <w:szCs w:val="16"/>
                <w:color w:val="auto"/>
              </w:rPr>
            </w:pPr>
          </w:p>
        </w:tc>
      </w:tr>
      <w:tr>
        <w:trPr>
          <w:trHeight w:val="182"/>
        </w:trPr>
        <w:tc>
          <w:tcPr>
            <w:tcW w:w="1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Level 3 security:</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trust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560" w:firstLine="428"/>
        <w:spacing w:after="0" w:line="277" w:lineRule="auto"/>
        <w:rPr>
          <w:sz w:val="20"/>
          <w:szCs w:val="20"/>
          <w:color w:val="auto"/>
        </w:rPr>
      </w:pPr>
      <w:r>
        <w:rPr>
          <w:rFonts w:ascii="Arial" w:cs="Arial" w:eastAsia="Arial" w:hAnsi="Arial"/>
          <w:sz w:val="18"/>
          <w:szCs w:val="18"/>
          <w:color w:val="auto"/>
        </w:rPr>
        <w:t>The following table presents future principal receipts related to the Company’s available-for-sale security by contractual maturity as of May 5, 2019. Cost and estimated fair value are equal.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jc w:val="right"/>
              <w:ind w:right="875"/>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23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r>
      <w:tr>
        <w:trPr>
          <w:trHeight w:val="217"/>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202" w:lineRule="exact"/>
        <w:rPr>
          <w:sz w:val="20"/>
          <w:szCs w:val="20"/>
          <w:color w:val="auto"/>
        </w:rPr>
      </w:pPr>
    </w:p>
    <w:p>
      <w:pPr>
        <w:ind w:right="4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May 5, 2019 and February 3, 2019, as the Company absorbs significant economics of the entity and has the power to direct the activities that are considered most significant to the entity.</w:t>
      </w:r>
    </w:p>
    <w:p>
      <w:pPr>
        <w:spacing w:after="0" w:line="125" w:lineRule="exact"/>
        <w:rPr>
          <w:sz w:val="20"/>
          <w:szCs w:val="20"/>
          <w:color w:val="auto"/>
        </w:rPr>
      </w:pPr>
    </w:p>
    <w:p>
      <w:pPr>
        <w:ind w:right="80" w:firstLine="428"/>
        <w:spacing w:after="0" w:line="272" w:lineRule="auto"/>
        <w:rPr>
          <w:sz w:val="20"/>
          <w:szCs w:val="20"/>
          <w:color w:val="auto"/>
        </w:rPr>
      </w:pPr>
      <w:r>
        <w:rPr>
          <w:rFonts w:ascii="Arial" w:cs="Arial" w:eastAsia="Arial" w:hAnsi="Arial"/>
          <w:sz w:val="17"/>
          <w:szCs w:val="17"/>
          <w:color w:val="auto"/>
        </w:rPr>
        <w:t>The Company leases the Company’s headquarters in Mt. Horeb, Wisconsin from TRI. In conjunction with the lease, the Company invested $6.3 million in a trust (see Note 5 “Investment” for further information)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7" w:lineRule="exact"/>
        <w:rPr>
          <w:sz w:val="20"/>
          <w:szCs w:val="20"/>
          <w:color w:val="auto"/>
        </w:rPr>
      </w:pPr>
    </w:p>
    <w:p>
      <w:pPr>
        <w:ind w:right="140" w:firstLine="428"/>
        <w:spacing w:after="0" w:line="277" w:lineRule="auto"/>
        <w:rPr>
          <w:sz w:val="20"/>
          <w:szCs w:val="20"/>
          <w:color w:val="auto"/>
        </w:rPr>
      </w:pPr>
      <w:r>
        <w:rPr>
          <w:rFonts w:ascii="Arial" w:cs="Arial" w:eastAsia="Arial" w:hAnsi="Arial"/>
          <w:sz w:val="18"/>
          <w:szCs w:val="18"/>
          <w:color w:val="auto"/>
        </w:rPr>
        <w:t>The condensed consolidated balance sheets include the following amounts as a result of the consolidation of TRI as of May 5, 2019 and February 3,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May 5, 2019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February 3,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assets</w:t>
            </w:r>
          </w:p>
        </w:tc>
        <w:tc>
          <w:tcPr>
            <w:tcW w:w="2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 in VIE</w:t>
            </w:r>
          </w:p>
        </w:tc>
        <w:tc>
          <w:tcPr>
            <w:tcW w:w="2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2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(LOSS) PER SHARE</w:t>
      </w:r>
    </w:p>
    <w:p>
      <w:pPr>
        <w:spacing w:after="0" w:line="189" w:lineRule="exact"/>
        <w:rPr>
          <w:sz w:val="20"/>
          <w:szCs w:val="20"/>
          <w:color w:val="auto"/>
        </w:rPr>
      </w:pPr>
    </w:p>
    <w:p>
      <w:pPr>
        <w:ind w:right="100" w:firstLine="428"/>
        <w:spacing w:after="0" w:line="297" w:lineRule="auto"/>
        <w:rPr>
          <w:sz w:val="20"/>
          <w:szCs w:val="20"/>
          <w:color w:val="auto"/>
        </w:rPr>
      </w:pPr>
      <w:r>
        <w:rPr>
          <w:rFonts w:ascii="Arial" w:cs="Arial" w:eastAsia="Arial" w:hAnsi="Arial"/>
          <w:sz w:val="16"/>
          <w:szCs w:val="16"/>
          <w:color w:val="auto"/>
        </w:rPr>
        <w:t>Earnings (loss) per share is computed under the provisions of ASC 260</w:t>
      </w:r>
      <w:r>
        <w:rPr>
          <w:rFonts w:ascii="Arial" w:cs="Arial" w:eastAsia="Arial" w:hAnsi="Arial"/>
          <w:sz w:val="16"/>
          <w:szCs w:val="16"/>
          <w:i w:val="1"/>
          <w:iCs w:val="1"/>
          <w:color w:val="auto"/>
        </w:rPr>
        <w:t>, Earnings Per Share</w:t>
      </w:r>
      <w:r>
        <w:rPr>
          <w:rFonts w:ascii="Arial" w:cs="Arial" w:eastAsia="Arial" w:hAnsi="Arial"/>
          <w:sz w:val="16"/>
          <w:szCs w:val="16"/>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(loss) per share calculation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May 5, 2019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April 29, 2018</w:t>
            </w:r>
          </w:p>
        </w:tc>
      </w:tr>
      <w:tr>
        <w:trPr>
          <w:trHeight w:val="196"/>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attributable</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Denominator - weighted average shares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(Class A and Class B)</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32,046</w:t>
            </w: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shares</w:t>
            </w:r>
          </w:p>
        </w:tc>
        <w:tc>
          <w:tcPr>
            <w:tcW w:w="1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32,046</w:t>
            </w:r>
          </w:p>
        </w:tc>
      </w:tr>
      <w:tr>
        <w:trPr>
          <w:trHeight w:val="244"/>
        </w:trPr>
        <w:tc>
          <w:tcPr>
            <w:tcW w:w="4400" w:type="dxa"/>
            <w:vAlign w:val="bottom"/>
            <w:gridSpan w:val="2"/>
          </w:tcPr>
          <w:p>
            <w:pPr>
              <w:spacing w:after="0"/>
              <w:rPr>
                <w:sz w:val="20"/>
                <w:szCs w:val="20"/>
                <w:color w:val="auto"/>
              </w:rPr>
            </w:pPr>
            <w:r>
              <w:rPr>
                <w:rFonts w:ascii="Arial" w:cs="Arial" w:eastAsia="Arial" w:hAnsi="Arial"/>
                <w:sz w:val="18"/>
                <w:szCs w:val="18"/>
                <w:color w:val="auto"/>
              </w:rPr>
              <w:t>Loss per share (Class A and Class B)</w:t>
            </w: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2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Diluted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(0.02)</w:t>
            </w:r>
          </w:p>
        </w:tc>
      </w:tr>
    </w:tbl>
    <w:p>
      <w:pPr>
        <w:spacing w:after="0" w:line="174" w:lineRule="exact"/>
        <w:rPr>
          <w:sz w:val="20"/>
          <w:szCs w:val="20"/>
          <w:color w:val="auto"/>
        </w:rPr>
      </w:pPr>
    </w:p>
    <w:p>
      <w:pPr>
        <w:ind w:firstLine="492"/>
        <w:spacing w:after="0" w:line="264" w:lineRule="auto"/>
        <w:rPr>
          <w:sz w:val="20"/>
          <w:szCs w:val="20"/>
          <w:color w:val="auto"/>
        </w:rPr>
      </w:pPr>
      <w:r>
        <w:rPr>
          <w:rFonts w:ascii="Arial" w:cs="Arial" w:eastAsia="Arial" w:hAnsi="Arial"/>
          <w:sz w:val="18"/>
          <w:szCs w:val="18"/>
          <w:color w:val="auto"/>
        </w:rPr>
        <w:t>The computation of diluted earnings (loss) per share for the three months ended May 5, 2019 and April 29, 2018, excluded 0.3 million and 0.4 million shares of unvested restricted stock, respectively, because their inclusion would be anti-dilutive due to a net loss.</w:t>
      </w:r>
    </w:p>
    <w:p>
      <w:pPr>
        <w:spacing w:after="0" w:line="3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89"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54"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Total stock compensation expense associated with restricted stock recognized by the Company was $0.4 million for the three months ended May 5, 2019 and April 29, 2018. The Company’s total stock compensation expense is included in selling, general and administrative expenses on the Condensed Consolidated Statements of Operations.</w:t>
      </w:r>
    </w:p>
    <w:p>
      <w:pPr>
        <w:spacing w:after="0" w:line="141" w:lineRule="exact"/>
        <w:rPr>
          <w:sz w:val="20"/>
          <w:szCs w:val="20"/>
          <w:color w:val="auto"/>
        </w:rPr>
      </w:pPr>
    </w:p>
    <w:p>
      <w:pPr>
        <w:ind w:right="600" w:firstLine="428"/>
        <w:spacing w:after="0" w:line="277" w:lineRule="auto"/>
        <w:rPr>
          <w:sz w:val="20"/>
          <w:szCs w:val="20"/>
          <w:color w:val="auto"/>
        </w:rPr>
      </w:pPr>
      <w:r>
        <w:rPr>
          <w:rFonts w:ascii="Arial" w:cs="Arial" w:eastAsia="Arial" w:hAnsi="Arial"/>
          <w:sz w:val="18"/>
          <w:szCs w:val="18"/>
          <w:color w:val="auto"/>
        </w:rPr>
        <w:t>A summary of the activity in the Company’s unvested restricted stock during the three months ended May 5, 2019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fair value</w:t>
            </w:r>
          </w:p>
        </w:tc>
      </w:tr>
      <w:tr>
        <w:trPr>
          <w:trHeight w:val="215"/>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r>
      <w:tr>
        <w:trPr>
          <w:trHeight w:val="230"/>
        </w:trPr>
        <w:tc>
          <w:tcPr>
            <w:tcW w:w="2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141,805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May 5,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415,118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bl>
    <w:p>
      <w:pPr>
        <w:spacing w:after="0" w:line="161" w:lineRule="exact"/>
        <w:rPr>
          <w:sz w:val="20"/>
          <w:szCs w:val="20"/>
          <w:color w:val="auto"/>
        </w:rPr>
      </w:pPr>
    </w:p>
    <w:p>
      <w:pPr>
        <w:ind w:right="160" w:firstLine="428"/>
        <w:spacing w:after="0" w:line="277" w:lineRule="auto"/>
        <w:rPr>
          <w:sz w:val="20"/>
          <w:szCs w:val="20"/>
          <w:color w:val="auto"/>
        </w:rPr>
      </w:pPr>
      <w:r>
        <w:rPr>
          <w:rFonts w:ascii="Arial" w:cs="Arial" w:eastAsia="Arial" w:hAnsi="Arial"/>
          <w:sz w:val="18"/>
          <w:szCs w:val="18"/>
          <w:color w:val="auto"/>
        </w:rPr>
        <w:t>At May 5, 2019, the Company had unrecognized compensation expense of $4.5 million related to the restricted stock awards, which is expected to be recognized over a weighted average period of 3.0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May 5, 2019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February 3, 2019</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32,765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71,469</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36,473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(34,203)</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154,213</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136,652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167,109</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SEGMENT REPORTING</w:t>
      </w:r>
    </w:p>
    <w:p>
      <w:pPr>
        <w:spacing w:after="0" w:line="189" w:lineRule="exact"/>
        <w:rPr>
          <w:sz w:val="20"/>
          <w:szCs w:val="20"/>
          <w:color w:val="auto"/>
        </w:rPr>
      </w:pPr>
    </w:p>
    <w:p>
      <w:pPr>
        <w:ind w:right="30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8"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Income tax expense, and corporate expenses, which include but are not limited to: human resources, legal, finance, information technology, design and other corporate-related expenses are included in the Company’s direct segment. Interest expense,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61"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Net sales outside of the United States were insignificant. Variable allocations of assets are not made for segment reporting. The Company does not have any assets outside of the United States.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May 5, 2019</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2"/>
              </w:rPr>
              <w:t>April 29, 2018</w:t>
            </w:r>
          </w:p>
        </w:tc>
        <w:tc>
          <w:tcPr>
            <w:tcW w:w="20" w:type="dxa"/>
            <w:vAlign w:val="bottom"/>
          </w:tcPr>
          <w:p>
            <w:pPr>
              <w:spacing w:after="0"/>
              <w:rPr>
                <w:sz w:val="18"/>
                <w:szCs w:val="18"/>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Direct</w:t>
            </w:r>
          </w:p>
        </w:tc>
        <w:tc>
          <w:tcPr>
            <w:tcW w:w="2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65,701</w:t>
            </w:r>
          </w:p>
        </w:tc>
        <w:tc>
          <w:tcPr>
            <w:tcW w:w="7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66,212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48,543</w:t>
            </w: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2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114,244</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100,207</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 income</w:t>
            </w:r>
          </w:p>
        </w:tc>
        <w:tc>
          <w:tcPr>
            <w:tcW w:w="2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Direct</w:t>
            </w:r>
          </w:p>
        </w:tc>
        <w:tc>
          <w:tcPr>
            <w:tcW w:w="2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(12,266)</w:t>
            </w:r>
          </w:p>
        </w:tc>
        <w:tc>
          <w:tcPr>
            <w:tcW w:w="7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Total operating loss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(9,691)</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Loss before income taxes</w:t>
            </w:r>
          </w:p>
        </w:tc>
        <w:tc>
          <w:tcPr>
            <w:tcW w:w="2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9"/>
                <w:szCs w:val="19"/>
                <w:color w:val="auto"/>
              </w:rPr>
            </w:pPr>
          </w:p>
        </w:tc>
      </w:tr>
      <w:tr>
        <w:trPr>
          <w:trHeight w:val="41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by business is presented in the following table: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4"/>
          </w:tcPr>
          <w:p>
            <w:pPr>
              <w:jc w:val="right"/>
              <w:ind w:right="1294"/>
              <w:spacing w:after="0"/>
              <w:rPr>
                <w:sz w:val="20"/>
                <w:szCs w:val="20"/>
                <w:color w:val="auto"/>
              </w:rPr>
            </w:pPr>
            <w:r>
              <w:rPr>
                <w:rFonts w:ascii="Arial" w:cs="Arial" w:eastAsia="Arial" w:hAnsi="Arial"/>
                <w:sz w:val="14"/>
                <w:szCs w:val="14"/>
                <w:b w:val="1"/>
                <w:bCs w:val="1"/>
                <w:color w:val="auto"/>
              </w:rPr>
              <w:t>Three Months Ended</w:t>
            </w: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May 5, 2019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April 29, 2018</w:t>
            </w:r>
          </w:p>
        </w:tc>
      </w:tr>
      <w:tr>
        <w:trPr>
          <w:trHeight w:val="196"/>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Men's</w:t>
            </w:r>
          </w:p>
        </w:tc>
        <w:tc>
          <w:tcPr>
            <w:tcW w:w="9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75,800</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67,919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Women's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Hard goods/other</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net sales</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100,207</w:t>
            </w:r>
          </w:p>
        </w:tc>
      </w:tr>
      <w:tr>
        <w:trPr>
          <w:trHeight w:val="379"/>
        </w:trPr>
        <w:tc>
          <w:tcPr>
            <w:tcW w:w="20" w:type="dxa"/>
            <w:vAlign w:val="bottom"/>
          </w:tcPr>
          <w:p>
            <w:pPr>
              <w:spacing w:after="0"/>
              <w:rPr>
                <w:sz w:val="24"/>
                <w:szCs w:val="24"/>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Segment total assets is presented in the following table: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May 5, 2019</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February 3, 2019</w:t>
            </w:r>
          </w:p>
        </w:tc>
      </w:tr>
      <w:tr>
        <w:trPr>
          <w:trHeight w:val="183"/>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92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193,106</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182,883</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225,824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113,876</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5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418,930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296,759</w:t>
            </w:r>
          </w:p>
        </w:tc>
      </w:tr>
    </w:tbl>
    <w:p>
      <w:pPr>
        <w:spacing w:after="0" w:line="40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INCOME TAXES</w:t>
      </w:r>
    </w:p>
    <w:p>
      <w:pPr>
        <w:spacing w:after="0" w:line="189"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26% and 25% for the three months ended May 5, 2019 and April 29, 2018, respectively. The income from TRI was excluded from the calculation of the Company’s effective tax rate, as TRI is a limited liability company and not subject to income taxes.</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RECENT ACCOUNTING PRONOUNCEMENTS</w:t>
      </w:r>
    </w:p>
    <w:p>
      <w:pPr>
        <w:spacing w:after="0" w:line="202"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During the three months ended May 5, 2019, there have been no new recent accounting pronouncements that are of significance, or potential significance, to the Company.</w:t>
      </w:r>
    </w:p>
    <w:p>
      <w:pPr>
        <w:spacing w:after="0" w:line="3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ind w:right="40" w:firstLine="428"/>
        <w:spacing w:after="0" w:line="264" w:lineRule="auto"/>
        <w:rPr>
          <w:sz w:val="20"/>
          <w:szCs w:val="20"/>
          <w:color w:val="auto"/>
        </w:rPr>
      </w:pPr>
      <w:r>
        <w:rPr>
          <w:rFonts w:ascii="Arial" w:cs="Arial" w:eastAsia="Arial" w:hAnsi="Arial"/>
          <w:sz w:val="18"/>
          <w:szCs w:val="18"/>
          <w:color w:val="auto"/>
        </w:rPr>
        <w:t>The Company has evaluated subsequent events through the date which these condensed consolidated financial statements were available to be issued and has determined that it does not have any material subsequent events to disclose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12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February 3, 2019 (“2018 Form 10-K”).</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The three months of fiscal 2019 and fiscal 2018 represent our 13-week periods ended May 5, 2019 and April 29, 2018, respectively.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w:t>
      </w:r>
    </w:p>
    <w:p>
      <w:pPr>
        <w:spacing w:after="0"/>
        <w:rPr>
          <w:sz w:val="20"/>
          <w:szCs w:val="20"/>
          <w:color w:val="auto"/>
        </w:rPr>
      </w:pPr>
      <w:r>
        <w:rPr>
          <w:rFonts w:ascii="Arial" w:cs="Arial" w:eastAsia="Arial" w:hAnsi="Arial"/>
          <w:sz w:val="14"/>
          <w:szCs w:val="14"/>
          <w:i w:val="1"/>
          <w:iCs w:val="1"/>
          <w:color w:val="auto"/>
        </w:rPr>
        <w:t>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428"/>
        <w:spacing w:after="0" w:line="284"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2018 Form 10-K and other SEC filings, which factors are incorporated by reference herein. These risks and uncertainties include, but are not limited to, the following: our ability to maintain and enhance a strong brand image; our ability to successfully open new stores; effectively adapting to new challenges associated with our expansion into new geographic markets; generating adequate cash from our existing stores to support our growth;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45" w:lineRule="exact"/>
        <w:rPr>
          <w:sz w:val="20"/>
          <w:szCs w:val="20"/>
          <w:color w:val="auto"/>
        </w:rPr>
      </w:pPr>
    </w:p>
    <w:p>
      <w:pPr>
        <w:ind w:right="70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428"/>
        <w:spacing w:after="0" w:line="293" w:lineRule="auto"/>
        <w:rPr>
          <w:sz w:val="20"/>
          <w:szCs w:val="20"/>
          <w:color w:val="auto"/>
        </w:rPr>
      </w:pPr>
      <w:r>
        <w:rPr>
          <w:rFonts w:ascii="Arial" w:cs="Arial" w:eastAsia="Arial" w:hAnsi="Arial"/>
          <w:sz w:val="16"/>
          <w:szCs w:val="16"/>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57.5% and 66.1% of our consolidated net sales for the three months ended May 5, 2019 and April 29, 2018, respectively. In 2010, we added retail to our omni-channel platform with the opening of our first store. Since then, we have expanded our retail presence, and as of May 5, 2019, we operated 48 retail stores and three outlet stores. Net sales for our retail segment represented 42.5% and 33.9% of our consolidated net sales for the three months ended May 5, 2019 and April 29, 2018, respectively.</w:t>
      </w:r>
    </w:p>
    <w:p>
      <w:pPr>
        <w:spacing w:after="0" w:line="138"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We offer a comprehensive line of innovative, durable and functional products, such as our Longtail T</w:t>
      </w:r>
      <w:r>
        <w:rPr>
          <w:rFonts w:ascii="Arial" w:cs="Arial" w:eastAsia="Arial" w:hAnsi="Arial"/>
          <w:sz w:val="7"/>
          <w:szCs w:val="7"/>
          <w:color w:val="auto"/>
        </w:rPr>
        <w:t>®</w:t>
      </w:r>
      <w:r>
        <w:rPr>
          <w:rFonts w:ascii="Arial" w:cs="Arial" w:eastAsia="Arial" w:hAnsi="Arial"/>
          <w:sz w:val="18"/>
          <w:szCs w:val="18"/>
          <w:color w:val="auto"/>
        </w:rPr>
        <w:t xml:space="preserve"> shirts, Buck Naked</w:t>
      </w:r>
      <w:r>
        <w:rPr>
          <w:rFonts w:ascii="Arial" w:cs="Arial" w:eastAsia="Arial" w:hAnsi="Arial"/>
          <w:sz w:val="7"/>
          <w:szCs w:val="7"/>
          <w:color w:val="auto"/>
        </w:rPr>
        <w:t>TM</w:t>
      </w:r>
      <w:r>
        <w:rPr>
          <w:rFonts w:ascii="Arial" w:cs="Arial" w:eastAsia="Arial" w:hAnsi="Arial"/>
          <w:sz w:val="18"/>
          <w:szCs w:val="18"/>
          <w:color w:val="auto"/>
        </w:rPr>
        <w:t xml:space="preserve"> underwear, Fire Hose</w:t>
      </w:r>
      <w:r>
        <w:rPr>
          <w:rFonts w:ascii="Arial" w:cs="Arial" w:eastAsia="Arial" w:hAnsi="Arial"/>
          <w:sz w:val="7"/>
          <w:szCs w:val="7"/>
          <w:color w:val="auto"/>
        </w:rPr>
        <w:t>®</w:t>
      </w:r>
      <w:r>
        <w:rPr>
          <w:rFonts w:ascii="Arial" w:cs="Arial" w:eastAsia="Arial" w:hAnsi="Arial"/>
          <w:sz w:val="18"/>
          <w:szCs w:val="18"/>
          <w:color w:val="auto"/>
        </w:rPr>
        <w:t xml:space="preserve"> work pants, and No-Yank</w:t>
      </w:r>
      <w:r>
        <w:rPr>
          <w:rFonts w:ascii="Arial" w:cs="Arial" w:eastAsia="Arial" w:hAnsi="Arial"/>
          <w:sz w:val="7"/>
          <w:szCs w:val="7"/>
          <w:color w:val="auto"/>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1" w:lineRule="exact"/>
        <w:rPr>
          <w:sz w:val="20"/>
          <w:szCs w:val="20"/>
          <w:color w:val="auto"/>
        </w:rPr>
      </w:pPr>
    </w:p>
    <w:p>
      <w:pPr>
        <w:ind w:left="860" w:hanging="420"/>
        <w:spacing w:after="0"/>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37 consecutive quarters through May 5, 2019;</w:t>
      </w:r>
    </w:p>
    <w:p>
      <w:pPr>
        <w:spacing w:after="0" w:line="96" w:lineRule="exact"/>
        <w:rPr>
          <w:rFonts w:ascii="Arial" w:cs="Arial" w:eastAsia="Arial" w:hAnsi="Arial"/>
          <w:sz w:val="29"/>
          <w:szCs w:val="29"/>
          <w:color w:val="auto"/>
          <w:vertAlign w:val="superscript"/>
        </w:rPr>
      </w:pPr>
    </w:p>
    <w:p>
      <w:pPr>
        <w:ind w:left="860" w:hanging="420"/>
        <w:spacing w:after="0" w:line="186" w:lineRule="auto"/>
        <w:tabs>
          <w:tab w:leader="none" w:pos="86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Net sales in fiscal 2019 first quarter increased by 14.0% over the prior year first quarter to $114.2 million;</w:t>
      </w:r>
    </w:p>
    <w:p>
      <w:pPr>
        <w:spacing w:after="0" w:line="96" w:lineRule="exact"/>
        <w:rPr>
          <w:rFonts w:ascii="Arial" w:cs="Arial" w:eastAsia="Arial" w:hAnsi="Arial"/>
          <w:sz w:val="24"/>
          <w:szCs w:val="24"/>
          <w:color w:val="auto"/>
          <w:vertAlign w:val="superscript"/>
        </w:rPr>
      </w:pPr>
    </w:p>
    <w:p>
      <w:pPr>
        <w:ind w:left="860" w:hanging="420"/>
        <w:spacing w:after="0" w:line="186" w:lineRule="auto"/>
        <w:tabs>
          <w:tab w:leader="none" w:pos="86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Net loss of $7.6 million in fiscal 2019 first quarter compared to the prior year first quarter net loss of $0.7 million;</w:t>
      </w:r>
    </w:p>
    <w:p>
      <w:pPr>
        <w:spacing w:after="0" w:line="96" w:lineRule="exact"/>
        <w:rPr>
          <w:rFonts w:ascii="Arial" w:cs="Arial" w:eastAsia="Arial" w:hAnsi="Arial"/>
          <w:sz w:val="24"/>
          <w:szCs w:val="24"/>
          <w:color w:val="auto"/>
          <w:vertAlign w:val="superscript"/>
        </w:rPr>
      </w:pPr>
    </w:p>
    <w:p>
      <w:pPr>
        <w:ind w:left="860" w:right="700" w:hanging="420"/>
        <w:spacing w:after="0" w:line="191" w:lineRule="auto"/>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Adjusted EBITDA of $(4.4) million in fiscal 2019 first quarter compared to the prior year first quarter Adjusted EBITDA of $2.6 million;</w:t>
      </w:r>
    </w:p>
    <w:p>
      <w:pPr>
        <w:ind w:left="860" w:hanging="420"/>
        <w:spacing w:after="0" w:line="231" w:lineRule="auto"/>
        <w:tabs>
          <w:tab w:leader="none" w:pos="86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We opened five new stores in fiscal 2019 first quarter, adding approximately 78,000 of gross square footage; and</w:t>
      </w:r>
    </w:p>
    <w:p>
      <w:pPr>
        <w:spacing w:after="0" w:line="96" w:lineRule="exact"/>
        <w:rPr>
          <w:rFonts w:ascii="Arial" w:cs="Arial" w:eastAsia="Arial" w:hAnsi="Arial"/>
          <w:sz w:val="28"/>
          <w:szCs w:val="28"/>
          <w:color w:val="auto"/>
          <w:vertAlign w:val="superscript"/>
        </w:rPr>
      </w:pPr>
    </w:p>
    <w:p>
      <w:pPr>
        <w:ind w:left="860" w:hanging="420"/>
        <w:spacing w:after="0" w:line="186" w:lineRule="auto"/>
        <w:tabs>
          <w:tab w:leader="none" w:pos="86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Our retail stores have achieved and are expected to continue to achieve an average payback of less than two years.</w:t>
      </w:r>
    </w:p>
    <w:p>
      <w:pPr>
        <w:spacing w:after="0" w:line="162"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60"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41" w:lineRule="exact"/>
        <w:rPr>
          <w:sz w:val="20"/>
          <w:szCs w:val="20"/>
          <w:color w:val="auto"/>
        </w:rPr>
      </w:pPr>
    </w:p>
    <w:p>
      <w:pPr>
        <w:ind w:right="340" w:firstLine="428"/>
        <w:spacing w:after="0" w:line="264" w:lineRule="auto"/>
        <w:rPr>
          <w:sz w:val="20"/>
          <w:szCs w:val="20"/>
          <w:color w:val="auto"/>
        </w:rPr>
      </w:pPr>
      <w:r>
        <w:rPr>
          <w:rFonts w:ascii="Arial" w:cs="Arial" w:eastAsia="Arial" w:hAnsi="Arial"/>
          <w:sz w:val="18"/>
          <w:szCs w:val="18"/>
          <w:color w:val="auto"/>
        </w:rPr>
        <w:t>We are pursuing several strategies to continue our growth, including building brand awareness to continue customer acquisition, continuing retail expansion,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02"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80" w:firstLine="428"/>
        <w:spacing w:after="0" w:line="31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shipment of the product and retail sales are recognized at the point of sale. We also use net sales as one of the key financial metrics in determining our annual bonus compensation for our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8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right="80" w:firstLine="428"/>
        <w:spacing w:after="0" w:line="279" w:lineRule="auto"/>
        <w:rPr>
          <w:sz w:val="20"/>
          <w:szCs w:val="20"/>
          <w:color w:val="auto"/>
        </w:rPr>
      </w:pPr>
      <w:r>
        <w:rPr>
          <w:rFonts w:ascii="Arial" w:cs="Arial" w:eastAsia="Arial" w:hAnsi="Arial"/>
          <w:sz w:val="17"/>
          <w:szCs w:val="17"/>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May 5, 2019</w:t>
            </w:r>
          </w:p>
        </w:tc>
        <w:tc>
          <w:tcPr>
            <w:tcW w:w="260" w:type="dxa"/>
            <w:vAlign w:val="bottom"/>
          </w:tcPr>
          <w:p>
            <w:pPr>
              <w:spacing w:after="0"/>
              <w:rPr>
                <w:sz w:val="15"/>
                <w:szCs w:val="15"/>
                <w:color w:val="auto"/>
              </w:rPr>
            </w:pPr>
          </w:p>
        </w:tc>
        <w:tc>
          <w:tcPr>
            <w:tcW w:w="174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April 29, 2018</w:t>
            </w:r>
          </w:p>
        </w:tc>
        <w:tc>
          <w:tcPr>
            <w:tcW w:w="0" w:type="dxa"/>
            <w:vAlign w:val="bottom"/>
          </w:tcPr>
          <w:p>
            <w:pPr>
              <w:spacing w:after="0"/>
              <w:rPr>
                <w:sz w:val="1"/>
                <w:szCs w:val="1"/>
                <w:color w:val="auto"/>
              </w:rPr>
            </w:pPr>
          </w:p>
        </w:tc>
      </w:tr>
      <w:tr>
        <w:trPr>
          <w:trHeight w:val="196"/>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1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65,701</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66,212</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33,995</w:t>
            </w:r>
          </w:p>
        </w:tc>
        <w:tc>
          <w:tcPr>
            <w:tcW w:w="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440" w:type="dxa"/>
            <w:vAlign w:val="bottom"/>
            <w:gridSpan w:val="2"/>
          </w:tcPr>
          <w:p>
            <w:pPr>
              <w:spacing w:after="0"/>
              <w:rPr>
                <w:sz w:val="20"/>
                <w:szCs w:val="20"/>
                <w:color w:val="auto"/>
              </w:rPr>
            </w:pPr>
            <w:r>
              <w:rPr>
                <w:rFonts w:ascii="Arial" w:cs="Arial" w:eastAsia="Arial" w:hAnsi="Arial"/>
                <w:sz w:val="18"/>
                <w:szCs w:val="18"/>
                <w:color w:val="auto"/>
              </w:rPr>
              <w:t>Cost of goods sold (excluding depreciation</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amortization)</w:t>
            </w:r>
          </w:p>
        </w:tc>
        <w:tc>
          <w:tcPr>
            <w:tcW w:w="1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53,326</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44,267</w:t>
            </w:r>
          </w:p>
        </w:tc>
        <w:tc>
          <w:tcPr>
            <w:tcW w:w="3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56,197</w:t>
            </w:r>
          </w:p>
        </w:tc>
        <w:tc>
          <w:tcPr>
            <w:tcW w:w="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1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440" w:type="dxa"/>
            <w:vAlign w:val="bottom"/>
            <w:gridSpan w:val="2"/>
          </w:tcPr>
          <w:p>
            <w:pPr>
              <w:spacing w:after="0"/>
              <w:rPr>
                <w:sz w:val="20"/>
                <w:szCs w:val="20"/>
                <w:color w:val="auto"/>
              </w:rPr>
            </w:pPr>
            <w:r>
              <w:rPr>
                <w:rFonts w:ascii="Arial" w:cs="Arial" w:eastAsia="Arial" w:hAnsi="Arial"/>
                <w:sz w:val="18"/>
                <w:szCs w:val="18"/>
                <w:color w:val="auto"/>
              </w:rPr>
              <w:t>Net loss attributable to controlling interest</w:t>
            </w:r>
          </w:p>
        </w:tc>
        <w:tc>
          <w:tcPr>
            <w:tcW w:w="1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12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Direct net sales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260" w:type="dxa"/>
            <w:vAlign w:val="bottom"/>
          </w:tcPr>
          <w:p>
            <w:pPr>
              <w:spacing w:after="0"/>
              <w:rPr>
                <w:sz w:val="19"/>
                <w:szCs w:val="19"/>
                <w:color w:val="auto"/>
              </w:rPr>
            </w:pP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sales</w:t>
            </w:r>
          </w:p>
        </w:tc>
        <w:tc>
          <w:tcPr>
            <w:tcW w:w="1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amortization)</w:t>
            </w: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2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61.8 %</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net</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260" w:type="dxa"/>
            <w:vAlign w:val="bottom"/>
          </w:tcPr>
          <w:p>
            <w:pPr>
              <w:spacing w:after="0"/>
              <w:rPr>
                <w:sz w:val="19"/>
                <w:szCs w:val="19"/>
                <w:color w:val="auto"/>
              </w:rPr>
            </w:pP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benefit</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Less: Net (loss) income attributable to</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controlling interest</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3120"/>
        <w:spacing w:after="0" w:line="464" w:lineRule="auto"/>
        <w:rPr>
          <w:sz w:val="20"/>
          <w:szCs w:val="20"/>
          <w:color w:val="auto"/>
        </w:rPr>
      </w:pPr>
      <w:r>
        <w:rPr>
          <w:rFonts w:ascii="Arial" w:cs="Arial" w:eastAsia="Arial" w:hAnsi="Arial"/>
          <w:sz w:val="18"/>
          <w:szCs w:val="18"/>
          <w:b w:val="1"/>
          <w:bCs w:val="1"/>
          <w:color w:val="auto"/>
        </w:rPr>
        <w:t xml:space="preserve">Three Months Ended May 5, 2019 Compared to Three Months Ended April 29, 2018 </w:t>
      </w:r>
      <w:r>
        <w:rPr>
          <w:rFonts w:ascii="Arial" w:cs="Arial" w:eastAsia="Arial" w:hAnsi="Arial"/>
          <w:sz w:val="18"/>
          <w:szCs w:val="18"/>
          <w:b w:val="1"/>
          <w:bCs w:val="1"/>
          <w:i w:val="1"/>
          <w:iCs w:val="1"/>
          <w:color w:val="auto"/>
        </w:rPr>
        <w:t>Net Sales</w:t>
      </w:r>
    </w:p>
    <w:p>
      <w:pPr>
        <w:ind w:firstLine="428"/>
        <w:spacing w:after="0" w:line="255" w:lineRule="auto"/>
        <w:rPr>
          <w:sz w:val="20"/>
          <w:szCs w:val="20"/>
          <w:color w:val="auto"/>
        </w:rPr>
      </w:pPr>
      <w:r>
        <w:rPr>
          <w:rFonts w:ascii="Arial" w:cs="Arial" w:eastAsia="Arial" w:hAnsi="Arial"/>
          <w:sz w:val="18"/>
          <w:szCs w:val="18"/>
          <w:color w:val="auto"/>
        </w:rPr>
        <w:t>Net sales increased $14.0 million, or 14.0%, to $114.2 million in the three months ended May 5, 2019 compared to $100.2 million in the three months ended April 29, 2018, driven by an increase in the retail segment of $14.5 million, or 42.8%, partially offset by a decrease in the direct segment of $0.5 million, or 0.8%, with gains across virtually all product categories and in both our men’s and women’s business. The decrease in the direct segment net sales has continued into the first five weeks of the second quarter. Our website visits increased 14% in the three months ended May 5, 2019 compared to the three months ended April 29, 2018. The increase in retail net sales was driven by new stores with 51 stores as of May 5, 2019 compared to 33 stores as of April 29, 2018, partially offset by existing stores.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140" w:firstLine="428"/>
        <w:spacing w:after="0" w:line="257" w:lineRule="auto"/>
        <w:rPr>
          <w:sz w:val="20"/>
          <w:szCs w:val="20"/>
          <w:color w:val="auto"/>
        </w:rPr>
      </w:pPr>
      <w:r>
        <w:rPr>
          <w:rFonts w:ascii="Arial" w:cs="Arial" w:eastAsia="Arial" w:hAnsi="Arial"/>
          <w:sz w:val="18"/>
          <w:szCs w:val="18"/>
          <w:color w:val="auto"/>
        </w:rPr>
        <w:t>Gross profit increased $5.0 million, or 8.9%, to $60.9 million in the three months ended May 5, 2019 compared to $55.9 million in the three months ended April 29, 2018. As a percentage of net sales, gross margin decreased 250 basis points to 53.3% of net sales in the three months ended May 5, 2019, compared to 55.8% of net sales in the three months ended April 29, 2018. The decrease in gross margin rate was primarily attributable to a decrease in product margins due to product mix on recent clearance activity, coupled with a slight decrease in shipping 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120" w:firstLine="428"/>
        <w:spacing w:after="0" w:line="297" w:lineRule="auto"/>
        <w:rPr>
          <w:sz w:val="20"/>
          <w:szCs w:val="20"/>
          <w:color w:val="auto"/>
        </w:rPr>
      </w:pPr>
      <w:r>
        <w:rPr>
          <w:rFonts w:ascii="Arial" w:cs="Arial" w:eastAsia="Arial" w:hAnsi="Arial"/>
          <w:sz w:val="16"/>
          <w:szCs w:val="16"/>
          <w:color w:val="auto"/>
        </w:rPr>
        <w:t>Selling, general and administrative expenses increased $14.4 million, or 25.6%, to $70.6 million in the three months ended May 5, 2019 compared to $56.2 million in the three months ended April 29, 2018. Selling, general and administrative expenses as a percentage of net sales increased 570 basis points to 61.8% in the three months ended May 5, 2019, compared to 56.1% in the three months ended April 29, 2018. The increase in selling, general and administrative expenses was attributable to an increase of $2.5 million in advertising and marketing costs, $2.9 million in selling expenses and $9.0 million in general and administrative expenses.</w:t>
      </w:r>
    </w:p>
    <w:p>
      <w:pPr>
        <w:spacing w:after="0" w:line="118" w:lineRule="exact"/>
        <w:rPr>
          <w:sz w:val="20"/>
          <w:szCs w:val="20"/>
          <w:color w:val="auto"/>
        </w:rPr>
      </w:pPr>
    </w:p>
    <w:p>
      <w:pPr>
        <w:ind w:right="20" w:firstLine="428"/>
        <w:spacing w:after="0" w:line="312" w:lineRule="auto"/>
        <w:rPr>
          <w:sz w:val="20"/>
          <w:szCs w:val="20"/>
          <w:color w:val="auto"/>
        </w:rPr>
      </w:pPr>
      <w:r>
        <w:rPr>
          <w:rFonts w:ascii="Arial" w:cs="Arial" w:eastAsia="Arial" w:hAnsi="Arial"/>
          <w:sz w:val="16"/>
          <w:szCs w:val="16"/>
          <w:color w:val="auto"/>
        </w:rPr>
        <w:t>As a percentage of net sales, advertising and marketing costs decreased 50 basis points to 21.1% in the three months ended May 5, 2019, compared to 21.6% in the three months ended April 29, 2018. The 50 basis point decrease in advertising and marketing costs as a percentage of net sales was primarily attributable to advertising leverage gained from a higher mix of retail sales.</w:t>
      </w:r>
    </w:p>
    <w:p>
      <w:pPr>
        <w:spacing w:after="0" w:line="106" w:lineRule="exact"/>
        <w:rPr>
          <w:sz w:val="20"/>
          <w:szCs w:val="20"/>
          <w:color w:val="auto"/>
        </w:rPr>
      </w:pPr>
    </w:p>
    <w:p>
      <w:pPr>
        <w:ind w:right="160" w:firstLine="428"/>
        <w:spacing w:after="0" w:line="312" w:lineRule="auto"/>
        <w:rPr>
          <w:sz w:val="20"/>
          <w:szCs w:val="20"/>
          <w:color w:val="auto"/>
        </w:rPr>
      </w:pPr>
      <w:r>
        <w:rPr>
          <w:rFonts w:ascii="Arial" w:cs="Arial" w:eastAsia="Arial" w:hAnsi="Arial"/>
          <w:sz w:val="16"/>
          <w:szCs w:val="16"/>
          <w:color w:val="auto"/>
        </w:rPr>
        <w:t>As a percentage of net sales, selling expenses increased 50 basis points to 16.6% in the three months ended May 5, 2019, compared to 16.1% in the three months ended April 29, 2018, primarily due to an increase in customer service due to our growth in retail, partially offset by a decrease in shipping expenses due to leverage from an increase in the proportion of retail net sales.</w:t>
      </w:r>
    </w:p>
    <w:p>
      <w:pPr>
        <w:spacing w:after="0" w:line="120" w:lineRule="exact"/>
        <w:rPr>
          <w:sz w:val="20"/>
          <w:szCs w:val="20"/>
          <w:color w:val="auto"/>
        </w:rPr>
      </w:pPr>
    </w:p>
    <w:p>
      <w:pPr>
        <w:ind w:right="160" w:firstLine="428"/>
        <w:spacing w:after="0" w:line="257" w:lineRule="auto"/>
        <w:rPr>
          <w:sz w:val="20"/>
          <w:szCs w:val="20"/>
          <w:color w:val="auto"/>
        </w:rPr>
      </w:pPr>
      <w:r>
        <w:rPr>
          <w:rFonts w:ascii="Arial" w:cs="Arial" w:eastAsia="Arial" w:hAnsi="Arial"/>
          <w:sz w:val="18"/>
          <w:szCs w:val="18"/>
          <w:color w:val="auto"/>
        </w:rPr>
        <w:t>As a percentage of net sales, general and administrative expenses increased 570 basis points to 24.1% in the three months ended May 5, 2019, compared to 18.4% in the three months ended April 29, 2018. The 570 basis point increase was primarily attributable to an increase in occupancy and equipment cost due to growth in the number of retail stores, an increase in depreciation expense due to investments in technology and corporate facilities, and an increase in personnel cost due to an increase in headcount to support the growth of the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85" w:lineRule="exact"/>
        <w:rPr>
          <w:sz w:val="20"/>
          <w:szCs w:val="20"/>
          <w:color w:val="auto"/>
        </w:rPr>
      </w:pPr>
    </w:p>
    <w:p>
      <w:pPr>
        <w:jc w:val="both"/>
        <w:ind w:right="400" w:firstLine="428"/>
        <w:spacing w:after="0" w:line="264" w:lineRule="auto"/>
        <w:rPr>
          <w:sz w:val="20"/>
          <w:szCs w:val="20"/>
          <w:color w:val="auto"/>
        </w:rPr>
      </w:pPr>
      <w:r>
        <w:rPr>
          <w:rFonts w:ascii="Arial" w:cs="Arial" w:eastAsia="Arial" w:hAnsi="Arial"/>
          <w:sz w:val="18"/>
          <w:szCs w:val="18"/>
          <w:color w:val="auto"/>
        </w:rPr>
        <w:t>Income tax benefit was $2.7 million in the three months ended May 5, 2019, compared to $0.2 million in the three months ended April 29, 2018. Our effective tax rate related to controlling interest was 26% and 25% for the three months ended May 5, 2019, and April 29,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85" w:lineRule="exact"/>
        <w:rPr>
          <w:sz w:val="20"/>
          <w:szCs w:val="20"/>
          <w:color w:val="auto"/>
        </w:rPr>
      </w:pPr>
    </w:p>
    <w:p>
      <w:pPr>
        <w:ind w:right="700" w:firstLine="428"/>
        <w:spacing w:after="0" w:line="277" w:lineRule="auto"/>
        <w:rPr>
          <w:sz w:val="20"/>
          <w:szCs w:val="20"/>
          <w:color w:val="auto"/>
        </w:rPr>
      </w:pPr>
      <w:r>
        <w:rPr>
          <w:rFonts w:ascii="Arial" w:cs="Arial" w:eastAsia="Arial" w:hAnsi="Arial"/>
          <w:sz w:val="18"/>
          <w:szCs w:val="18"/>
          <w:color w:val="auto"/>
        </w:rPr>
        <w:t>Net loss was $7.6 million, in the three months ended May 5, 2019 compared to $0.7 million in the three months ended April 29, 2018,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202" w:lineRule="exact"/>
        <w:rPr>
          <w:sz w:val="20"/>
          <w:szCs w:val="20"/>
          <w:color w:val="auto"/>
        </w:rPr>
      </w:pPr>
    </w:p>
    <w:p>
      <w:pPr>
        <w:jc w:val="both"/>
        <w:ind w:right="16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May 5, 2019</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29, 2018</w:t>
            </w:r>
          </w:p>
        </w:tc>
        <w:tc>
          <w:tcPr>
            <w:tcW w:w="20" w:type="dxa"/>
            <w:vAlign w:val="bottom"/>
          </w:tcPr>
          <w:p>
            <w:pPr>
              <w:spacing w:after="0"/>
              <w:rPr>
                <w:sz w:val="15"/>
                <w:szCs w:val="15"/>
                <w:color w:val="auto"/>
              </w:rPr>
            </w:pPr>
          </w:p>
        </w:tc>
      </w:tr>
      <w:tr>
        <w:trPr>
          <w:trHeight w:val="250"/>
        </w:trPr>
        <w:tc>
          <w:tcPr>
            <w:tcW w:w="44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Amortization of build-to-suit leases capital contribution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1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EBITDA</w:t>
            </w:r>
          </w:p>
        </w:tc>
        <w:tc>
          <w:tcPr>
            <w:tcW w:w="15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(4,881)</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based compensation</w:t>
            </w:r>
          </w:p>
        </w:tc>
        <w:tc>
          <w:tcPr>
            <w:tcW w:w="1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r>
      <w:tr>
        <w:trPr>
          <w:trHeight w:val="217"/>
        </w:trPr>
        <w:tc>
          <w:tcPr>
            <w:tcW w:w="44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5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80" w:type="dxa"/>
            <w:vAlign w:val="bottom"/>
          </w:tcPr>
          <w:p>
            <w:pPr>
              <w:jc w:val="right"/>
              <w:ind w:right="101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120" w:firstLine="428"/>
        <w:spacing w:after="0" w:line="259" w:lineRule="auto"/>
        <w:rPr>
          <w:sz w:val="20"/>
          <w:szCs w:val="20"/>
          <w:color w:val="auto"/>
        </w:rPr>
      </w:pPr>
      <w:r>
        <w:rPr>
          <w:rFonts w:ascii="Arial" w:cs="Arial" w:eastAsia="Arial" w:hAnsi="Arial"/>
          <w:sz w:val="18"/>
          <w:szCs w:val="18"/>
          <w:color w:val="auto"/>
        </w:rPr>
        <w:t>As a result of the factors discussed above in the “Results of Operations” section, Adjusted EBITDA decreased $7.0 million to $(4.4) million in the three months ended May 5, 2019 compared to $2.6 million in the three months ended April 29, 2018. As a percentage of net sales, Adjusted EBITDA decreased 650 basis points to (3.9)% of net sales in the three months ended May 5, 2019 compared to 2.6% of net sales in the three months ended April 29, 2018.</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40" w:firstLine="428"/>
        <w:spacing w:after="0" w:line="272" w:lineRule="auto"/>
        <w:rPr>
          <w:sz w:val="20"/>
          <w:szCs w:val="20"/>
          <w:color w:val="auto"/>
        </w:rPr>
      </w:pPr>
      <w:r>
        <w:rPr>
          <w:rFonts w:ascii="Arial" w:cs="Arial" w:eastAsia="Arial" w:hAnsi="Arial"/>
          <w:sz w:val="17"/>
          <w:szCs w:val="17"/>
          <w:color w:val="auto"/>
        </w:rPr>
        <w:t>Our business relies on cash from operating activities and a credit facility as our primary sources of liquidity. On May 17, 2018, we entered into a new credit facility which provides for borrowings of up to $80.0 million on a revolving line of credit and an additional $50.0 million in a delayed draw term loan. The $80.0 million revolving line of credit matures on May 17, 2023 and we have the option to draw in various amounts on the $50.0 million term loan through May 17, 2020, with a maturity on May 17, 2023.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37" w:lineRule="exact"/>
        <w:rPr>
          <w:sz w:val="20"/>
          <w:szCs w:val="20"/>
          <w:color w:val="auto"/>
        </w:rPr>
      </w:pPr>
    </w:p>
    <w:p>
      <w:pPr>
        <w:ind w:right="140" w:firstLine="428"/>
        <w:spacing w:after="0" w:line="254" w:lineRule="auto"/>
        <w:rPr>
          <w:sz w:val="20"/>
          <w:szCs w:val="20"/>
          <w:color w:val="auto"/>
        </w:rPr>
      </w:pPr>
      <w:r>
        <w:rPr>
          <w:rFonts w:ascii="Arial" w:cs="Arial" w:eastAsia="Arial" w:hAnsi="Arial"/>
          <w:sz w:val="18"/>
          <w:szCs w:val="18"/>
          <w:color w:val="auto"/>
        </w:rPr>
        <w:t>We expect to spend approximately $40.0 million to $45.0 million in fiscal 2019 on capital expenditures, including a total of approximately $30.0 million to $32.0 million for new retail store expansion and remodels. We expect capital expenditures of approximately $2.0 million and starting inventory of $0.5 million to open a new store. At May 5, 2019, our net working capital was $63.4 million, including $1.0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65" w:lineRule="exact"/>
        <w:rPr>
          <w:sz w:val="20"/>
          <w:szCs w:val="20"/>
          <w:color w:val="auto"/>
        </w:rPr>
      </w:pPr>
    </w:p>
    <w:p>
      <w:pPr>
        <w:ind w:right="260" w:firstLine="428"/>
        <w:spacing w:after="0" w:line="264" w:lineRule="auto"/>
        <w:rPr>
          <w:sz w:val="20"/>
          <w:szCs w:val="20"/>
          <w:color w:val="auto"/>
        </w:rPr>
      </w:pPr>
      <w:r>
        <w:rPr>
          <w:rFonts w:ascii="Arial" w:cs="Arial" w:eastAsia="Arial" w:hAnsi="Arial"/>
          <w:sz w:val="18"/>
          <w:szCs w:val="18"/>
          <w:color w:val="auto"/>
        </w:rPr>
        <w:t>We believe that our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5"/>
          </w:tcPr>
          <w:p>
            <w:pPr>
              <w:jc w:val="right"/>
              <w:ind w:right="1294"/>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5, 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29, 2018</w:t>
            </w:r>
          </w:p>
        </w:tc>
      </w:tr>
      <w:tr>
        <w:trPr>
          <w:trHeight w:val="250"/>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(13,957)</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21,963</w:t>
            </w: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color w:val="auto"/>
              </w:rPr>
              <w:t>Decrease in cash and restricted cash</w:t>
            </w:r>
          </w:p>
        </w:tc>
        <w:tc>
          <w:tcPr>
            <w:tcW w:w="130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assets and liabilities.</w:t>
      </w:r>
    </w:p>
    <w:p>
      <w:pPr>
        <w:spacing w:after="0" w:line="143"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While our cash flows from operations for the three months ended May 5, 2019 is negative, primarily driven by the seasonal nature of our business, we expect cash flows from operations for the full year fiscal 2019 to be positive from normal operating performance and seasonal reductions in working capital during the fourth quarter of our fiscal year, which is consistent with previous full fiscal years.</w:t>
      </w:r>
    </w:p>
    <w:p>
      <w:pPr>
        <w:spacing w:after="0" w:line="146"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For three months ended May 5, 2019, net cash used in operating activities was $13.1 million, which primarily consisted of net loss of $7.6 million, non-cash depreciation and amortization of $4.4 million and stock based compensation of $0.5 million, offset by cash used in operating assets and liabilities of $10.0 million. The cash used in operating assets and liabilities of $10.0 million primarily consisted of a $6.6 million increase in inventory, primarily due to the increase in the number of retail stores, a $5.3 million decrease in accrued expenses and deferred rent obligations and a $2.6 million increase in prepaid expense and other current assets due to the adoption of the new lease accounting standard, a $2.3 million decrease in deferred catalog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costs due to a shift in timing of early spring catalogs, and a $1.2 million increase in trade accounts payable due to timing of payments.</w:t>
      </w:r>
    </w:p>
    <w:p>
      <w:pPr>
        <w:spacing w:after="0" w:line="130"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For the three months ended April 29, 2018, net cash used in operating activities was $11.0 million, which primarily consisted of net loss of $0.7 million, non-cash depreciation and amortization of $2.3 million and stock based compensation of $0.4 million, offset by cash used in operating assets and liabilities of $13.1 million. The cash used in operating assets and liabilities of $13.1 million primarily consisted of a $10.4 million increase in inventory, primarily due to the increase in the number of our retail stores, a $1.5 million increase in prepaid expenses and other current assets due to growth and adoption of the revenue standard as a result of the increase in estimated expected inventory returns, and a $1.4 million decrease in trade accounts payable primarily due to timing of payments.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w:t>
      </w:r>
    </w:p>
    <w:p>
      <w:pPr>
        <w:spacing w:after="0" w:line="130"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For the three months ended May 5, 2019, net cash used in investing activities was $9.8 million and was primarily driven by capital expenditures of $8.0 million for new retail stores and retail store build-out, as well as investments in information technology, and $1.8 million of capital contributions towards our build-to-suit stores.</w:t>
      </w:r>
    </w:p>
    <w:p>
      <w:pPr>
        <w:spacing w:after="0" w:line="141" w:lineRule="exact"/>
        <w:rPr>
          <w:sz w:val="20"/>
          <w:szCs w:val="20"/>
          <w:color w:val="auto"/>
        </w:rPr>
      </w:pPr>
    </w:p>
    <w:p>
      <w:pPr>
        <w:jc w:val="both"/>
        <w:ind w:right="160" w:firstLine="428"/>
        <w:spacing w:after="0" w:line="264" w:lineRule="auto"/>
        <w:rPr>
          <w:sz w:val="20"/>
          <w:szCs w:val="20"/>
          <w:color w:val="auto"/>
        </w:rPr>
      </w:pPr>
      <w:r>
        <w:rPr>
          <w:rFonts w:ascii="Arial" w:cs="Arial" w:eastAsia="Arial" w:hAnsi="Arial"/>
          <w:sz w:val="18"/>
          <w:szCs w:val="18"/>
          <w:color w:val="auto"/>
        </w:rPr>
        <w:t>For the three months ended April 29, 2018, net cash used in investing activities was $14.0 million, which was also primarily driven by capital expenditures of $14.0 million for new retail stores and retail store build-out, as well as investments in information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ind w:right="240" w:firstLine="428"/>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distributions to holders of the noncontrolling interest in our variable interest entity TRI Holdings, LLC (“TRI”), proceeds from finance lease obligations and capital contributions to TRI.</w:t>
      </w:r>
    </w:p>
    <w:p>
      <w:pPr>
        <w:spacing w:after="0" w:line="141" w:lineRule="exact"/>
        <w:rPr>
          <w:sz w:val="20"/>
          <w:szCs w:val="20"/>
          <w:color w:val="auto"/>
        </w:rPr>
      </w:pPr>
    </w:p>
    <w:p>
      <w:pPr>
        <w:ind w:right="180" w:firstLine="428"/>
        <w:spacing w:after="0" w:line="277" w:lineRule="auto"/>
        <w:rPr>
          <w:sz w:val="20"/>
          <w:szCs w:val="20"/>
          <w:color w:val="auto"/>
        </w:rPr>
      </w:pPr>
      <w:r>
        <w:rPr>
          <w:rFonts w:ascii="Arial" w:cs="Arial" w:eastAsia="Arial" w:hAnsi="Arial"/>
          <w:sz w:val="18"/>
          <w:szCs w:val="18"/>
          <w:color w:val="auto"/>
        </w:rPr>
        <w:t>For the three months ended May 5, 2019, net cash provided by financing activities was $22.4 million, primarily consisting of proceeds of $22.7 million, net from our revolving line of credit to fund working capital.</w:t>
      </w:r>
    </w:p>
    <w:p>
      <w:pPr>
        <w:spacing w:after="0" w:line="143" w:lineRule="exact"/>
        <w:rPr>
          <w:sz w:val="20"/>
          <w:szCs w:val="20"/>
          <w:color w:val="auto"/>
        </w:rPr>
      </w:pPr>
    </w:p>
    <w:p>
      <w:pPr>
        <w:ind w:right="40" w:firstLine="428"/>
        <w:spacing w:after="0" w:line="312" w:lineRule="auto"/>
        <w:rPr>
          <w:sz w:val="20"/>
          <w:szCs w:val="20"/>
          <w:color w:val="auto"/>
        </w:rPr>
      </w:pPr>
      <w:r>
        <w:rPr>
          <w:rFonts w:ascii="Arial" w:cs="Arial" w:eastAsia="Arial" w:hAnsi="Arial"/>
          <w:sz w:val="16"/>
          <w:szCs w:val="16"/>
          <w:color w:val="auto"/>
        </w:rPr>
        <w:t>For the three months ended April 29, 2018, net cash provided by financing activities was $22.0 million, primarily consisting of proceeds of $21.3 million, net from our revolving line of credit to fund working capital and capital expenditures, $0.5 million in change in bank overdraft and $0.3 million from finance lease obligations in connection with our build-to-suit lease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firstLine="428"/>
        <w:spacing w:after="0" w:line="276" w:lineRule="auto"/>
        <w:rPr>
          <w:sz w:val="20"/>
          <w:szCs w:val="20"/>
          <w:color w:val="auto"/>
        </w:rPr>
      </w:pPr>
      <w:r>
        <w:rPr>
          <w:rFonts w:ascii="Arial" w:cs="Arial" w:eastAsia="Arial" w:hAnsi="Arial"/>
          <w:sz w:val="17"/>
          <w:szCs w:val="17"/>
          <w:color w:val="auto"/>
        </w:rPr>
        <w:t>On May 17, 2018, we entered into a new credit agreement and subsequently terminated our Amended and Restated Agreement. The outstanding balance of $27.5 million under the Amended and Restated Agreement was paid off with borrowings under the new credit agreement. The credit agreement is secured by essentially all Company assets and requires that we maintain compliance with certain financial and non-financial covenants, including a trailing twelve month maximum rent adjusted leverage ratio and minimum fixed charge coverage ratio. See Note 3 “Debt and Line of Credit,” for further information.</w:t>
      </w:r>
    </w:p>
    <w:p>
      <w:pPr>
        <w:spacing w:after="0" w:line="146" w:lineRule="exact"/>
        <w:rPr>
          <w:sz w:val="20"/>
          <w:szCs w:val="20"/>
          <w:color w:val="auto"/>
        </w:rPr>
      </w:pPr>
    </w:p>
    <w:p>
      <w:pPr>
        <w:ind w:right="180" w:firstLine="428"/>
        <w:spacing w:after="0" w:line="308" w:lineRule="auto"/>
        <w:rPr>
          <w:sz w:val="20"/>
          <w:szCs w:val="20"/>
          <w:color w:val="auto"/>
        </w:rPr>
      </w:pPr>
      <w:r>
        <w:rPr>
          <w:rFonts w:ascii="Arial" w:cs="Arial" w:eastAsia="Arial" w:hAnsi="Arial"/>
          <w:sz w:val="17"/>
          <w:szCs w:val="17"/>
          <w:color w:val="auto"/>
        </w:rPr>
        <w:t>As of May 5, 2019 and for the three months then ended, the Company was in compliance with all financial and non-financial covenants for all debts discussed above and expects to be in compliance for the remainder of fiscal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February 3,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202" w:lineRule="exact"/>
        <w:rPr>
          <w:sz w:val="20"/>
          <w:szCs w:val="20"/>
          <w:color w:val="auto"/>
        </w:rPr>
      </w:pPr>
    </w:p>
    <w:p>
      <w:pPr>
        <w:ind w:right="560" w:firstLine="428"/>
        <w:spacing w:after="0" w:line="342"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liabilities, revenues, and expenses, as well as the related disclosures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6"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2018 Form 10-K, except as discussed below.</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198"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On February 4, 2019, we adopted authoritative guidance related to leases using the optional transition method and elected the package of practical expedients. As such, the comparative prior period information has not been restated and continues to be reported under the accounting standards in effect for those periods. Beginning with the first quarter of fiscal 2019, our financial results reflect adoption of the standard.</w:t>
      </w:r>
    </w:p>
    <w:p>
      <w:pPr>
        <w:spacing w:after="0" w:line="146" w:lineRule="exact"/>
        <w:rPr>
          <w:sz w:val="20"/>
          <w:szCs w:val="20"/>
          <w:color w:val="auto"/>
        </w:rPr>
      </w:pPr>
    </w:p>
    <w:p>
      <w:pPr>
        <w:jc w:val="both"/>
        <w:ind w:right="500" w:firstLine="428"/>
        <w:spacing w:after="0" w:line="264" w:lineRule="auto"/>
        <w:rPr>
          <w:sz w:val="20"/>
          <w:szCs w:val="20"/>
          <w:color w:val="auto"/>
        </w:rPr>
      </w:pPr>
      <w:r>
        <w:rPr>
          <w:rFonts w:ascii="Arial" w:cs="Arial" w:eastAsia="Arial" w:hAnsi="Arial"/>
          <w:sz w:val="18"/>
          <w:szCs w:val="18"/>
          <w:color w:val="auto"/>
        </w:rPr>
        <w:t>See Note 1 “Nature of Operations and Basis of Presentation,” of Notes to Condensed Consolidated Financial Statements included in Part 1, Item 1, of this quarterly report on Form 10-Q for further information regarding recently adopted accounting pronouncements.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firstLine="428"/>
        <w:spacing w:after="0" w:line="308" w:lineRule="auto"/>
        <w:rPr>
          <w:sz w:val="20"/>
          <w:szCs w:val="20"/>
          <w:color w:val="auto"/>
        </w:rPr>
      </w:pPr>
      <w:r>
        <w:rPr>
          <w:rFonts w:ascii="Arial" w:cs="Arial" w:eastAsia="Arial" w:hAnsi="Arial"/>
          <w:sz w:val="17"/>
          <w:szCs w:val="17"/>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There have been no significant changes in the market risks described in our 2018 Form 10-K. See Note 3 “Debt and Line of Credit,” of Notes to Condensed Consolidated Financial Statements included in Part 1, Item 1, of this quarterly report on Form 10-Q, for disclosure on our interest rate related to our line of credit.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120" w:firstLine="428"/>
        <w:spacing w:after="0" w:line="272" w:lineRule="auto"/>
        <w:rPr>
          <w:sz w:val="20"/>
          <w:szCs w:val="20"/>
          <w:color w:val="auto"/>
        </w:rPr>
      </w:pPr>
      <w:r>
        <w:rPr>
          <w:rFonts w:ascii="Arial" w:cs="Arial" w:eastAsia="Arial" w:hAnsi="Arial"/>
          <w:sz w:val="17"/>
          <w:szCs w:val="17"/>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May 5, 2019, as a result of the material weakness in our internal control over financial reporting discussed below and in the Company’s Annual Report on Form 10-K, for the year ended February 3, 2019, our disclosure controls and procedures were not effective.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19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As disclosed in our 2018 Form 10-K, management concluded that a material weakness existed in our internal control over financial reporting. Specifically we determined that due to the lack of sufficient resources throughout the year, we did not design and implement effective internal control activities to timely detect and resolve issues resulting from converting to a new order management system, nor did we consistently execute certain account reconciliations and analyses timely during fiscal 2018.</w:t>
      </w:r>
    </w:p>
    <w:p>
      <w:pPr>
        <w:spacing w:after="0" w:line="114" w:lineRule="exact"/>
        <w:rPr>
          <w:sz w:val="20"/>
          <w:szCs w:val="20"/>
          <w:color w:val="auto"/>
        </w:rPr>
      </w:pPr>
    </w:p>
    <w:p>
      <w:pPr>
        <w:ind w:right="80" w:firstLine="428"/>
        <w:spacing w:after="0" w:line="302" w:lineRule="auto"/>
        <w:rPr>
          <w:sz w:val="20"/>
          <w:szCs w:val="20"/>
          <w:color w:val="auto"/>
        </w:rPr>
      </w:pPr>
      <w:r>
        <w:rPr>
          <w:rFonts w:ascii="Arial" w:cs="Arial" w:eastAsia="Arial" w:hAnsi="Arial"/>
          <w:sz w:val="16"/>
          <w:szCs w:val="16"/>
          <w:color w:val="auto"/>
        </w:rPr>
        <w:t>Management has developed certain remediation steps to address the material weakness discussed above and to improve internal control over financial reporting. The Company is taking steps to correctly allocate resources as needed and to further automate and enhance the reconciliation process. The material weakness will not be considered remediated until applicable remedial controls operate for a sufficient period of time and management has concluded that these controls are operating effectively.</w:t>
      </w:r>
    </w:p>
    <w:p>
      <w:pPr>
        <w:spacing w:after="0" w:line="114" w:lineRule="exact"/>
        <w:rPr>
          <w:sz w:val="20"/>
          <w:szCs w:val="20"/>
          <w:color w:val="auto"/>
        </w:rPr>
      </w:pPr>
    </w:p>
    <w:p>
      <w:pPr>
        <w:ind w:right="280" w:firstLine="428"/>
        <w:spacing w:after="0" w:line="312" w:lineRule="auto"/>
        <w:rPr>
          <w:sz w:val="20"/>
          <w:szCs w:val="20"/>
          <w:color w:val="auto"/>
        </w:rPr>
      </w:pPr>
      <w:r>
        <w:rPr>
          <w:rFonts w:ascii="Arial" w:cs="Arial" w:eastAsia="Arial" w:hAnsi="Arial"/>
          <w:sz w:val="16"/>
          <w:szCs w:val="16"/>
          <w:color w:val="auto"/>
        </w:rPr>
        <w:t>Management has concluded that, notwithstanding the material weakness described above, the Company’s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380" w:firstLine="428"/>
        <w:spacing w:after="0" w:line="276" w:lineRule="auto"/>
        <w:rPr>
          <w:sz w:val="20"/>
          <w:szCs w:val="20"/>
          <w:color w:val="auto"/>
        </w:rPr>
      </w:pPr>
      <w:r>
        <w:rPr>
          <w:rFonts w:ascii="Arial" w:cs="Arial" w:eastAsia="Arial" w:hAnsi="Arial"/>
          <w:sz w:val="17"/>
          <w:szCs w:val="17"/>
          <w:color w:val="auto"/>
        </w:rPr>
        <w:t>We implemented the new lease accounting standard as of February 4, 2019. As a result, we implemented changes to our processes and internal control over financial reporting to ensure compliance with the new accounting and disclosure rules. There were no other changes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4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2018 Form 10-K or other SEC filings. There have been no material changes to our risk factors as previously disclosed in our Annual Report on Form 10-K.</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sell any equity securities during the quarter ended May 5, 2019, which were not registered under the Securities Act.</w:t>
      </w:r>
    </w:p>
    <w:p>
      <w:pPr>
        <w:spacing w:after="0" w:line="221" w:lineRule="exact"/>
        <w:rPr>
          <w:sz w:val="20"/>
          <w:szCs w:val="20"/>
          <w:color w:val="auto"/>
        </w:rPr>
      </w:pPr>
    </w:p>
    <w:p>
      <w:pPr>
        <w:ind w:right="240" w:firstLine="428"/>
        <w:spacing w:after="0" w:line="342" w:lineRule="auto"/>
        <w:rPr>
          <w:sz w:val="20"/>
          <w:szCs w:val="20"/>
          <w:color w:val="auto"/>
        </w:rPr>
      </w:pPr>
      <w:r>
        <w:rPr>
          <w:rFonts w:ascii="Arial" w:cs="Arial" w:eastAsia="Arial" w:hAnsi="Arial"/>
          <w:sz w:val="16"/>
          <w:szCs w:val="16"/>
          <w:color w:val="auto"/>
        </w:rPr>
        <w:t>The following table contains information of shares acquired from employees in lieu of amounts required to satisfy minimum tax withholding requirements upon the vesting of the employees’ restricted stock during the quarter ended May 5, 2019.</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Approximate dollar</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value of shares that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may yet to be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purchased under the</w:t>
            </w:r>
          </w:p>
        </w:tc>
        <w:tc>
          <w:tcPr>
            <w:tcW w:w="20" w:type="dxa"/>
            <w:vAlign w:val="bottom"/>
          </w:tcPr>
          <w:p>
            <w:pPr>
              <w:spacing w:after="0"/>
              <w:rPr>
                <w:sz w:val="17"/>
                <w:szCs w:val="17"/>
                <w:color w:val="auto"/>
              </w:rPr>
            </w:pPr>
          </w:p>
        </w:tc>
      </w:tr>
      <w:tr>
        <w:trPr>
          <w:trHeight w:val="188"/>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or programs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plans or programs</w:t>
            </w: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4 - March 3, 2019</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March 4 - April 7, 2019</w:t>
            </w:r>
          </w:p>
        </w:tc>
        <w:tc>
          <w:tcPr>
            <w:tcW w:w="1140" w:type="dxa"/>
            <w:vAlign w:val="bottom"/>
          </w:tcPr>
          <w:p>
            <w:pPr>
              <w:jc w:val="right"/>
              <w:spacing w:after="0"/>
              <w:rPr>
                <w:sz w:val="20"/>
                <w:szCs w:val="20"/>
                <w:color w:val="auto"/>
              </w:rPr>
            </w:pPr>
            <w:r>
              <w:rPr>
                <w:rFonts w:ascii="Arial" w:cs="Arial" w:eastAsia="Arial" w:hAnsi="Arial"/>
                <w:sz w:val="18"/>
                <w:szCs w:val="18"/>
                <w:color w:val="auto"/>
              </w:rPr>
              <w:t>12,380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22.28</w:t>
            </w:r>
          </w:p>
        </w:tc>
        <w:tc>
          <w:tcPr>
            <w:tcW w:w="16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8 - May 5,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14,523</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60" w:type="dxa"/>
            <w:vAlign w:val="bottom"/>
          </w:tcPr>
          <w:p>
            <w:pPr>
              <w:spacing w:after="0"/>
              <w:rPr>
                <w:sz w:val="19"/>
                <w:szCs w:val="19"/>
                <w:color w:val="auto"/>
              </w:rPr>
            </w:pPr>
          </w:p>
        </w:tc>
        <w:tc>
          <w:tcPr>
            <w:tcW w:w="1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695"/>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w:t>
      </w:r>
    </w:p>
    <w:tbl>
      <w:tblPr>
        <w:tblLayout w:type="fixed"/>
        <w:tblInd w:w="20" w:type="dxa"/>
        <w:tblCellMar>
          <w:top w:w="0" w:type="dxa"/>
          <w:left w:w="0" w:type="dxa"/>
          <w:bottom w:w="0" w:type="dxa"/>
          <w:right w:w="0" w:type="dxa"/>
        </w:tblCellMar>
      </w:tblPr>
      <w:tr>
        <w:trPr>
          <w:trHeight w:val="171"/>
        </w:trPr>
        <w:tc>
          <w:tcPr>
            <w:tcW w:w="1200" w:type="dxa"/>
            <w:vAlign w:val="bottom"/>
          </w:tcPr>
          <w:p>
            <w:pPr>
              <w:ind w:left="120"/>
              <w:spacing w:after="0" w:line="151" w:lineRule="exact"/>
              <w:rPr>
                <w:sz w:val="20"/>
                <w:szCs w:val="20"/>
                <w:color w:val="auto"/>
              </w:rPr>
            </w:pPr>
            <w:r>
              <w:rPr>
                <w:rFonts w:ascii="Arial" w:cs="Arial" w:eastAsia="Arial" w:hAnsi="Arial"/>
                <w:sz w:val="17"/>
                <w:szCs w:val="17"/>
                <w:color w:val="auto"/>
              </w:rPr>
              <w:t>31.1</w:t>
            </w:r>
          </w:p>
        </w:tc>
        <w:tc>
          <w:tcPr>
            <w:tcW w:w="8400" w:type="dxa"/>
            <w:vAlign w:val="bottom"/>
            <w:gridSpan w:val="8"/>
          </w:tcPr>
          <w:p>
            <w:pPr>
              <w:spacing w:after="0" w:line="152" w:lineRule="exact"/>
              <w:rPr>
                <w:rFonts w:ascii="Arial" w:cs="Arial" w:eastAsia="Arial" w:hAnsi="Arial"/>
                <w:sz w:val="16"/>
                <w:szCs w:val="16"/>
                <w:color w:val="0000EE"/>
                <w:w w:val="94"/>
              </w:rPr>
            </w:pPr>
            <w:hyperlink w:anchor="page30">
              <w:r>
                <w:rPr>
                  <w:rFonts w:ascii="Arial" w:cs="Arial" w:eastAsia="Arial" w:hAnsi="Arial"/>
                  <w:sz w:val="16"/>
                  <w:szCs w:val="16"/>
                  <w:color w:val="0000EE"/>
                  <w:w w:val="94"/>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31.2</w:t>
            </w:r>
          </w:p>
        </w:tc>
        <w:tc>
          <w:tcPr>
            <w:tcW w:w="820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amended.</w:t>
              </w:r>
              <w:r>
                <w:rPr>
                  <w:rFonts w:ascii="Arial" w:cs="Arial" w:eastAsia="Arial" w:hAnsi="Arial"/>
                  <w:sz w:val="16"/>
                  <w:szCs w:val="16"/>
                  <w:color w:val="000000"/>
                </w:rPr>
                <w:t>*</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120" w:type="dxa"/>
            <w:vAlign w:val="bottom"/>
            <w:tcBorders>
              <w:bottom w:val="single" w:sz="8" w:color="0000EE"/>
            </w:tcBorders>
            <w:gridSpan w:val="6"/>
          </w:tcPr>
          <w:p>
            <w:pPr>
              <w:spacing w:after="0" w:line="169" w:lineRule="exact"/>
              <w:rPr>
                <w:rFonts w:ascii="Arial" w:cs="Arial" w:eastAsia="Arial" w:hAnsi="Arial"/>
                <w:sz w:val="16"/>
                <w:szCs w:val="16"/>
                <w:color w:val="0000EE"/>
                <w:w w:val="92"/>
              </w:rPr>
            </w:pPr>
            <w:hyperlink w:anchor="page31">
              <w:r>
                <w:rPr>
                  <w:rFonts w:ascii="Arial" w:cs="Arial" w:eastAsia="Arial" w:hAnsi="Arial"/>
                  <w:sz w:val="16"/>
                  <w:szCs w:val="16"/>
                  <w:color w:val="0000EE"/>
                  <w:w w:val="92"/>
                </w:rPr>
                <w:t>Certification of Chief Financial Officer pursuant to Rule 13a-14(a) and Rule 15d-14(a) of the Securities and Exchange Act of</w:t>
              </w:r>
            </w:hyperlink>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32.1</w:t>
            </w:r>
          </w:p>
        </w:tc>
        <w:tc>
          <w:tcPr>
            <w:tcW w:w="8400" w:type="dxa"/>
            <w:vAlign w:val="bottom"/>
            <w:gridSpan w:val="8"/>
          </w:tcPr>
          <w:p>
            <w:pPr>
              <w:spacing w:after="0" w:line="183" w:lineRule="exact"/>
              <w:rPr>
                <w:rFonts w:ascii="Arial" w:cs="Arial" w:eastAsia="Arial" w:hAnsi="Arial"/>
                <w:sz w:val="16"/>
                <w:szCs w:val="16"/>
                <w:color w:val="0000EE"/>
              </w:rPr>
            </w:pPr>
            <w:hyperlink w:anchor="page31">
              <w:r>
                <w:rPr>
                  <w:rFonts w:ascii="Arial" w:cs="Arial" w:eastAsia="Arial" w:hAnsi="Arial"/>
                  <w:sz w:val="16"/>
                  <w:szCs w:val="16"/>
                  <w:color w:val="0000EE"/>
                </w:rPr>
                <w:t>1934, as amended.</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80" w:type="dxa"/>
            <w:vAlign w:val="bottom"/>
            <w:tcBorders>
              <w:bottom w:val="single" w:sz="8" w:color="0000EE"/>
            </w:tcBorders>
            <w:gridSpan w:val="5"/>
          </w:tcPr>
          <w:p>
            <w:pPr>
              <w:spacing w:after="0" w:line="169" w:lineRule="exact"/>
              <w:rPr>
                <w:rFonts w:ascii="Arial" w:cs="Arial" w:eastAsia="Arial" w:hAnsi="Arial"/>
                <w:sz w:val="16"/>
                <w:szCs w:val="16"/>
                <w:color w:val="0000EE"/>
                <w:w w:val="92"/>
              </w:rPr>
            </w:pPr>
            <w:hyperlink w:anchor="page32">
              <w:r>
                <w:rPr>
                  <w:rFonts w:ascii="Arial" w:cs="Arial" w:eastAsia="Arial" w:hAnsi="Arial"/>
                  <w:sz w:val="16"/>
                  <w:szCs w:val="16"/>
                  <w:color w:val="0000EE"/>
                  <w:w w:val="92"/>
                </w:rPr>
                <w:t>Certification of Chief Executive Officer pursuant to 18 U.S.C. Section 1350, as adopted pursuant to Section 906 of the</w:t>
              </w:r>
            </w:hyperlink>
          </w:p>
        </w:tc>
        <w:tc>
          <w:tcPr>
            <w:tcW w:w="7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32.2</w:t>
            </w:r>
          </w:p>
        </w:tc>
        <w:tc>
          <w:tcPr>
            <w:tcW w:w="8400" w:type="dxa"/>
            <w:vAlign w:val="bottom"/>
            <w:gridSpan w:val="8"/>
          </w:tcPr>
          <w:p>
            <w:pPr>
              <w:spacing w:after="0" w:line="183" w:lineRule="exact"/>
              <w:rPr>
                <w:rFonts w:ascii="Arial" w:cs="Arial" w:eastAsia="Arial" w:hAnsi="Arial"/>
                <w:sz w:val="16"/>
                <w:szCs w:val="16"/>
                <w:color w:val="0000EE"/>
              </w:rPr>
            </w:pPr>
            <w:hyperlink w:anchor="page32">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40" w:type="dxa"/>
            <w:vAlign w:val="bottom"/>
            <w:tcBorders>
              <w:bottom w:val="single" w:sz="8" w:color="0000EE"/>
            </w:tcBorders>
            <w:gridSpan w:val="4"/>
          </w:tcPr>
          <w:p>
            <w:pPr>
              <w:spacing w:after="0" w:line="169" w:lineRule="exact"/>
              <w:rPr>
                <w:rFonts w:ascii="Arial" w:cs="Arial" w:eastAsia="Arial" w:hAnsi="Arial"/>
                <w:sz w:val="16"/>
                <w:szCs w:val="16"/>
                <w:color w:val="0000EE"/>
                <w:w w:val="92"/>
              </w:rPr>
            </w:pPr>
            <w:hyperlink w:anchor="page33">
              <w:r>
                <w:rPr>
                  <w:rFonts w:ascii="Arial" w:cs="Arial" w:eastAsia="Arial" w:hAnsi="Arial"/>
                  <w:sz w:val="16"/>
                  <w:szCs w:val="16"/>
                  <w:color w:val="0000EE"/>
                  <w:w w:val="92"/>
                </w:rPr>
                <w:t>Certification of Chief Financial Officer pursuant to 18 U.S.C. Section 1350, as adopted pursuant to Section 906 of the</w:t>
              </w:r>
            </w:hyperlink>
          </w:p>
        </w:tc>
        <w:tc>
          <w:tcPr>
            <w:tcW w:w="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101.INS</w:t>
            </w:r>
          </w:p>
        </w:tc>
        <w:tc>
          <w:tcPr>
            <w:tcW w:w="8400" w:type="dxa"/>
            <w:vAlign w:val="bottom"/>
            <w:gridSpan w:val="8"/>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0" w:type="dxa"/>
            <w:vAlign w:val="bottom"/>
            <w:vMerge w:val="continue"/>
          </w:tcPr>
          <w:p>
            <w:pPr>
              <w:spacing w:after="0"/>
              <w:rPr>
                <w:sz w:val="19"/>
                <w:szCs w:val="19"/>
                <w:color w:val="auto"/>
              </w:rPr>
            </w:pPr>
          </w:p>
        </w:tc>
        <w:tc>
          <w:tcPr>
            <w:tcW w:w="8400" w:type="dxa"/>
            <w:vAlign w:val="bottom"/>
            <w:gridSpan w:val="8"/>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101.SCH</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101.CAL</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101.DEF</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101.LAB</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101.PRE</w:t>
            </w:r>
          </w:p>
        </w:tc>
        <w:tc>
          <w:tcPr>
            <w:tcW w:w="840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1480" w:hanging="1355"/>
        <w:spacing w:after="0"/>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June 14, 2019</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2019</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2019</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May 5, 2019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660" w:right="5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14, 2019</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May 5, 2019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180" w:hanging="32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220" w:hanging="32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14, 2019</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2019-12-28T10:51:03Z</dcterms:created>
  <dcterms:modified xsi:type="dcterms:W3CDTF">2019-12-28T10:51:03Z</dcterms:modified>
</cp:coreProperties>
</file>