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64135</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95250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4" w:lineRule="exact"/>
        <w:rPr>
          <w:sz w:val="24"/>
          <w:szCs w:val="24"/>
          <w:color w:val="auto"/>
        </w:rPr>
      </w:pPr>
    </w:p>
    <w:p>
      <w:pPr>
        <w:ind w:left="500" w:right="220" w:hanging="492"/>
        <w:spacing w:after="0" w:line="262"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May 3, 2026</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00" w:right="220" w:hanging="492"/>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97155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DULUTH HOLDINGS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73025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1"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600" w:type="dxa"/>
            <w:vAlign w:val="bottom"/>
            <w:gridSpan w:val="3"/>
          </w:tcPr>
          <w:p>
            <w:pPr>
              <w:jc w:val="center"/>
              <w:ind w:left="959"/>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jc w:val="right"/>
              <w:ind w:right="2280"/>
              <w:spacing w:after="0"/>
              <w:rPr>
                <w:sz w:val="20"/>
                <w:szCs w:val="20"/>
                <w:color w:val="auto"/>
              </w:rPr>
            </w:pPr>
            <w:r>
              <w:rPr>
                <w:rFonts w:ascii="Times New Roman" w:cs="Times New Roman" w:eastAsia="Times New Roman" w:hAnsi="Times New Roman"/>
                <w:sz w:val="18"/>
                <w:szCs w:val="18"/>
                <w:b w:val="1"/>
                <w:bCs w:val="1"/>
                <w:color w:val="auto"/>
              </w:rPr>
              <w:t>39-1564801</w:t>
            </w:r>
          </w:p>
        </w:tc>
      </w:tr>
      <w:tr>
        <w:trPr>
          <w:trHeight w:val="149"/>
        </w:trPr>
        <w:tc>
          <w:tcPr>
            <w:tcW w:w="4600" w:type="dxa"/>
            <w:vAlign w:val="bottom"/>
            <w:gridSpan w:val="3"/>
          </w:tcPr>
          <w:p>
            <w:pPr>
              <w:jc w:val="center"/>
              <w:ind w:left="9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tcPr>
          <w:p>
            <w:pPr>
              <w:jc w:val="center"/>
              <w:ind w:right="17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00" w:type="dxa"/>
            <w:vAlign w:val="bottom"/>
            <w:gridSpan w:val="3"/>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71"/>
        </w:trPr>
        <w:tc>
          <w:tcPr>
            <w:tcW w:w="4600" w:type="dxa"/>
            <w:vAlign w:val="bottom"/>
            <w:gridSpan w:val="3"/>
          </w:tcPr>
          <w:p>
            <w:pPr>
              <w:jc w:val="center"/>
              <w:ind w:left="959"/>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40" w:type="dxa"/>
            <w:vAlign w:val="bottom"/>
          </w:tcPr>
          <w:p>
            <w:pPr>
              <w:spacing w:after="0"/>
              <w:rPr>
                <w:sz w:val="23"/>
                <w:szCs w:val="23"/>
                <w:color w:val="auto"/>
              </w:rPr>
            </w:pPr>
          </w:p>
        </w:tc>
      </w:tr>
      <w:tr>
        <w:trPr>
          <w:trHeight w:val="214"/>
        </w:trPr>
        <w:tc>
          <w:tcPr>
            <w:tcW w:w="4600" w:type="dxa"/>
            <w:vAlign w:val="bottom"/>
            <w:gridSpan w:val="3"/>
          </w:tcPr>
          <w:p>
            <w:pPr>
              <w:jc w:val="center"/>
              <w:ind w:left="959"/>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53572</w:t>
            </w:r>
          </w:p>
        </w:tc>
      </w:tr>
      <w:tr>
        <w:trPr>
          <w:trHeight w:val="190"/>
        </w:trPr>
        <w:tc>
          <w:tcPr>
            <w:tcW w:w="4600" w:type="dxa"/>
            <w:vAlign w:val="bottom"/>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01"/>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80" w:type="dxa"/>
            <w:vAlign w:val="bottom"/>
          </w:tcPr>
          <w:p>
            <w:pPr>
              <w:jc w:val="right"/>
              <w:ind w:right="12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90"/>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40" w:type="dxa"/>
            <w:vAlign w:val="bottom"/>
          </w:tcPr>
          <w:p>
            <w:pPr>
              <w:spacing w:after="0"/>
              <w:rPr>
                <w:sz w:val="16"/>
                <w:szCs w:val="16"/>
                <w:color w:val="auto"/>
              </w:rPr>
            </w:pPr>
          </w:p>
        </w:tc>
      </w:tr>
      <w:tr>
        <w:trPr>
          <w:trHeight w:val="91"/>
        </w:trPr>
        <w:tc>
          <w:tcPr>
            <w:tcW w:w="37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740" w:type="dxa"/>
            <w:vAlign w:val="bottom"/>
          </w:tcPr>
          <w:p>
            <w:pPr>
              <w:spacing w:after="0"/>
              <w:rPr>
                <w:sz w:val="7"/>
                <w:szCs w:val="7"/>
                <w:color w:val="auto"/>
              </w:rPr>
            </w:pPr>
          </w:p>
        </w:tc>
      </w:tr>
      <w:tr>
        <w:trPr>
          <w:trHeight w:val="285"/>
        </w:trPr>
        <w:tc>
          <w:tcPr>
            <w:tcW w:w="4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17"/>
        </w:trPr>
        <w:tc>
          <w:tcPr>
            <w:tcW w:w="384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96"/>
        </w:trPr>
        <w:tc>
          <w:tcPr>
            <w:tcW w:w="3840" w:type="dxa"/>
            <w:vAlign w:val="bottom"/>
            <w:tcBorders>
              <w:left w:val="single" w:sz="8" w:color="auto"/>
              <w:bottom w:val="single" w:sz="8" w:color="auto"/>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760" w:type="dxa"/>
            <w:vAlign w:val="bottom"/>
            <w:tcBorders>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jc w:val="center"/>
              <w:ind w:right="702"/>
              <w:spacing w:after="0" w:line="176" w:lineRule="exact"/>
              <w:rPr>
                <w:sz w:val="20"/>
                <w:szCs w:val="20"/>
                <w:color w:val="auto"/>
              </w:rPr>
            </w:pPr>
            <w:r>
              <w:rPr>
                <w:rFonts w:ascii="Times New Roman" w:cs="Times New Roman" w:eastAsia="Times New Roman" w:hAnsi="Times New Roman"/>
                <w:sz w:val="16"/>
                <w:szCs w:val="16"/>
                <w:color w:val="auto"/>
              </w:rPr>
              <w:t>Trading Symbol(s)</w:t>
            </w:r>
          </w:p>
        </w:tc>
        <w:tc>
          <w:tcPr>
            <w:tcW w:w="12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jc w:val="center"/>
              <w:ind w:right="60"/>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3840" w:type="dxa"/>
            <w:vAlign w:val="bottom"/>
            <w:tcBorders>
              <w:left w:val="single" w:sz="8" w:color="auto"/>
              <w:bottom w:val="single" w:sz="8" w:color="auto"/>
              <w:right w:val="single" w:sz="8" w:color="auto"/>
            </w:tcBorders>
            <w:gridSpan w:val="2"/>
          </w:tcPr>
          <w:p>
            <w:pPr>
              <w:jc w:val="center"/>
              <w:spacing w:after="0" w:line="179" w:lineRule="exact"/>
              <w:rPr>
                <w:sz w:val="20"/>
                <w:szCs w:val="20"/>
                <w:color w:val="auto"/>
              </w:rPr>
            </w:pPr>
            <w:r>
              <w:rPr>
                <w:rFonts w:ascii="Times New Roman" w:cs="Times New Roman" w:eastAsia="Times New Roman" w:hAnsi="Times New Roman"/>
                <w:sz w:val="16"/>
                <w:szCs w:val="16"/>
                <w:color w:val="auto"/>
              </w:rPr>
              <w:t>Class B Common Stock, No Par Value</w:t>
            </w:r>
          </w:p>
        </w:tc>
        <w:tc>
          <w:tcPr>
            <w:tcW w:w="760" w:type="dxa"/>
            <w:vAlign w:val="bottom"/>
            <w:tcBorders>
              <w:bottom w:val="single" w:sz="8" w:color="auto"/>
            </w:tcBorders>
          </w:tcPr>
          <w:p>
            <w:pPr>
              <w:spacing w:after="0"/>
              <w:rPr>
                <w:sz w:val="15"/>
                <w:szCs w:val="15"/>
                <w:color w:val="auto"/>
              </w:rPr>
            </w:pPr>
          </w:p>
        </w:tc>
        <w:tc>
          <w:tcPr>
            <w:tcW w:w="2780" w:type="dxa"/>
            <w:vAlign w:val="bottom"/>
            <w:tcBorders>
              <w:bottom w:val="single" w:sz="8" w:color="auto"/>
              <w:right w:val="single" w:sz="8" w:color="auto"/>
            </w:tcBorders>
          </w:tcPr>
          <w:p>
            <w:pPr>
              <w:jc w:val="center"/>
              <w:ind w:right="702"/>
              <w:spacing w:after="0" w:line="179" w:lineRule="exact"/>
              <w:rPr>
                <w:sz w:val="20"/>
                <w:szCs w:val="20"/>
                <w:color w:val="auto"/>
              </w:rPr>
            </w:pPr>
            <w:r>
              <w:rPr>
                <w:rFonts w:ascii="Times New Roman" w:cs="Times New Roman" w:eastAsia="Times New Roman" w:hAnsi="Times New Roman"/>
                <w:sz w:val="16"/>
                <w:szCs w:val="16"/>
                <w:color w:val="auto"/>
              </w:rPr>
              <w:t>DLTH</w:t>
            </w: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jc w:val="center"/>
              <w:ind w:right="40"/>
              <w:spacing w:after="0" w:line="179" w:lineRule="exact"/>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81" w:lineRule="exact"/>
        <w:rPr>
          <w:sz w:val="24"/>
          <w:szCs w:val="24"/>
          <w:color w:val="auto"/>
        </w:rPr>
      </w:pPr>
    </w:p>
    <w:p>
      <w:pPr>
        <w:ind w:right="140" w:firstLine="49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0" w:firstLine="49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20" w:firstLine="49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10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8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8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370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80" w:firstLine="49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00"/>
        <w:spacing w:after="0" w:line="184" w:lineRule="exact"/>
        <w:tabs>
          <w:tab w:leader="none" w:pos="8000" w:val="left"/>
          <w:tab w:leader="none" w:pos="8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June 8, 2026, was 3,364,200.</w:t>
      </w:r>
    </w:p>
    <w:p>
      <w:pPr>
        <w:spacing w:after="0" w:line="11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June 8, 2026, was 34,637,871.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QUARTER ENDED May 3, 2026</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120" w:type="dxa"/>
            <w:vAlign w:val="bottom"/>
            <w:gridSpan w:val="11"/>
          </w:tcPr>
          <w:p>
            <w:pPr>
              <w:jc w:val="center"/>
              <w:ind w:right="298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80" w:type="dxa"/>
            <w:vAlign w:val="bottom"/>
            <w:gridSpan w:val="3"/>
          </w:tcPr>
          <w:p>
            <w:pPr>
              <w:spacing w:after="0"/>
              <w:rPr>
                <w:sz w:val="24"/>
                <w:szCs w:val="24"/>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5"/>
          </w:tcPr>
          <w:p>
            <w:pPr>
              <w:spacing w:after="0"/>
              <w:rPr>
                <w:sz w:val="24"/>
                <w:szCs w:val="24"/>
                <w:color w:val="auto"/>
              </w:rPr>
            </w:pPr>
          </w:p>
        </w:tc>
        <w:tc>
          <w:tcPr>
            <w:tcW w:w="2980" w:type="dxa"/>
            <w:vAlign w:val="bottom"/>
            <w:gridSpan w:val="6"/>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May 3, 2026 and February 1, 2026 (Unaudited)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May 3, 2026 and May 4, 2025</w:t>
            </w:r>
          </w:p>
        </w:tc>
        <w:tc>
          <w:tcPr>
            <w:tcW w:w="16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months ended May 3, 2026</w:t>
            </w:r>
          </w:p>
        </w:tc>
        <w:tc>
          <w:tcPr>
            <w:tcW w:w="16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and May 4, 2025 (Unaudited)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Shareholders’ Equity for the three months ended May 3, 2026 (Unaudited)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EE"/>
            </w:tcBorders>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Shareholders’ Equity for the three months ended May 4, 2025 (Unaudited)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May 3, 2026 and May 4, 2025</w:t>
            </w:r>
          </w:p>
        </w:tc>
        <w:tc>
          <w:tcPr>
            <w:tcW w:w="16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80" w:type="dxa"/>
            <w:vAlign w:val="bottom"/>
            <w:gridSpan w:val="3"/>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80" w:type="dxa"/>
            <w:vAlign w:val="bottom"/>
            <w:gridSpan w:val="3"/>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980" w:type="dxa"/>
            <w:vAlign w:val="bottom"/>
            <w:gridSpan w:val="3"/>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71"/>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10"/>
          </w:tcPr>
          <w:p>
            <w:pPr>
              <w:jc w:val="center"/>
              <w:ind w:right="308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1600" w:type="dxa"/>
            <w:vAlign w:val="bottom"/>
          </w:tcPr>
          <w:p>
            <w:pPr>
              <w:spacing w:after="0"/>
              <w:rPr>
                <w:sz w:val="24"/>
                <w:szCs w:val="24"/>
                <w:color w:val="auto"/>
              </w:rPr>
            </w:pP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80" w:type="dxa"/>
            <w:vAlign w:val="bottom"/>
            <w:gridSpan w:val="3"/>
          </w:tcPr>
          <w:p>
            <w:pPr>
              <w:spacing w:after="0"/>
              <w:rPr>
                <w:sz w:val="24"/>
                <w:szCs w:val="24"/>
                <w:color w:val="auto"/>
              </w:rPr>
            </w:pPr>
          </w:p>
        </w:tc>
        <w:tc>
          <w:tcPr>
            <w:tcW w:w="3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40" w:type="dxa"/>
            <w:vAlign w:val="bottom"/>
            <w:tcBorders>
              <w:top w:val="single" w:sz="8" w:color="0000FF"/>
            </w:tcBorders>
            <w:gridSpan w:val="3"/>
          </w:tcPr>
          <w:p>
            <w:pPr>
              <w:spacing w:after="0"/>
              <w:rPr>
                <w:sz w:val="24"/>
                <w:szCs w:val="24"/>
                <w:color w:val="auto"/>
              </w:rPr>
            </w:pPr>
          </w:p>
        </w:tc>
        <w:tc>
          <w:tcPr>
            <w:tcW w:w="3080" w:type="dxa"/>
            <w:vAlign w:val="bottom"/>
            <w:gridSpan w:val="7"/>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6"/>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020" w:type="dxa"/>
            <w:vAlign w:val="bottom"/>
            <w:tcBorders>
              <w:left w:val="single" w:sz="8" w:color="0000FF"/>
            </w:tcBorders>
            <w:gridSpan w:val="6"/>
            <w:shd w:val="clear" w:color="auto" w:fill="0000FF"/>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980" w:type="dxa"/>
            <w:vAlign w:val="bottom"/>
            <w:gridSpan w:val="3"/>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840" w:type="dxa"/>
            <w:vAlign w:val="bottom"/>
            <w:gridSpan w:val="1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80" w:type="dxa"/>
            <w:vAlign w:val="bottom"/>
            <w:gridSpan w:val="3"/>
          </w:tcPr>
          <w:p>
            <w:pPr>
              <w:spacing w:after="0"/>
              <w:rPr>
                <w:sz w:val="24"/>
                <w:szCs w:val="24"/>
                <w:color w:val="auto"/>
              </w:rPr>
            </w:pPr>
          </w:p>
        </w:tc>
        <w:tc>
          <w:tcPr>
            <w:tcW w:w="81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763"/>
        </w:trPr>
        <w:tc>
          <w:tcPr>
            <w:tcW w:w="15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669"/>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gridSpan w:val="10"/>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66"/>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1, 2026</w:t>
            </w:r>
          </w:p>
        </w:tc>
      </w:tr>
      <w:tr>
        <w:trPr>
          <w:trHeight w:val="20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6,134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16,345</w:t>
            </w: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Receivables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2,710</w:t>
            </w:r>
          </w:p>
        </w:tc>
      </w:tr>
      <w:tr>
        <w:trPr>
          <w:trHeight w:val="216"/>
        </w:trPr>
        <w:tc>
          <w:tcPr>
            <w:tcW w:w="6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132,444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131,342</w:t>
            </w:r>
          </w:p>
        </w:tc>
      </w:tr>
      <w:tr>
        <w:trPr>
          <w:trHeight w:val="216"/>
        </w:trPr>
        <w:tc>
          <w:tcPr>
            <w:tcW w:w="672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10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22,732</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21,654</w:t>
            </w:r>
          </w:p>
        </w:tc>
      </w:tr>
      <w:tr>
        <w:trPr>
          <w:trHeight w:val="209"/>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163,064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172,051</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91,909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96,913</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83,382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89,283</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29,577</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4,676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4,763</w:t>
            </w:r>
          </w:p>
        </w:tc>
      </w:tr>
      <w:tr>
        <w:trPr>
          <w:trHeight w:val="216"/>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0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8,886</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10,022</w:t>
            </w:r>
          </w:p>
        </w:tc>
      </w:tr>
      <w:tr>
        <w:trPr>
          <w:trHeight w:val="250"/>
        </w:trPr>
        <w:tc>
          <w:tcPr>
            <w:tcW w:w="6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380,650</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402,609</w:t>
            </w:r>
          </w:p>
        </w:tc>
      </w:tr>
      <w:tr>
        <w:trPr>
          <w:trHeight w:val="196"/>
        </w:trPr>
        <w:tc>
          <w:tcPr>
            <w:tcW w:w="67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accounts payable</w:t>
            </w: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40,072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48,226</w:t>
            </w:r>
          </w:p>
        </w:tc>
      </w:tr>
      <w:tr>
        <w:trPr>
          <w:trHeight w:val="216"/>
        </w:trPr>
        <w:tc>
          <w:tcPr>
            <w:tcW w:w="6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34,370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39,871</w:t>
            </w: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16,449</w:t>
            </w:r>
          </w:p>
        </w:tc>
      </w:tr>
      <w:tr>
        <w:trPr>
          <w:trHeight w:val="216"/>
        </w:trPr>
        <w:tc>
          <w:tcPr>
            <w:tcW w:w="6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2,711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2,681</w:t>
            </w:r>
          </w:p>
        </w:tc>
      </w:tr>
      <w:tr>
        <w:trPr>
          <w:trHeight w:val="216"/>
        </w:trPr>
        <w:tc>
          <w:tcPr>
            <w:tcW w:w="6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Line of credit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1,043</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1,020</w:t>
            </w:r>
          </w:p>
        </w:tc>
      </w:tr>
      <w:tr>
        <w:trPr>
          <w:trHeight w:val="210"/>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100,767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108,247</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72,015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76,008</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27,251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27,940</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23,085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23,337</w:t>
            </w:r>
          </w:p>
        </w:tc>
      </w:tr>
      <w:tr>
        <w:trPr>
          <w:trHeight w:val="216"/>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962</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962</w:t>
            </w:r>
          </w:p>
        </w:tc>
      </w:tr>
      <w:tr>
        <w:trPr>
          <w:trHeight w:val="209"/>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224,080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236,494</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98"/>
        </w:trPr>
        <w:tc>
          <w:tcPr>
            <w:tcW w:w="6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34"/>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May 3, 2026 and February 1, 2026</w:t>
            </w: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(Class A), no par value; 10,000 shares authorized; 3,364 shares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4"/>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May 3, 2026 and February 1, 2026</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r>
      <w:tr>
        <w:trPr>
          <w:trHeight w:val="216"/>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35,145 shares issued and 34,675 shares outstanding as of May 3, 2026 and</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34"/>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33,854 shares issued and 33,384 shares outstanding as of February 1, 2026</w:t>
            </w: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470 and 470 shares as of May 3, 2026 and</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4"/>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 2026, respectively</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111,560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110,794</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51,231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61,332</w:t>
            </w:r>
          </w:p>
        </w:tc>
      </w:tr>
      <w:tr>
        <w:trPr>
          <w:trHeight w:val="216"/>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0"/>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159,375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168,973</w:t>
            </w:r>
          </w:p>
        </w:tc>
      </w:tr>
      <w:tr>
        <w:trPr>
          <w:trHeight w:val="216"/>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r>
      <w:tr>
        <w:trPr>
          <w:trHeight w:val="210"/>
        </w:trPr>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156,570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166,115</w:t>
            </w:r>
          </w:p>
        </w:tc>
      </w:tr>
      <w:tr>
        <w:trPr>
          <w:trHeight w:val="229"/>
        </w:trPr>
        <w:tc>
          <w:tcPr>
            <w:tcW w:w="6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380,650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402,609</w:t>
            </w:r>
          </w:p>
        </w:tc>
      </w:tr>
      <w:tr>
        <w:trPr>
          <w:trHeight w:val="20"/>
        </w:trPr>
        <w:tc>
          <w:tcPr>
            <w:tcW w:w="67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-5322570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-4345305</wp:posOffset>
            </wp:positionV>
            <wp:extent cx="111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-4328160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-4491355</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-3222625</wp:posOffset>
            </wp:positionV>
            <wp:extent cx="111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-2527935</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4"/>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May 4, 2025</w:t>
            </w: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98,594</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102,704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41,960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49,349</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56,634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53,355</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61,802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65,158</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2,709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earnings per share (Class A and Class B):</w:t>
            </w: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34,712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33,714</w:t>
            </w:r>
          </w:p>
        </w:tc>
        <w:tc>
          <w:tcPr>
            <w:tcW w:w="0" w:type="dxa"/>
            <w:vAlign w:val="bottom"/>
          </w:tcPr>
          <w:p>
            <w:pPr>
              <w:spacing w:after="0"/>
              <w:rPr>
                <w:sz w:val="1"/>
                <w:szCs w:val="1"/>
                <w:color w:val="auto"/>
              </w:rPr>
            </w:pPr>
          </w:p>
        </w:tc>
      </w:tr>
      <w:tr>
        <w:trPr>
          <w:trHeight w:val="191"/>
        </w:trPr>
        <w:tc>
          <w:tcPr>
            <w:tcW w:w="76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controlling</w:t>
            </w:r>
          </w:p>
        </w:tc>
        <w:tc>
          <w:tcPr>
            <w:tcW w:w="260" w:type="dxa"/>
            <w:vAlign w:val="bottom"/>
            <w:vMerge w:val="restart"/>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vMerge w:val="restart"/>
            <w:shd w:val="clear" w:color="auto" w:fill="CFF0FC"/>
          </w:tcPr>
          <w:p>
            <w:pPr>
              <w:spacing w:after="0"/>
              <w:rPr>
                <w:sz w:val="16"/>
                <w:szCs w:val="16"/>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4"/>
        </w:trPr>
        <w:tc>
          <w:tcPr>
            <w:tcW w:w="760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14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14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-1293495</wp:posOffset>
            </wp:positionV>
            <wp:extent cx="137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-1010920</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-728345</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37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May 4, 2025</w:t>
            </w: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Unrealized security gain (loss) arising during the period</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0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1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1"/>
        </w:trPr>
        <w:tc>
          <w:tcPr>
            <w:tcW w:w="61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Comprehensive loss attributable to controlling</w:t>
            </w:r>
          </w:p>
        </w:tc>
        <w:tc>
          <w:tcPr>
            <w:tcW w:w="1640" w:type="dxa"/>
            <w:vAlign w:val="bottom"/>
            <w:vMerge w:val="restart"/>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4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(14,871)</w:t>
            </w:r>
          </w:p>
        </w:tc>
        <w:tc>
          <w:tcPr>
            <w:tcW w:w="0" w:type="dxa"/>
            <w:vAlign w:val="bottom"/>
          </w:tcPr>
          <w:p>
            <w:pPr>
              <w:spacing w:after="0"/>
              <w:rPr>
                <w:sz w:val="1"/>
                <w:szCs w:val="1"/>
                <w:color w:val="auto"/>
              </w:rPr>
            </w:pPr>
          </w:p>
        </w:tc>
      </w:tr>
      <w:tr>
        <w:trPr>
          <w:trHeight w:val="214"/>
        </w:trPr>
        <w:tc>
          <w:tcPr>
            <w:tcW w:w="61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interest</w:t>
            </w:r>
          </w:p>
        </w:tc>
        <w:tc>
          <w:tcPr>
            <w:tcW w:w="164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-710565</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w w:val="99"/>
              </w:rPr>
              <w:t>Three Months Ended May 3, 2026</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w w:val="95"/>
              </w:rPr>
              <w:t>Capital stock</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165"/>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165"/>
              <w:spacing w:after="0" w:line="12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65"/>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65"/>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84"/>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101"/>
              <w:spacing w:after="0" w:line="109"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203"/>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165"/>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jc w:val="center"/>
              <w:ind w:right="145"/>
              <w:spacing w:after="0" w:line="109" w:lineRule="exact"/>
              <w:rPr>
                <w:sz w:val="20"/>
                <w:szCs w:val="20"/>
                <w:color w:val="auto"/>
              </w:rPr>
            </w:pPr>
            <w:r>
              <w:rPr>
                <w:rFonts w:ascii="Times New Roman" w:cs="Times New Roman" w:eastAsia="Times New Roman" w:hAnsi="Times New Roman"/>
                <w:sz w:val="12"/>
                <w:szCs w:val="12"/>
                <w:b w:val="1"/>
                <w:bCs w:val="1"/>
                <w:color w:val="auto"/>
              </w:rPr>
              <w:t>variable interest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center"/>
              <w:ind w:right="184"/>
              <w:spacing w:after="0" w:line="109"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8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3"/>
                <w:szCs w:val="13"/>
                <w:b w:val="1"/>
                <w:bCs w:val="1"/>
                <w:color w:val="auto"/>
                <w:w w:val="97"/>
              </w:rPr>
              <w:t>(loss) income</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3"/>
                <w:szCs w:val="13"/>
                <w:b w:val="1"/>
                <w:bCs w:val="1"/>
                <w:color w:val="auto"/>
                <w:w w:val="94"/>
              </w:rPr>
              <w:t>entity</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February 1, 2026</w:t>
            </w:r>
          </w:p>
        </w:tc>
        <w:tc>
          <w:tcPr>
            <w:tcW w:w="8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36,748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110,794</w:t>
            </w:r>
          </w:p>
        </w:tc>
        <w:tc>
          <w:tcPr>
            <w:tcW w:w="2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61,332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166,115</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1,413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forfeitures</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Restricted stock surrendered for</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8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8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(10,048)</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May 3, 2026</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38,039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111,560</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51,231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156,570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-162560</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-162560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-162560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-162560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-162560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-162560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7"/>
          </w:tcPr>
          <w:p>
            <w:pPr>
              <w:jc w:val="right"/>
              <w:ind w:right="1025"/>
              <w:spacing w:after="0"/>
              <w:rPr>
                <w:sz w:val="20"/>
                <w:szCs w:val="20"/>
                <w:color w:val="auto"/>
              </w:rPr>
            </w:pPr>
            <w:r>
              <w:rPr>
                <w:rFonts w:ascii="Times New Roman" w:cs="Times New Roman" w:eastAsia="Times New Roman" w:hAnsi="Times New Roman"/>
                <w:sz w:val="13"/>
                <w:szCs w:val="13"/>
                <w:b w:val="1"/>
                <w:bCs w:val="1"/>
                <w:color w:val="auto"/>
              </w:rPr>
              <w:t>Three Months Ended May 4, 2025</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w w:val="95"/>
              </w:rPr>
              <w:t>Capital stock</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165"/>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165"/>
              <w:spacing w:after="0" w:line="12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65"/>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65"/>
              <w:spacing w:after="0" w:line="142" w:lineRule="exact"/>
              <w:rPr>
                <w:sz w:val="20"/>
                <w:szCs w:val="20"/>
                <w:color w:val="auto"/>
              </w:rPr>
            </w:pPr>
            <w:r>
              <w:rPr>
                <w:rFonts w:ascii="Times New Roman" w:cs="Times New Roman" w:eastAsia="Times New Roman" w:hAnsi="Times New Roman"/>
                <w:sz w:val="13"/>
                <w:szCs w:val="13"/>
                <w:b w:val="1"/>
                <w:bCs w:val="1"/>
                <w:color w:val="auto"/>
                <w:w w:val="96"/>
              </w:rPr>
              <w:t>interest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84"/>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right"/>
              <w:ind w:right="103"/>
              <w:spacing w:after="0" w:line="109"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203"/>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165"/>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jc w:val="center"/>
              <w:ind w:right="145"/>
              <w:spacing w:after="0" w:line="109" w:lineRule="exact"/>
              <w:rPr>
                <w:sz w:val="20"/>
                <w:szCs w:val="20"/>
                <w:color w:val="auto"/>
              </w:rPr>
            </w:pPr>
            <w:r>
              <w:rPr>
                <w:rFonts w:ascii="Times New Roman" w:cs="Times New Roman" w:eastAsia="Times New Roman" w:hAnsi="Times New Roman"/>
                <w:sz w:val="12"/>
                <w:szCs w:val="12"/>
                <w:b w:val="1"/>
                <w:bCs w:val="1"/>
                <w:color w:val="auto"/>
              </w:rPr>
              <w:t>variable interest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center"/>
              <w:ind w:right="184"/>
              <w:spacing w:after="0" w:line="109"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8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3"/>
                <w:szCs w:val="13"/>
                <w:b w:val="1"/>
                <w:bCs w:val="1"/>
                <w:color w:val="auto"/>
                <w:w w:val="94"/>
              </w:rPr>
              <w:t>entity</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February 2, 2025</w:t>
            </w:r>
          </w:p>
        </w:tc>
        <w:tc>
          <w:tcPr>
            <w:tcW w:w="8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35,177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108,009</w:t>
            </w:r>
          </w:p>
        </w:tc>
        <w:tc>
          <w:tcPr>
            <w:tcW w:w="2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77,721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179,679</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forfeitures</w:t>
            </w: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Restricted stock surrendered for</w:t>
            </w: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taxes</w:t>
            </w:r>
          </w:p>
        </w:tc>
        <w:tc>
          <w:tcPr>
            <w:tcW w:w="8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8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(15,264)</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May 4, 2025</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35,254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108,329</w:t>
            </w: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62,428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164,893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-162560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-162560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-162560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-162560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-162560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-162560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107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6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May 4, 2025</w:t>
            </w: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6,749</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1,371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4,032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3,986</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(28,159)</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0"/>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(56,463)</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1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13,093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64,450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TRI long-term debt</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r>
      <w:tr>
        <w:trPr>
          <w:trHeight w:val="210"/>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4,928</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62,986</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5,244</w:t>
            </w:r>
          </w:p>
        </w:tc>
      </w:tr>
      <w:tr>
        <w:trPr>
          <w:trHeight w:val="216"/>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16,345</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3,335</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6,134</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8,579</w:t>
            </w: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1,481</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-2819400</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-2412365</wp:posOffset>
            </wp:positionV>
            <wp:extent cx="13652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6525"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-1139190</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-856615</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NATURE OF OPERATIONS AND BASIS OF PRESENTATION</w:t>
      </w:r>
    </w:p>
    <w:p>
      <w:pPr>
        <w:spacing w:after="0" w:line="185"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jc w:val="both"/>
        <w:ind w:right="100" w:firstLine="494"/>
        <w:spacing w:after="0" w:line="26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workwear, casual wear, outdoor apparel and accessories sold primarily through the Company’s own omnichannel platform. The Company’s products are marketed under the Duluth Trading Company brand, with the majority of products being exclusively developed and sold as Duluth Trading branded merchandise.</w:t>
      </w:r>
    </w:p>
    <w:p>
      <w:pPr>
        <w:spacing w:after="0" w:line="149" w:lineRule="exact"/>
        <w:rPr>
          <w:sz w:val="20"/>
          <w:szCs w:val="20"/>
          <w:color w:val="auto"/>
        </w:rPr>
      </w:pPr>
    </w:p>
    <w:p>
      <w:pPr>
        <w:ind w:right="300" w:firstLine="494"/>
        <w:spacing w:after="0" w:line="266"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35" w:lineRule="exact"/>
        <w:rPr>
          <w:sz w:val="20"/>
          <w:szCs w:val="20"/>
          <w:color w:val="auto"/>
        </w:rPr>
      </w:pPr>
    </w:p>
    <w:p>
      <w:pPr>
        <w:jc w:val="both"/>
        <w:ind w:right="300" w:firstLine="494"/>
        <w:spacing w:after="0" w:line="261"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35"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160" w:firstLine="494"/>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35"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2026 is a 52-week period and ends on January 31, 2027. Fiscal 2025 was a 52-week period and ended on February 1, 2026. The three months of fiscal 2026 and fiscal 2025 represent the Company’s 13-week periods ended May 3, 2026 and May 4, 2025, respectively.</w:t>
      </w:r>
    </w:p>
    <w:p>
      <w:pPr>
        <w:spacing w:after="0" w:line="135" w:lineRule="exact"/>
        <w:rPr>
          <w:sz w:val="20"/>
          <w:szCs w:val="20"/>
          <w:color w:val="auto"/>
        </w:rPr>
      </w:pPr>
    </w:p>
    <w:p>
      <w:pPr>
        <w:ind w:right="60" w:firstLine="494"/>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months ended May 3, 2026 and May 4, 2025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months ended May 3, 2026 and May 4, 2025. These interim condensed consolidated financial statements should be read in conjunction with the consolidated financial statements and notes included in the Company’s annual report on Form 10-K for the fiscal year ended February 1, 2026.</w:t>
      </w:r>
    </w:p>
    <w:p>
      <w:pPr>
        <w:spacing w:after="0" w:line="158"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jc w:val="both"/>
        <w:ind w:right="300" w:firstLine="494"/>
        <w:spacing w:after="0" w:line="266" w:lineRule="auto"/>
        <w:rPr>
          <w:sz w:val="20"/>
          <w:szCs w:val="20"/>
          <w:color w:val="auto"/>
        </w:rPr>
      </w:pPr>
      <w:r>
        <w:rPr>
          <w:rFonts w:ascii="Times New Roman" w:cs="Times New Roman" w:eastAsia="Times New Roman" w:hAnsi="Times New Roman"/>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 inventories below cost. Inventory reserve for excess, obsolete items, and shrinkage was $5.5 million and $4.4 million as of May 3, 2026 and February 1, 2026,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Prepaid Expenses and Other Assets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Pending returns inventory,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1,293</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3,552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prepaid expenses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17,887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15,461</w:t>
            </w: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22,732</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21,654</w:t>
            </w:r>
          </w:p>
        </w:tc>
        <w:tc>
          <w:tcPr>
            <w:tcW w:w="0" w:type="dxa"/>
            <w:vAlign w:val="bottom"/>
          </w:tcPr>
          <w:p>
            <w:pPr>
              <w:spacing w:after="0"/>
              <w:rPr>
                <w:sz w:val="1"/>
                <w:szCs w:val="1"/>
                <w:color w:val="auto"/>
              </w:rPr>
            </w:pPr>
          </w:p>
        </w:tc>
      </w:tr>
      <w:tr>
        <w:trPr>
          <w:trHeight w:val="413"/>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assets, net</w:t>
            </w: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393</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24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1,387</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8,886</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10,022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-882650</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-864870</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Seasonality of Business</w:t>
      </w:r>
    </w:p>
    <w:p>
      <w:pPr>
        <w:spacing w:after="0" w:line="202"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11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280" w:firstLine="494"/>
        <w:spacing w:after="0" w:line="266"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4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Reclassifications</w:t>
      </w:r>
    </w:p>
    <w:p>
      <w:pPr>
        <w:spacing w:after="0" w:line="189" w:lineRule="exact"/>
        <w:rPr>
          <w:sz w:val="20"/>
          <w:szCs w:val="20"/>
          <w:color w:val="auto"/>
        </w:rPr>
      </w:pPr>
    </w:p>
    <w:p>
      <w:pPr>
        <w:ind w:right="100" w:firstLine="494"/>
        <w:spacing w:after="0" w:line="282" w:lineRule="auto"/>
        <w:rPr>
          <w:sz w:val="20"/>
          <w:szCs w:val="20"/>
          <w:color w:val="auto"/>
        </w:rPr>
      </w:pPr>
      <w:r>
        <w:rPr>
          <w:rFonts w:ascii="Times New Roman" w:cs="Times New Roman" w:eastAsia="Times New Roman" w:hAnsi="Times New Roman"/>
          <w:sz w:val="18"/>
          <w:szCs w:val="18"/>
          <w:color w:val="auto"/>
        </w:rPr>
        <w:t>Certain prior year amounts, which are not material, have been reclassified to conform to the current year presentation in the condensed consolidated financial statements and accompanying notes to the condensed consolidated financial statements.</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Significant Accounting Policies</w:t>
      </w:r>
    </w:p>
    <w:p>
      <w:pPr>
        <w:spacing w:after="0" w:line="202" w:lineRule="exact"/>
        <w:rPr>
          <w:sz w:val="20"/>
          <w:szCs w:val="20"/>
          <w:color w:val="auto"/>
        </w:rPr>
      </w:pPr>
    </w:p>
    <w:p>
      <w:pPr>
        <w:ind w:right="20" w:firstLine="49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February 1, 2026.</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condensed consolidated statement of operations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8"/>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of Operations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May 4, 2025</w:t>
            </w: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3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3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Amortization of right-of-</w:t>
            </w:r>
          </w:p>
        </w:tc>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 assets</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39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33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198"/>
        </w:trPr>
        <w:tc>
          <w:tcPr>
            <w:tcW w:w="3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Operating lease expense</w:t>
            </w:r>
          </w:p>
        </w:tc>
        <w:tc>
          <w:tcPr>
            <w:tcW w:w="3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FF0FC"/>
          </w:tcPr>
          <w:p>
            <w:pPr>
              <w:spacing w:after="0"/>
              <w:rPr>
                <w:sz w:val="20"/>
                <w:szCs w:val="20"/>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4,871</w:t>
            </w: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4,898</w:t>
            </w:r>
          </w:p>
        </w:tc>
        <w:tc>
          <w:tcPr>
            <w:tcW w:w="0" w:type="dxa"/>
            <w:vAlign w:val="bottom"/>
          </w:tcPr>
          <w:p>
            <w:pPr>
              <w:spacing w:after="0"/>
              <w:rPr>
                <w:sz w:val="1"/>
                <w:szCs w:val="1"/>
                <w:color w:val="auto"/>
              </w:rPr>
            </w:pPr>
          </w:p>
        </w:tc>
      </w:t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build-to-</w:t>
            </w:r>
          </w:p>
        </w:tc>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suit leases capital</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w:t>
            </w: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198"/>
        </w:trPr>
        <w:tc>
          <w:tcPr>
            <w:tcW w:w="3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Variable lease expense</w:t>
            </w:r>
          </w:p>
        </w:tc>
        <w:tc>
          <w:tcPr>
            <w:tcW w:w="33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3,061</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FF0FC"/>
            </w:tcBorders>
            <w:shd w:val="clear" w:color="auto" w:fill="CFF0FC"/>
          </w:tcPr>
          <w:p>
            <w:pPr>
              <w:spacing w:after="0"/>
              <w:rPr>
                <w:sz w:val="19"/>
                <w:szCs w:val="19"/>
                <w:color w:val="auto"/>
              </w:rPr>
            </w:pP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33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9,314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9,110</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8"/>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4"/>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May 4, 2025</w:t>
            </w: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300" w:type="dxa"/>
            <w:vAlign w:val="bottom"/>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300" w:type="dxa"/>
            <w:vAlign w:val="bottom"/>
            <w:shd w:val="clear" w:color="auto" w:fill="CFF0FC"/>
          </w:tcPr>
          <w:p>
            <w:pPr>
              <w:spacing w:after="0"/>
              <w:rPr>
                <w:sz w:val="18"/>
                <w:szCs w:val="18"/>
                <w:color w:val="auto"/>
              </w:rPr>
            </w:pPr>
          </w:p>
        </w:tc>
        <w:tc>
          <w:tcPr>
            <w:tcW w:w="4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300" w:type="dxa"/>
            <w:vAlign w:val="bottom"/>
          </w:tcPr>
          <w:p>
            <w:pPr>
              <w:spacing w:after="0"/>
              <w:rPr>
                <w:sz w:val="20"/>
                <w:szCs w:val="20"/>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5,061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198"/>
        </w:trPr>
        <w:tc>
          <w:tcPr>
            <w:tcW w:w="72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300" w:type="dxa"/>
            <w:vAlign w:val="bottom"/>
          </w:tcPr>
          <w:p>
            <w:pPr>
              <w:spacing w:after="0"/>
              <w:rPr>
                <w:sz w:val="20"/>
                <w:szCs w:val="20"/>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3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32"/>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4"/>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4"/>
        </w:trPr>
        <w:tc>
          <w:tcPr>
            <w:tcW w:w="7860" w:type="dxa"/>
            <w:vAlign w:val="bottom"/>
            <w:gridSpan w:val="7"/>
          </w:tcPr>
          <w:p>
            <w:pPr>
              <w:ind w:left="50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May 3, 2026:</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42"/>
        </w:trPr>
        <w:tc>
          <w:tcPr>
            <w:tcW w:w="39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 of fiscal year)</w:t>
            </w:r>
          </w:p>
        </w:tc>
        <w:tc>
          <w:tcPr>
            <w:tcW w:w="3300" w:type="dxa"/>
            <w:vAlign w:val="bottom"/>
            <w:shd w:val="clear" w:color="auto" w:fill="CFF0FC"/>
          </w:tcPr>
          <w:p>
            <w:pPr>
              <w:spacing w:after="0"/>
              <w:rPr>
                <w:sz w:val="18"/>
                <w:szCs w:val="18"/>
                <w:color w:val="auto"/>
              </w:rPr>
            </w:pPr>
          </w:p>
        </w:tc>
        <w:tc>
          <w:tcPr>
            <w:tcW w:w="58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2,995</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15,288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19,182</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4,017</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17,276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14,638</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4,369</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13,470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16,628</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20,947</w:t>
            </w: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300" w:type="dxa"/>
            <w:vAlign w:val="bottom"/>
            <w:shd w:val="clear" w:color="auto" w:fill="CFF0FC"/>
          </w:tcPr>
          <w:p>
            <w:pPr>
              <w:spacing w:after="0"/>
              <w:rPr>
                <w:sz w:val="18"/>
                <w:szCs w:val="18"/>
                <w:color w:val="auto"/>
              </w:rPr>
            </w:pPr>
          </w:p>
        </w:tc>
        <w:tc>
          <w:tcPr>
            <w:tcW w:w="58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36,219</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100,801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(6,257)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(12,224)</w:t>
            </w:r>
          </w:p>
        </w:tc>
        <w:tc>
          <w:tcPr>
            <w:tcW w:w="0" w:type="dxa"/>
            <w:vAlign w:val="bottom"/>
          </w:tcPr>
          <w:p>
            <w:pPr>
              <w:spacing w:after="0"/>
              <w:rPr>
                <w:sz w:val="1"/>
                <w:szCs w:val="1"/>
                <w:color w:val="auto"/>
              </w:rPr>
            </w:pPr>
          </w:p>
        </w:tc>
      </w:tr>
      <w:tr>
        <w:trPr>
          <w:trHeight w:val="25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300" w:type="dxa"/>
            <w:vAlign w:val="bottom"/>
            <w:shd w:val="clear" w:color="auto" w:fill="CFF0FC"/>
          </w:tcPr>
          <w:p>
            <w:pPr>
              <w:spacing w:after="0"/>
              <w:rPr>
                <w:sz w:val="21"/>
                <w:szCs w:val="21"/>
                <w:color w:val="auto"/>
              </w:rPr>
            </w:pPr>
          </w:p>
        </w:tc>
        <w:tc>
          <w:tcPr>
            <w:tcW w:w="58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29,962</w:t>
            </w: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88,577</w:t>
            </w:r>
          </w:p>
        </w:tc>
        <w:tc>
          <w:tcPr>
            <w:tcW w:w="0" w:type="dxa"/>
            <w:vAlign w:val="bottom"/>
          </w:tcPr>
          <w:p>
            <w:pPr>
              <w:spacing w:after="0"/>
              <w:rPr>
                <w:sz w:val="1"/>
                <w:szCs w:val="1"/>
                <w:color w:val="auto"/>
              </w:rPr>
            </w:pPr>
          </w:p>
        </w:tc>
      </w:tr>
      <w:tr>
        <w:trPr>
          <w:trHeight w:val="615"/>
        </w:trPr>
        <w:tc>
          <w:tcPr>
            <w:tcW w:w="3980" w:type="dxa"/>
            <w:vAlign w:val="bottom"/>
            <w:tcBorders>
              <w:top w:val="single" w:sz="8" w:color="CFF0FC"/>
            </w:tcBorders>
          </w:tcPr>
          <w:p>
            <w:pPr>
              <w:spacing w:after="0"/>
              <w:rPr>
                <w:sz w:val="24"/>
                <w:szCs w:val="24"/>
                <w:color w:val="auto"/>
              </w:rPr>
            </w:pPr>
          </w:p>
        </w:tc>
        <w:tc>
          <w:tcPr>
            <w:tcW w:w="330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39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-6642735</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-5545455</wp:posOffset>
            </wp:positionV>
            <wp:extent cx="1200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-744855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-727710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ind w:right="40" w:firstLine="494"/>
        <w:spacing w:after="0" w:line="254" w:lineRule="auto"/>
        <w:rPr>
          <w:sz w:val="20"/>
          <w:szCs w:val="20"/>
          <w:color w:val="auto"/>
        </w:rPr>
      </w:pPr>
      <w:r>
        <w:rPr>
          <w:rFonts w:ascii="Times New Roman" w:cs="Times New Roman" w:eastAsia="Times New Roman" w:hAnsi="Times New Roman"/>
          <w:sz w:val="18"/>
          <w:szCs w:val="18"/>
          <w:color w:val="auto"/>
        </w:rPr>
        <w:t>In the first quarter of 2026, the Company recorded an impairment charge of $2.7 million, which consisted of a right-of-use asset of $2.0 million and associated leasehold improvements of $0.7 million relating to the closure of the Salt Lake City fulfillment center as discussed in further detail in Note 13. The Company performed a recoverability test on the asset group. This test indicated that the carrying amount of the asset was not recoverable, as it exceeded the sum of the future undiscounted cash flows expected to result from the use and eventual disposition of the assets. Consequently, the Company proceeded to measure the impairment loss by comparing the asset group's carrying amount to its fair value. The fair value, which is considered to be a level 3 non-recurring fair value measurement, was determined using a discounted cash flow analysis (an income approach). The discounted cash flow analysis utilized level 3 fair value inputs including cash flow projections and discount rates. The resulting impairment charge of $2.7 million represents the amount by which the carrying value exceeded the calculated fair value. The impairment charge recorded is included in impairment of long-lived assets in the Company's condensed consolidated statement of operations for the three months ended May 3, 2026.</w:t>
      </w:r>
    </w:p>
    <w:p>
      <w:pPr>
        <w:spacing w:after="0" w:line="184" w:lineRule="exact"/>
        <w:rPr>
          <w:sz w:val="20"/>
          <w:szCs w:val="20"/>
          <w:color w:val="auto"/>
        </w:rPr>
      </w:pPr>
    </w:p>
    <w:p>
      <w:pPr>
        <w:ind w:left="500" w:right="8020" w:hanging="492"/>
        <w:spacing w:after="0" w:line="476" w:lineRule="auto"/>
        <w:tabs>
          <w:tab w:leader="none" w:pos="32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AND CREDIT AGREEMENT </w:t>
      </w:r>
      <w:r>
        <w:rPr>
          <w:rFonts w:ascii="Times New Roman" w:cs="Times New Roman" w:eastAsia="Times New Roman" w:hAnsi="Times New Roman"/>
          <w:sz w:val="18"/>
          <w:szCs w:val="18"/>
          <w:color w:val="auto"/>
        </w:rPr>
        <w:t>Debt consists of the following:</w:t>
      </w:r>
    </w:p>
    <w:tbl>
      <w:tblPr>
        <w:tblLayout w:type="fixed"/>
        <w:tblInd w:w="0" w:type="dxa"/>
        <w:tblCellMar>
          <w:top w:w="0" w:type="dxa"/>
          <w:left w:w="0" w:type="dxa"/>
          <w:bottom w:w="0" w:type="dxa"/>
          <w:right w:w="0" w:type="dxa"/>
        </w:tblCellMar>
      </w:tblP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20,628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20,857</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TRI Note</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24,128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24,357</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4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23,085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23,337</w:t>
            </w:r>
          </w:p>
        </w:tc>
        <w:tc>
          <w:tcPr>
            <w:tcW w:w="0" w:type="dxa"/>
            <w:vAlign w:val="bottom"/>
          </w:tcPr>
          <w:p>
            <w:pPr>
              <w:spacing w:after="0"/>
              <w:rPr>
                <w:sz w:val="1"/>
                <w:szCs w:val="1"/>
                <w:color w:val="auto"/>
              </w:rPr>
            </w:pPr>
          </w:p>
        </w:tc>
      </w:tr>
      <w:tr>
        <w:trPr>
          <w:trHeight w:val="197"/>
        </w:trPr>
        <w:tc>
          <w:tcPr>
            <w:tcW w:w="76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Duluth Line of credit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6,009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6,009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Duluth long-term debt</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-608330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-590550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89" w:lineRule="exact"/>
        <w:rPr>
          <w:sz w:val="20"/>
          <w:szCs w:val="20"/>
          <w:color w:val="auto"/>
        </w:rPr>
      </w:pPr>
    </w:p>
    <w:p>
      <w:pPr>
        <w:jc w:val="both"/>
        <w:ind w:right="440" w:firstLine="494"/>
        <w:spacing w:after="0" w:line="266"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9" w:lineRule="exact"/>
        <w:rPr>
          <w:sz w:val="20"/>
          <w:szCs w:val="20"/>
          <w:color w:val="auto"/>
        </w:rPr>
      </w:pPr>
    </w:p>
    <w:p>
      <w:pPr>
        <w:ind w:right="160" w:firstLine="494"/>
        <w:spacing w:after="0" w:line="282"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the obligor of these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02" w:lineRule="exact"/>
        <w:rPr>
          <w:sz w:val="20"/>
          <w:szCs w:val="20"/>
          <w:color w:val="auto"/>
        </w:rPr>
      </w:pPr>
    </w:p>
    <w:p>
      <w:pPr>
        <w:ind w:right="220" w:firstLine="494"/>
        <w:spacing w:after="0" w:line="261" w:lineRule="auto"/>
        <w:rPr>
          <w:sz w:val="20"/>
          <w:szCs w:val="20"/>
          <w:color w:val="auto"/>
        </w:rPr>
      </w:pPr>
      <w:r>
        <w:rPr>
          <w:rFonts w:ascii="Times New Roman" w:cs="Times New Roman" w:eastAsia="Times New Roman" w:hAnsi="Times New Roman"/>
          <w:sz w:val="18"/>
          <w:szCs w:val="18"/>
          <w:color w:val="auto"/>
        </w:rPr>
        <w:t>On April 28, 2025, the Company entered into a credit agreement (the “Credit Agreement”) among the Company, certain financial institutions as Lenders thereto, and BMO Bank N.A., as Administrative Agent, a Swing Line Lender and a Letter of Credit Issuer. The Credit Agreement provides for borrowings of up to $100.0 million in aggregate principal amount that are available under an asset-based revolving senior credit facility (the “Revolver”) with a $10.0 million sublimit for the issuance of standby letters of credit.</w:t>
      </w:r>
    </w:p>
    <w:p>
      <w:pPr>
        <w:spacing w:after="0" w:line="139" w:lineRule="exact"/>
        <w:rPr>
          <w:sz w:val="20"/>
          <w:szCs w:val="20"/>
          <w:color w:val="auto"/>
        </w:rPr>
      </w:pPr>
    </w:p>
    <w:p>
      <w:pPr>
        <w:ind w:right="180" w:firstLine="494"/>
        <w:spacing w:after="0" w:line="258" w:lineRule="auto"/>
        <w:rPr>
          <w:sz w:val="20"/>
          <w:szCs w:val="20"/>
          <w:color w:val="auto"/>
        </w:rPr>
      </w:pPr>
      <w:r>
        <w:rPr>
          <w:rFonts w:ascii="Times New Roman" w:cs="Times New Roman" w:eastAsia="Times New Roman" w:hAnsi="Times New Roman"/>
          <w:sz w:val="18"/>
          <w:szCs w:val="18"/>
          <w:color w:val="auto"/>
        </w:rPr>
        <w:t>Under the Credit Agreement, (i) each Secured Overnight Financing Rate (“SOFR”) loan will bear interest on the outstanding principal amount at a rate per annum equal to adjusted term SOFR plus 150 basis points; (ii) each base rate loan will bear interest on the outstanding principal amount from the applicable borrowing date at a rate per annum equal to the Base Rate (as defined in the Credit Agreement) plus 50 basis points; (iii) each swing line loan will bear interest on the outstanding principal amount from the applicable borrowing date at a rate per annum equal to the base rate plus the applicable margin; and (iv) each other obligation will bear interest on the unpaid amount at a rate per annum equal to the base rate plus the applicable margin.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right="40" w:firstLine="494"/>
        <w:spacing w:after="0" w:line="255" w:lineRule="auto"/>
        <w:rPr>
          <w:sz w:val="20"/>
          <w:szCs w:val="20"/>
          <w:color w:val="auto"/>
        </w:rPr>
      </w:pPr>
      <w:r>
        <w:rPr>
          <w:rFonts w:ascii="Times New Roman" w:cs="Times New Roman" w:eastAsia="Times New Roman" w:hAnsi="Times New Roman"/>
          <w:sz w:val="18"/>
          <w:szCs w:val="18"/>
          <w:color w:val="auto"/>
        </w:rPr>
        <w:t>The Company is also permitted to voluntarily prepay the Credit Agreement in whole or in part at any time, where borrowings bearing interest based on the base rate may be prepaid at any time without penalty and borrowings bearing interest based on SOFR may be prepaid, subject to payment of usual and customary breakage and redeployment costs. The revolver will mature on April 28, 2030. Pursuant to the Credit Agreement, the Company may request an increase in the revolving credit commitments in the aggregate amount of up to $25.0 million during the term of the Credit Agreement and with the consent of the Administrative Agent, subject to credit approval of the Lenders and the satisfaction of certain conditions. The Credit Agreement contains customary events of default and financial, affirmative and negative covenants and is secured by a first-priority perfected security interest in substantially all of the tangible and intangible assets of the Company.</w:t>
      </w:r>
    </w:p>
    <w:p>
      <w:pPr>
        <w:spacing w:after="0" w:line="148" w:lineRule="exact"/>
        <w:rPr>
          <w:sz w:val="20"/>
          <w:szCs w:val="20"/>
          <w:color w:val="auto"/>
        </w:rPr>
      </w:pPr>
    </w:p>
    <w:p>
      <w:pPr>
        <w:ind w:right="60" w:firstLine="494"/>
        <w:spacing w:after="0" w:line="282" w:lineRule="auto"/>
        <w:rPr>
          <w:sz w:val="20"/>
          <w:szCs w:val="20"/>
          <w:color w:val="auto"/>
        </w:rPr>
      </w:pPr>
      <w:r>
        <w:rPr>
          <w:rFonts w:ascii="Times New Roman" w:cs="Times New Roman" w:eastAsia="Times New Roman" w:hAnsi="Times New Roman"/>
          <w:sz w:val="18"/>
          <w:szCs w:val="18"/>
          <w:color w:val="auto"/>
        </w:rPr>
        <w:t>The new $100.0 million Revolver replaced the prior revolving credit facility at a lower interest rate and extends the availability of funds to April 28, 2030. The Company believes the Credit Agreement will provide the Company with flexibility and liquidity to finance seasonal inventory builds.</w:t>
      </w:r>
    </w:p>
    <w:p>
      <w:pPr>
        <w:spacing w:after="0" w:line="135" w:lineRule="exact"/>
        <w:rPr>
          <w:sz w:val="20"/>
          <w:szCs w:val="20"/>
          <w:color w:val="auto"/>
        </w:rPr>
      </w:pPr>
    </w:p>
    <w:p>
      <w:pPr>
        <w:ind w:right="40" w:firstLine="494"/>
        <w:spacing w:after="0" w:line="282" w:lineRule="auto"/>
        <w:rPr>
          <w:sz w:val="20"/>
          <w:szCs w:val="20"/>
          <w:color w:val="auto"/>
        </w:rPr>
      </w:pPr>
      <w:r>
        <w:rPr>
          <w:rFonts w:ascii="Times New Roman" w:cs="Times New Roman" w:eastAsia="Times New Roman" w:hAnsi="Times New Roman"/>
          <w:sz w:val="18"/>
          <w:szCs w:val="18"/>
          <w:color w:val="auto"/>
        </w:rPr>
        <w:t>On July 16, 2025, the Company entered into the First Amendment to the Credit Agreement, pursuant to which all revolving credit loans advanced or prepaid pursuant to such Sweep to Loan Arrangement shall bear interest based on the Base Rate.</w:t>
      </w:r>
    </w:p>
    <w:p>
      <w:pPr>
        <w:spacing w:after="0" w:line="121" w:lineRule="exact"/>
        <w:rPr>
          <w:sz w:val="20"/>
          <w:szCs w:val="20"/>
          <w:color w:val="auto"/>
        </w:rPr>
      </w:pPr>
    </w:p>
    <w:p>
      <w:pPr>
        <w:ind w:right="100" w:firstLine="494"/>
        <w:spacing w:after="0" w:line="266" w:lineRule="auto"/>
        <w:rPr>
          <w:sz w:val="20"/>
          <w:szCs w:val="20"/>
          <w:color w:val="auto"/>
        </w:rPr>
      </w:pPr>
      <w:r>
        <w:rPr>
          <w:rFonts w:ascii="Times New Roman" w:cs="Times New Roman" w:eastAsia="Times New Roman" w:hAnsi="Times New Roman"/>
          <w:sz w:val="18"/>
          <w:szCs w:val="18"/>
          <w:color w:val="auto"/>
        </w:rPr>
        <w:t>On October 1, 2025, the Company entered into the Second Amendment to the Credit Agreement, which, among other things, (i) temporarily increased the aggregate revolving credit commitment under the Credit Agreement from $100.0 million to $125.0 million, as allowed by the existing Credit Agreement, beginning on October 1, 2025 until March 31, 2026, as of which date the revolving credit commitment returned to $100.0 million.</w:t>
      </w:r>
    </w:p>
    <w:p>
      <w:pPr>
        <w:spacing w:after="0" w:line="135" w:lineRule="exact"/>
        <w:rPr>
          <w:sz w:val="20"/>
          <w:szCs w:val="20"/>
          <w:color w:val="auto"/>
        </w:rPr>
      </w:pPr>
    </w:p>
    <w:p>
      <w:pPr>
        <w:ind w:right="100" w:firstLine="494"/>
        <w:spacing w:after="0" w:line="282" w:lineRule="auto"/>
        <w:rPr>
          <w:sz w:val="20"/>
          <w:szCs w:val="20"/>
          <w:color w:val="auto"/>
        </w:rPr>
      </w:pPr>
      <w:r>
        <w:rPr>
          <w:rFonts w:ascii="Times New Roman" w:cs="Times New Roman" w:eastAsia="Times New Roman" w:hAnsi="Times New Roman"/>
          <w:sz w:val="18"/>
          <w:szCs w:val="18"/>
          <w:color w:val="auto"/>
        </w:rPr>
        <w:t>As of May 3, 2026, the Company had drawn $6.0 million and had issued and outstanding letters of credit of $0.7 million under the Revolver, which reduced the amount available for cash advances under the facility to $93.3 million.</w:t>
      </w:r>
    </w:p>
    <w:p>
      <w:pPr>
        <w:spacing w:after="0" w:line="131" w:lineRule="exact"/>
        <w:rPr>
          <w:sz w:val="20"/>
          <w:szCs w:val="20"/>
          <w:color w:val="auto"/>
        </w:rPr>
      </w:pPr>
    </w:p>
    <w:p>
      <w:pPr>
        <w:ind w:left="500" w:right="5640" w:hanging="492"/>
        <w:spacing w:after="0" w:line="476" w:lineRule="auto"/>
        <w:tabs>
          <w:tab w:leader="none" w:pos="32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ACCRUED EXPENSES AND OTHER CURRENT LIABILITIES </w:t>
      </w:r>
      <w:r>
        <w:rPr>
          <w:rFonts w:ascii="Times New Roman" w:cs="Times New Roman" w:eastAsia="Times New Roman" w:hAnsi="Times New Roman"/>
          <w:sz w:val="18"/>
          <w:szCs w:val="18"/>
          <w:color w:val="auto"/>
        </w:rPr>
        <w:t>Accrued expenses and other current liabilities consist of the following:</w:t>
      </w:r>
    </w:p>
    <w:tbl>
      <w:tblPr>
        <w:tblLayout w:type="fixed"/>
        <w:tblInd w:w="0" w:type="dxa"/>
        <w:tblCellMar>
          <w:top w:w="0" w:type="dxa"/>
          <w:left w:w="0" w:type="dxa"/>
          <w:bottom w:w="0" w:type="dxa"/>
          <w:right w:w="0" w:type="dxa"/>
        </w:tblCellMar>
      </w:tblP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12,960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14,120</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9,192</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Freight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26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4,529</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26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7,827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7,398</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34,370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39,871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FAIR VALUE</w:t>
      </w:r>
    </w:p>
    <w:p>
      <w:pPr>
        <w:spacing w:after="0" w:line="187" w:lineRule="exact"/>
        <w:rPr>
          <w:sz w:val="20"/>
          <w:szCs w:val="20"/>
          <w:color w:val="auto"/>
        </w:rPr>
      </w:pPr>
    </w:p>
    <w:p>
      <w:pPr>
        <w:jc w:val="both"/>
        <w:ind w:right="60" w:firstLine="494"/>
        <w:spacing w:after="0" w:line="258"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85" w:lineRule="exact"/>
        <w:rPr>
          <w:sz w:val="20"/>
          <w:szCs w:val="20"/>
          <w:color w:val="auto"/>
        </w:rPr>
      </w:pPr>
    </w:p>
    <w:p>
      <w:pPr>
        <w:ind w:right="180" w:firstLine="494"/>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right="160" w:firstLine="494"/>
        <w:spacing w:after="0" w:line="258"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are categorized as Level 3 instruments. The fair value of the Company’s available-for-sale security was valued based on a discounted cash flow method (Level 3), which incorporates the U.S. Treasury yield curve, credit information and an estimate of future cash flows. During the three months ended May 3, 2026, certain changes in the inputs did impact the fair value of the available-for-sale security. The calculated fair value is based on estimates that are subjective in nature and involve uncertainties and matters of significant judgment and, therefore, cannot be determined with precision. Changes in assumptions could significantly affect the estimates.</w:t>
      </w:r>
    </w:p>
    <w:p>
      <w:pPr>
        <w:spacing w:after="0" w:line="143" w:lineRule="exact"/>
        <w:rPr>
          <w:sz w:val="20"/>
          <w:szCs w:val="20"/>
          <w:color w:val="auto"/>
        </w:rPr>
      </w:pPr>
    </w:p>
    <w:p>
      <w:pPr>
        <w:ind w:right="220" w:firstLine="494"/>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3"/>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57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trust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5,079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346"/>
        </w:trPr>
        <w:tc>
          <w:tcPr>
            <w:tcW w:w="5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3"/>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3"/>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57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 security:</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12,158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12,158</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Corporate trust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5,137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of the Company's corporate trust security measured at fair value on a recurring basis using significant unobservable inputs (Level 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6"/>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7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May 4, 2025</w:t>
            </w: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trust - (Level 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4,491</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(losses) included in OCI (Change in value)</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7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4,860</w:t>
            </w:r>
          </w:p>
        </w:tc>
      </w:tr>
      <w:tr>
        <w:trPr>
          <w:trHeight w:val="399"/>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Significant Unobservable Inputs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February 1, 2026</w:t>
            </w: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Own credit risk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Future Cash Flows (in thousands)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6,908</w:t>
            </w:r>
          </w:p>
        </w:tc>
        <w:tc>
          <w:tcPr>
            <w:tcW w:w="60" w:type="dxa"/>
            <w:vAlign w:val="bottom"/>
            <w:shd w:val="clear" w:color="auto" w:fill="CFF0FC"/>
          </w:tcPr>
          <w:p>
            <w:pPr>
              <w:spacing w:after="0"/>
              <w:rPr>
                <w:sz w:val="18"/>
                <w:szCs w:val="18"/>
                <w:color w:val="auto"/>
              </w:rPr>
            </w:pPr>
          </w:p>
        </w:tc>
        <w:tc>
          <w:tcPr>
            <w:tcW w:w="32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rPr>
              <w:t>7,030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-710565</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-694055</wp:posOffset>
            </wp:positionV>
            <wp:extent cx="1111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-856615</wp:posOffset>
            </wp:positionV>
            <wp:extent cx="111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80"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three months ended May 3, 2026 or May 4, 2025.</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May 3,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one year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one year through five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five years through ten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ten years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53"/>
        </w:trPr>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246</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1,596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1,434</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2,351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2,190</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838</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5,079</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4,676</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-719455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-445135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-161925</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020" w:space="720"/>
            <w:col w:w="3500"/>
          </w:cols>
          <w:pgMar w:left="320" w:top="117"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0" w:type="dxa"/>
            <w:vAlign w:val="bottom"/>
          </w:tcPr>
          <w:p>
            <w:pPr>
              <w:spacing w:after="0"/>
              <w:rPr>
                <w:sz w:val="1"/>
                <w:szCs w:val="1"/>
                <w:color w:val="auto"/>
              </w:rPr>
            </w:pPr>
          </w:p>
        </w:tc>
      </w:tr>
      <w:tr>
        <w:trPr>
          <w:trHeight w:val="156"/>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Borders>
              <w:bottom w:val="single" w:sz="8" w:color="auto"/>
            </w:tcBorders>
            <w:gridSpan w:val="2"/>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280" w:type="dxa"/>
            <w:vAlign w:val="bottom"/>
            <w:tcBorders>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7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38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24,128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22,381</w:t>
            </w:r>
          </w:p>
        </w:tc>
        <w:tc>
          <w:tcPr>
            <w:tcW w:w="4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24,357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22,810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94"/>
        <w:spacing w:after="0" w:line="312" w:lineRule="auto"/>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fair value was also based on a discounted cash flow method (Level 3) based on credit information and an estimate of future cash flows.</w:t>
      </w:r>
    </w:p>
    <w:p>
      <w:pPr>
        <w:spacing w:after="0" w:line="9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ENTITIES</w:t>
      </w:r>
    </w:p>
    <w:p>
      <w:pPr>
        <w:spacing w:after="0" w:line="200" w:lineRule="exact"/>
        <w:rPr>
          <w:sz w:val="20"/>
          <w:szCs w:val="20"/>
          <w:color w:val="auto"/>
        </w:rPr>
      </w:pPr>
    </w:p>
    <w:p>
      <w:pPr>
        <w:ind w:right="300" w:firstLine="494"/>
        <w:spacing w:after="0" w:line="258"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VIE as of May 3, 2026 and February 1, 2026.</w:t>
      </w:r>
    </w:p>
    <w:p>
      <w:pPr>
        <w:spacing w:after="0" w:line="145"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originally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May 3, 2026 and February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3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7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21,547</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21,702</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34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21,560</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21,710</w:t>
            </w:r>
          </w:p>
        </w:tc>
        <w:tc>
          <w:tcPr>
            <w:tcW w:w="0" w:type="dxa"/>
            <w:vAlign w:val="bottom"/>
          </w:tcPr>
          <w:p>
            <w:pPr>
              <w:spacing w:after="0"/>
              <w:rPr>
                <w:sz w:val="1"/>
                <w:szCs w:val="1"/>
                <w:color w:val="auto"/>
              </w:rPr>
            </w:pPr>
          </w:p>
        </w:tc>
      </w:tr>
      <w:tr>
        <w:trPr>
          <w:trHeight w:val="42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23,337</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34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10"/>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21,710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4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2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2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-1610995</wp:posOffset>
            </wp:positionV>
            <wp:extent cx="93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-1593850</wp:posOffset>
            </wp:positionV>
            <wp:extent cx="93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-890905</wp:posOffset>
            </wp:positionV>
            <wp:extent cx="93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7"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3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May 4, 2025</w:t>
            </w:r>
          </w:p>
        </w:tc>
        <w:tc>
          <w:tcPr>
            <w:tcW w:w="0" w:type="dxa"/>
            <w:vAlign w:val="bottom"/>
          </w:tcPr>
          <w:p>
            <w:pPr>
              <w:spacing w:after="0"/>
              <w:rPr>
                <w:sz w:val="1"/>
                <w:szCs w:val="1"/>
                <w:color w:val="auto"/>
              </w:rPr>
            </w:pPr>
          </w:p>
        </w:tc>
      </w:tr>
      <w:tr>
        <w:trPr>
          <w:trHeight w:val="142"/>
        </w:trPr>
        <w:tc>
          <w:tcPr>
            <w:tcW w:w="69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9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Numerator - net loss attributable to</w:t>
            </w:r>
          </w:p>
        </w:tc>
        <w:tc>
          <w:tcPr>
            <w:tcW w:w="1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controlling interest</w:t>
            </w:r>
          </w:p>
        </w:tc>
        <w:tc>
          <w:tcPr>
            <w:tcW w:w="1360" w:type="dxa"/>
            <w:vAlign w:val="bottom"/>
            <w:shd w:val="clear" w:color="auto" w:fill="CFF0FC"/>
          </w:tcPr>
          <w:p>
            <w:pPr>
              <w:jc w:val="right"/>
              <w:ind w:right="120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7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0" w:type="dxa"/>
            <w:vAlign w:val="bottom"/>
          </w:tcPr>
          <w:p>
            <w:pPr>
              <w:spacing w:after="0"/>
              <w:rPr>
                <w:sz w:val="1"/>
                <w:szCs w:val="1"/>
                <w:color w:val="auto"/>
              </w:rPr>
            </w:pPr>
          </w:p>
        </w:tc>
      </w:tr>
      <w:tr>
        <w:trPr>
          <w:trHeight w:val="198"/>
        </w:trPr>
        <w:tc>
          <w:tcPr>
            <w:tcW w:w="6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Denominator - weighted average shares</w:t>
            </w: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34,712</w:t>
            </w: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33,714</w:t>
            </w:r>
          </w:p>
        </w:tc>
        <w:tc>
          <w:tcPr>
            <w:tcW w:w="0" w:type="dxa"/>
            <w:vAlign w:val="bottom"/>
          </w:tcPr>
          <w:p>
            <w:pPr>
              <w:spacing w:after="0"/>
              <w:rPr>
                <w:sz w:val="1"/>
                <w:szCs w:val="1"/>
                <w:color w:val="auto"/>
              </w:rPr>
            </w:pPr>
          </w:p>
        </w:tc>
      </w:tr>
      <w:tr>
        <w:trPr>
          <w:trHeight w:val="216"/>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Dilutive shares</w:t>
            </w:r>
          </w:p>
        </w:tc>
        <w:tc>
          <w:tcPr>
            <w:tcW w:w="1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34,712</w:t>
            </w:r>
          </w:p>
        </w:tc>
        <w:tc>
          <w:tcPr>
            <w:tcW w:w="2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33,714</w:t>
            </w:r>
          </w:p>
        </w:tc>
        <w:tc>
          <w:tcPr>
            <w:tcW w:w="0" w:type="dxa"/>
            <w:vAlign w:val="bottom"/>
          </w:tcPr>
          <w:p>
            <w:pPr>
              <w:spacing w:after="0"/>
              <w:rPr>
                <w:sz w:val="1"/>
                <w:szCs w:val="1"/>
                <w:color w:val="auto"/>
              </w:rPr>
            </w:pPr>
          </w:p>
        </w:tc>
      </w:tr>
      <w:tr>
        <w:trPr>
          <w:trHeight w:val="197"/>
        </w:trPr>
        <w:tc>
          <w:tcPr>
            <w:tcW w:w="6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per share (Class A and Class B)</w:t>
            </w: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 and diluted</w:t>
            </w:r>
          </w:p>
        </w:tc>
        <w:tc>
          <w:tcPr>
            <w:tcW w:w="1360" w:type="dxa"/>
            <w:vAlign w:val="bottom"/>
            <w:shd w:val="clear" w:color="auto" w:fill="CFF0FC"/>
          </w:tcPr>
          <w:p>
            <w:pPr>
              <w:jc w:val="right"/>
              <w:ind w:right="120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7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-299720</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-281940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The computation of diluted loss per share excluded 1.5 million and 0.8 million of unvested restricted stock for the three months ended May 3, 2026 and May 4, 2025, respectively, because their inclusion would be anti-dilutive due to a net loss.</w:t>
      </w:r>
    </w:p>
    <w:p>
      <w:pPr>
        <w:spacing w:after="0" w:line="1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00" w:lineRule="exact"/>
        <w:rPr>
          <w:sz w:val="20"/>
          <w:szCs w:val="20"/>
          <w:color w:val="auto"/>
        </w:rPr>
      </w:pPr>
    </w:p>
    <w:p>
      <w:pPr>
        <w:ind w:right="240" w:firstLine="494"/>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20" w:lineRule="exact"/>
        <w:rPr>
          <w:sz w:val="20"/>
          <w:szCs w:val="20"/>
          <w:color w:val="auto"/>
        </w:rPr>
      </w:pPr>
    </w:p>
    <w:p>
      <w:pPr>
        <w:ind w:right="500" w:firstLine="494"/>
        <w:spacing w:after="0" w:line="266"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$0.7 million and $0.3 million for the three months ended May 3, 2026 and May 4, 2025, respectively. The Company’s total stock compensation expense is included in selling, general and administrative expenses on the Condensed Consolidated Statements of Operations.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three months ended May 3, 2026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2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February 1, 2026</w:t>
            </w:r>
          </w:p>
        </w:tc>
        <w:tc>
          <w:tcPr>
            <w:tcW w:w="1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2,311,132</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1,389,208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(16,818)</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May 3, 2026</w:t>
            </w:r>
          </w:p>
        </w:tc>
        <w:tc>
          <w:tcPr>
            <w:tcW w:w="17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3,413,774</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ind w:right="200" w:firstLine="494"/>
        <w:spacing w:after="0" w:line="282" w:lineRule="auto"/>
        <w:rPr>
          <w:sz w:val="20"/>
          <w:szCs w:val="20"/>
          <w:color w:val="auto"/>
        </w:rPr>
      </w:pPr>
      <w:r>
        <w:rPr>
          <w:rFonts w:ascii="Times New Roman" w:cs="Times New Roman" w:eastAsia="Times New Roman" w:hAnsi="Times New Roman"/>
          <w:sz w:val="18"/>
          <w:szCs w:val="18"/>
          <w:color w:val="auto"/>
        </w:rPr>
        <w:t>At May 3, 2026, the Company had unrecognized compensation expense of $7.1 million related to the restricted stock awards, which is expected to be recognized over a weighted average period of 2.4 years.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0" w:type="dxa"/>
            <w:vAlign w:val="bottom"/>
          </w:tcPr>
          <w:p>
            <w:pPr>
              <w:spacing w:after="0"/>
              <w:rPr>
                <w:sz w:val="1"/>
                <w:szCs w:val="1"/>
                <w:color w:val="auto"/>
              </w:rPr>
            </w:pPr>
          </w:p>
        </w:tc>
      </w:tr>
      <w:tr>
        <w:trPr>
          <w:trHeight w:val="155"/>
        </w:trPr>
        <w:tc>
          <w:tcPr>
            <w:tcW w:w="7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4,486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59,828</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36,326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36,298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63,156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65,608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55,651</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9,293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9,328</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39,167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38,872</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267,762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270,155</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(178,739)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(175,803)</w:t>
            </w: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89,023</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94,352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2,561</w:t>
            </w:r>
          </w:p>
        </w:tc>
        <w:tc>
          <w:tcPr>
            <w:tcW w:w="0" w:type="dxa"/>
            <w:vAlign w:val="bottom"/>
          </w:tcPr>
          <w:p>
            <w:pPr>
              <w:spacing w:after="0"/>
              <w:rPr>
                <w:sz w:val="1"/>
                <w:szCs w:val="1"/>
                <w:color w:val="auto"/>
              </w:rPr>
            </w:pPr>
          </w:p>
        </w:tc>
      </w:tr>
      <w:tr>
        <w:trPr>
          <w:trHeight w:val="24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91,909</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96,913</w:t>
            </w:r>
          </w:p>
        </w:tc>
        <w:tc>
          <w:tcPr>
            <w:tcW w:w="0" w:type="dxa"/>
            <w:vAlign w:val="bottom"/>
          </w:tcPr>
          <w:p>
            <w:pPr>
              <w:spacing w:after="0"/>
              <w:rPr>
                <w:sz w:val="1"/>
                <w:szCs w:val="1"/>
                <w:color w:val="auto"/>
              </w:rPr>
            </w:pPr>
          </w:p>
        </w:tc>
      </w:tr>
      <w:tr>
        <w:trPr>
          <w:trHeight w:val="413"/>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10. REVENUE</w:t>
            </w: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57,133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62,552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Stores</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41,461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40,152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98,594</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102,704</w:t>
            </w:r>
          </w:p>
        </w:tc>
        <w:tc>
          <w:tcPr>
            <w:tcW w:w="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-1816735</wp:posOffset>
            </wp:positionV>
            <wp:extent cx="111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-1799590</wp:posOffset>
            </wp:positionV>
            <wp:extent cx="111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111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120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February 1, 2026</w:t>
            </w: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40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1,293</w:t>
            </w:r>
          </w:p>
        </w:tc>
        <w:tc>
          <w:tcPr>
            <w:tcW w:w="34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2,020</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40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7,883</w:t>
            </w:r>
          </w:p>
        </w:tc>
        <w:tc>
          <w:tcPr>
            <w:tcW w:w="3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9,192</w:t>
            </w:r>
          </w:p>
        </w:tc>
      </w:tr>
      <w:tr>
        <w:trPr>
          <w:trHeight w:val="414"/>
        </w:trPr>
        <w:tc>
          <w:tcPr>
            <w:tcW w:w="940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The following table provides the reconciliation of the contract liability related to gift cards for the three months ended: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3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May 4, 2025</w:t>
            </w: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40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9,192</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9,782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3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2,797</w:t>
            </w: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3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16"/>
        </w:trPr>
        <w:tc>
          <w:tcPr>
            <w:tcW w:w="3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37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9"/>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376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7,883</w:t>
            </w: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8,514</w:t>
            </w:r>
          </w:p>
        </w:tc>
      </w:tr>
      <w:tr>
        <w:trPr>
          <w:trHeight w:val="615"/>
        </w:trPr>
        <w:tc>
          <w:tcPr>
            <w:tcW w:w="3980" w:type="dxa"/>
            <w:vAlign w:val="bottom"/>
          </w:tcPr>
          <w:p>
            <w:pPr>
              <w:spacing w:after="0"/>
              <w:rPr>
                <w:sz w:val="24"/>
                <w:szCs w:val="24"/>
                <w:color w:val="auto"/>
              </w:rPr>
            </w:pPr>
          </w:p>
        </w:tc>
        <w:tc>
          <w:tcPr>
            <w:tcW w:w="37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80"/>
        </w:trPr>
        <w:tc>
          <w:tcPr>
            <w:tcW w:w="39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-745490</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-728345</wp:posOffset>
            </wp:positionV>
            <wp:extent cx="111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-890905</wp:posOffset>
            </wp:positionV>
            <wp:extent cx="111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the reporting period. The effective tax rate related to controlling interest was (1.2%) and (9.0%) for the three months ended May 3, 2026 and May 4, 2025, respectively. The income from TRI was excluded from the calculation of the Company’s effective tax rate, as TRI is a limited liability company and not subject to income tax. The Company maintains a valuation allowance against its deferred tax assets as of the three months period ended May 3,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02" w:lineRule="exact"/>
        <w:rPr>
          <w:sz w:val="20"/>
          <w:szCs w:val="20"/>
          <w:color w:val="auto"/>
        </w:rPr>
      </w:pPr>
    </w:p>
    <w:p>
      <w:pPr>
        <w:ind w:right="40" w:firstLine="494"/>
        <w:spacing w:after="0" w:line="255" w:lineRule="auto"/>
        <w:rPr>
          <w:sz w:val="20"/>
          <w:szCs w:val="20"/>
          <w:color w:val="auto"/>
        </w:rPr>
      </w:pPr>
      <w:r>
        <w:rPr>
          <w:rFonts w:ascii="Times New Roman" w:cs="Times New Roman" w:eastAsia="Times New Roman" w:hAnsi="Times New Roman"/>
          <w:sz w:val="18"/>
          <w:szCs w:val="18"/>
          <w:color w:val="auto"/>
        </w:rPr>
        <w:t>As of May 3, 2026 and May 4, 2025, the Company had one reportable segment. The Company’s operating segment is based on how the Chief Operating Decision Maker (“CODM”) makes decisions about allocating resources and assessing performance. The Company's CODM is its Chief Executive Officer. The CODM has the ultimate decision-making authority for resource allocation and assessing the performance of the Company. Thereby, the CODM regularly reviews consolidated net income as the measure of segment profit or loss, as well as significant segment expenses included in the below table, to evaluate operating performance, generate future operating plans and make strategic decisions regarding the allocation of capital. The CODM also uses these measures in monitoring plan versus actual results. The CODM does not review segment assets at a different level or category than those disclosed in the condensed consolidated balance sheets.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gross margin and selling, general and administrative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jc w:val="right"/>
              <w:ind w:right="593"/>
              <w:spacing w:after="0" w:line="118" w:lineRule="exact"/>
              <w:rPr>
                <w:sz w:val="20"/>
                <w:szCs w:val="20"/>
                <w:color w:val="auto"/>
              </w:rPr>
            </w:pPr>
            <w:r>
              <w:rPr>
                <w:rFonts w:ascii="Times New Roman" w:cs="Times New Roman" w:eastAsia="Times New Roman" w:hAnsi="Times New Roman"/>
                <w:sz w:val="13"/>
                <w:szCs w:val="13"/>
                <w:b w:val="1"/>
                <w:bCs w:val="1"/>
                <w:color w:val="auto"/>
              </w:rPr>
              <w:t>May 3, 2026</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20" w:type="dxa"/>
            <w:vAlign w:val="bottom"/>
          </w:tcPr>
          <w:p>
            <w:pPr>
              <w:jc w:val="right"/>
              <w:ind w:right="572"/>
              <w:spacing w:after="0" w:line="118" w:lineRule="exact"/>
              <w:rPr>
                <w:sz w:val="20"/>
                <w:szCs w:val="20"/>
                <w:color w:val="auto"/>
              </w:rPr>
            </w:pPr>
            <w:r>
              <w:rPr>
                <w:rFonts w:ascii="Times New Roman" w:cs="Times New Roman" w:eastAsia="Times New Roman" w:hAnsi="Times New Roman"/>
                <w:sz w:val="13"/>
                <w:szCs w:val="13"/>
                <w:b w:val="1"/>
                <w:bCs w:val="1"/>
                <w:color w:val="auto"/>
              </w:rPr>
              <w:t>May 4, 2025</w:t>
            </w:r>
          </w:p>
        </w:tc>
        <w:tc>
          <w:tcPr>
            <w:tcW w:w="0" w:type="dxa"/>
            <w:vAlign w:val="bottom"/>
          </w:tcPr>
          <w:p>
            <w:pPr>
              <w:spacing w:after="0"/>
              <w:rPr>
                <w:sz w:val="1"/>
                <w:szCs w:val="1"/>
                <w:color w:val="auto"/>
              </w:rPr>
            </w:pPr>
          </w:p>
        </w:tc>
      </w:tr>
      <w:tr>
        <w:trPr>
          <w:trHeight w:val="173"/>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(13 weeks)</w:t>
            </w: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(13 weeks)</w:t>
            </w:r>
          </w:p>
        </w:tc>
        <w:tc>
          <w:tcPr>
            <w:tcW w:w="0" w:type="dxa"/>
            <w:vAlign w:val="bottom"/>
          </w:tcPr>
          <w:p>
            <w:pPr>
              <w:spacing w:after="0"/>
              <w:rPr>
                <w:sz w:val="1"/>
                <w:szCs w:val="1"/>
                <w:color w:val="auto"/>
              </w:rPr>
            </w:pPr>
          </w:p>
        </w:tc>
      </w:tr>
      <w:tr>
        <w:trPr>
          <w:trHeight w:val="142"/>
        </w:trPr>
        <w:tc>
          <w:tcPr>
            <w:tcW w:w="4760" w:type="dxa"/>
            <w:vAlign w:val="bottom"/>
            <w:vMerge w:val="continue"/>
          </w:tcPr>
          <w:p>
            <w:pPr>
              <w:spacing w:after="0"/>
              <w:rPr>
                <w:sz w:val="12"/>
                <w:szCs w:val="12"/>
                <w:color w:val="auto"/>
              </w:rPr>
            </w:pPr>
          </w:p>
        </w:tc>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98,594</w:t>
            </w:r>
          </w:p>
        </w:tc>
        <w:tc>
          <w:tcPr>
            <w:tcW w:w="7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102,704</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41,960</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49,349</w:t>
            </w:r>
          </w:p>
        </w:tc>
        <w:tc>
          <w:tcPr>
            <w:tcW w:w="0" w:type="dxa"/>
            <w:vAlign w:val="bottom"/>
          </w:tcPr>
          <w:p>
            <w:pPr>
              <w:spacing w:after="0"/>
              <w:rPr>
                <w:sz w:val="1"/>
                <w:szCs w:val="1"/>
                <w:color w:val="auto"/>
              </w:rPr>
            </w:pPr>
          </w:p>
        </w:tc>
      </w:tr>
      <w:tr>
        <w:trPr>
          <w:trHeight w:val="24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56,634</w:t>
            </w:r>
          </w:p>
        </w:tc>
        <w:tc>
          <w:tcPr>
            <w:tcW w:w="7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53,355</w:t>
            </w:r>
          </w:p>
        </w:tc>
        <w:tc>
          <w:tcPr>
            <w:tcW w:w="0" w:type="dxa"/>
            <w:vAlign w:val="bottom"/>
          </w:tcPr>
          <w:p>
            <w:pPr>
              <w:spacing w:after="0"/>
              <w:rPr>
                <w:sz w:val="1"/>
                <w:szCs w:val="1"/>
                <w:color w:val="auto"/>
              </w:rPr>
            </w:pPr>
          </w:p>
        </w:tc>
      </w:tr>
      <w:tr>
        <w:trPr>
          <w:trHeight w:val="197"/>
        </w:trPr>
        <w:tc>
          <w:tcPr>
            <w:tcW w:w="4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Less:</w:t>
            </w:r>
          </w:p>
        </w:tc>
        <w:tc>
          <w:tcPr>
            <w:tcW w:w="23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Outbound shipping expenses</w:t>
            </w: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5,302</w:t>
            </w:r>
          </w:p>
        </w:tc>
        <w:tc>
          <w:tcPr>
            <w:tcW w:w="7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6,186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9,426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10,076</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expenses</w:t>
            </w:r>
          </w:p>
        </w:tc>
        <w:tc>
          <w:tcPr>
            <w:tcW w:w="2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9,849</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10,886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Overhead expenses</w:t>
            </w:r>
          </w:p>
        </w:tc>
        <w:tc>
          <w:tcPr>
            <w:tcW w:w="2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37,225</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38,010</w:t>
            </w: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2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61,802</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65,158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2,709</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3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1,354</w:t>
            </w:r>
          </w:p>
        </w:tc>
        <w:tc>
          <w:tcPr>
            <w:tcW w:w="2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2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2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7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0" w:type="dxa"/>
            <w:vAlign w:val="bottom"/>
          </w:tcPr>
          <w:p>
            <w:pPr>
              <w:spacing w:after="0"/>
              <w:rPr>
                <w:sz w:val="1"/>
                <w:szCs w:val="1"/>
                <w:color w:val="auto"/>
              </w:rPr>
            </w:pPr>
          </w:p>
        </w:tc>
      </w:tr>
      <w:tr>
        <w:trPr>
          <w:trHeight w:val="615"/>
        </w:trPr>
        <w:tc>
          <w:tcPr>
            <w:tcW w:w="4760" w:type="dxa"/>
            <w:vAlign w:val="bottom"/>
            <w:tcBorders>
              <w:top w:val="single" w:sz="8" w:color="CFF0FC"/>
            </w:tcBorders>
          </w:tcPr>
          <w:p>
            <w:pPr>
              <w:spacing w:after="0"/>
              <w:rPr>
                <w:sz w:val="24"/>
                <w:szCs w:val="24"/>
                <w:color w:val="auto"/>
              </w:rPr>
            </w:pPr>
          </w:p>
        </w:tc>
        <w:tc>
          <w:tcPr>
            <w:tcW w:w="2380" w:type="dxa"/>
            <w:vAlign w:val="bottom"/>
            <w:tcBorders>
              <w:top w:val="single" w:sz="8" w:color="CFF0FC"/>
            </w:tcBorders>
          </w:tcPr>
          <w:p>
            <w:pPr>
              <w:jc w:val="right"/>
              <w:ind w:right="133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7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-2999740</wp:posOffset>
            </wp:positionV>
            <wp:extent cx="1289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-2982595</wp:posOffset>
            </wp:positionV>
            <wp:extent cx="1289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-1868170</wp:posOffset>
            </wp:positionV>
            <wp:extent cx="1289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-736600</wp:posOffset>
            </wp:positionV>
            <wp:extent cx="1289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-719455</wp:posOffset>
            </wp:positionV>
            <wp:extent cx="1289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w:t>
      </w:r>
    </w:p>
    <w:p>
      <w:pPr>
        <w:spacing w:after="0" w:line="229"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On January 8, 2026, as a result of additional analysis of the Company's fulfillment center network, the Company communicated its intent to close the Salt Lake City fulfillment center, as such, the Company recorded employment related termination benefits and other restructuring related expenses beginning in the fourth quarter of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Borders>
              <w:bottom w:val="single" w:sz="8" w:color="auto"/>
            </w:tcBorders>
          </w:tcPr>
          <w:p>
            <w:pPr>
              <w:spacing w:after="0"/>
              <w:rPr>
                <w:sz w:val="15"/>
                <w:szCs w:val="15"/>
                <w:color w:val="auto"/>
              </w:rPr>
            </w:pPr>
          </w:p>
        </w:tc>
      </w:tr>
      <w:tr>
        <w:trPr>
          <w:trHeight w:val="210"/>
        </w:trPr>
        <w:tc>
          <w:tcPr>
            <w:tcW w:w="79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360" w:type="dxa"/>
            <w:vAlign w:val="bottom"/>
            <w:tcBorders>
              <w:bottom w:val="single" w:sz="8" w:color="auto"/>
            </w:tcBorders>
          </w:tcPr>
          <w:p>
            <w:pPr>
              <w:spacing w:after="0"/>
              <w:rPr>
                <w:sz w:val="18"/>
                <w:szCs w:val="18"/>
                <w:color w:val="auto"/>
              </w:rPr>
            </w:pP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Disposals of property and equipment</w:t>
            </w: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1,316</w:t>
            </w:r>
          </w:p>
        </w:tc>
        <w:tc>
          <w:tcPr>
            <w:tcW w:w="12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benefit expense</w:t>
            </w:r>
          </w:p>
        </w:tc>
        <w:tc>
          <w:tcPr>
            <w:tcW w:w="120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restructuring expense</w:t>
            </w:r>
          </w:p>
        </w:tc>
        <w:tc>
          <w:tcPr>
            <w:tcW w:w="12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1,354</w:t>
            </w:r>
          </w:p>
        </w:tc>
        <w:tc>
          <w:tcPr>
            <w:tcW w:w="124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9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-170815</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 Not Yet Adopted</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w:t>
      </w:r>
    </w:p>
    <w:p>
      <w:pPr>
        <w:spacing w:after="0" w:line="187" w:lineRule="exact"/>
        <w:rPr>
          <w:sz w:val="20"/>
          <w:szCs w:val="20"/>
          <w:color w:val="auto"/>
        </w:rPr>
      </w:pPr>
    </w:p>
    <w:p>
      <w:pPr>
        <w:ind w:firstLine="494"/>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This ASU requires that each interim and annual reporting period an entity disclose more information about the components of certain expense captions that is currently disclosed in the financial statements. This update is effective for annual reporting periods beginning after December 15, 2027. Early adoption is permitted. Management is currently evaluating the effects this guidance will have on its consolidated financial statements.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80"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our operations should be read in conjunction with the financial statements and related notes of Duluth Holdings Inc. included in Item 1 of this Quarterly Report on Form 10-Q and with our audited financial statements and the related notes included in our Annual Report on Form 10-K for the fiscal year ended February 1, 2026 (“2025 Form 10-K”).</w:t>
      </w:r>
    </w:p>
    <w:p>
      <w:pPr>
        <w:spacing w:after="0" w:line="146" w:lineRule="exact"/>
        <w:rPr>
          <w:sz w:val="20"/>
          <w:szCs w:val="20"/>
          <w:color w:val="auto"/>
        </w:rPr>
      </w:pPr>
    </w:p>
    <w:p>
      <w:pPr>
        <w:ind w:right="260" w:firstLine="494"/>
        <w:spacing w:after="0" w:line="267" w:lineRule="auto"/>
        <w:rPr>
          <w:sz w:val="20"/>
          <w:szCs w:val="20"/>
          <w:color w:val="auto"/>
        </w:rPr>
      </w:pPr>
      <w:r>
        <w:rPr>
          <w:rFonts w:ascii="Times New Roman" w:cs="Times New Roman" w:eastAsia="Times New Roman" w:hAnsi="Times New Roman"/>
          <w:sz w:val="18"/>
          <w:szCs w:val="18"/>
          <w:i w:val="1"/>
          <w:iCs w:val="1"/>
          <w:color w:val="auto"/>
        </w:rPr>
        <w:t>The Company’s fiscal year ends on the Sunday nearest to January 31 of the following year. Fiscal 2026 is a 52-week period and ends on January 31, 2027. Fiscal 2025 was a 52-week period and ended on February 1, 2026. The three months of fiscal 2026 and fiscal 2025 represent our 13-week periods ended May 3, 2026 and May 4, 2025, respectively.</w:t>
      </w:r>
    </w:p>
    <w:p>
      <w:pPr>
        <w:spacing w:after="0" w:line="133" w:lineRule="exact"/>
        <w:rPr>
          <w:sz w:val="20"/>
          <w:szCs w:val="20"/>
          <w:color w:val="auto"/>
        </w:rPr>
      </w:pPr>
    </w:p>
    <w:p>
      <w:pPr>
        <w:ind w:right="160" w:firstLine="494"/>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the terms the “Company,” “Duluth,” “Duluth Trading,” “we,” “our,” or “us” are used to refer to Duluth Holdings Inc.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firstLine="494"/>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“design,”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 the risks and uncertainties described under Part I, Item 1A “Risk Factors,” in our 2025 Form 10-K, and other SEC filings, which factors are incorporated by reference herein. These risks and uncertainties include, but are not limited to, the following: the impact of inflation and measures to control inflation on our results of operations; the prolonged effects of economic uncertainties on store and website traffic;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to our e-commerce platform; our ability to meet customer delivery time expectations; our ability to properly allocate inventory throughout our distribution network to fulfill customer demand; our failure to meet our debt covenant ratios;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our inability to timely and effectively obtain shipments of products from our suppliers and deliver merchandise to our customers; the inability to maintain the performance of our maturing store portfolio; our inability to deploy marketing tactics and commit adequate resources to support marketing in order to retain and attract new customers; our ability to successfully open new stores; effectively adapting to new challenges associated with our expansion into new geographic markets; competing effectively in an environment of intense competition or elevated promotions;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lack of availability of raw materials; our dependence on third-party vendors to provide us with sufficient quantities of merchandise at acceptable prices; the susceptibility of the price and availability of our merchandise to international trade conditions including tariffs;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changes in U.S. and non-U.S. laws affecting the importation and taxation of goods, including imposition of unilateral tariffs on imported goods; our ability to secure the personal and/or financial information of our customers and employees; failure to comply with data privacy regulations; our ability to comply with the security standards for the credit card industry; our failure to maintain adequate internal controls over our financial and management systems; acquisition, disposition, and development risks; and other factors that may be disclosed in our SEC filings or otherwise.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firstLine="494"/>
        <w:spacing w:after="0" w:line="261"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undertake no obligation to update or revise these forward-looking statements, except as required under the federal securities laws.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We are a lifestyle brand of men’s and women’s workwear, casual wear, outdoor apparel and accessories sold primarily through our own omnichannel platform. We offer products nationwide through our website and direct mail. In 2010, we initiated our omnichannel platform with the opening of our first store. Since then, we have expanded our retail presence, and as of May 3, 2026, we operated 63 retail stores and three outlet stores.</w:t>
      </w:r>
    </w:p>
    <w:p>
      <w:pPr>
        <w:spacing w:after="0" w:line="142" w:lineRule="exact"/>
        <w:rPr>
          <w:sz w:val="20"/>
          <w:szCs w:val="20"/>
          <w:color w:val="auto"/>
        </w:rPr>
      </w:pPr>
    </w:p>
    <w:p>
      <w:pPr>
        <w:jc w:val="both"/>
        <w:ind w:right="120" w:firstLine="494"/>
        <w:spacing w:after="0" w:line="217" w:lineRule="auto"/>
        <w:rPr>
          <w:sz w:val="20"/>
          <w:szCs w:val="20"/>
          <w:color w:val="auto"/>
        </w:rPr>
      </w:pPr>
      <w:r>
        <w:rPr>
          <w:rFonts w:ascii="Times New Roman" w:cs="Times New Roman" w:eastAsia="Times New Roman" w:hAnsi="Times New Roman"/>
          <w:sz w:val="18"/>
          <w:szCs w:val="18"/>
          <w:color w:val="auto"/>
        </w:rPr>
        <w:t>We offer a comprehensive line of innovative, durable and functional products, such as our Longtail 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shirts, Buck Naked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underwear, Fire Hose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work pants, and No-Yank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71" w:lineRule="exact"/>
        <w:rPr>
          <w:sz w:val="20"/>
          <w:szCs w:val="20"/>
          <w:color w:val="auto"/>
        </w:rPr>
      </w:pPr>
    </w:p>
    <w:p>
      <w:pPr>
        <w:ind w:right="80" w:firstLine="494"/>
        <w:spacing w:after="0" w:line="261"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sales growth. We have done so by sticking to our roots of “there’s gotta be a better way” and through our relentless focus on providing our customers with quality, functional products.</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117" w:lineRule="exact"/>
        <w:rPr>
          <w:sz w:val="20"/>
          <w:szCs w:val="20"/>
          <w:color w:val="auto"/>
        </w:rPr>
      </w:pPr>
    </w:p>
    <w:p>
      <w:pPr>
        <w:ind w:left="880" w:hanging="378"/>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decreased by 4.0% over the prior year first quarter to $98.6 million;</w:t>
      </w:r>
    </w:p>
    <w:p>
      <w:pPr>
        <w:spacing w:after="0" w:line="117" w:lineRule="exact"/>
        <w:rPr>
          <w:rFonts w:ascii="Times New Roman" w:cs="Times New Roman" w:eastAsia="Times New Roman" w:hAnsi="Times New Roman"/>
          <w:sz w:val="18"/>
          <w:szCs w:val="18"/>
          <w:color w:val="auto"/>
        </w:rPr>
      </w:pPr>
    </w:p>
    <w:p>
      <w:pPr>
        <w:ind w:left="880" w:hanging="378"/>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to $10.0 million in fiscal 2026 first quarter compared to the prior year first quarter net loss of $15.3 million; and</w:t>
      </w:r>
    </w:p>
    <w:p>
      <w:pPr>
        <w:spacing w:after="0" w:line="117" w:lineRule="exact"/>
        <w:rPr>
          <w:rFonts w:ascii="Times New Roman" w:cs="Times New Roman" w:eastAsia="Times New Roman" w:hAnsi="Times New Roman"/>
          <w:sz w:val="18"/>
          <w:szCs w:val="18"/>
          <w:color w:val="auto"/>
        </w:rPr>
      </w:pPr>
    </w:p>
    <w:p>
      <w:pPr>
        <w:ind w:left="880" w:right="320" w:hanging="378"/>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to $2.6 million in fiscal 2026 first quarter compared to the prior year first quarter Adjusted EBITDA of ($3.8) million.</w:t>
      </w:r>
    </w:p>
    <w:p>
      <w:pPr>
        <w:spacing w:after="0" w:line="121" w:lineRule="exact"/>
        <w:rPr>
          <w:sz w:val="20"/>
          <w:szCs w:val="20"/>
          <w:color w:val="auto"/>
        </w:rPr>
      </w:pPr>
    </w:p>
    <w:p>
      <w:pPr>
        <w:ind w:right="40" w:firstLine="494"/>
        <w:spacing w:after="0" w:line="266" w:lineRule="auto"/>
        <w:rPr>
          <w:sz w:val="20"/>
          <w:szCs w:val="20"/>
          <w:color w:val="auto"/>
        </w:rPr>
      </w:pPr>
      <w:r>
        <w:rPr>
          <w:rFonts w:ascii="Times New Roman" w:cs="Times New Roman" w:eastAsia="Times New Roman" w:hAnsi="Times New Roman"/>
          <w:sz w:val="18"/>
          <w:szCs w:val="18"/>
          <w:color w:val="auto"/>
        </w:rPr>
        <w:t>See the “Reconciliation of Net (Loss) Income to EBITDA and EBITDA to Adjusted EBITDA” section for a reconciliation of our net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89" w:lineRule="exact"/>
        <w:rPr>
          <w:sz w:val="20"/>
          <w:szCs w:val="20"/>
          <w:color w:val="auto"/>
        </w:rPr>
      </w:pPr>
    </w:p>
    <w:p>
      <w:pPr>
        <w:ind w:right="120" w:firstLine="494"/>
        <w:spacing w:after="0" w:line="258" w:lineRule="auto"/>
        <w:rPr>
          <w:sz w:val="20"/>
          <w:szCs w:val="20"/>
          <w:color w:val="auto"/>
        </w:rPr>
      </w:pPr>
      <w:r>
        <w:rPr>
          <w:rFonts w:ascii="Times New Roman" w:cs="Times New Roman" w:eastAsia="Times New Roman" w:hAnsi="Times New Roman"/>
          <w:sz w:val="18"/>
          <w:szCs w:val="18"/>
          <w:color w:val="auto"/>
        </w:rPr>
        <w:t>The macroeconomic environment is experiencing inflation, including rising transportation costs, and recessionary concerns and general uncertainty regarding the future economic environment and therefore we cannot predict the ultimate impact of these economic conditions on our operational and financial performance. Given the uncertainty, we cannot reasonably estimate store traffic patterns and the prolonged impact on overall consumer demand. However, we expect that our operations will continue to be impacted by these macroeconomic headwinds, which may increase our merchandise costs, affect merchandise availability, and impact our financial performance.</w:t>
      </w:r>
    </w:p>
    <w:p>
      <w:pPr>
        <w:spacing w:after="0" w:line="143"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On February 20, 2026, the U.S. Supreme Court issued a ruling relating to tariffs imposed under the International Emergency Economic Powers Act ("IEEPA"). Following the ruling, the U.S. Customs and Border Protection and other federal agencies issued additional guidance and took actions affecting the assessment, collection, refund, and/or protest of certain tariffs. We are evaluating the impact of these developments on previously paid tariffs and related matters, including the potential for refunds or other recovery. At this time, we cannot reasonably estimate the amount or timing of any recovery, if any, or the ultimate impact of these developments on our condensed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right="320" w:firstLine="494"/>
        <w:spacing w:after="0" w:line="282"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to a customer, while store sales are recognized at the point of sale.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fulfillment centers to our retail stores. The primary drivers of the costs of individual goods are raw material costs. Depreciation and amortization are excluded from gross profit. Shipping and handling revenue is also reflected in our gross profit and gross profit margin. Our gross profit may not be comparable to other retailers, as we do not include distribution network and store occupancy expenses in calculating gross profit, but instead we include them in selling, general and administrative expenses.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02"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digital and social media advertising, print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7" w:lineRule="exact"/>
        <w:rPr>
          <w:sz w:val="20"/>
          <w:szCs w:val="20"/>
          <w:color w:val="auto"/>
        </w:rPr>
      </w:pPr>
    </w:p>
    <w:p>
      <w:pPr>
        <w:ind w:firstLine="494"/>
        <w:spacing w:after="0" w:line="266" w:lineRule="auto"/>
        <w:rPr>
          <w:sz w:val="20"/>
          <w:szCs w:val="20"/>
          <w:color w:val="auto"/>
        </w:rPr>
      </w:pPr>
      <w:r>
        <w:rPr>
          <w:rFonts w:ascii="Times New Roman" w:cs="Times New Roman" w:eastAsia="Times New Roman" w:hAnsi="Times New Roman"/>
          <w:sz w:val="18"/>
          <w:szCs w:val="18"/>
          <w:color w:val="auto"/>
        </w:rPr>
        <w:t>While we expect these expenses to increase as we continue to increase brand awareness and invest in infrastructure to support our business, we believe these expenses will decrease as a percentage of sales over time. Our shipping and handling expenses typically increase during the second half of the year due to additional surcharges during our peak selling season.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02" w:lineRule="exact"/>
        <w:rPr>
          <w:sz w:val="20"/>
          <w:szCs w:val="20"/>
          <w:color w:val="auto"/>
        </w:rPr>
      </w:pPr>
    </w:p>
    <w:p>
      <w:pPr>
        <w:ind w:right="180" w:firstLine="494"/>
        <w:spacing w:after="0" w:line="261"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taxes, and depreciation and amortization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39" w:lineRule="exact"/>
        <w:rPr>
          <w:sz w:val="20"/>
          <w:szCs w:val="20"/>
          <w:color w:val="auto"/>
        </w:rPr>
      </w:pPr>
    </w:p>
    <w:p>
      <w:pPr>
        <w:ind w:right="20" w:firstLine="494"/>
        <w:spacing w:after="0" w:line="261" w:lineRule="auto"/>
        <w:rPr>
          <w:sz w:val="20"/>
          <w:szCs w:val="20"/>
          <w:color w:val="auto"/>
        </w:rPr>
      </w:pPr>
      <w:r>
        <w:rPr>
          <w:rFonts w:ascii="Times New Roman" w:cs="Times New Roman" w:eastAsia="Times New Roman" w:hAnsi="Times New Roman"/>
          <w:sz w:val="18"/>
          <w:szCs w:val="18"/>
          <w:color w:val="auto"/>
        </w:rPr>
        <w:t>We define Adjusted EBITDA as consolidated net (loss) income before depreciation and amortization, and interest expense, including non-cash and other items we do not consider representative of our ongoing operating performance. We believe Adjusted EBITDA is less susceptible to variances in actual performance resulting from depreciation, amortization and other items. This non-GAAP measure may not be comparable to similarly titled measures used by other companies.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 of Net Sales</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 of Net Sales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98,594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102,704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4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goods sold (excluding depreciation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200" w:type="dxa"/>
            <w:vAlign w:val="bottom"/>
          </w:tcPr>
          <w:p>
            <w:pPr>
              <w:spacing w:after="0"/>
              <w:rPr>
                <w:sz w:val="18"/>
                <w:szCs w:val="18"/>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41,960</w:t>
            </w:r>
          </w:p>
        </w:tc>
        <w:tc>
          <w:tcPr>
            <w:tcW w:w="18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49,349</w:t>
            </w:r>
          </w:p>
        </w:tc>
        <w:tc>
          <w:tcPr>
            <w:tcW w:w="180" w:type="dxa"/>
            <w:vAlign w:val="bottom"/>
            <w:vMerge w:val="restart"/>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180" w:type="dxa"/>
            <w:vAlign w:val="bottom"/>
            <w:vMerge w:val="restart"/>
          </w:tcPr>
          <w:p>
            <w:pPr>
              <w:spacing w:after="0"/>
              <w:rPr>
                <w:sz w:val="18"/>
                <w:szCs w:val="18"/>
                <w:color w:val="auto"/>
              </w:rPr>
            </w:pPr>
          </w:p>
        </w:tc>
        <w:tc>
          <w:tcPr>
            <w:tcW w:w="128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1"/>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56,634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53,355</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3,279</w:t>
            </w:r>
          </w:p>
        </w:tc>
        <w:tc>
          <w:tcPr>
            <w:tcW w:w="11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61,802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65,158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2,709</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2,160</w:t>
            </w:r>
          </w:p>
        </w:tc>
        <w:tc>
          <w:tcPr>
            <w:tcW w:w="116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393.4</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1,354</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1,354</w:t>
            </w: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42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 %</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142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(12.0) %</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3,121</w:t>
            </w:r>
          </w:p>
        </w:tc>
        <w:tc>
          <w:tcPr>
            <w:tcW w:w="14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 %</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(157.8) %</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(10.1)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(13,994)</w:t>
            </w: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(13.6)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4,066</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1,270</w:t>
            </w: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(90.6) %</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(10.2)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(14.9) %</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5,216</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r>
        <w:trPr>
          <w:trHeight w:val="198"/>
        </w:trPr>
        <w:tc>
          <w:tcPr>
            <w:tcW w:w="3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20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vMerge w:val="restart"/>
            <w:shd w:val="clear" w:color="auto" w:fill="CFF0FC"/>
          </w:tcPr>
          <w:p>
            <w:pPr>
              <w:spacing w:after="0"/>
              <w:rPr>
                <w:sz w:val="17"/>
                <w:szCs w:val="17"/>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vMerge w:val="restart"/>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2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vMerge w:val="restart"/>
            <w:shd w:val="clear" w:color="auto" w:fill="CFF0FC"/>
          </w:tcPr>
          <w:p>
            <w:pPr>
              <w:spacing w:after="0"/>
              <w:rPr>
                <w:sz w:val="17"/>
                <w:szCs w:val="17"/>
                <w:color w:val="auto"/>
              </w:rPr>
            </w:pPr>
          </w:p>
        </w:tc>
        <w:tc>
          <w:tcPr>
            <w:tcW w:w="98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82.8</w:t>
            </w:r>
          </w:p>
        </w:tc>
        <w:tc>
          <w:tcPr>
            <w:tcW w:w="3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vMerge w:val="continue"/>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3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vMerge w:val="continue"/>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vMerge w:val="continue"/>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(10.2) %</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(14.9) %</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5,192</w:t>
            </w: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(34.0) %</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-864870</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-864870</wp:posOffset>
            </wp:positionV>
            <wp:extent cx="1454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-864870</wp:posOffset>
            </wp:positionV>
            <wp:extent cx="1117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-864870</wp:posOffset>
            </wp:positionV>
            <wp:extent cx="1460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-864870</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-582295</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-582295</wp:posOffset>
            </wp:positionV>
            <wp:extent cx="1454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-582295</wp:posOffset>
            </wp:positionV>
            <wp:extent cx="1117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-582295</wp:posOffset>
            </wp:positionV>
            <wp:extent cx="1460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-582295</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-170815</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-170815</wp:posOffset>
            </wp:positionV>
            <wp:extent cx="1454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1460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May 3, 2026, Compared to Three Months Ended May 4,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ind w:right="240" w:firstLine="494"/>
        <w:spacing w:after="0" w:line="289" w:lineRule="auto"/>
        <w:rPr>
          <w:sz w:val="20"/>
          <w:szCs w:val="20"/>
          <w:color w:val="auto"/>
        </w:rPr>
      </w:pPr>
      <w:r>
        <w:rPr>
          <w:rFonts w:ascii="Times New Roman" w:cs="Times New Roman" w:eastAsia="Times New Roman" w:hAnsi="Times New Roman"/>
          <w:sz w:val="17"/>
          <w:szCs w:val="17"/>
          <w:color w:val="auto"/>
        </w:rPr>
        <w:t>The decrease in net sales for the three months ended May 3, 2026 was primarily driven by a decline in direct-to-consumer net sales resulting from declines in web traffic and web conversion due to reduced promotional activity partially offset by higher average order values. The decline in direct-to-consumer net sales was partially offset by an increase in store net sales driven by improved shopper conversion and higher average order values.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2" w:lineRule="exact"/>
        <w:rPr>
          <w:sz w:val="20"/>
          <w:szCs w:val="20"/>
          <w:color w:val="auto"/>
        </w:rPr>
      </w:pPr>
    </w:p>
    <w:p>
      <w:pPr>
        <w:ind w:right="100" w:firstLine="494"/>
        <w:spacing w:after="0" w:line="282" w:lineRule="auto"/>
        <w:rPr>
          <w:sz w:val="20"/>
          <w:szCs w:val="20"/>
          <w:color w:val="auto"/>
        </w:rPr>
      </w:pPr>
      <w:r>
        <w:rPr>
          <w:rFonts w:ascii="Times New Roman" w:cs="Times New Roman" w:eastAsia="Times New Roman" w:hAnsi="Times New Roman"/>
          <w:sz w:val="18"/>
          <w:szCs w:val="18"/>
          <w:color w:val="auto"/>
        </w:rPr>
        <w:t>The increase in gross profit and gross margin rate for the three months ended May 3, 2026 was primarily driven by an increase in average unit retail sales from reduced promotional activity coupled with an improvement in product costs from our direct to factory sourcing initiative.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right="240" w:firstLine="494"/>
        <w:spacing w:after="0" w:line="312" w:lineRule="auto"/>
        <w:rPr>
          <w:sz w:val="20"/>
          <w:szCs w:val="20"/>
          <w:color w:val="auto"/>
        </w:rPr>
      </w:pPr>
      <w:r>
        <w:rPr>
          <w:rFonts w:ascii="Times New Roman" w:cs="Times New Roman" w:eastAsia="Times New Roman" w:hAnsi="Times New Roman"/>
          <w:sz w:val="17"/>
          <w:szCs w:val="17"/>
          <w:color w:val="auto"/>
        </w:rPr>
        <w:t>The decrease in selling, general and administrative expense and as a percentage of net sales for the three months ended May 3, 2026 was mainly driven by leverage on outbound shipping costs due to higher average order values coupled with a reduction in personnel and marketing related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right="200" w:firstLine="494"/>
        <w:spacing w:after="0" w:line="266" w:lineRule="auto"/>
        <w:rPr>
          <w:sz w:val="20"/>
          <w:szCs w:val="20"/>
          <w:color w:val="auto"/>
        </w:rPr>
      </w:pPr>
      <w:r>
        <w:rPr>
          <w:rFonts w:ascii="Times New Roman" w:cs="Times New Roman" w:eastAsia="Times New Roman" w:hAnsi="Times New Roman"/>
          <w:sz w:val="18"/>
          <w:szCs w:val="18"/>
          <w:color w:val="auto"/>
        </w:rPr>
        <w:t>The impairment charge recorded during the three months ended May 3, 2026 related to the closure of our Salt Lake City fulfillment center and corresponding leasehold improvements, which is discussed in further detail in Note 2 of our Notes to Condensed Consolidated Financial Statements. The impairment charge recorded during the three months ended May 4, 2025 related to certain software that was no longer utilized in our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w:t>
      </w:r>
    </w:p>
    <w:p>
      <w:pPr>
        <w:spacing w:after="0" w:line="202" w:lineRule="exact"/>
        <w:rPr>
          <w:sz w:val="20"/>
          <w:szCs w:val="20"/>
          <w:color w:val="auto"/>
        </w:rPr>
      </w:pPr>
    </w:p>
    <w:p>
      <w:pPr>
        <w:ind w:right="140" w:firstLine="494"/>
        <w:spacing w:after="0" w:line="282" w:lineRule="auto"/>
        <w:rPr>
          <w:sz w:val="20"/>
          <w:szCs w:val="20"/>
          <w:color w:val="auto"/>
        </w:rPr>
      </w:pPr>
      <w:r>
        <w:rPr>
          <w:rFonts w:ascii="Times New Roman" w:cs="Times New Roman" w:eastAsia="Times New Roman" w:hAnsi="Times New Roman"/>
          <w:sz w:val="18"/>
          <w:szCs w:val="18"/>
          <w:color w:val="auto"/>
        </w:rPr>
        <w:t>The restructuring expenses incurred for the three months ended May 3, 2026 related to the closure of our Salt Lake City fulfillment center. Refer to Note 13 of our Notes to Condensed Consolidated Financial Statements for further information on the closure of the fulfillment center.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decreased for the three months ended May 3, 2026 due to a lower average balance on our outstanding line of credit.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decrease was primarily driven by the additional valuation allowance established in the first quarter of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EBITDA and EBITDA to Adjusted EBITDA</w:t>
      </w:r>
    </w:p>
    <w:p>
      <w:pPr>
        <w:spacing w:after="0" w:line="202" w:lineRule="exact"/>
        <w:rPr>
          <w:sz w:val="20"/>
          <w:szCs w:val="20"/>
          <w:color w:val="auto"/>
        </w:rPr>
      </w:pPr>
    </w:p>
    <w:p>
      <w:pPr>
        <w:ind w:right="60" w:firstLine="494"/>
        <w:spacing w:after="0" w:line="266" w:lineRule="auto"/>
        <w:rPr>
          <w:sz w:val="20"/>
          <w:szCs w:val="20"/>
          <w:color w:val="auto"/>
        </w:rPr>
      </w:pPr>
      <w:r>
        <w:rPr>
          <w:rFonts w:ascii="Times New Roman" w:cs="Times New Roman" w:eastAsia="Times New Roman" w:hAnsi="Times New Roman"/>
          <w:sz w:val="18"/>
          <w:szCs w:val="18"/>
          <w:color w:val="auto"/>
        </w:rPr>
        <w:t>The following table presents reconciliations of net loss to EBITDA and EBITDA to Adjusted EBITDA, both of which are non-U.S. GAAP financial measures, for the periods indicated below. See the above section titled “How We Assess the Performance of Our Business,” for our definition of Adjusted EBITDA.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May 4, 2025</w:t>
            </w: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0" w:type="dxa"/>
            <w:vAlign w:val="bottom"/>
          </w:tcPr>
          <w:p>
            <w:pPr>
              <w:spacing w:after="0"/>
              <w:rPr>
                <w:sz w:val="1"/>
                <w:szCs w:val="1"/>
                <w:color w:val="auto"/>
              </w:rPr>
            </w:pP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6,749</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incentive expense</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Impairment expense</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2,709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expense</w:t>
            </w:r>
          </w:p>
        </w:tc>
        <w:tc>
          <w:tcPr>
            <w:tcW w:w="2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1,354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2,635</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340" w:firstLine="494"/>
        <w:spacing w:after="0" w:line="282" w:lineRule="auto"/>
        <w:rPr>
          <w:sz w:val="20"/>
          <w:szCs w:val="20"/>
          <w:color w:val="auto"/>
        </w:rPr>
      </w:pPr>
      <w:r>
        <w:rPr>
          <w:rFonts w:ascii="Times New Roman" w:cs="Times New Roman" w:eastAsia="Times New Roman" w:hAnsi="Times New Roman"/>
          <w:sz w:val="18"/>
          <w:szCs w:val="18"/>
          <w:color w:val="auto"/>
        </w:rPr>
        <w:t>The increase in Adjusted EBITDA was primarily due to leverage across our cost of goods sold and operating expenses as discussed above in the “Results of Operations” section.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jc w:val="both"/>
        <w:ind w:right="180" w:firstLine="494"/>
        <w:spacing w:after="0" w:line="261" w:lineRule="auto"/>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and capital expenditures associated with infrastructure and information technology. The most significant components of our working capital are cash, inventory, accounts payable and other current liabilities. At May 3, 2026, our net working capital was $62.3 million, including $6.1 million of cash and cash equivalents.</w:t>
      </w:r>
    </w:p>
    <w:p>
      <w:pPr>
        <w:spacing w:after="0" w:line="139" w:lineRule="exact"/>
        <w:rPr>
          <w:sz w:val="20"/>
          <w:szCs w:val="20"/>
          <w:color w:val="auto"/>
        </w:rPr>
      </w:pPr>
    </w:p>
    <w:p>
      <w:pPr>
        <w:ind w:right="20" w:firstLine="494"/>
        <w:spacing w:after="0" w:line="256" w:lineRule="auto"/>
        <w:rPr>
          <w:sz w:val="20"/>
          <w:szCs w:val="20"/>
          <w:color w:val="auto"/>
        </w:rPr>
      </w:pPr>
      <w:r>
        <w:rPr>
          <w:rFonts w:ascii="Times New Roman" w:cs="Times New Roman" w:eastAsia="Times New Roman" w:hAnsi="Times New Roman"/>
          <w:sz w:val="18"/>
          <w:szCs w:val="18"/>
          <w:color w:val="auto"/>
        </w:rPr>
        <w:t>In April 2025, we entered into a credit agreement, which was subsequently amended throughout 2025 and provides us with borrowings of up to $100.0 million that are available under an asset-based revolving senior credit facility with a $10.0 million sublimit for the issuance of standby letters of credit. Due to the seasonality of our business, a significant amount of cash from operating activities is generated during the fourth quarter of our fiscal year. During the first three quarters of our fiscal year, we typically are net users of cash in our operating activities through funding received on our line of credit as we acquire inventory in anticipation of our peak selling season, which typically occurs in the fourth quarter of our fiscal year. We also use cash in our investing activities for capital expenditures throughout all four quarters of our fiscal year.</w:t>
      </w:r>
    </w:p>
    <w:p>
      <w:pPr>
        <w:spacing w:after="0" w:line="147" w:lineRule="exact"/>
        <w:rPr>
          <w:sz w:val="20"/>
          <w:szCs w:val="20"/>
          <w:color w:val="auto"/>
        </w:rPr>
      </w:pPr>
    </w:p>
    <w:p>
      <w:pPr>
        <w:ind w:right="500" w:firstLine="494"/>
        <w:spacing w:after="0" w:line="282"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May 4, 2025</w:t>
            </w:r>
          </w:p>
        </w:tc>
        <w:tc>
          <w:tcPr>
            <w:tcW w:w="0" w:type="dxa"/>
            <w:vAlign w:val="bottom"/>
          </w:tcPr>
          <w:p>
            <w:pPr>
              <w:spacing w:after="0"/>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(13,418)</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(56,463)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4,928</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62,986</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02" w:lineRule="exact"/>
        <w:rPr>
          <w:sz w:val="20"/>
          <w:szCs w:val="20"/>
          <w:color w:val="auto"/>
        </w:rPr>
      </w:pPr>
    </w:p>
    <w:p>
      <w:pPr>
        <w:ind w:right="180" w:firstLine="494"/>
        <w:spacing w:after="0" w:line="282" w:lineRule="auto"/>
        <w:rPr>
          <w:sz w:val="20"/>
          <w:szCs w:val="20"/>
          <w:color w:val="auto"/>
        </w:rPr>
      </w:pPr>
      <w:r>
        <w:rPr>
          <w:rFonts w:ascii="Times New Roman" w:cs="Times New Roman" w:eastAsia="Times New Roman" w:hAnsi="Times New Roman"/>
          <w:sz w:val="18"/>
          <w:szCs w:val="18"/>
          <w:color w:val="auto"/>
        </w:rPr>
        <w:t>Operating activities consist primarily of net loss adjusted for non-cash items that include depreciation and amortization, stock-based compensation and the effect of changes in operating assets and liabilities.</w:t>
      </w:r>
    </w:p>
    <w:p>
      <w:pPr>
        <w:spacing w:after="0" w:line="121" w:lineRule="exact"/>
        <w:rPr>
          <w:sz w:val="20"/>
          <w:szCs w:val="20"/>
          <w:color w:val="auto"/>
        </w:rPr>
      </w:pPr>
    </w:p>
    <w:p>
      <w:pPr>
        <w:ind w:right="140" w:firstLine="494"/>
        <w:spacing w:after="0" w:line="266" w:lineRule="auto"/>
        <w:rPr>
          <w:sz w:val="20"/>
          <w:szCs w:val="20"/>
          <w:color w:val="auto"/>
        </w:rPr>
      </w:pPr>
      <w:r>
        <w:rPr>
          <w:rFonts w:ascii="Times New Roman" w:cs="Times New Roman" w:eastAsia="Times New Roman" w:hAnsi="Times New Roman"/>
          <w:sz w:val="18"/>
          <w:szCs w:val="18"/>
          <w:color w:val="auto"/>
        </w:rPr>
        <w:t>The decrease in cash used in operating activities for the three months ended May 3, 2026 was primarily due to the increase in gross margin rate, decrease in selling, general and administrative expenses as discussed in further detail above, and decreased trade payables and accrued expenses primarily from improved inventory management.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related to investments in infrastructure, retail stores and information technology.</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 in cash used in investing activities was primarily driven by an increase in purchases of property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02" w:lineRule="exact"/>
        <w:rPr>
          <w:sz w:val="20"/>
          <w:szCs w:val="20"/>
          <w:color w:val="auto"/>
        </w:rPr>
      </w:pPr>
    </w:p>
    <w:p>
      <w:pPr>
        <w:ind w:right="580" w:firstLine="494"/>
        <w:spacing w:after="0" w:line="282"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as well as payments on finance lease obligations.</w:t>
      </w:r>
    </w:p>
    <w:p>
      <w:pPr>
        <w:spacing w:after="0" w:line="121" w:lineRule="exact"/>
        <w:rPr>
          <w:sz w:val="20"/>
          <w:szCs w:val="20"/>
          <w:color w:val="auto"/>
        </w:rPr>
      </w:pPr>
    </w:p>
    <w:p>
      <w:pPr>
        <w:ind w:right="120" w:firstLine="494"/>
        <w:spacing w:after="0" w:line="282" w:lineRule="auto"/>
        <w:rPr>
          <w:sz w:val="20"/>
          <w:szCs w:val="20"/>
          <w:color w:val="auto"/>
        </w:rPr>
      </w:pPr>
      <w:r>
        <w:rPr>
          <w:rFonts w:ascii="Times New Roman" w:cs="Times New Roman" w:eastAsia="Times New Roman" w:hAnsi="Times New Roman"/>
          <w:sz w:val="18"/>
          <w:szCs w:val="18"/>
          <w:color w:val="auto"/>
        </w:rPr>
        <w:t>The decrease in cash provided by financing activities for the three months ended May 3, 2026 was primarily due to lower proceeds from our line of credit as a result of lower use of cash in our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ind w:right="380" w:firstLine="494"/>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February 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89" w:lineRule="exact"/>
        <w:rPr>
          <w:sz w:val="20"/>
          <w:szCs w:val="20"/>
          <w:color w:val="auto"/>
        </w:rPr>
      </w:pPr>
    </w:p>
    <w:p>
      <w:pPr>
        <w:ind w:right="280" w:firstLine="49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2025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320" w:firstLine="494"/>
        <w:spacing w:after="0" w:line="282" w:lineRule="auto"/>
        <w:rPr>
          <w:sz w:val="20"/>
          <w:szCs w:val="20"/>
          <w:color w:val="auto"/>
        </w:rPr>
      </w:pPr>
      <w:r>
        <w:rPr>
          <w:rFonts w:ascii="Times New Roman" w:cs="Times New Roman" w:eastAsia="Times New Roman" w:hAnsi="Times New Roman"/>
          <w:sz w:val="18"/>
          <w:szCs w:val="18"/>
          <w:color w:val="auto"/>
        </w:rPr>
        <w:t>See Note 14 “Recent Accounting Pronouncements,” of Notes to Condensed Consolidated Financial Statements included in Part 1, Item 1, of this quarterly report on Form 10-Q for information regarding recent accounting pronouncements.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jc w:val="both"/>
        <w:ind w:right="40" w:firstLine="494"/>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2025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right="300" w:firstLine="49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ind w:right="120" w:firstLine="494"/>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40" w:firstLine="494"/>
        <w:spacing w:after="0" w:line="261"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2025 Form 10-K, or other SEC filings. There have been no material changes to our risk factors as previously disclosed in our fiscal 2025 Annual Report on Form 10-K.</w:t>
      </w:r>
    </w:p>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May 3, 2026, which were not registered under the Securities Act.</w:t>
      </w:r>
    </w:p>
    <w:p>
      <w:pPr>
        <w:spacing w:after="0" w:line="198" w:lineRule="exact"/>
        <w:rPr>
          <w:sz w:val="20"/>
          <w:szCs w:val="20"/>
          <w:color w:val="auto"/>
        </w:rPr>
      </w:pPr>
    </w:p>
    <w:p>
      <w:pPr>
        <w:ind w:right="380" w:firstLine="494"/>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regarding shares acquired by us during the quarter, which consisted solely of shares acquired from employees in lieu of amounts required to satisfy minimum tax withholding requirements upon the vesting of the employees’ restricted stock during the three months ended May 3, 2026.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162"/>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73"/>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5"/>
                <w:szCs w:val="15"/>
                <w:color w:val="auto"/>
              </w:rPr>
            </w:pPr>
          </w:p>
        </w:tc>
        <w:tc>
          <w:tcPr>
            <w:tcW w:w="17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10"/>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 2026 - March 1, 2026</w:t>
            </w:r>
          </w:p>
        </w:tc>
        <w:tc>
          <w:tcPr>
            <w:tcW w:w="188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1,524</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2.21</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March 2, 2026 - April 5, 2026</w:t>
            </w:r>
          </w:p>
        </w:tc>
        <w:tc>
          <w:tcPr>
            <w:tcW w:w="18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87,110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2.19</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6, 2026 - May 3, 2026</w:t>
            </w:r>
          </w:p>
        </w:tc>
        <w:tc>
          <w:tcPr>
            <w:tcW w:w="14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16,129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5"/>
              </w:rPr>
              <w:t>3.39</w:t>
            </w: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104,763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2180" w:type="dxa"/>
            <w:vAlign w:val="bottom"/>
            <w:gridSpan w:val="3"/>
          </w:tcPr>
          <w:p>
            <w:pPr>
              <w:jc w:val="right"/>
              <w:ind w:right="17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-156845</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-156845</wp:posOffset>
            </wp:positionV>
            <wp:extent cx="1200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-156845</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-156845</wp:posOffset>
            </wp:positionV>
            <wp:extent cx="1111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ind w:right="620" w:firstLine="49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3, 2026, no director or Section 16 officer of the Company adopted or terminated a “Rule 10b5-1 trading arrangement” or “non-Rule 10b5-1 trading arrangement,” as each term is defined in Item 408(a) of Regulation S-K.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1"/>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gridSpan w:val="3"/>
          </w:tcPr>
          <w:p>
            <w:pPr>
              <w:ind w:left="25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1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Exhibit No.</w:t>
            </w:r>
          </w:p>
        </w:tc>
      </w:tr>
      <w:tr>
        <w:trPr>
          <w:trHeight w:val="297"/>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60" w:type="dxa"/>
            <w:vAlign w:val="bottom"/>
          </w:tcPr>
          <w:p>
            <w:pPr>
              <w:spacing w:after="0"/>
              <w:rPr>
                <w:sz w:val="24"/>
                <w:szCs w:val="24"/>
                <w:color w:val="auto"/>
              </w:rPr>
            </w:pPr>
          </w:p>
        </w:tc>
        <w:tc>
          <w:tcPr>
            <w:tcW w:w="9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and Exchange Act, as</w:t>
            </w:r>
          </w:p>
        </w:tc>
        <w:tc>
          <w:tcPr>
            <w:tcW w:w="620" w:type="dxa"/>
            <w:vAlign w:val="bottom"/>
            <w:gridSpan w:val="2"/>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tcPr>
          <w:p>
            <w:pPr>
              <w:spacing w:after="0"/>
              <w:rPr>
                <w:sz w:val="24"/>
                <w:szCs w:val="24"/>
                <w:color w:val="auto"/>
              </w:rPr>
            </w:pPr>
          </w:p>
        </w:tc>
        <w:tc>
          <w:tcPr>
            <w:tcW w:w="9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and Rule 15d-14(a) of the Securities and Exchange Act of 1934, as</w:t>
            </w:r>
          </w:p>
        </w:tc>
        <w:tc>
          <w:tcPr>
            <w:tcW w:w="6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660" w:type="dxa"/>
            <w:vAlign w:val="bottom"/>
          </w:tcPr>
          <w:p>
            <w:pPr>
              <w:spacing w:after="0"/>
              <w:rPr>
                <w:sz w:val="24"/>
                <w:szCs w:val="24"/>
                <w:color w:val="auto"/>
              </w:rPr>
            </w:pPr>
          </w:p>
        </w:tc>
        <w:tc>
          <w:tcPr>
            <w:tcW w:w="9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Act of 2002.*</w:t>
            </w:r>
          </w:p>
        </w:tc>
        <w:tc>
          <w:tcPr>
            <w:tcW w:w="20" w:type="dxa"/>
            <w:vAlign w:val="bottom"/>
            <w:tcBorders>
              <w:bottom w:val="single" w:sz="8" w:color="0000EE"/>
            </w:tcBorders>
          </w:tcPr>
          <w:p>
            <w:pPr>
              <w:spacing w:after="0"/>
              <w:rPr>
                <w:sz w:val="17"/>
                <w:szCs w:val="17"/>
                <w:color w:val="auto"/>
              </w:rPr>
            </w:pPr>
          </w:p>
        </w:tc>
        <w:tc>
          <w:tcPr>
            <w:tcW w:w="8760" w:type="dxa"/>
            <w:vAlign w:val="bottom"/>
            <w:gridSpan w:val="3"/>
          </w:tcPr>
          <w:p>
            <w:pPr>
              <w:spacing w:after="0"/>
              <w:rPr>
                <w:sz w:val="17"/>
                <w:szCs w:val="17"/>
                <w:color w:val="auto"/>
              </w:rPr>
            </w:pPr>
          </w:p>
        </w:tc>
      </w:tr>
      <w:tr>
        <w:trPr>
          <w:trHeight w:val="31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660" w:type="dxa"/>
            <w:vAlign w:val="bottom"/>
          </w:tcPr>
          <w:p>
            <w:pPr>
              <w:spacing w:after="0"/>
              <w:rPr>
                <w:sz w:val="24"/>
                <w:szCs w:val="24"/>
                <w:color w:val="auto"/>
              </w:rPr>
            </w:pPr>
          </w:p>
        </w:tc>
        <w:tc>
          <w:tcPr>
            <w:tcW w:w="97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6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Act of 2002.*</w:t>
            </w:r>
          </w:p>
        </w:tc>
        <w:tc>
          <w:tcPr>
            <w:tcW w:w="20" w:type="dxa"/>
            <w:vAlign w:val="bottom"/>
            <w:tcBorders>
              <w:bottom w:val="single" w:sz="8" w:color="0000EE"/>
            </w:tcBorders>
          </w:tcPr>
          <w:p>
            <w:pPr>
              <w:spacing w:after="0"/>
              <w:rPr>
                <w:sz w:val="17"/>
                <w:szCs w:val="17"/>
                <w:color w:val="auto"/>
              </w:rPr>
            </w:pPr>
          </w:p>
        </w:tc>
        <w:tc>
          <w:tcPr>
            <w:tcW w:w="8760" w:type="dxa"/>
            <w:vAlign w:val="bottom"/>
            <w:gridSpan w:val="3"/>
          </w:tcPr>
          <w:p>
            <w:pPr>
              <w:spacing w:after="0"/>
              <w:rPr>
                <w:sz w:val="17"/>
                <w:szCs w:val="17"/>
                <w:color w:val="auto"/>
              </w:rPr>
            </w:pPr>
          </w:p>
        </w:tc>
      </w:tr>
      <w:tr>
        <w:trPr>
          <w:trHeight w:val="35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60" w:type="dxa"/>
            <w:vAlign w:val="bottom"/>
          </w:tcPr>
          <w:p>
            <w:pPr>
              <w:spacing w:after="0"/>
              <w:rPr>
                <w:sz w:val="24"/>
                <w:szCs w:val="24"/>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101.SCH</w:t>
            </w:r>
          </w:p>
        </w:tc>
        <w:tc>
          <w:tcPr>
            <w:tcW w:w="660" w:type="dxa"/>
            <w:vAlign w:val="bottom"/>
          </w:tcPr>
          <w:p>
            <w:pPr>
              <w:spacing w:after="0"/>
              <w:rPr>
                <w:sz w:val="24"/>
                <w:szCs w:val="24"/>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03" w:lineRule="exact"/>
        <w:rPr>
          <w:sz w:val="20"/>
          <w:szCs w:val="20"/>
          <w:color w:val="auto"/>
        </w:rPr>
      </w:pPr>
    </w:p>
    <w:p>
      <w:pPr>
        <w:ind w:left="1360" w:right="220" w:hanging="1339"/>
        <w:spacing w:after="0" w:line="282" w:lineRule="auto"/>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May 3, 2026 has been formatted in Inline XBRL (Inline Extensible Business Reporting Language and contained in Exhibits 101).</w:t>
      </w:r>
    </w:p>
    <w:p>
      <w:pPr>
        <w:spacing w:after="0" w:line="16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compensation plan or arrangement</w:t>
      </w:r>
    </w:p>
    <w:p>
      <w:pPr>
        <w:spacing w:after="0" w:line="27" w:lineRule="exact"/>
        <w:rPr>
          <w:sz w:val="20"/>
          <w:szCs w:val="20"/>
          <w:color w:val="auto"/>
        </w:rPr>
      </w:pPr>
    </w:p>
    <w:p>
      <w:pPr>
        <w:ind w:left="680" w:hanging="672"/>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680" w:right="140" w:hanging="672"/>
        <w:spacing w:after="0" w:line="260"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Regulation S-T, the XBRL-related information in Exhibit 101 to this Quarterly Report on Form 10-Q shall be deemed to be “furnished” and not “filed.”</w:t>
      </w:r>
    </w:p>
    <w:p>
      <w:pPr>
        <w:spacing w:after="0" w:line="3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20" w:firstLine="4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June 9, 2026</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19685</wp:posOffset>
            </wp:positionV>
            <wp:extent cx="40716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Heena Agrawal</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Chief Financial Officer</w:t>
      </w:r>
    </w:p>
    <w:p>
      <w:pPr>
        <w:spacing w:after="0" w:line="9" w:lineRule="exact"/>
        <w:rPr>
          <w:sz w:val="20"/>
          <w:szCs w:val="20"/>
          <w:color w:val="auto"/>
        </w:rPr>
      </w:pPr>
    </w:p>
    <w:p>
      <w:pPr>
        <w:ind w:left="48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 and Interim Principal Accounting Officer)</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Stephanie Pugliese, Chief Executive Officer, certify that:</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1.I have reviewed this Quarterly Report on Form 10-Q of Duluth Holdings Inc. (the “registrant”);</w:t>
      </w:r>
    </w:p>
    <w:p>
      <w:pPr>
        <w:spacing w:after="0" w:line="185" w:lineRule="exact"/>
        <w:rPr>
          <w:sz w:val="20"/>
          <w:szCs w:val="20"/>
          <w:color w:val="auto"/>
        </w:rPr>
      </w:pPr>
    </w:p>
    <w:p>
      <w:pPr>
        <w:ind w:left="760" w:right="40" w:hanging="360"/>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sz w:val="20"/>
          <w:szCs w:val="20"/>
          <w:color w:val="auto"/>
        </w:rPr>
      </w:pPr>
    </w:p>
    <w:p>
      <w:pPr>
        <w:ind w:left="760" w:right="200" w:hanging="360"/>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sz w:val="20"/>
          <w:szCs w:val="20"/>
          <w:color w:val="auto"/>
        </w:rPr>
      </w:pPr>
    </w:p>
    <w:p>
      <w:pPr>
        <w:ind w:left="760" w:right="20" w:hanging="360"/>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sz w:val="20"/>
          <w:szCs w:val="20"/>
          <w:color w:val="auto"/>
        </w:rPr>
      </w:pPr>
    </w:p>
    <w:p>
      <w:pPr>
        <w:ind w:left="1140" w:right="140" w:hanging="373"/>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sz w:val="20"/>
          <w:szCs w:val="20"/>
          <w:color w:val="auto"/>
        </w:rPr>
      </w:pPr>
    </w:p>
    <w:p>
      <w:pPr>
        <w:ind w:left="1140" w:right="220" w:hanging="373"/>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ind w:left="1140" w:right="380" w:hanging="373"/>
        <w:spacing w:after="0" w:line="312" w:lineRule="auto"/>
        <w:rPr>
          <w:sz w:val="20"/>
          <w:szCs w:val="20"/>
          <w:color w:val="auto"/>
        </w:rPr>
      </w:pPr>
      <w:r>
        <w:rPr>
          <w:rFonts w:ascii="Times New Roman" w:cs="Times New Roman" w:eastAsia="Times New Roman" w:hAnsi="Times New Roman"/>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sz w:val="20"/>
          <w:szCs w:val="20"/>
          <w:color w:val="auto"/>
        </w:rPr>
      </w:pPr>
    </w:p>
    <w:p>
      <w:pPr>
        <w:ind w:left="1140" w:right="100" w:hanging="373"/>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left="760" w:right="200" w:hanging="360"/>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1140" w:right="40" w:hanging="373"/>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sz w:val="20"/>
          <w:szCs w:val="20"/>
          <w:color w:val="auto"/>
        </w:rPr>
      </w:pPr>
    </w:p>
    <w:p>
      <w:pPr>
        <w:ind w:left="1140" w:right="540" w:hanging="373"/>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 Stephanie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460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Stephanie Pugliese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Heena Agrawal, Chief Financial Officer, certify that:</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1.I have reviewed this Quarterly Report on Form 10-Q of Duluth Holdings Inc. (the “registrant”);</w:t>
      </w:r>
    </w:p>
    <w:p>
      <w:pPr>
        <w:spacing w:after="0" w:line="185" w:lineRule="exact"/>
        <w:rPr>
          <w:sz w:val="20"/>
          <w:szCs w:val="20"/>
          <w:color w:val="auto"/>
        </w:rPr>
      </w:pPr>
    </w:p>
    <w:p>
      <w:pPr>
        <w:ind w:left="760" w:right="40" w:hanging="360"/>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sz w:val="20"/>
          <w:szCs w:val="20"/>
          <w:color w:val="auto"/>
        </w:rPr>
      </w:pPr>
    </w:p>
    <w:p>
      <w:pPr>
        <w:ind w:left="760" w:right="200" w:hanging="360"/>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sz w:val="20"/>
          <w:szCs w:val="20"/>
          <w:color w:val="auto"/>
        </w:rPr>
      </w:pPr>
    </w:p>
    <w:p>
      <w:pPr>
        <w:ind w:left="760" w:right="20" w:hanging="360"/>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sz w:val="20"/>
          <w:szCs w:val="20"/>
          <w:color w:val="auto"/>
        </w:rPr>
      </w:pPr>
    </w:p>
    <w:p>
      <w:pPr>
        <w:ind w:left="1140" w:right="140" w:hanging="373"/>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sz w:val="20"/>
          <w:szCs w:val="20"/>
          <w:color w:val="auto"/>
        </w:rPr>
      </w:pPr>
    </w:p>
    <w:p>
      <w:pPr>
        <w:ind w:left="1140" w:right="220" w:hanging="373"/>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ind w:left="1140" w:right="380" w:hanging="373"/>
        <w:spacing w:after="0" w:line="312" w:lineRule="auto"/>
        <w:rPr>
          <w:sz w:val="20"/>
          <w:szCs w:val="20"/>
          <w:color w:val="auto"/>
        </w:rPr>
      </w:pPr>
      <w:r>
        <w:rPr>
          <w:rFonts w:ascii="Times New Roman" w:cs="Times New Roman" w:eastAsia="Times New Roman" w:hAnsi="Times New Roman"/>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sz w:val="20"/>
          <w:szCs w:val="20"/>
          <w:color w:val="auto"/>
        </w:rPr>
      </w:pPr>
    </w:p>
    <w:p>
      <w:pPr>
        <w:ind w:left="1140" w:right="100" w:hanging="373"/>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9" w:lineRule="exact"/>
        <w:rPr>
          <w:sz w:val="20"/>
          <w:szCs w:val="20"/>
          <w:color w:val="auto"/>
        </w:rPr>
      </w:pPr>
    </w:p>
    <w:p>
      <w:pPr>
        <w:ind w:left="760" w:right="200" w:hanging="360"/>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1140" w:right="40" w:hanging="373"/>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sz w:val="20"/>
          <w:szCs w:val="20"/>
          <w:color w:val="auto"/>
        </w:rPr>
      </w:pPr>
    </w:p>
    <w:p>
      <w:pPr>
        <w:ind w:left="1140" w:right="540" w:hanging="373"/>
        <w:spacing w:after="0" w:line="261"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 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460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Heena Agrawal</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 and Interim Chief Accounting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7" w:lineRule="exact"/>
        <w:rPr>
          <w:sz w:val="20"/>
          <w:szCs w:val="20"/>
          <w:color w:val="auto"/>
        </w:rPr>
      </w:pPr>
    </w:p>
    <w:p>
      <w:pPr>
        <w:ind w:right="260" w:firstLine="449"/>
        <w:spacing w:after="0" w:line="281" w:lineRule="auto"/>
        <w:rPr>
          <w:sz w:val="20"/>
          <w:szCs w:val="20"/>
          <w:color w:val="auto"/>
        </w:rPr>
      </w:pPr>
      <w:r>
        <w:rPr>
          <w:rFonts w:ascii="Times New Roman" w:cs="Times New Roman" w:eastAsia="Times New Roman" w:hAnsi="Times New Roman"/>
          <w:sz w:val="16"/>
          <w:szCs w:val="16"/>
          <w:color w:val="auto"/>
        </w:rPr>
        <w:t>In connection with the Quarterly Report on Form 10-Q of Duluth Holdings Inc. (the “Company”) for the quarterly period ended May 3, 2026 as filed with the Securities and Exchange Commission on the date hereof (the “Report”), I, Stephanie Pugliese, as Chief Executive Officer of the Company, hereby certify, pursuant to 18 U.S.C. Section 1350, as adopted pursuant to Section 906 of the Sarbanes-Oxley Act of 2002, that, to the best of my knowledge:</w:t>
      </w:r>
    </w:p>
    <w:p>
      <w:pPr>
        <w:spacing w:after="0" w:line="177" w:lineRule="exact"/>
        <w:rPr>
          <w:sz w:val="20"/>
          <w:szCs w:val="20"/>
          <w:color w:val="auto"/>
        </w:rPr>
      </w:pPr>
    </w:p>
    <w:p>
      <w:pPr>
        <w:ind w:left="960" w:hanging="503"/>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(the “Exchange Act”); and</w:t>
      </w:r>
    </w:p>
    <w:p>
      <w:pPr>
        <w:spacing w:after="0" w:line="234" w:lineRule="exact"/>
        <w:rPr>
          <w:rFonts w:ascii="Times New Roman" w:cs="Times New Roman" w:eastAsia="Times New Roman" w:hAnsi="Times New Roman"/>
          <w:sz w:val="16"/>
          <w:szCs w:val="16"/>
          <w:color w:val="auto"/>
        </w:rPr>
      </w:pPr>
    </w:p>
    <w:p>
      <w:pPr>
        <w:ind w:left="960" w:hanging="503"/>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/s/ Stephanie Pugliese</w:t>
      </w:r>
    </w:p>
    <w:p>
      <w:pPr>
        <w:spacing w:after="0" w:line="3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b w:val="1"/>
          <w:bCs w:val="1"/>
          <w:color w:val="auto"/>
        </w:rPr>
        <w:t>Stephanie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-114935</wp:posOffset>
            </wp:positionV>
            <wp:extent cx="38487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b w:val="1"/>
          <w:bCs w:val="1"/>
          <w:color w:val="auto"/>
        </w:rPr>
        <w:t>Chief Executive Officer</w:t>
      </w:r>
    </w:p>
    <w:p>
      <w:pPr>
        <w:spacing w:after="0" w:line="1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b w:val="1"/>
          <w:bCs w:val="1"/>
          <w:color w:val="auto"/>
        </w:rPr>
        <w:t>June 9, 2026</w:t>
      </w:r>
    </w:p>
    <w:p>
      <w:pPr>
        <w:spacing w:after="0" w:line="254"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In connection with the Quarterly Report on Form 10-Q of Duluth Holdings Inc. (the “Company”) for the quarterly period ended May 3, 2026 as filed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and Exchange Commission on the date hereof (the “Report”), I, Heena Agrawal, as Chief Financial Officer of the Company, hereby certify, pursuant to 18 U.S.C.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1350, as adopted pursuant to Section 906 of the Sarbanes-Oxley Act of 2002, that, to the best of my knowledge:</w:t>
      </w:r>
    </w:p>
    <w:p>
      <w:pPr>
        <w:spacing w:after="0" w:line="227" w:lineRule="exact"/>
        <w:rPr>
          <w:sz w:val="20"/>
          <w:szCs w:val="20"/>
          <w:color w:val="auto"/>
        </w:rPr>
      </w:pPr>
    </w:p>
    <w:p>
      <w:pPr>
        <w:ind w:left="960" w:hanging="503"/>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(the “Exchange Act”); and</w:t>
      </w:r>
    </w:p>
    <w:p>
      <w:pPr>
        <w:spacing w:after="0" w:line="234" w:lineRule="exact"/>
        <w:rPr>
          <w:rFonts w:ascii="Times New Roman" w:cs="Times New Roman" w:eastAsia="Times New Roman" w:hAnsi="Times New Roman"/>
          <w:sz w:val="16"/>
          <w:szCs w:val="16"/>
          <w:color w:val="auto"/>
        </w:rPr>
      </w:pPr>
    </w:p>
    <w:p>
      <w:pPr>
        <w:ind w:left="960" w:hanging="503"/>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/s/ Heena Agrawal</w:t>
      </w:r>
    </w:p>
    <w:p>
      <w:pPr>
        <w:spacing w:after="0" w:line="3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6"/>
          <w:szCs w:val="16"/>
          <w:b w:val="1"/>
          <w:bCs w:val="1"/>
          <w:color w:val="auto"/>
        </w:rPr>
        <w:t>Heena Agrawal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-114935</wp:posOffset>
            </wp:positionV>
            <wp:extent cx="38487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b w:val="1"/>
          <w:bCs w:val="1"/>
          <w:color w:val="auto"/>
        </w:rPr>
        <w:t>Chief Financial Officer and Interim Chief Accounting Officer</w:t>
      </w:r>
    </w:p>
    <w:p>
      <w:pPr>
        <w:spacing w:after="0" w:line="1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b w:val="1"/>
          <w:bCs w:val="1"/>
          <w:color w:val="auto"/>
        </w:rPr>
        <w:t>June 9, 2026</w:t>
      </w:r>
    </w:p>
    <w:p>
      <w:pPr>
        <w:spacing w:after="0" w:line="254" w:lineRule="exact"/>
        <w:rPr>
          <w:sz w:val="20"/>
          <w:szCs w:val="20"/>
          <w:color w:val="auto"/>
        </w:rPr>
      </w:pPr>
    </w:p>
    <w:p>
      <w:pPr>
        <w:ind w:right="120" w:firstLine="449"/>
        <w:spacing w:after="0" w:line="281" w:lineRule="auto"/>
        <w:rPr>
          <w:sz w:val="20"/>
          <w:szCs w:val="20"/>
          <w:color w:val="auto"/>
        </w:rPr>
      </w:pPr>
      <w:r>
        <w:rPr>
          <w:rFonts w:ascii="Times New Roman" w:cs="Times New Roman" w:eastAsia="Times New Roman" w:hAnsi="Times New Roman"/>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1."/>
      <w:numFmt w:val="upperLetter"/>
      <w:start w:val="2"/>
    </w:lvl>
  </w:abstractNum>
  <w:abstractNum w:abstractNumId="4">
    <w:nsid w:val="12200854"/>
    <w:multiLevelType w:val="hybridMultilevel"/>
    <w:lvl w:ilvl="0">
      <w:lvlJc w:val="left"/>
      <w:lvlText w:val="%1."/>
      <w:numFmt w:val="upperLetter"/>
      <w:start w:val="3"/>
    </w:lvl>
  </w:abstractNum>
  <w:abstractNum w:abstractNumId="5">
    <w:nsid w:val="4DB127F8"/>
    <w:multiLevelType w:val="hybridMultilevel"/>
    <w:lvl w:ilvl="0">
      <w:lvlJc w:val="left"/>
      <w:lvlText w:val="%1."/>
      <w:numFmt w:val="upperLetter"/>
      <w:start w:val="6"/>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2"/>
      <w:numFmt w:val="decimal"/>
      <w:start w:val="104"/>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2026-06-09T15:34:44Z</dcterms:created>
  <dcterms:modified xsi:type="dcterms:W3CDTF">2026-06-09T15:34:44Z</dcterms:modified>
</cp:coreProperties>
</file>