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64135</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95250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4" w:lineRule="exact"/>
        <w:rPr>
          <w:sz w:val="24"/>
          <w:szCs w:val="24"/>
          <w:color w:val="auto"/>
        </w:rPr>
      </w:pPr>
    </w:p>
    <w:p>
      <w:pPr>
        <w:ind w:left="500" w:right="220" w:hanging="492"/>
        <w:spacing w:after="0" w:line="262"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2, 2025</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00" w:right="220" w:hanging="492"/>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97155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DULUTH HOLDINGS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1"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600" w:type="dxa"/>
            <w:vAlign w:val="bottom"/>
            <w:gridSpan w:val="3"/>
          </w:tcPr>
          <w:p>
            <w:pPr>
              <w:jc w:val="center"/>
              <w:ind w:left="959"/>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39-1564801</w:t>
            </w:r>
          </w:p>
        </w:tc>
      </w:tr>
      <w:tr>
        <w:trPr>
          <w:trHeight w:val="149"/>
        </w:trPr>
        <w:tc>
          <w:tcPr>
            <w:tcW w:w="4600" w:type="dxa"/>
            <w:vAlign w:val="bottom"/>
            <w:gridSpan w:val="3"/>
          </w:tcPr>
          <w:p>
            <w:pPr>
              <w:jc w:val="center"/>
              <w:ind w:left="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tcPr>
          <w:p>
            <w:pPr>
              <w:jc w:val="center"/>
              <w:ind w:right="17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gridSpan w:val="3"/>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71"/>
        </w:trPr>
        <w:tc>
          <w:tcPr>
            <w:tcW w:w="4600" w:type="dxa"/>
            <w:vAlign w:val="bottom"/>
            <w:gridSpan w:val="3"/>
          </w:tcPr>
          <w:p>
            <w:pPr>
              <w:jc w:val="center"/>
              <w:ind w:left="959"/>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40" w:type="dxa"/>
            <w:vAlign w:val="bottom"/>
          </w:tcPr>
          <w:p>
            <w:pPr>
              <w:spacing w:after="0"/>
              <w:rPr>
                <w:sz w:val="23"/>
                <w:szCs w:val="23"/>
                <w:color w:val="auto"/>
              </w:rPr>
            </w:pPr>
          </w:p>
        </w:tc>
      </w:tr>
      <w:tr>
        <w:trPr>
          <w:trHeight w:val="214"/>
        </w:trPr>
        <w:tc>
          <w:tcPr>
            <w:tcW w:w="4600" w:type="dxa"/>
            <w:vAlign w:val="bottom"/>
            <w:gridSpan w:val="3"/>
          </w:tcPr>
          <w:p>
            <w:pPr>
              <w:jc w:val="center"/>
              <w:ind w:left="959"/>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53572</w:t>
            </w:r>
          </w:p>
        </w:tc>
      </w:tr>
      <w:tr>
        <w:trPr>
          <w:trHeight w:val="190"/>
        </w:trPr>
        <w:tc>
          <w:tcPr>
            <w:tcW w:w="460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01"/>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80" w:type="dxa"/>
            <w:vAlign w:val="bottom"/>
          </w:tcPr>
          <w:p>
            <w:pPr>
              <w:jc w:val="right"/>
              <w:ind w:right="12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90"/>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40" w:type="dxa"/>
            <w:vAlign w:val="bottom"/>
          </w:tcPr>
          <w:p>
            <w:pPr>
              <w:spacing w:after="0"/>
              <w:rPr>
                <w:sz w:val="16"/>
                <w:szCs w:val="16"/>
                <w:color w:val="auto"/>
              </w:rPr>
            </w:pPr>
          </w:p>
        </w:tc>
      </w:tr>
      <w:tr>
        <w:trPr>
          <w:trHeight w:val="91"/>
        </w:trPr>
        <w:tc>
          <w:tcPr>
            <w:tcW w:w="37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r>
      <w:tr>
        <w:trPr>
          <w:trHeight w:val="285"/>
        </w:trPr>
        <w:tc>
          <w:tcPr>
            <w:tcW w:w="4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17"/>
        </w:trPr>
        <w:tc>
          <w:tcPr>
            <w:tcW w:w="384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96"/>
        </w:trPr>
        <w:tc>
          <w:tcPr>
            <w:tcW w:w="3840" w:type="dxa"/>
            <w:vAlign w:val="bottom"/>
            <w:tcBorders>
              <w:left w:val="single" w:sz="8" w:color="auto"/>
              <w:bottom w:val="single" w:sz="8" w:color="auto"/>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76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jc w:val="center"/>
              <w:ind w:right="702"/>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1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jc w:val="center"/>
              <w:ind w:right="60"/>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3840" w:type="dxa"/>
            <w:vAlign w:val="bottom"/>
            <w:tcBorders>
              <w:left w:val="single" w:sz="8" w:color="auto"/>
              <w:bottom w:val="single" w:sz="8" w:color="auto"/>
              <w:right w:val="single" w:sz="8" w:color="auto"/>
            </w:tcBorders>
            <w:gridSpan w:val="2"/>
          </w:tcPr>
          <w:p>
            <w:pPr>
              <w:jc w:val="center"/>
              <w:spacing w:after="0" w:line="179" w:lineRule="exact"/>
              <w:rPr>
                <w:sz w:val="20"/>
                <w:szCs w:val="20"/>
                <w:color w:val="auto"/>
              </w:rPr>
            </w:pPr>
            <w:r>
              <w:rPr>
                <w:rFonts w:ascii="Times New Roman" w:cs="Times New Roman" w:eastAsia="Times New Roman" w:hAnsi="Times New Roman"/>
                <w:sz w:val="16"/>
                <w:szCs w:val="16"/>
                <w:color w:val="auto"/>
              </w:rPr>
              <w:t>Class B Common Stock, No Par Value</w:t>
            </w:r>
          </w:p>
        </w:tc>
        <w:tc>
          <w:tcPr>
            <w:tcW w:w="760" w:type="dxa"/>
            <w:vAlign w:val="bottom"/>
            <w:tcBorders>
              <w:bottom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ind w:right="702"/>
              <w:spacing w:after="0" w:line="179" w:lineRule="exact"/>
              <w:rPr>
                <w:sz w:val="20"/>
                <w:szCs w:val="20"/>
                <w:color w:val="auto"/>
              </w:rPr>
            </w:pPr>
            <w:r>
              <w:rPr>
                <w:rFonts w:ascii="Times New Roman" w:cs="Times New Roman" w:eastAsia="Times New Roman" w:hAnsi="Times New Roman"/>
                <w:sz w:val="16"/>
                <w:szCs w:val="16"/>
                <w:color w:val="auto"/>
              </w:rPr>
              <w:t>DLTH</w:t>
            </w: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jc w:val="center"/>
              <w:ind w:right="40"/>
              <w:spacing w:after="0" w:line="179"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81" w:lineRule="exact"/>
        <w:rPr>
          <w:sz w:val="24"/>
          <w:szCs w:val="24"/>
          <w:color w:val="auto"/>
        </w:rPr>
      </w:pPr>
    </w:p>
    <w:p>
      <w:pPr>
        <w:ind w:right="140" w:firstLine="49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0" w:firstLine="49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20" w:firstLine="49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8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8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80" w:firstLine="49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00"/>
        <w:spacing w:after="0" w:line="184" w:lineRule="exact"/>
        <w:tabs>
          <w:tab w:leader="none" w:pos="800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December 15, 2025, was 3,364,200.</w:t>
      </w:r>
    </w:p>
    <w:p>
      <w:pPr>
        <w:spacing w:after="0" w:line="11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December 15, 2025, was 33,361,992.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QUARTER ENDED November 2,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960" w:type="dxa"/>
            <w:vAlign w:val="bottom"/>
            <w:gridSpan w:val="12"/>
          </w:tcPr>
          <w:p>
            <w:pPr>
              <w:jc w:val="center"/>
              <w:ind w:right="282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80" w:type="dxa"/>
            <w:vAlign w:val="bottom"/>
            <w:gridSpan w:val="3"/>
          </w:tcPr>
          <w:p>
            <w:pPr>
              <w:spacing w:after="0"/>
              <w:rPr>
                <w:sz w:val="24"/>
                <w:szCs w:val="24"/>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6"/>
          </w:tcPr>
          <w:p>
            <w:pPr>
              <w:spacing w:after="0"/>
              <w:rPr>
                <w:sz w:val="24"/>
                <w:szCs w:val="24"/>
                <w:color w:val="auto"/>
              </w:rPr>
            </w:pPr>
          </w:p>
        </w:tc>
        <w:tc>
          <w:tcPr>
            <w:tcW w:w="2820" w:type="dxa"/>
            <w:vAlign w:val="bottom"/>
            <w:gridSpan w:val="6"/>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November 2, 2025 and February 2, 2025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November 2, 2025 and</w:t>
            </w:r>
          </w:p>
        </w:tc>
        <w:tc>
          <w:tcPr>
            <w:tcW w:w="17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60" w:type="dxa"/>
            <w:vAlign w:val="bottom"/>
            <w:tcBorders>
              <w:left w:val="single" w:sz="8" w:color="0000FF"/>
            </w:tcBorders>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October 27, 2024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w:t>
            </w:r>
          </w:p>
        </w:tc>
        <w:tc>
          <w:tcPr>
            <w:tcW w:w="17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November 2, 2025 and October 27, 2024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Shareholders’ Equity for the three and nine months ended November 2,</w:t>
            </w:r>
          </w:p>
        </w:tc>
        <w:tc>
          <w:tcPr>
            <w:tcW w:w="17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2025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three and nine months ended October 27,</w:t>
            </w:r>
          </w:p>
        </w:tc>
        <w:tc>
          <w:tcPr>
            <w:tcW w:w="17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2024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November 2, 2025 and October</w:t>
            </w:r>
          </w:p>
        </w:tc>
        <w:tc>
          <w:tcPr>
            <w:tcW w:w="17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27, 2024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80" w:type="dxa"/>
            <w:vAlign w:val="bottom"/>
            <w:gridSpan w:val="3"/>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80" w:type="dxa"/>
            <w:vAlign w:val="bottom"/>
            <w:gridSpan w:val="3"/>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980" w:type="dxa"/>
            <w:vAlign w:val="bottom"/>
            <w:gridSpan w:val="3"/>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71"/>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11"/>
          </w:tcPr>
          <w:p>
            <w:pPr>
              <w:jc w:val="center"/>
              <w:ind w:right="292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1760" w:type="dxa"/>
            <w:vAlign w:val="bottom"/>
          </w:tcPr>
          <w:p>
            <w:pPr>
              <w:spacing w:after="0"/>
              <w:rPr>
                <w:sz w:val="24"/>
                <w:szCs w:val="24"/>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80" w:type="dxa"/>
            <w:vAlign w:val="bottom"/>
            <w:gridSpan w:val="3"/>
          </w:tcPr>
          <w:p>
            <w:pPr>
              <w:spacing w:after="0"/>
              <w:rPr>
                <w:sz w:val="24"/>
                <w:szCs w:val="24"/>
                <w:color w:val="auto"/>
              </w:rPr>
            </w:pPr>
          </w:p>
        </w:tc>
        <w:tc>
          <w:tcPr>
            <w:tcW w:w="31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40" w:type="dxa"/>
            <w:vAlign w:val="bottom"/>
            <w:tcBorders>
              <w:top w:val="single" w:sz="8" w:color="0000FF"/>
            </w:tcBorders>
            <w:gridSpan w:val="4"/>
          </w:tcPr>
          <w:p>
            <w:pPr>
              <w:spacing w:after="0"/>
              <w:rPr>
                <w:sz w:val="24"/>
                <w:szCs w:val="24"/>
                <w:color w:val="auto"/>
              </w:rPr>
            </w:pPr>
          </w:p>
        </w:tc>
        <w:tc>
          <w:tcPr>
            <w:tcW w:w="2920" w:type="dxa"/>
            <w:vAlign w:val="bottom"/>
            <w:gridSpan w:val="7"/>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8"/>
          </w:tcPr>
          <w:p>
            <w:pPr>
              <w:spacing w:after="0" w:line="20" w:lineRule="exact"/>
              <w:rPr>
                <w:sz w:val="1"/>
                <w:szCs w:val="1"/>
                <w:color w:val="auto"/>
              </w:rPr>
            </w:pPr>
          </w:p>
        </w:tc>
        <w:tc>
          <w:tcPr>
            <w:tcW w:w="3660" w:type="dxa"/>
            <w:vAlign w:val="bottom"/>
            <w:gridSpan w:val="9"/>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1"/>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3660" w:type="dxa"/>
            <w:vAlign w:val="bottom"/>
            <w:gridSpan w:val="9"/>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20" w:type="dxa"/>
            <w:vAlign w:val="bottom"/>
            <w:tcBorders>
              <w:left w:val="single" w:sz="8" w:color="0000FF"/>
            </w:tcBorders>
            <w:gridSpan w:val="8"/>
            <w:shd w:val="clear" w:color="auto" w:fill="0000FF"/>
          </w:tcPr>
          <w:p>
            <w:pPr>
              <w:spacing w:after="0" w:line="20" w:lineRule="exact"/>
              <w:rPr>
                <w:sz w:val="1"/>
                <w:szCs w:val="1"/>
                <w:color w:val="auto"/>
              </w:rPr>
            </w:pPr>
          </w:p>
        </w:tc>
        <w:tc>
          <w:tcPr>
            <w:tcW w:w="3660" w:type="dxa"/>
            <w:vAlign w:val="bottom"/>
            <w:gridSpan w:val="9"/>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980" w:type="dxa"/>
            <w:vAlign w:val="bottom"/>
            <w:gridSpan w:val="3"/>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680" w:type="dxa"/>
            <w:vAlign w:val="bottom"/>
            <w:gridSpan w:val="17"/>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80" w:type="dxa"/>
            <w:vAlign w:val="bottom"/>
            <w:gridSpan w:val="3"/>
          </w:tcPr>
          <w:p>
            <w:pPr>
              <w:spacing w:after="0"/>
              <w:rPr>
                <w:sz w:val="24"/>
                <w:szCs w:val="24"/>
                <w:color w:val="auto"/>
              </w:rPr>
            </w:pPr>
          </w:p>
        </w:tc>
        <w:tc>
          <w:tcPr>
            <w:tcW w:w="7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63"/>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668"/>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gridSpan w:val="1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66"/>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8,172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3,335</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Receivables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3,970</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receivable</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Inventory, less reserves of $4,517 and $2,135,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166,545</w:t>
            </w: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22,961</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17,781</w:t>
            </w:r>
          </w:p>
        </w:tc>
      </w:tr>
      <w:tr>
        <w:trPr>
          <w:trHeight w:val="20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228,746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191,631</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111,560</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102,663</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32,957</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4,491</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10,627</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9,140</w:t>
            </w:r>
          </w:p>
        </w:tc>
      </w:tr>
      <w:tr>
        <w:trPr>
          <w:trHeight w:val="21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468,006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452,442</w:t>
            </w: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80,196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73,882</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35,684</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15,534</w:t>
            </w:r>
          </w:p>
        </w:tc>
      </w:tr>
      <w:tr>
        <w:trPr>
          <w:trHeight w:val="216"/>
        </w:trPr>
        <w:tc>
          <w:tcPr>
            <w:tcW w:w="7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2,541</w:t>
            </w:r>
          </w:p>
        </w:tc>
      </w:tr>
      <w:tr>
        <w:trPr>
          <w:trHeight w:val="216"/>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Line of credit</w:t>
            </w: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931</w:t>
            </w: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177,675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128,637</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79,502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89,222</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30,621</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23,586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24,283</w:t>
            </w:r>
          </w:p>
        </w:tc>
      </w:tr>
      <w:tr>
        <w:trPr>
          <w:trHeight w:val="216"/>
        </w:trPr>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310,322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272,763</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8"/>
        </w:trPr>
        <w:tc>
          <w:tcPr>
            <w:tcW w:w="7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34"/>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November 2, 2025 and February 2, 2025</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(Class A), no par value; 10,000 shares authorized; 3,364 shares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November 2, 2025 and February 2, 2025</w:t>
            </w:r>
          </w:p>
        </w:tc>
        <w:tc>
          <w:tcPr>
            <w:tcW w:w="16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33,800 shares issued and 33,330 shares outstanding as of November 2, 2025 and</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34"/>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32,077 shares issued and 31,813 shares outstanding as of February 2, 2025</w:t>
            </w:r>
          </w:p>
        </w:tc>
        <w:tc>
          <w:tcPr>
            <w:tcW w:w="16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470 and 264 shares as of November 2, 2025 and</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 2025, respectively</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110,112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108,009</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77,721</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160,586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182,676</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0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157,684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179,679</w:t>
            </w:r>
          </w:p>
        </w:tc>
      </w:tr>
      <w:tr>
        <w:trPr>
          <w:trHeight w:val="250"/>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468,006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452,442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-3222625</wp:posOffset>
            </wp:positionV>
            <wp:extent cx="76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-2528570</wp:posOffset>
            </wp:positionV>
            <wp:extent cx="76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768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120" w:type="dxa"/>
            <w:vAlign w:val="bottom"/>
          </w:tcPr>
          <w:p>
            <w:pPr>
              <w:spacing w:after="0"/>
              <w:rPr>
                <w:sz w:val="12"/>
                <w:szCs w:val="12"/>
                <w:color w:val="auto"/>
              </w:rPr>
            </w:pPr>
          </w:p>
        </w:tc>
        <w:tc>
          <w:tcPr>
            <w:tcW w:w="12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114,871</w:t>
            </w:r>
          </w:p>
        </w:tc>
        <w:tc>
          <w:tcPr>
            <w:tcW w:w="68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127,056</w:t>
            </w:r>
          </w:p>
        </w:tc>
        <w:tc>
          <w:tcPr>
            <w:tcW w:w="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349,291</w:t>
            </w:r>
          </w:p>
        </w:tc>
        <w:tc>
          <w:tcPr>
            <w:tcW w:w="64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385,359</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53,025</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60,645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162,071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183,328</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61,846</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66,411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187,220</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202,031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70,680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205,154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226,903</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4,181</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(35,685)</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34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68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4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64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0" w:type="dxa"/>
            <w:vAlign w:val="bottom"/>
          </w:tcPr>
          <w:p>
            <w:pPr>
              <w:spacing w:after="0"/>
              <w:rPr>
                <w:sz w:val="1"/>
                <w:szCs w:val="1"/>
                <w:color w:val="auto"/>
              </w:rPr>
            </w:pPr>
          </w:p>
        </w:tc>
      </w:tr>
      <w:tr>
        <w:trPr>
          <w:trHeight w:val="197"/>
        </w:trPr>
        <w:tc>
          <w:tcPr>
            <w:tcW w:w="5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34,517</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33,448</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34,226</w:t>
            </w:r>
          </w:p>
        </w:tc>
        <w:tc>
          <w:tcPr>
            <w:tcW w:w="1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33,314</w:t>
            </w:r>
          </w:p>
        </w:tc>
        <w:tc>
          <w:tcPr>
            <w:tcW w:w="0" w:type="dxa"/>
            <w:vAlign w:val="bottom"/>
          </w:tcPr>
          <w:p>
            <w:pPr>
              <w:spacing w:after="0"/>
              <w:rPr>
                <w:sz w:val="1"/>
                <w:szCs w:val="1"/>
                <w:color w:val="auto"/>
              </w:rPr>
            </w:pPr>
          </w:p>
        </w:tc>
      </w:tr>
      <w:tr>
        <w:trPr>
          <w:trHeight w:val="191"/>
        </w:trPr>
        <w:tc>
          <w:tcPr>
            <w:tcW w:w="5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controlling</w:t>
            </w:r>
          </w:p>
        </w:tc>
        <w:tc>
          <w:tcPr>
            <w:tcW w:w="340" w:type="dxa"/>
            <w:vAlign w:val="bottom"/>
            <w:vMerge w:val="restart"/>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68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64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4"/>
        </w:trPr>
        <w:tc>
          <w:tcPr>
            <w:tcW w:w="57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3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34,517</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33,448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34,226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33,314</w:t>
            </w:r>
          </w:p>
        </w:tc>
        <w:tc>
          <w:tcPr>
            <w:tcW w:w="0" w:type="dxa"/>
            <w:vAlign w:val="bottom"/>
          </w:tcPr>
          <w:p>
            <w:pPr>
              <w:spacing w:after="0"/>
              <w:rPr>
                <w:sz w:val="1"/>
                <w:szCs w:val="1"/>
                <w:color w:val="auto"/>
              </w:rPr>
            </w:pPr>
          </w:p>
        </w:tc>
      </w:tr>
      <w:tr>
        <w:trPr>
          <w:trHeight w:val="191"/>
        </w:trPr>
        <w:tc>
          <w:tcPr>
            <w:tcW w:w="57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controlling</w:t>
            </w:r>
          </w:p>
        </w:tc>
        <w:tc>
          <w:tcPr>
            <w:tcW w:w="340" w:type="dxa"/>
            <w:vAlign w:val="bottom"/>
            <w:vMerge w:val="restart"/>
            <w:shd w:val="clear" w:color="auto" w:fill="CFF0FC"/>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vMerge w:val="restart"/>
            <w:shd w:val="clear" w:color="auto" w:fill="CFF0FC"/>
          </w:tcPr>
          <w:p>
            <w:pPr>
              <w:spacing w:after="0"/>
              <w:rPr>
                <w:sz w:val="16"/>
                <w:szCs w:val="16"/>
                <w:color w:val="auto"/>
              </w:rPr>
            </w:pPr>
          </w:p>
        </w:tc>
        <w:tc>
          <w:tcPr>
            <w:tcW w:w="560" w:type="dxa"/>
            <w:vAlign w:val="bottom"/>
            <w:vMerge w:val="restart"/>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4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640" w:type="dxa"/>
            <w:vAlign w:val="bottom"/>
            <w:gridSpan w:val="2"/>
            <w:vMerge w:val="restart"/>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4"/>
        </w:trPr>
        <w:tc>
          <w:tcPr>
            <w:tcW w:w="576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34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56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440" w:type="dxa"/>
            <w:vAlign w:val="bottom"/>
            <w:gridSpan w:val="2"/>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-2270760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-2270760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-2270760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-1139190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-1122680</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-1139190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-1122680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-1139190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-1122680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-839470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-839470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-839470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100" w:type="dxa"/>
            <w:vAlign w:val="bottom"/>
          </w:tcPr>
          <w:p>
            <w:pPr>
              <w:spacing w:after="0"/>
              <w:rPr>
                <w:sz w:val="12"/>
                <w:szCs w:val="12"/>
                <w:color w:val="auto"/>
              </w:rPr>
            </w:pPr>
          </w:p>
        </w:tc>
        <w:tc>
          <w:tcPr>
            <w:tcW w:w="12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0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68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68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security gain arising during the period</w:t>
            </w:r>
          </w:p>
        </w:tc>
        <w:tc>
          <w:tcPr>
            <w:tcW w:w="36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(23,508)</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1"/>
        </w:trPr>
        <w:tc>
          <w:tcPr>
            <w:tcW w:w="57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Comprehensive loss attributable to controlling</w:t>
            </w:r>
          </w:p>
        </w:tc>
        <w:tc>
          <w:tcPr>
            <w:tcW w:w="360" w:type="dxa"/>
            <w:vAlign w:val="bottom"/>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20" w:type="dxa"/>
            <w:vAlign w:val="bottom"/>
            <w:vMerge w:val="restart"/>
            <w:shd w:val="clear" w:color="auto" w:fill="CFF0FC"/>
          </w:tcPr>
          <w:p>
            <w:pPr>
              <w:spacing w:after="0"/>
              <w:rPr>
                <w:sz w:val="16"/>
                <w:szCs w:val="16"/>
                <w:color w:val="auto"/>
              </w:rPr>
            </w:pPr>
          </w:p>
        </w:tc>
        <w:tc>
          <w:tcPr>
            <w:tcW w:w="560" w:type="dxa"/>
            <w:vAlign w:val="bottom"/>
            <w:vMerge w:val="restart"/>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(28,221)</w:t>
            </w:r>
          </w:p>
        </w:tc>
        <w:tc>
          <w:tcPr>
            <w:tcW w:w="100" w:type="dxa"/>
            <w:vAlign w:val="bottom"/>
            <w:vMerge w:val="restart"/>
            <w:shd w:val="clear" w:color="auto" w:fill="CFF0FC"/>
          </w:tcPr>
          <w:p>
            <w:pPr>
              <w:spacing w:after="0"/>
              <w:rPr>
                <w:sz w:val="16"/>
                <w:szCs w:val="16"/>
                <w:color w:val="auto"/>
              </w:rPr>
            </w:pPr>
          </w:p>
        </w:tc>
        <w:tc>
          <w:tcPr>
            <w:tcW w:w="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vMerge w:val="restart"/>
            <w:shd w:val="clear" w:color="auto" w:fill="CFF0FC"/>
          </w:tcPr>
          <w:p>
            <w:pPr>
              <w:spacing w:after="0"/>
              <w:rPr>
                <w:sz w:val="16"/>
                <w:szCs w:val="16"/>
                <w:color w:val="auto"/>
              </w:rPr>
            </w:pPr>
          </w:p>
        </w:tc>
        <w:tc>
          <w:tcPr>
            <w:tcW w:w="580" w:type="dxa"/>
            <w:vAlign w:val="bottom"/>
            <w:vMerge w:val="restart"/>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0" w:type="dxa"/>
            <w:vAlign w:val="bottom"/>
          </w:tcPr>
          <w:p>
            <w:pPr>
              <w:spacing w:after="0"/>
              <w:rPr>
                <w:sz w:val="1"/>
                <w:szCs w:val="1"/>
                <w:color w:val="auto"/>
              </w:rPr>
            </w:pPr>
          </w:p>
        </w:tc>
      </w:tr>
      <w:tr>
        <w:trPr>
          <w:trHeight w:val="234"/>
        </w:trPr>
        <w:tc>
          <w:tcPr>
            <w:tcW w:w="57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340" w:type="dxa"/>
            <w:vAlign w:val="bottom"/>
            <w:tcBorders>
              <w:bottom w:val="single" w:sz="8" w:color="auto"/>
            </w:tcBorders>
            <w:vMerge w:val="continue"/>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580" w:type="dxa"/>
            <w:vAlign w:val="bottom"/>
            <w:tcBorders>
              <w:bottom w:val="single" w:sz="8" w:color="auto"/>
            </w:tcBorders>
            <w:vMerge w:val="continue"/>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-710565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-710565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-710565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6"/>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w w:val="98"/>
              </w:rPr>
              <w:t>Nine Months Ended November 2, 2025</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 stock</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162"/>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62"/>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62"/>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62"/>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81"/>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99"/>
              <w:spacing w:after="0" w:line="109"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162"/>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center"/>
              <w:ind w:right="142"/>
              <w:spacing w:after="0" w:line="109" w:lineRule="exact"/>
              <w:rPr>
                <w:sz w:val="20"/>
                <w:szCs w:val="20"/>
                <w:color w:val="auto"/>
              </w:rPr>
            </w:pPr>
            <w:r>
              <w:rPr>
                <w:rFonts w:ascii="Times New Roman" w:cs="Times New Roman" w:eastAsia="Times New Roman" w:hAnsi="Times New Roman"/>
                <w:sz w:val="12"/>
                <w:szCs w:val="12"/>
                <w:b w:val="1"/>
                <w:bCs w:val="1"/>
                <w:color w:val="auto"/>
              </w:rPr>
              <w:t>variable interest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center"/>
              <w:ind w:right="181"/>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3"/>
                <w:szCs w:val="13"/>
                <w:b w:val="1"/>
                <w:bCs w:val="1"/>
                <w:color w:val="auto"/>
                <w:w w:val="94"/>
              </w:rPr>
              <w:t>entity</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2, 2025</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35,177</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108,009</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77,721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179,679</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stock surrendered for</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4, 2025</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35,254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108,329</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62,428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164,893</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2,074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surrendered for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06"/>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1,261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August 3, 2025</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36,676</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109,499</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63,689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167,058</w:t>
            </w:r>
          </w:p>
        </w:tc>
        <w:tc>
          <w:tcPr>
            <w:tcW w:w="0" w:type="dxa"/>
            <w:vAlign w:val="bottom"/>
          </w:tcPr>
          <w:p>
            <w:pPr>
              <w:spacing w:after="0"/>
              <w:rPr>
                <w:sz w:val="1"/>
                <w:szCs w:val="1"/>
                <w:color w:val="auto"/>
              </w:rPr>
            </w:pPr>
          </w:p>
        </w:tc>
      </w:tr>
      <w:tr>
        <w:trPr>
          <w:trHeight w:val="183"/>
        </w:trPr>
        <w:tc>
          <w:tcPr>
            <w:tcW w:w="320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549</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stock surrendered for taxes</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(10,067)</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2, 2025</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36,694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110,112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53,588</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157,684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-2142490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-2142490</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-2142490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-2142490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-2142490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-2142490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-967740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-950595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-967740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-950595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-967740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-950595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-967740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-950595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-967740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-950595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-967740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-950595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-170815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-170815</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7"/>
          </w:tcPr>
          <w:p>
            <w:pPr>
              <w:jc w:val="right"/>
              <w:ind w:right="922"/>
              <w:spacing w:after="0"/>
              <w:rPr>
                <w:sz w:val="20"/>
                <w:szCs w:val="20"/>
                <w:color w:val="auto"/>
              </w:rPr>
            </w:pPr>
            <w:r>
              <w:rPr>
                <w:rFonts w:ascii="Times New Roman" w:cs="Times New Roman" w:eastAsia="Times New Roman" w:hAnsi="Times New Roman"/>
                <w:sz w:val="13"/>
                <w:szCs w:val="13"/>
                <w:b w:val="1"/>
                <w:bCs w:val="1"/>
                <w:color w:val="auto"/>
                <w:w w:val="98"/>
              </w:rPr>
              <w:t>Nine Months Ended October 27, 2024</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w w:val="95"/>
              </w:rPr>
              <w:t>Capital stock</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162"/>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62"/>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62"/>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62"/>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81"/>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162"/>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center"/>
              <w:ind w:right="142"/>
              <w:spacing w:after="0" w:line="109" w:lineRule="exact"/>
              <w:rPr>
                <w:sz w:val="20"/>
                <w:szCs w:val="20"/>
                <w:color w:val="auto"/>
              </w:rPr>
            </w:pPr>
            <w:r>
              <w:rPr>
                <w:rFonts w:ascii="Times New Roman" w:cs="Times New Roman" w:eastAsia="Times New Roman" w:hAnsi="Times New Roman"/>
                <w:sz w:val="12"/>
                <w:szCs w:val="12"/>
                <w:b w:val="1"/>
                <w:bCs w:val="1"/>
                <w:color w:val="auto"/>
              </w:rPr>
              <w:t>variable interest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center"/>
              <w:ind w:right="181"/>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3"/>
                <w:szCs w:val="13"/>
                <w:b w:val="1"/>
                <w:bCs w:val="1"/>
                <w:color w:val="auto"/>
                <w:w w:val="94"/>
              </w:rPr>
              <w:t>entity</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28, 2024</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34,387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121,392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219,750</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stock surrendered for</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(7,873)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(7,865)</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Balance at April 28, 2024</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35,074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105,061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113,519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212,879</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surrendered for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6"/>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0" w:type="dxa"/>
            <w:vAlign w:val="bottom"/>
          </w:tcPr>
          <w:p>
            <w:pPr>
              <w:spacing w:after="0"/>
              <w:rPr>
                <w:sz w:val="1"/>
                <w:szCs w:val="1"/>
                <w:color w:val="auto"/>
              </w:rPr>
            </w:pPr>
          </w:p>
        </w:tc>
      </w:tr>
      <w:tr>
        <w:trPr>
          <w:trHeight w:val="23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July 28, 2024</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35,079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106,169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111,538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211,991</w:t>
            </w:r>
          </w:p>
        </w:tc>
        <w:tc>
          <w:tcPr>
            <w:tcW w:w="0" w:type="dxa"/>
            <w:vAlign w:val="bottom"/>
          </w:tcPr>
          <w:p>
            <w:pPr>
              <w:spacing w:after="0"/>
              <w:rPr>
                <w:sz w:val="1"/>
                <w:szCs w:val="1"/>
                <w:color w:val="auto"/>
              </w:rPr>
            </w:pPr>
          </w:p>
        </w:tc>
      </w:tr>
      <w:tr>
        <w:trPr>
          <w:trHeight w:val="183"/>
        </w:trPr>
        <w:tc>
          <w:tcPr>
            <w:tcW w:w="320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stock surrendered for taxes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(28,231)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(28,216)</w:t>
            </w:r>
          </w:p>
        </w:tc>
        <w:tc>
          <w:tcPr>
            <w:tcW w:w="0" w:type="dxa"/>
            <w:vAlign w:val="bottom"/>
          </w:tcPr>
          <w:p>
            <w:pPr>
              <w:spacing w:after="0"/>
              <w:rPr>
                <w:sz w:val="1"/>
                <w:szCs w:val="1"/>
                <w:color w:val="auto"/>
              </w:rPr>
            </w:pPr>
          </w:p>
        </w:tc>
      </w:tr>
      <w:tr>
        <w:trPr>
          <w:trHeight w:val="20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October 27, 2024</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35,171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107,224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83,307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184,752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-2142490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-2142490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-2142490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-2142490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-2142490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-2142490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-968375</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-951230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-968375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-951230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-968375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-951230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-968375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-951230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-968375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-951230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-968375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-951230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-170815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-170815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6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(38,051)</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24,730</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(105,673)</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53,160</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3,215</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impacts</w:t>
            </w:r>
          </w:p>
        </w:tc>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2,942</w:t>
            </w: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(58,125)</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w:t>
            </w:r>
          </w:p>
        </w:tc>
      </w:tr>
      <w:tr>
        <w:trPr>
          <w:trHeight w:val="216"/>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w:t>
            </w:r>
          </w:p>
        </w:tc>
      </w:tr>
      <w:tr>
        <w:trPr>
          <w:trHeight w:val="209"/>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138,685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44,000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41,624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40,969</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w:t>
            </w:r>
          </w:p>
        </w:tc>
      </w:tr>
      <w:tr>
        <w:trPr>
          <w:trHeight w:val="21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3,335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32,157</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8,172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9,335</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4,181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3,232</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-2819400</wp:posOffset>
            </wp:positionV>
            <wp:extent cx="1111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-2412365</wp:posOffset>
            </wp:positionV>
            <wp:extent cx="136525"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-1139190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-856615</wp:posOffset>
            </wp:positionV>
            <wp:extent cx="1111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NATURE OF OPERATIONS AND BASIS OF PRESENTATION</w:t>
      </w:r>
    </w:p>
    <w:p>
      <w:pPr>
        <w:spacing w:after="0" w:line="185"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ind w:right="380" w:firstLine="494"/>
        <w:spacing w:after="0" w:line="26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9" w:lineRule="exact"/>
        <w:rPr>
          <w:sz w:val="20"/>
          <w:szCs w:val="20"/>
          <w:color w:val="auto"/>
        </w:rPr>
      </w:pPr>
    </w:p>
    <w:p>
      <w:pPr>
        <w:ind w:right="280" w:firstLine="494"/>
        <w:spacing w:after="0" w:line="266"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35" w:lineRule="exact"/>
        <w:rPr>
          <w:sz w:val="20"/>
          <w:szCs w:val="20"/>
          <w:color w:val="auto"/>
        </w:rPr>
      </w:pPr>
    </w:p>
    <w:p>
      <w:pPr>
        <w:jc w:val="both"/>
        <w:ind w:right="280" w:firstLine="494"/>
        <w:spacing w:after="0" w:line="261"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35"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2025 is a 52-week period and ends on February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 Fiscal 2024 was a 53-week period and ended on February 2, 2025. The three and nine months of fiscal 2025 and fiscal 2024 represent the Company’s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13-week and 39-week periods ended November 2, 2025 and October 27, 2024, respectively.</w:t>
      </w:r>
    </w:p>
    <w:p>
      <w:pPr>
        <w:spacing w:after="0" w:line="166"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nine months ended November 2, 2025 and October 27, 2024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November 2, 2025 and October 27, 2024. These interim condensed consolidated financial statements should be read in conjunction with the consolidated financial statements and notes included in the Company’s annual report on Form 10-K for the fiscal year ended February 2, 2025.</w:t>
      </w:r>
    </w:p>
    <w:p>
      <w:pPr>
        <w:spacing w:after="0" w:line="161"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and obsolete items was $4.5 million and $2.1 million as of November 2, 2025 and February 2, 2025,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Prepaid Expenses and Other Assets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Pending returns inventory,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prepaid expenses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16,806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11,731</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22,961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413"/>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6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7,498</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10,627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9,140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-882015</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-864870</wp:posOffset>
            </wp:positionV>
            <wp:extent cx="111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Seasonality of Business</w:t>
      </w:r>
    </w:p>
    <w:p>
      <w:pPr>
        <w:spacing w:after="0" w:line="202"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1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280" w:firstLine="494"/>
        <w:spacing w:after="0" w:line="266"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Significant Accounting Policies</w:t>
      </w:r>
    </w:p>
    <w:p>
      <w:pPr>
        <w:spacing w:after="0" w:line="189"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February 2, 2025.</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200" w:lineRule="exact"/>
        <w:rPr>
          <w:sz w:val="20"/>
          <w:szCs w:val="20"/>
          <w:color w:val="auto"/>
        </w:rPr>
      </w:pPr>
    </w:p>
    <w:p>
      <w:pPr>
        <w:ind w:right="340" w:firstLine="494"/>
        <w:spacing w:after="0" w:line="257"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44"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9" w:lineRule="exact"/>
        <w:rPr>
          <w:sz w:val="20"/>
          <w:szCs w:val="20"/>
          <w:color w:val="auto"/>
        </w:rPr>
      </w:pPr>
    </w:p>
    <w:p>
      <w:pPr>
        <w:ind w:right="540" w:firstLine="494"/>
        <w:spacing w:after="0" w:line="282"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21"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25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of Operations</w:t>
            </w:r>
          </w:p>
        </w:tc>
        <w:tc>
          <w:tcPr>
            <w:tcW w:w="20" w:type="dxa"/>
            <w:vAlign w:val="bottom"/>
          </w:tcPr>
          <w:p>
            <w:pPr>
              <w:spacing w:after="0"/>
              <w:rPr>
                <w:sz w:val="12"/>
                <w:szCs w:val="12"/>
                <w:color w:val="auto"/>
              </w:rPr>
            </w:pPr>
          </w:p>
        </w:tc>
        <w:tc>
          <w:tcPr>
            <w:tcW w:w="1380" w:type="dxa"/>
            <w:vAlign w:val="bottom"/>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2"/>
                <w:szCs w:val="12"/>
                <w:color w:val="auto"/>
              </w:rPr>
            </w:pPr>
          </w:p>
        </w:tc>
        <w:tc>
          <w:tcPr>
            <w:tcW w:w="1240" w:type="dxa"/>
            <w:vAlign w:val="bottom"/>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7"/>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142"/>
        </w:trPr>
        <w:tc>
          <w:tcPr>
            <w:tcW w:w="2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right-of-</w:t>
            </w:r>
          </w:p>
        </w:tc>
        <w:tc>
          <w:tcPr>
            <w:tcW w:w="26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assets</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4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722</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6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2,167</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62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6"/>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1,084</w:t>
            </w: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1,076</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6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3,251</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expense</w:t>
            </w:r>
          </w:p>
        </w:tc>
        <w:tc>
          <w:tcPr>
            <w:tcW w:w="2620" w:type="dxa"/>
            <w:vAlign w:val="bottom"/>
            <w:gridSpan w:val="3"/>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FF0FC"/>
          </w:tcPr>
          <w:p>
            <w:pPr>
              <w:spacing w:after="0"/>
              <w:rPr>
                <w:sz w:val="20"/>
                <w:szCs w:val="20"/>
                <w:color w:val="auto"/>
              </w:rPr>
            </w:pP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48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4,877</w:t>
            </w:r>
          </w:p>
        </w:tc>
        <w:tc>
          <w:tcPr>
            <w:tcW w:w="68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360" w:type="dxa"/>
            <w:vAlign w:val="bottom"/>
            <w:gridSpan w:val="3"/>
            <w:shd w:val="clear" w:color="auto" w:fill="CFF0FC"/>
          </w:tcPr>
          <w:p>
            <w:pPr>
              <w:jc w:val="center"/>
              <w:ind w:lef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6"/>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14,683</w:t>
            </w:r>
          </w:p>
        </w:tc>
        <w:tc>
          <w:tcPr>
            <w:tcW w:w="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build-to-</w:t>
            </w:r>
          </w:p>
        </w:tc>
        <w:tc>
          <w:tcPr>
            <w:tcW w:w="262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suit leases capital</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6"/>
              </w:rPr>
              <w:t>963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198"/>
        </w:trPr>
        <w:tc>
          <w:tcPr>
            <w:tcW w:w="2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Variable lease expense</w:t>
            </w:r>
          </w:p>
        </w:tc>
        <w:tc>
          <w:tcPr>
            <w:tcW w:w="2620" w:type="dxa"/>
            <w:vAlign w:val="bottom"/>
            <w:gridSpan w:val="3"/>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6"/>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8,489</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9,052</w:t>
            </w:r>
          </w:p>
        </w:tc>
        <w:tc>
          <w:tcPr>
            <w:tcW w:w="0" w:type="dxa"/>
            <w:vAlign w:val="bottom"/>
          </w:tcPr>
          <w:p>
            <w:pPr>
              <w:spacing w:after="0"/>
              <w:rPr>
                <w:sz w:val="1"/>
                <w:szCs w:val="1"/>
                <w:color w:val="auto"/>
              </w:rPr>
            </w:pPr>
          </w:p>
        </w:tc>
      </w:tr>
      <w:tr>
        <w:trPr>
          <w:trHeight w:val="221"/>
        </w:trPr>
        <w:tc>
          <w:tcPr>
            <w:tcW w:w="2840" w:type="dxa"/>
            <w:vAlign w:val="bottom"/>
            <w:tcBorders>
              <w:bottom w:val="single" w:sz="8" w:color="CFF0FC"/>
            </w:tcBorders>
            <w:shd w:val="clear" w:color="auto" w:fill="CFF0FC"/>
          </w:tcPr>
          <w:p>
            <w:pPr>
              <w:spacing w:after="0"/>
              <w:rPr>
                <w:sz w:val="19"/>
                <w:szCs w:val="19"/>
                <w:color w:val="auto"/>
              </w:rPr>
            </w:pPr>
          </w:p>
        </w:tc>
        <w:tc>
          <w:tcPr>
            <w:tcW w:w="262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vMerge w:val="continue"/>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6"/>
            <w:vMerge w:val="continue"/>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9,107</w:t>
            </w:r>
          </w:p>
        </w:tc>
        <w:tc>
          <w:tcPr>
            <w:tcW w:w="6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36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27,386</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31,094</w:t>
            </w:r>
          </w:p>
        </w:tc>
        <w:tc>
          <w:tcPr>
            <w:tcW w:w="0" w:type="dxa"/>
            <w:vAlign w:val="bottom"/>
          </w:tcPr>
          <w:p>
            <w:pPr>
              <w:spacing w:after="0"/>
              <w:rPr>
                <w:sz w:val="1"/>
                <w:szCs w:val="1"/>
                <w:color w:val="auto"/>
              </w:rPr>
            </w:pPr>
          </w:p>
        </w:tc>
      </w:tr>
      <w:tr>
        <w:trPr>
          <w:trHeight w:val="20"/>
        </w:trPr>
        <w:tc>
          <w:tcPr>
            <w:tcW w:w="54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6"/>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142"/>
        </w:trPr>
        <w:tc>
          <w:tcPr>
            <w:tcW w:w="2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Cash paid for amounts included in the measurement of lease liabilities:</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Pr>
          <w:p>
            <w:pPr>
              <w:spacing w:after="0"/>
              <w:rPr>
                <w:sz w:val="18"/>
                <w:szCs w:val="18"/>
                <w:color w:val="auto"/>
              </w:rPr>
            </w:pP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16"/>
        </w:trPr>
        <w:tc>
          <w:tcPr>
            <w:tcW w:w="546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shd w:val="clear" w:color="auto" w:fill="CFF0FC"/>
          </w:tcPr>
          <w:p>
            <w:pPr>
              <w:spacing w:after="0"/>
              <w:rPr>
                <w:sz w:val="18"/>
                <w:szCs w:val="18"/>
                <w:color w:val="auto"/>
              </w:rPr>
            </w:pPr>
          </w:p>
        </w:tc>
        <w:tc>
          <w:tcPr>
            <w:tcW w:w="34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34"/>
        </w:trPr>
        <w:tc>
          <w:tcPr>
            <w:tcW w:w="54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14,894</w:t>
            </w:r>
          </w:p>
        </w:tc>
        <w:tc>
          <w:tcPr>
            <w:tcW w:w="20" w:type="dxa"/>
            <w:vAlign w:val="bottom"/>
          </w:tcPr>
          <w:p>
            <w:pPr>
              <w:spacing w:after="0"/>
              <w:rPr>
                <w:sz w:val="20"/>
                <w:szCs w:val="20"/>
                <w:color w:val="auto"/>
              </w:rPr>
            </w:pP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16,092</w:t>
            </w:r>
          </w:p>
        </w:tc>
        <w:tc>
          <w:tcPr>
            <w:tcW w:w="0" w:type="dxa"/>
            <w:vAlign w:val="bottom"/>
          </w:tcPr>
          <w:p>
            <w:pPr>
              <w:spacing w:after="0"/>
              <w:rPr>
                <w:sz w:val="1"/>
                <w:szCs w:val="1"/>
                <w:color w:val="auto"/>
              </w:rPr>
            </w:pPr>
          </w:p>
        </w:tc>
      </w:tr>
      <w:tr>
        <w:trPr>
          <w:trHeight w:val="198"/>
        </w:trPr>
        <w:tc>
          <w:tcPr>
            <w:tcW w:w="54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2,689</w:t>
            </w:r>
          </w:p>
        </w:tc>
        <w:tc>
          <w:tcPr>
            <w:tcW w:w="20" w:type="dxa"/>
            <w:vAlign w:val="bottom"/>
          </w:tcPr>
          <w:p>
            <w:pPr>
              <w:spacing w:after="0"/>
              <w:rPr>
                <w:sz w:val="20"/>
                <w:szCs w:val="20"/>
                <w:color w:val="auto"/>
              </w:rPr>
            </w:pP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4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4"/>
        </w:trPr>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14"/>
        </w:trPr>
        <w:tc>
          <w:tcPr>
            <w:tcW w:w="8220" w:type="dxa"/>
            <w:vAlign w:val="bottom"/>
            <w:gridSpan w:val="12"/>
          </w:tcPr>
          <w:p>
            <w:pPr>
              <w:jc w:val="right"/>
              <w:ind w:right="48"/>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November 2, 2025: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2"/>
        </w:trPr>
        <w:tc>
          <w:tcPr>
            <w:tcW w:w="284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 of fiscal year)</w:t>
            </w:r>
          </w:p>
        </w:tc>
        <w:tc>
          <w:tcPr>
            <w:tcW w:w="1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shd w:val="clear" w:color="auto" w:fill="CFF0FC"/>
          </w:tcPr>
          <w:p>
            <w:pPr>
              <w:spacing w:after="0"/>
              <w:rPr>
                <w:sz w:val="18"/>
                <w:szCs w:val="18"/>
                <w:color w:val="auto"/>
              </w:rPr>
            </w:pPr>
          </w:p>
        </w:tc>
        <w:tc>
          <w:tcPr>
            <w:tcW w:w="3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20,076</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18,773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16,866</w:t>
            </w:r>
          </w:p>
        </w:tc>
        <w:tc>
          <w:tcPr>
            <w:tcW w:w="0" w:type="dxa"/>
            <w:vAlign w:val="bottom"/>
          </w:tcPr>
          <w:p>
            <w:pPr>
              <w:spacing w:after="0"/>
              <w:rPr>
                <w:sz w:val="1"/>
                <w:szCs w:val="1"/>
                <w:color w:val="auto"/>
              </w:rPr>
            </w:pPr>
          </w:p>
        </w:tc>
      </w:tr>
      <w:tr>
        <w:trPr>
          <w:trHeight w:val="21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14,346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20,997</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34,081</w:t>
            </w:r>
          </w:p>
        </w:tc>
        <w:tc>
          <w:tcPr>
            <w:tcW w:w="0" w:type="dxa"/>
            <w:vAlign w:val="bottom"/>
          </w:tcPr>
          <w:p>
            <w:pPr>
              <w:spacing w:after="0"/>
              <w:rPr>
                <w:sz w:val="1"/>
                <w:szCs w:val="1"/>
                <w:color w:val="auto"/>
              </w:rPr>
            </w:pPr>
          </w:p>
        </w:tc>
      </w:tr>
      <w:tr>
        <w:trPr>
          <w:trHeight w:val="21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38,215</w:t>
            </w:r>
          </w:p>
        </w:tc>
        <w:tc>
          <w:tcPr>
            <w:tcW w:w="20" w:type="dxa"/>
            <w:vAlign w:val="bottom"/>
            <w:shd w:val="clear" w:color="auto" w:fill="CFF0FC"/>
          </w:tcPr>
          <w:p>
            <w:pPr>
              <w:spacing w:after="0"/>
              <w:rPr>
                <w:sz w:val="18"/>
                <w:szCs w:val="18"/>
                <w:color w:val="auto"/>
              </w:rPr>
            </w:pPr>
          </w:p>
        </w:tc>
        <w:tc>
          <w:tcPr>
            <w:tcW w:w="3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109,202</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0" w:type="dxa"/>
            <w:vAlign w:val="bottom"/>
          </w:tcPr>
          <w:p>
            <w:pPr>
              <w:spacing w:after="0"/>
              <w:rPr>
                <w:sz w:val="1"/>
                <w:szCs w:val="1"/>
                <w:color w:val="auto"/>
              </w:rPr>
            </w:pPr>
          </w:p>
        </w:tc>
      </w:tr>
      <w:tr>
        <w:trPr>
          <w:trHeight w:val="24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FF0FC"/>
          </w:tcPr>
          <w:p>
            <w:pPr>
              <w:spacing w:after="0"/>
              <w:rPr>
                <w:sz w:val="21"/>
                <w:szCs w:val="21"/>
                <w:color w:val="auto"/>
              </w:rPr>
            </w:pPr>
          </w:p>
        </w:tc>
        <w:tc>
          <w:tcPr>
            <w:tcW w:w="2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31,272</w:t>
            </w:r>
          </w:p>
        </w:tc>
        <w:tc>
          <w:tcPr>
            <w:tcW w:w="20" w:type="dxa"/>
            <w:vAlign w:val="bottom"/>
            <w:shd w:val="clear" w:color="auto" w:fill="CFF0FC"/>
          </w:tcPr>
          <w:p>
            <w:pPr>
              <w:spacing w:after="0"/>
              <w:rPr>
                <w:sz w:val="21"/>
                <w:szCs w:val="21"/>
                <w:color w:val="auto"/>
              </w:rPr>
            </w:pPr>
          </w:p>
        </w:tc>
        <w:tc>
          <w:tcPr>
            <w:tcW w:w="3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95,830</w:t>
            </w:r>
          </w:p>
        </w:tc>
        <w:tc>
          <w:tcPr>
            <w:tcW w:w="0" w:type="dxa"/>
            <w:vAlign w:val="bottom"/>
          </w:tcPr>
          <w:p>
            <w:pPr>
              <w:spacing w:after="0"/>
              <w:rPr>
                <w:sz w:val="1"/>
                <w:szCs w:val="1"/>
                <w:color w:val="auto"/>
              </w:rPr>
            </w:pPr>
          </w:p>
        </w:tc>
      </w:tr>
      <w:tr>
        <w:trPr>
          <w:trHeight w:val="615"/>
        </w:trPr>
        <w:tc>
          <w:tcPr>
            <w:tcW w:w="28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-6634480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-6634480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-6634480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-5537200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-5537200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-5537200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-736600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-719455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500" w:right="8020" w:hanging="492"/>
        <w:spacing w:after="0" w:line="476" w:lineRule="auto"/>
        <w:tabs>
          <w:tab w:leader="none" w:pos="32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AND CREDIT AGREEMENT </w:t>
      </w:r>
      <w:r>
        <w:rPr>
          <w:rFonts w:ascii="Times New Roman" w:cs="Times New Roman" w:eastAsia="Times New Roman" w:hAnsi="Times New Roman"/>
          <w:sz w:val="18"/>
          <w:szCs w:val="18"/>
          <w:color w:val="auto"/>
        </w:rPr>
        <w:t>Debt consists of the following:</w:t>
      </w: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21,083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21,714</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TRI Note</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24,583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25,214</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5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23,586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24,283</w:t>
            </w: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44,584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44,584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Duluth long-term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-607695</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-591185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89" w:lineRule="exact"/>
        <w:rPr>
          <w:sz w:val="20"/>
          <w:szCs w:val="20"/>
          <w:color w:val="auto"/>
        </w:rPr>
      </w:pPr>
    </w:p>
    <w:p>
      <w:pPr>
        <w:jc w:val="both"/>
        <w:ind w:right="440" w:firstLine="494"/>
        <w:spacing w:after="0" w:line="266"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9"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02"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On May 14, 2021, the Company entered into a credit agreement (the “Credit Agreement”), which was treated as a modification for accounting purposes. The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Credit Agreement was secured by essentially all Company assets and required the Company to maintain compliance with certain financial and non-financial covenants, including a maximum rent adjusted leverage ratio and a minimum fixed charge coverage ratio as defined in the Credit Agreement.</w:t>
      </w:r>
    </w:p>
    <w:p>
      <w:pPr>
        <w:spacing w:after="0" w:line="151"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On July 8, 2022, the Company entered into the First Amendment to the Credit Agreement (the “First Amendment”), which was treated as a modification for accounting purposes. The First Amendment amended the Credit Agreement in order to (i) increase the revolving commitment from $150.0 million to $200.0 million; (ii) extend the maturity date from May 14, 2026 to July 8, 2027; (iii) amend the pricing index to replace BSBY with the Term Secured Overnight Financing Rate; and (iv) reduce the commitment fee in some instances.</w:t>
      </w:r>
    </w:p>
    <w:p>
      <w:pPr>
        <w:spacing w:after="0" w:line="139"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On January 31, 2025 the Company entered into the Second Amendment to the Credit Agreement (the “Second Amendment”). The Second Amendment amended the Credit Agreement, in part, to (i) decrease the revolving commitment from $200 million to $100 million; (ii) revise the definition of “Applicable Rate” to provide for pricing terms in the event of a Rent Adjusted Leverage Ratio greater than or equal to 3.50:1.0; (iii) limit the exceptions to the prohibition on restricted payments to (a) making dividends or distributions by any subsidiary to the Company, and (b) the acquisition of equity interests in satisfaction of tax withholding obligations associated with restricted stock or awards under employee incentive plans; and (iv) provide that the Maximum Rent Adjusted Leverage Ratio and the Minimum Fixed Charge Coverage Ratio will be measured commencing on the fiscal quarter ending May 2, 2021 and measured quarterly thereafter as of the last day of each fiscal quarter of the Company (other than for the fiscal quarter ending February 2, 2025). The reduction in the revolving commitment was intended to rightsize the credit facility with the Company’s cash needs to fund seasonal inventory builds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capital expenditure expectations and resulted in fee savings. The Credit Agreement was extinguished on April 28, 2025, resulting in a write down of $0.2 million of debt issuance costs related to the terminated line of credit.</w:t>
      </w:r>
    </w:p>
    <w:p>
      <w:pPr>
        <w:spacing w:after="0" w:line="121"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On April 28, 2025, the Company entered into a new credit agreement (the “New Credit Agreement”) among the Company, certain financial institutions as Lenders thereto, and BMO Bank N.A., as Administrative Agent, a Swing Line Lender and a Letter of Credit Issuer. The Credit Agreement provides for borrowings of up to $100.0 million in aggregate principal amount that are available under an asset-based revolving senior credit facility (the “Revolver”) with a $10.0 million sublimit for the issuance of standby letters of credit.</w:t>
      </w:r>
    </w:p>
    <w:p>
      <w:pPr>
        <w:spacing w:after="0" w:line="153"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Under the New Credit Agreement, (i) each Secured Overnight Financing Rate (“SOFR”) loan will bear interest on the outstanding principal amount at a rate per annum equal to adjusted term SOFR plus 150 basis points; (ii) each base rate loan will bear interest on the outstanding principal amount from the applicable borrowing date at a rate per annum equal to the Base Rate (as defined in the New Credit Agreement) plus 50 basis points; (iii) each swing line loan will bear interest on the outstanding principal amount from the applicable borrowing date at a rate per annum equal to the base rate plus the applicable margin; and (iv) each other obligation will bear interest on the unpaid amount at a rate per annum equal to the base rate plus the applicable margin.</w:t>
      </w:r>
    </w:p>
    <w:p>
      <w:pPr>
        <w:spacing w:after="0" w:line="147" w:lineRule="exact"/>
        <w:rPr>
          <w:sz w:val="20"/>
          <w:szCs w:val="20"/>
          <w:color w:val="auto"/>
        </w:rPr>
      </w:pPr>
    </w:p>
    <w:p>
      <w:pPr>
        <w:ind w:right="160" w:firstLine="494"/>
        <w:spacing w:after="0" w:line="255" w:lineRule="auto"/>
        <w:rPr>
          <w:sz w:val="20"/>
          <w:szCs w:val="20"/>
          <w:color w:val="auto"/>
        </w:rPr>
      </w:pPr>
      <w:r>
        <w:rPr>
          <w:rFonts w:ascii="Times New Roman" w:cs="Times New Roman" w:eastAsia="Times New Roman" w:hAnsi="Times New Roman"/>
          <w:sz w:val="18"/>
          <w:szCs w:val="18"/>
          <w:color w:val="auto"/>
        </w:rPr>
        <w:t>The Company is also permitted to voluntarily prepay the New Credit Agreement in whole or in part at any time, where borrowings bearing interest based on the base rate may be prepaid at any time without penalty and borrowings bearing interest based on SOFR may be prepaid, subject to payment of usual and customary breakage and redeployment costs. The revolver will mature on April 28, 2030. Pursuant to the New Credit Agreement, the Company may request an increase in the revolving credit commitments in the aggregate amount of up to $25 million during the term of the New Credit Agreement and with the consent of the Administrative Agent, subject to credit approval of the Lenders and the satisfaction of certain conditions. The New Credit Agreement contains customary events of default and financial, affirmative and negative covenants and is secured by a first-priority perfected security interest in substantially all of the tangible and intangible assets of the Company.</w:t>
      </w:r>
    </w:p>
    <w:p>
      <w:pPr>
        <w:spacing w:after="0" w:line="148" w:lineRule="exact"/>
        <w:rPr>
          <w:sz w:val="20"/>
          <w:szCs w:val="20"/>
          <w:color w:val="auto"/>
        </w:rPr>
      </w:pPr>
    </w:p>
    <w:p>
      <w:pPr>
        <w:ind w:right="80" w:firstLine="494"/>
        <w:spacing w:after="0" w:line="282" w:lineRule="auto"/>
        <w:rPr>
          <w:sz w:val="20"/>
          <w:szCs w:val="20"/>
          <w:color w:val="auto"/>
        </w:rPr>
      </w:pPr>
      <w:r>
        <w:rPr>
          <w:rFonts w:ascii="Times New Roman" w:cs="Times New Roman" w:eastAsia="Times New Roman" w:hAnsi="Times New Roman"/>
          <w:sz w:val="18"/>
          <w:szCs w:val="18"/>
          <w:color w:val="auto"/>
        </w:rPr>
        <w:t>The new $100.0 million Revolver replaces the prior revolving credit facility at a lower interest rate and extends the availability of funds to April 28, 2030. The Company believes the New Credit Agreement will provide the Company with flexibility and liquidity to finance seasonal inventory builds.</w:t>
      </w:r>
    </w:p>
    <w:p>
      <w:pPr>
        <w:spacing w:after="0" w:line="135" w:lineRule="exact"/>
        <w:rPr>
          <w:sz w:val="20"/>
          <w:szCs w:val="20"/>
          <w:color w:val="auto"/>
        </w:rPr>
      </w:pPr>
    </w:p>
    <w:p>
      <w:pPr>
        <w:ind w:right="580" w:firstLine="494"/>
        <w:spacing w:after="0" w:line="282" w:lineRule="auto"/>
        <w:rPr>
          <w:sz w:val="20"/>
          <w:szCs w:val="20"/>
          <w:color w:val="auto"/>
        </w:rPr>
      </w:pPr>
      <w:r>
        <w:rPr>
          <w:rFonts w:ascii="Times New Roman" w:cs="Times New Roman" w:eastAsia="Times New Roman" w:hAnsi="Times New Roman"/>
          <w:sz w:val="18"/>
          <w:szCs w:val="18"/>
          <w:color w:val="auto"/>
        </w:rPr>
        <w:t>On July 16, 2025, the Company entered into the First Amendment to the New Credit Agreement, pursuant to which all revolving credit loans advanced or prepaid pursuant to such Sweep to Loan Arrangement shall bear interest based on the Base Rate.</w:t>
      </w:r>
    </w:p>
    <w:p>
      <w:pPr>
        <w:spacing w:after="0" w:line="121"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On October 1, 2025, the Company entered into the Second Amendment to the New Credit Agreement, which, among other things, (i) temporarily increases the aggregate revolving credit commitment under the Credit Agreement from $100 million to $125 million, as allowed by the existing New Credit Agreement, beginning on October 1, 2025 until March 31, 2026, as of which date the revolving credit commitment will return to $100 million and (ii) permits the Company to request a second increase in the revolving credit commitment of $25 million during the term of the New Credit Agreement after March 31, 2026 with the consent of the Administrative Agent, subject to credit approval of the Lenders and satisfaction of certain conditions.</w:t>
      </w:r>
    </w:p>
    <w:p>
      <w:pPr>
        <w:spacing w:after="0" w:line="200" w:lineRule="exact"/>
        <w:rPr>
          <w:sz w:val="20"/>
          <w:szCs w:val="20"/>
          <w:color w:val="auto"/>
        </w:rPr>
      </w:pPr>
    </w:p>
    <w:p>
      <w:pPr>
        <w:spacing w:after="0" w:line="344" w:lineRule="exact"/>
        <w:rPr>
          <w:sz w:val="20"/>
          <w:szCs w:val="20"/>
          <w:color w:val="auto"/>
        </w:rPr>
      </w:pPr>
    </w:p>
    <w:p>
      <w:pPr>
        <w:ind w:left="500" w:right="5640" w:hanging="492"/>
        <w:spacing w:after="0" w:line="476" w:lineRule="auto"/>
        <w:tabs>
          <w:tab w:leader="none" w:pos="3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ACCRUED EXPENSES AND OTHER CURRENT LIABILITIES </w:t>
      </w:r>
      <w:r>
        <w:rPr>
          <w:rFonts w:ascii="Times New Roman" w:cs="Times New Roman" w:eastAsia="Times New Roman" w:hAnsi="Times New Roman"/>
          <w:sz w:val="18"/>
          <w:szCs w:val="18"/>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3"/>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3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3,998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3,897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9,783</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Freight</w:t>
            </w:r>
          </w:p>
        </w:tc>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11,859</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12,748</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32,919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35,684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8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6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-882015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FAIR VALUE</w:t>
      </w:r>
    </w:p>
    <w:p>
      <w:pPr>
        <w:spacing w:after="0" w:line="187" w:lineRule="exact"/>
        <w:rPr>
          <w:sz w:val="20"/>
          <w:szCs w:val="20"/>
          <w:color w:val="auto"/>
        </w:rPr>
      </w:pPr>
    </w:p>
    <w:p>
      <w:pPr>
        <w:jc w:val="both"/>
        <w:ind w:right="60" w:firstLine="494"/>
        <w:spacing w:after="0" w:line="258"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98" w:lineRule="exact"/>
        <w:rPr>
          <w:sz w:val="20"/>
          <w:szCs w:val="20"/>
          <w:color w:val="auto"/>
        </w:rPr>
      </w:pPr>
    </w:p>
    <w:p>
      <w:pPr>
        <w:ind w:right="180" w:firstLine="494"/>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85" w:lineRule="exact"/>
        <w:rPr>
          <w:sz w:val="20"/>
          <w:szCs w:val="20"/>
          <w:color w:val="auto"/>
        </w:rPr>
      </w:pPr>
    </w:p>
    <w:p>
      <w:pPr>
        <w:ind w:right="60" w:firstLine="494"/>
        <w:spacing w:after="0" w:line="258"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3 instruments. The fair value of the Company’s available-for-sale security was valued based on a discounted cash flow method (Level 3), which incorporates the U.S. Treasury yield curve, credit information and an estimate of future cash flows. During the nine months ended November 2, 2025,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156"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24"/>
              <w:spacing w:after="0" w:line="145"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4"/>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4"/>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57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trust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5,195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346"/>
        </w:trPr>
        <w:tc>
          <w:tcPr>
            <w:tcW w:w="5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24"/>
              <w:spacing w:after="0" w:line="145"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4"/>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4"/>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57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trust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5,356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66"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three months ended November 2, 2025 or October 27, 2024.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November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one year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one year through five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five years through ten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ten years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53"/>
        </w:trPr>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235</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1,402</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2,266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2,137</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1,112</w:t>
            </w:r>
          </w:p>
        </w:tc>
      </w:tr>
      <w:tr>
        <w:trPr>
          <w:trHeight w:val="209"/>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5,195</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4,860</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-719455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-445135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-162560</wp:posOffset>
            </wp:positionV>
            <wp:extent cx="713232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020" w:space="720"/>
            <w:col w:w="3500"/>
          </w:cols>
          <w:pgMar w:left="320" w:top="117"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56"/>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Borders>
              <w:bottom w:val="single" w:sz="8" w:color="auto"/>
            </w:tcBorders>
            <w:gridSpan w:val="2"/>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28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4"/>
        </w:trPr>
        <w:tc>
          <w:tcPr>
            <w:tcW w:w="57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24,583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23,370</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25,214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21,225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94"/>
        <w:spacing w:after="0" w:line="312" w:lineRule="auto"/>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fair value was also based on a discounted cash flow method (Level 3) based on credit information and an estimate of future cash flows.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200" w:lineRule="exact"/>
        <w:rPr>
          <w:sz w:val="20"/>
          <w:szCs w:val="20"/>
          <w:color w:val="auto"/>
        </w:rPr>
      </w:pPr>
    </w:p>
    <w:p>
      <w:pPr>
        <w:ind w:right="300" w:firstLine="494"/>
        <w:spacing w:after="0" w:line="258"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November 2, 2025 and February 2, 2025.</w:t>
      </w:r>
    </w:p>
    <w:p>
      <w:pPr>
        <w:spacing w:after="0" w:line="145"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November 2,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21,857</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22,321</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21,880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22,332</w:t>
            </w:r>
          </w:p>
        </w:tc>
        <w:tc>
          <w:tcPr>
            <w:tcW w:w="0" w:type="dxa"/>
            <w:vAlign w:val="bottom"/>
          </w:tcPr>
          <w:p>
            <w:pPr>
              <w:spacing w:after="0"/>
              <w:rPr>
                <w:sz w:val="1"/>
                <w:szCs w:val="1"/>
                <w:color w:val="auto"/>
              </w:rPr>
            </w:pPr>
          </w:p>
        </w:tc>
      </w:tr>
      <w:tr>
        <w:trPr>
          <w:trHeight w:val="42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16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24,283</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10"/>
        </w:trPr>
        <w:tc>
          <w:tcPr>
            <w:tcW w:w="7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22,332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-890905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-873760</wp:posOffset>
            </wp:positionV>
            <wp:extent cx="93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93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LOSS PER SHARE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0"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Numerator - net income (loss) attributable to</w:t>
            </w: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controlling interest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0" w:type="dxa"/>
            <w:vAlign w:val="bottom"/>
          </w:tcPr>
          <w:p>
            <w:pPr>
              <w:spacing w:after="0"/>
              <w:rPr>
                <w:sz w:val="1"/>
                <w:szCs w:val="1"/>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Denominator - weighted average shares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34,517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33,448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34,226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33,314</w:t>
            </w:r>
          </w:p>
        </w:tc>
        <w:tc>
          <w:tcPr>
            <w:tcW w:w="0" w:type="dxa"/>
            <w:vAlign w:val="bottom"/>
          </w:tcPr>
          <w:p>
            <w:pPr>
              <w:spacing w:after="0"/>
              <w:rPr>
                <w:sz w:val="1"/>
                <w:szCs w:val="1"/>
                <w:color w:val="auto"/>
              </w:rPr>
            </w:pPr>
          </w:p>
        </w:tc>
      </w:tr>
      <w:tr>
        <w:trPr>
          <w:trHeight w:val="216"/>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Dilutive shares</w:t>
            </w: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34,517</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33,448</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34,226</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33,314</w:t>
            </w:r>
          </w:p>
        </w:tc>
        <w:tc>
          <w:tcPr>
            <w:tcW w:w="0" w:type="dxa"/>
            <w:vAlign w:val="bottom"/>
          </w:tcPr>
          <w:p>
            <w:pPr>
              <w:spacing w:after="0"/>
              <w:rPr>
                <w:sz w:val="1"/>
                <w:szCs w:val="1"/>
                <w:color w:val="auto"/>
              </w:rPr>
            </w:pPr>
          </w:p>
        </w:tc>
      </w:tr>
      <w:tr>
        <w:trPr>
          <w:trHeight w:val="197"/>
        </w:trPr>
        <w:tc>
          <w:tcPr>
            <w:tcW w:w="4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Earnings (loss) per share (Class A and Class B)</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4"/>
        </w:trPr>
        <w:tc>
          <w:tcPr>
            <w:tcW w:w="4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-448310</wp:posOffset>
            </wp:positionV>
            <wp:extent cx="94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-431165</wp:posOffset>
            </wp:positionV>
            <wp:extent cx="946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-448310</wp:posOffset>
            </wp:positionV>
            <wp:extent cx="946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-431165</wp:posOffset>
            </wp:positionV>
            <wp:extent cx="946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-448310</wp:posOffset>
            </wp:positionV>
            <wp:extent cx="939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-431165</wp:posOffset>
            </wp:positionV>
            <wp:extent cx="939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9"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The computation of diluted loss per share excluded 0.9 million and (0.3) million of unvested restricted stock for the three months ended November 2, 2025 and October 27, 2024, respectively, because their inclusion would be anti-dilutive due to a net loss.</w:t>
      </w:r>
    </w:p>
    <w:p>
      <w:pPr>
        <w:spacing w:after="0" w:line="121"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The computation of diluted loss per share excluded 0.4 million and 0.0 million of unvested restricted stock for the nine months ended November 2, 2025 and October 27, 2024, because their inclusion would be anti-dilutive due to a net loss.</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87" w:lineRule="exact"/>
        <w:rPr>
          <w:sz w:val="20"/>
          <w:szCs w:val="20"/>
          <w:color w:val="auto"/>
        </w:rPr>
      </w:pPr>
    </w:p>
    <w:p>
      <w:pPr>
        <w:ind w:right="240" w:firstLine="494"/>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20"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$0.5 million and $1.9 million for the three and nine months ended November 2, 2025 respectively. The Company’s total stock compensation expense is included in selling, general and administrative expenses on the Condensed Consolidated Statements of Operations.</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nine months ended November 2, 2025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7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February 2, 2025</w:t>
            </w: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1,686,267</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2,831,452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(1,085,194)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(1,149,784)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November 2, 2025</w:t>
            </w: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2,282,741</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640" w:firstLine="494"/>
        <w:spacing w:after="0" w:line="282" w:lineRule="auto"/>
        <w:rPr>
          <w:sz w:val="20"/>
          <w:szCs w:val="20"/>
          <w:color w:val="auto"/>
        </w:rPr>
      </w:pPr>
      <w:r>
        <w:rPr>
          <w:rFonts w:ascii="Times New Roman" w:cs="Times New Roman" w:eastAsia="Times New Roman" w:hAnsi="Times New Roman"/>
          <w:sz w:val="18"/>
          <w:szCs w:val="18"/>
          <w:color w:val="auto"/>
        </w:rPr>
        <w:t>At November 2, 2025, the Company had unrecognized compensation expense of $4.0 million related to the restricted stock awards, which is expected to be recognized over a weighted average period of 2.3 years.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2, 2025</w:t>
            </w:r>
          </w:p>
        </w:tc>
        <w:tc>
          <w:tcPr>
            <w:tcW w:w="0" w:type="dxa"/>
            <w:vAlign w:val="bottom"/>
          </w:tcPr>
          <w:p>
            <w:pPr>
              <w:spacing w:after="0"/>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59,703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57,732</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2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36,307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36,272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65,621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65,592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54,542</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9,614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9,472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38,450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39,952</w:t>
            </w: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269,862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268,132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(171,058)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(159,450)</w:t>
            </w: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98,804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108,682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2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111,560</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02" w:lineRule="exact"/>
        <w:rPr>
          <w:sz w:val="20"/>
          <w:szCs w:val="20"/>
          <w:color w:val="auto"/>
        </w:rPr>
      </w:pPr>
    </w:p>
    <w:p>
      <w:pPr>
        <w:ind w:right="220" w:firstLine="494"/>
        <w:spacing w:after="0" w:line="258"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60" w:type="dxa"/>
            <w:vAlign w:val="bottom"/>
            <w:tcBorders>
              <w:bottom w:val="single" w:sz="8" w:color="auto"/>
            </w:tcBorders>
          </w:tcPr>
          <w:p>
            <w:pPr>
              <w:spacing w:after="0"/>
              <w:rPr>
                <w:sz w:val="15"/>
                <w:szCs w:val="15"/>
                <w:color w:val="auto"/>
              </w:rPr>
            </w:pPr>
          </w:p>
        </w:tc>
      </w:tr>
      <w:tr>
        <w:trPr>
          <w:trHeight w:val="210"/>
        </w:trPr>
        <w:tc>
          <w:tcPr>
            <w:tcW w:w="3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4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2520" w:type="dxa"/>
            <w:vAlign w:val="bottom"/>
            <w:gridSpan w:val="2"/>
            <w:shd w:val="clear" w:color="auto" w:fill="CFF0FC"/>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67,438</w:t>
            </w:r>
          </w:p>
        </w:tc>
        <w:tc>
          <w:tcPr>
            <w:tcW w:w="680" w:type="dxa"/>
            <w:vAlign w:val="bottom"/>
            <w:gridSpan w:val="2"/>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79,833</w:t>
            </w: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209,125</w:t>
            </w:r>
          </w:p>
        </w:tc>
        <w:tc>
          <w:tcPr>
            <w:tcW w:w="64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246,961</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Stores</w:t>
            </w:r>
          </w:p>
        </w:tc>
        <w:tc>
          <w:tcPr>
            <w:tcW w:w="2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47,433</w:t>
            </w: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47,223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140,166</w:t>
            </w: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138,398</w:t>
            </w:r>
          </w:p>
        </w:tc>
      </w:tr>
      <w:tr>
        <w:trPr>
          <w:trHeight w:val="230"/>
        </w:trPr>
        <w:tc>
          <w:tcPr>
            <w:tcW w:w="362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114,871</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127,056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349,291</w:t>
            </w:r>
          </w:p>
        </w:tc>
        <w:tc>
          <w:tcPr>
            <w:tcW w:w="64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385,359</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89"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February 2, 2025</w:t>
            </w: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1,685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2,301</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7,576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9,782</w:t>
            </w:r>
          </w:p>
        </w:tc>
      </w:tr>
    </w:tbl>
    <w:p>
      <w:pPr>
        <w:spacing w:after="0" w:line="179" w:lineRule="exact"/>
        <w:rPr>
          <w:sz w:val="20"/>
          <w:szCs w:val="20"/>
          <w:color w:val="auto"/>
        </w:rPr>
      </w:pPr>
    </w:p>
    <w:p>
      <w:pPr>
        <w:ind w:right="80" w:firstLine="494"/>
        <w:spacing w:after="0" w:line="26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 The following table provides the reconciliation of the contract liability related to gift cards for the nine months ended: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2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9,782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9,579</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7,144</w:t>
            </w: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2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w:t>
            </w:r>
          </w:p>
        </w:tc>
      </w:tr>
      <w:tr>
        <w:trPr>
          <w:trHeight w:val="216"/>
        </w:trPr>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2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26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7,576</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ind w:right="220" w:firstLine="494"/>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The effective tax rate related to controlling interest was (3.6%) and (6.6%) for the nine months ended November 2, 2025 and October 27, 2024, respectively. The income from TRI was excluded from the calculation of the Company’s effective tax rate, as TRI is a limited liability company and not subject to income tax. The Company maintains a valuation allowance against its deferred tax assets as of the nine months period ended November 2, 2025.</w:t>
      </w:r>
    </w:p>
    <w:p>
      <w:pPr>
        <w:spacing w:after="0" w:line="147" w:lineRule="exact"/>
        <w:rPr>
          <w:sz w:val="20"/>
          <w:szCs w:val="20"/>
          <w:color w:val="auto"/>
        </w:rPr>
      </w:pPr>
    </w:p>
    <w:p>
      <w:pPr>
        <w:ind w:right="40" w:firstLine="494"/>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in the United States which permanently extends select expiring provisions of the Tax Cuts and Jobs Act. We have considered the impact of the OBBBA on the Company’s annual effective tax rate. The changes did not have a significant impact to the annual effective tax rate. However, the enactment of the OBBBA introduced several significant tax law modifications that, while not affecting the annual effective tax rate, do have other implications for the Company. The OBBBA makes permanent key elements of the 2017 Tax Cuts and Jobs Act, including 100% bonus depreciation, domestic research cost expensing pursuant to IRC 174, and ability to deduct interest expense pursuant to IRC 163(j). The Company is currently evaluating the future impact of OBBBA on its financial position, results of operations and cash flows.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89" w:lineRule="exact"/>
        <w:rPr>
          <w:sz w:val="20"/>
          <w:szCs w:val="20"/>
          <w:color w:val="auto"/>
        </w:rPr>
      </w:pPr>
    </w:p>
    <w:p>
      <w:pPr>
        <w:ind w:right="160" w:firstLine="494"/>
        <w:spacing w:after="0" w:line="277" w:lineRule="auto"/>
        <w:rPr>
          <w:sz w:val="20"/>
          <w:szCs w:val="20"/>
          <w:color w:val="auto"/>
        </w:rPr>
      </w:pPr>
      <w:r>
        <w:rPr>
          <w:rFonts w:ascii="Times New Roman" w:cs="Times New Roman" w:eastAsia="Times New Roman" w:hAnsi="Times New Roman"/>
          <w:sz w:val="17"/>
          <w:szCs w:val="17"/>
          <w:color w:val="auto"/>
        </w:rPr>
        <w:t>As of November 2, 2025 and October 27, 2024, we had one reportable segment. The Company’s operating segment is based on how the Chief Operating Decision Maker (“CODM”) makes decisions about allocating resources and assessing performance. Our CODM is our Chief Executive Officer and the CODM receives discrete financial information for the Company’s gross margin and a summarized comprehensive statement of income monthly that categorizes selling, general and administrative expenses into four line items with remaining expenses and expenditures for long-lived assets being consolidated as an omnichannel business. The following table summarizes the Company’s gross margin and selling, general and administrative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November 2, 2025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October 27, 2024</w:t>
            </w:r>
          </w:p>
        </w:tc>
        <w:tc>
          <w:tcPr>
            <w:tcW w:w="160" w:type="dxa"/>
            <w:vAlign w:val="bottom"/>
          </w:tcPr>
          <w:p>
            <w:pPr>
              <w:spacing w:after="0"/>
              <w:rPr>
                <w:sz w:val="10"/>
                <w:szCs w:val="10"/>
                <w:color w:val="auto"/>
              </w:rPr>
            </w:pPr>
          </w:p>
        </w:tc>
        <w:tc>
          <w:tcPr>
            <w:tcW w:w="1380" w:type="dxa"/>
            <w:vAlign w:val="bottom"/>
            <w:gridSpan w:val="2"/>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November 2, 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jc w:val="right"/>
              <w:ind w:right="152"/>
              <w:spacing w:after="0" w:line="118" w:lineRule="exact"/>
              <w:rPr>
                <w:sz w:val="20"/>
                <w:szCs w:val="20"/>
                <w:color w:val="auto"/>
              </w:rPr>
            </w:pPr>
            <w:r>
              <w:rPr>
                <w:rFonts w:ascii="Times New Roman" w:cs="Times New Roman" w:eastAsia="Times New Roman" w:hAnsi="Times New Roman"/>
                <w:sz w:val="13"/>
                <w:szCs w:val="13"/>
                <w:b w:val="1"/>
                <w:bCs w:val="1"/>
                <w:color w:val="auto"/>
              </w:rPr>
              <w:t>October 27, 2024</w:t>
            </w:r>
          </w:p>
        </w:tc>
        <w:tc>
          <w:tcPr>
            <w:tcW w:w="0" w:type="dxa"/>
            <w:vAlign w:val="bottom"/>
          </w:tcPr>
          <w:p>
            <w:pPr>
              <w:spacing w:after="0"/>
              <w:rPr>
                <w:sz w:val="1"/>
                <w:szCs w:val="1"/>
                <w:color w:val="auto"/>
              </w:rPr>
            </w:pPr>
          </w:p>
        </w:tc>
      </w:tr>
      <w:tr>
        <w:trPr>
          <w:trHeight w:val="17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(39 weeks)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(39 weeks)</w:t>
            </w:r>
          </w:p>
        </w:tc>
        <w:tc>
          <w:tcPr>
            <w:tcW w:w="0" w:type="dxa"/>
            <w:vAlign w:val="bottom"/>
          </w:tcPr>
          <w:p>
            <w:pPr>
              <w:spacing w:after="0"/>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114,871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127,056</w:t>
            </w:r>
          </w:p>
        </w:tc>
        <w:tc>
          <w:tcPr>
            <w:tcW w:w="3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349,291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385,359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53,025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60,645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162,071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183,328</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61,846</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66,411</w:t>
            </w:r>
          </w:p>
        </w:tc>
        <w:tc>
          <w:tcPr>
            <w:tcW w:w="3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187,220</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202,031</w:t>
            </w:r>
          </w:p>
        </w:tc>
        <w:tc>
          <w:tcPr>
            <w:tcW w:w="0" w:type="dxa"/>
            <w:vAlign w:val="bottom"/>
          </w:tcPr>
          <w:p>
            <w:pPr>
              <w:spacing w:after="0"/>
              <w:rPr>
                <w:sz w:val="1"/>
                <w:szCs w:val="1"/>
                <w:color w:val="auto"/>
              </w:rPr>
            </w:pPr>
          </w:p>
        </w:tc>
      </w:tr>
      <w:tr>
        <w:trPr>
          <w:trHeight w:val="197"/>
        </w:trPr>
        <w:tc>
          <w:tcPr>
            <w:tcW w:w="5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Less:</w:t>
            </w: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Outbound shipping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6,709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7,613</w:t>
            </w:r>
          </w:p>
        </w:tc>
        <w:tc>
          <w:tcPr>
            <w:tcW w:w="36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18,871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23,007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10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13,601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35,433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43,202</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expenses</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13,386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13,078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36,172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35,812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Overhead expenses</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36,984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42,203</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114,678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124,882</w:t>
            </w: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70,680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82,311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205,154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226,903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6,152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3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(35,685)</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4,919</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3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-2150745</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-2133600</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-2150745</wp:posOffset>
            </wp:positionV>
            <wp:extent cx="946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-2133600</wp:posOffset>
            </wp:positionV>
            <wp:extent cx="946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-2150745</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-2133600</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-736600</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-736600</wp:posOffset>
            </wp:positionV>
            <wp:extent cx="946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-736600</wp:posOffset>
            </wp:positionV>
            <wp:extent cx="939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-453390</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-453390</wp:posOffset>
            </wp:positionV>
            <wp:extent cx="946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-453390</wp:posOffset>
            </wp:positionV>
            <wp:extent cx="93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-170815</wp:posOffset>
            </wp:positionV>
            <wp:extent cx="1028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946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93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June 4, 2025, as a result of right-sizing the expense structure of the Company, the Company voluntarily underwent a reduction in force.</w:t>
      </w:r>
    </w:p>
    <w:p>
      <w:pPr>
        <w:spacing w:after="0" w:line="185" w:lineRule="exact"/>
        <w:rPr>
          <w:sz w:val="20"/>
          <w:szCs w:val="20"/>
          <w:color w:val="auto"/>
        </w:rPr>
      </w:pPr>
    </w:p>
    <w:p>
      <w:pPr>
        <w:ind w:right="20" w:firstLine="494"/>
        <w:spacing w:after="0" w:line="255" w:lineRule="auto"/>
        <w:rPr>
          <w:sz w:val="20"/>
          <w:szCs w:val="20"/>
          <w:color w:val="auto"/>
        </w:rPr>
      </w:pPr>
      <w:r>
        <w:rPr>
          <w:rFonts w:ascii="Times New Roman" w:cs="Times New Roman" w:eastAsia="Times New Roman" w:hAnsi="Times New Roman"/>
          <w:sz w:val="18"/>
          <w:szCs w:val="18"/>
          <w:color w:val="auto"/>
        </w:rPr>
        <w:t>On July 12, 2024 (the “Effective Date”), as a result of the phase two analysis of the fulfillment center network, the Company voluntarily entered into a lease amendment for one of its legacy fulfillment center leases in Dubuque, Iowa. The amended lease accelerated the lease expiration date from September 30, 2030 to October 27, 2024. The amended lease required Duluth to pay an aggregate of $3.7 million (the “Termination Penalty”) in consideration of accelerating the lease termination date, which was paid in four equal quarterly installments from October 2024 through August 2025. The Company amortized the loss from the Termination Penalty, as well as the net loss from writing off the right-of-use asset and lease liability over the modified remaining lease term. In addition, the Company accelerated the depreciation of the non-transferrable fixed assets to have no remaining net book value by the modified lease expiration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 2025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October 27,</w:t>
            </w:r>
          </w:p>
        </w:tc>
        <w:tc>
          <w:tcPr>
            <w:tcW w:w="200" w:type="dxa"/>
            <w:vAlign w:val="bottom"/>
          </w:tcPr>
          <w:p>
            <w:pPr>
              <w:spacing w:after="0"/>
              <w:rPr>
                <w:sz w:val="10"/>
                <w:szCs w:val="10"/>
                <w:color w:val="auto"/>
              </w:rPr>
            </w:pPr>
          </w:p>
        </w:tc>
        <w:tc>
          <w:tcPr>
            <w:tcW w:w="1120" w:type="dxa"/>
            <w:vAlign w:val="bottom"/>
            <w:gridSpan w:val="2"/>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40" w:type="dxa"/>
            <w:vAlign w:val="bottom"/>
          </w:tcPr>
          <w:p>
            <w:pPr>
              <w:spacing w:after="0"/>
              <w:rPr>
                <w:sz w:val="10"/>
                <w:szCs w:val="10"/>
                <w:color w:val="auto"/>
              </w:rPr>
            </w:pPr>
          </w:p>
        </w:tc>
        <w:tc>
          <w:tcPr>
            <w:tcW w:w="12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Early contract termination expense</w:t>
            </w:r>
          </w:p>
        </w:tc>
        <w:tc>
          <w:tcPr>
            <w:tcW w:w="2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2,759</w:t>
            </w:r>
          </w:p>
        </w:tc>
        <w:tc>
          <w:tcPr>
            <w:tcW w:w="42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Lease remeasurement expense</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Accelerated depreciation expense</w:t>
            </w:r>
          </w:p>
        </w:tc>
        <w:tc>
          <w:tcPr>
            <w:tcW w:w="1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benefit expense</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restructuring expense</w:t>
            </w:r>
          </w:p>
        </w:tc>
        <w:tc>
          <w:tcPr>
            <w:tcW w:w="18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21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6,152</w:t>
            </w:r>
          </w:p>
        </w:tc>
        <w:tc>
          <w:tcPr>
            <w:tcW w:w="4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850</w:t>
            </w:r>
          </w:p>
        </w:tc>
        <w:tc>
          <w:tcPr>
            <w:tcW w:w="78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1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1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-882015</wp:posOffset>
            </wp:positionV>
            <wp:extent cx="939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-882015</wp:posOffset>
            </wp:positionV>
            <wp:extent cx="137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-882015</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200" w:lineRule="exact"/>
        <w:rPr>
          <w:sz w:val="20"/>
          <w:szCs w:val="20"/>
          <w:color w:val="auto"/>
        </w:rPr>
      </w:pPr>
    </w:p>
    <w:p>
      <w:pPr>
        <w:ind w:right="340" w:firstLine="49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This ASU improves the transparency of income tax disclosures by requiring (i) consistent categories and greater disaggregation of information in the rate reconciliation and (ii) income taxes paid disaggregated by jurisdiction. This new guidance will be effective for annual periods beginning after December 15, 2024, and early adoption is permitted. Management is currently evaluating the effects this guidance will have on its consolidated financial statements.</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187"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This ASU requires that each interim and annual reporting period an entity disclose more information about the components of certain expense captions that is currently disclosed in the financial statements. This update is effective for annual reporting periods beginning after December 15, 2027. Early adoption is permitted. Management is currently evaluating the effects this guidance will have on its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8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our operations should be read in conjunction with the financial statements and related notes of Duluth Holdings Inc. included in Item 1 of this Quarterly Report on Form 10-Q and with our audited financial statements and the related notes included in our Annual Report on Form 10-K for the fiscal year ended February 2, 2025 (“2024 Form 10-K”).</w:t>
      </w:r>
    </w:p>
    <w:p>
      <w:pPr>
        <w:spacing w:after="0" w:line="146" w:lineRule="exact"/>
        <w:rPr>
          <w:sz w:val="20"/>
          <w:szCs w:val="20"/>
          <w:color w:val="auto"/>
        </w:rPr>
      </w:pPr>
    </w:p>
    <w:p>
      <w:pPr>
        <w:ind w:right="4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The Company’s fiscal year ends on the Sunday nearest to January 31 of the following year. Fiscal 2025 is a 52-week period and ends on February 1, 2026. Fiscal 2024 was a 53-week period and ended on February 2, 2025. The three months of fiscal 2025 and fiscal 2024 represent our 13-week periods ended November 2, 2025 and October 27, 2024, respectively.</w:t>
      </w:r>
    </w:p>
    <w:p>
      <w:pPr>
        <w:spacing w:after="0" w:line="133" w:lineRule="exact"/>
        <w:rPr>
          <w:sz w:val="20"/>
          <w:szCs w:val="20"/>
          <w:color w:val="auto"/>
        </w:rPr>
      </w:pPr>
    </w:p>
    <w:p>
      <w:pPr>
        <w:ind w:right="1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the terms the “Company,” “Duluth,” “Duluth Trading,” “we,” “our,” or “us” are used to refer to Duluth Holdings Inc.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firstLine="49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that could cause performance or actual results to differ materially from those expressed in the forward-looking statements, including the risks and uncertainties described under Part I, Item 1A “Risk Factors,” in our 2024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uncertainties on store and website traffic; the susceptibility of the price and availability of our merchandise to international trade conditions, including tariffs; changes in U.S. and non-U.S. laws affecting the importation and taxation of goods, including imposition of unilateral tariffs on imported goods; our ability to secure the personal and/or financial information of our customers and employees;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to strengthen brand awareness and attract new customers in a cost effective manner;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failure to comply with data privacy regulations;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undertake no obligation to update or revise these forward-looking statements, except as required under the federal securities 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right="100" w:firstLine="494"/>
        <w:spacing w:after="0" w:line="266"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November 2, 2025, we operated 63 retail stores and three outlet stores.</w:t>
      </w:r>
    </w:p>
    <w:p>
      <w:pPr>
        <w:spacing w:after="0" w:line="142" w:lineRule="exact"/>
        <w:rPr>
          <w:sz w:val="20"/>
          <w:szCs w:val="20"/>
          <w:color w:val="auto"/>
        </w:rPr>
      </w:pPr>
    </w:p>
    <w:p>
      <w:pPr>
        <w:ind w:firstLine="494"/>
        <w:spacing w:after="0" w:line="217"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work pants, and No-Yank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71" w:lineRule="exact"/>
        <w:rPr>
          <w:sz w:val="20"/>
          <w:szCs w:val="20"/>
          <w:color w:val="auto"/>
        </w:rPr>
      </w:pPr>
    </w:p>
    <w:p>
      <w:pPr>
        <w:ind w:right="100" w:firstLine="494"/>
        <w:spacing w:after="0" w:line="261"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sales momentum. We have done so by sticking to our roots of “there’s gotta be a better way” and through our relentless focus on providing our customers with quality, functional products.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117" w:lineRule="exact"/>
        <w:rPr>
          <w:sz w:val="20"/>
          <w:szCs w:val="20"/>
          <w:color w:val="auto"/>
        </w:rPr>
      </w:pPr>
    </w:p>
    <w:p>
      <w:pPr>
        <w:ind w:left="880" w:right="140" w:hanging="378"/>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by 9.6% over the prior year third quarter to $114.9 million, and net sales in the first nine months of fiscal 2025 decreased by 9.4% over the first nine months of the prior year to $349.3 million;</w:t>
      </w:r>
    </w:p>
    <w:p>
      <w:pPr>
        <w:spacing w:after="0" w:line="53" w:lineRule="exact"/>
        <w:rPr>
          <w:rFonts w:ascii="Times New Roman" w:cs="Times New Roman" w:eastAsia="Times New Roman" w:hAnsi="Times New Roman"/>
          <w:sz w:val="18"/>
          <w:szCs w:val="18"/>
          <w:color w:val="auto"/>
        </w:rPr>
      </w:pPr>
    </w:p>
    <w:p>
      <w:pPr>
        <w:ind w:left="880" w:right="120" w:hanging="378"/>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$10.1 million in fiscal 2025 third quarter compared to the prior year third quarter net loss of $28.2 million, and net loss in the first nine months of fiscal 2025 of $24.0 million compared to a net loss in the first nine months of fiscal 2024 of $38.1 million; and</w:t>
      </w:r>
    </w:p>
    <w:p>
      <w:pPr>
        <w:spacing w:after="0" w:line="53" w:lineRule="exact"/>
        <w:rPr>
          <w:rFonts w:ascii="Times New Roman" w:cs="Times New Roman" w:eastAsia="Times New Roman" w:hAnsi="Times New Roman"/>
          <w:sz w:val="18"/>
          <w:szCs w:val="18"/>
          <w:color w:val="auto"/>
        </w:rPr>
      </w:pPr>
    </w:p>
    <w:p>
      <w:pPr>
        <w:ind w:left="880" w:right="60" w:hanging="378"/>
        <w:spacing w:after="0" w:line="266"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($0.7) million in fiscal 2025 third quarter compared to the prior year third quarter Adjusted EBITDA of ($6.2) million, and Adjusted EBITDA in the first nine months of fiscal 2025 of $7.5 million compared to $6.1 million over the first nine months of fiscal 2024.</w:t>
      </w:r>
    </w:p>
    <w:p>
      <w:pPr>
        <w:spacing w:after="0" w:line="135" w:lineRule="exact"/>
        <w:rPr>
          <w:sz w:val="20"/>
          <w:szCs w:val="20"/>
          <w:color w:val="auto"/>
        </w:rPr>
      </w:pPr>
    </w:p>
    <w:p>
      <w:pPr>
        <w:ind w:right="100" w:firstLine="494"/>
        <w:spacing w:after="0" w:line="266" w:lineRule="auto"/>
        <w:rPr>
          <w:sz w:val="20"/>
          <w:szCs w:val="20"/>
          <w:color w:val="auto"/>
        </w:rPr>
      </w:pPr>
      <w:r>
        <w:rPr>
          <w:rFonts w:ascii="Times New Roman" w:cs="Times New Roman" w:eastAsia="Times New Roman" w:hAnsi="Times New Roman"/>
          <w:sz w:val="18"/>
          <w:szCs w:val="18"/>
          <w:color w:val="auto"/>
        </w:rPr>
        <w:t>See the “Reconciliation of Net Income (Loss) to EBITDA and EBITDA to Adjusted EBITDA” section for a reconciliation of our net income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89"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The macroeconomic environment is experiencing inflation, tariff and recessionary concerns and general uncertainty regarding the future economic environment and therefore we cannot predict the ultimate impact of these economic conditions on our operational and financial performance. Given the uncertainty, we cannot reasonably estimate store traffic patterns and the prolonged impact on overall consumer demand. However, we expect that our operations will continue to be impacted by these macroeconomic headwinds, including tariffs, which may increase our merchandise costs, affect merchandise availability, and impact our financial performance.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and distribution network expenses.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9"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53" w:lineRule="exact"/>
        <w:rPr>
          <w:sz w:val="20"/>
          <w:szCs w:val="20"/>
          <w:color w:val="auto"/>
        </w:rPr>
      </w:pPr>
    </w:p>
    <w:p>
      <w:pPr>
        <w:ind w:right="140" w:firstLine="494"/>
        <w:spacing w:after="0" w:line="258"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restructuring expenses and other items we do not consider representative of our ongoing operating performance. We believe Adjusted EBITDA is less susceptible to variances in actual performance resulting from depreciation, amortization and other items. We also use Adjusted EBITDA as one of the key financial metrics in determining bonus compensation for our employees. This non-GAAP measure may not be comparable to similarly titled measures used by other companies.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114,871</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127,056</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349,291</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385,359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53,025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60,645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162,071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183,328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61,846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66,411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187,220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202,031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82,311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226,903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7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6,152</w:t>
            </w: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7,748</w:t>
            </w:r>
          </w:p>
        </w:tc>
        <w:tc>
          <w:tcPr>
            <w:tcW w:w="18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3,232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4,919</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2,366</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2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2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2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7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8"/>
        </w:trPr>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1"/>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7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-3274060</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-3274060</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-3274060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-2142490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-2125345</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-2142490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-2125345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-2142490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-2125345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-1156970</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-1156970</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-1156970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November 2, 2025, Compared to Three Months Ended October 27,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Net sales decreased $12.2 million, or 9.6%, to $114.9 million in the three months ended November 2, 2025 compared to $127.1 million in the three months ended October 27, 2024. The decrease in net sales was primarily driven by declines in web traffic due to reduced promotional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2"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Gross profit decreased $4.6 million, or 6.9%, to $61.8 million in the three months ended November 2, 2025 compared to $66.4 million in the three months ended October 27, 2024. The decrease in gross profit was partially driven by the $3 million impact of tariffs. As a percentage of net sales, gross margin increased to 53.8% in the three months ended November 2, 2025, compared to 52.3% of net sales in the three months ended October 27, 2024. The increase in gross margin rate was primarily driven by an increase in average unit retail sales from reduced promotional activity coupled with an improvement in product costs from our direct to factory sourcing initiative.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$11.6 million, or 14.1%, to $70.1 million in the three months ended November 2, 2025 compared to $82.3 million in the three months ended October 27, 2024. Selling, general and administrative expenses as a percentage of net sales decreased to 61.5% in the three months ended November 2, 2025, compared to 64.8% in the three months ended October 27, 2024.</w:t>
      </w:r>
    </w:p>
    <w:p>
      <w:pPr>
        <w:spacing w:after="0" w:line="149"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The decrease in selling, general and administrative expense as a percentage of net sales was mainly driven by leverage on outbound shipping costs due to higher average order values coupled with a reduction in personnel and depreciation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320" w:firstLine="494"/>
        <w:spacing w:after="0" w:line="282" w:lineRule="auto"/>
        <w:rPr>
          <w:sz w:val="20"/>
          <w:szCs w:val="20"/>
          <w:color w:val="auto"/>
        </w:rPr>
      </w:pPr>
      <w:r>
        <w:rPr>
          <w:rFonts w:ascii="Times New Roman" w:cs="Times New Roman" w:eastAsia="Times New Roman" w:hAnsi="Times New Roman"/>
          <w:sz w:val="18"/>
          <w:szCs w:val="18"/>
          <w:color w:val="auto"/>
        </w:rPr>
        <w:t>Income tax expense was $0.0 million in the three months ended November 2, 2025, compared to income tax expense of $4.9 million in the three months ended October 27, 2024. The change was primarily driven by the valuation allowance established in the third quarter of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89" w:lineRule="exact"/>
        <w:rPr>
          <w:sz w:val="20"/>
          <w:szCs w:val="20"/>
          <w:color w:val="auto"/>
        </w:rPr>
      </w:pPr>
    </w:p>
    <w:p>
      <w:pPr>
        <w:ind w:right="80" w:firstLine="494"/>
        <w:spacing w:after="0" w:line="282" w:lineRule="auto"/>
        <w:rPr>
          <w:sz w:val="20"/>
          <w:szCs w:val="20"/>
          <w:color w:val="auto"/>
        </w:rPr>
      </w:pPr>
      <w:r>
        <w:rPr>
          <w:rFonts w:ascii="Times New Roman" w:cs="Times New Roman" w:eastAsia="Times New Roman" w:hAnsi="Times New Roman"/>
          <w:sz w:val="18"/>
          <w:szCs w:val="18"/>
          <w:color w:val="auto"/>
        </w:rPr>
        <w:t>Net loss attributable to controlling interest was $10.1 million, in the three months ended November 2, 2025 compared to net loss of $28.2 million in the three months ended October 27,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November 2, 2025, Compared to Nine Months Ended October 27,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Net sales decreased $36.1 million, or 9.4%, to $349.3 million in the nine months ended November 2, 2025 compared to $385.4 million in the nine months ended October 27, 2024. The decrease in net sales was primarily driven by decline in web traffic due to reduced promotional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2"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Gross profit decreased $14.8 million, or 7.3%, to $187.2 million in the nine months ended November 2, 2025 compared to $202.0 million in the nine months ended October 27, 2024. As a percentage of net sales, gross margin increased to 53.6% of net sales in the nine months ended November 2, 2025, compared to 52.4% of net sales in the nine months ended October 27, 2024. The increase in gross margin rate was primarily driven by an increase in average unit retail sales from reduced promotional activity coupled with an improvement in product costs from our direct to factory sourcing initiative.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20" w:firstLine="49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$21.7 million, or 9.6%, to $205.1 million in the nine months ended November 2, 2025 compared to $226.9 million in the nine months ended October 27, 2024. Selling, general and administrative expenses as a percentage of net sales decreased to 58.7% in the nine months ended November 2, 2025, compared to 58.9% in the nine months ended October 27, 2024.</w:t>
      </w:r>
    </w:p>
    <w:p>
      <w:pPr>
        <w:spacing w:after="0" w:line="149"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The decrease in selling, general and administrative expense as a percentage of net sales was mainly driven by leverage on outbound shipping costs due to higher average order values coupled with a reduction in personnel and depreciation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right="420" w:firstLine="494"/>
        <w:spacing w:after="0" w:line="266" w:lineRule="auto"/>
        <w:rPr>
          <w:sz w:val="20"/>
          <w:szCs w:val="20"/>
          <w:color w:val="auto"/>
        </w:rPr>
      </w:pPr>
      <w:r>
        <w:rPr>
          <w:rFonts w:ascii="Times New Roman" w:cs="Times New Roman" w:eastAsia="Times New Roman" w:hAnsi="Times New Roman"/>
          <w:sz w:val="18"/>
          <w:szCs w:val="18"/>
          <w:color w:val="auto"/>
        </w:rPr>
        <w:t>Income tax expense was $0.8 million in the nine months ended November 2, 2025, compared to income tax expense of $2.4 million in the nine months ended October 27, 2024. The provision for third quarter of fiscal 2024 and fiscal 2025 reflected a valuation allowance which was established against the net amount of deferred tax assets as well as a pre-tax loss in the previous fiscal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Controlling Interest</w:t>
      </w:r>
    </w:p>
    <w:p>
      <w:pPr>
        <w:spacing w:after="0" w:line="189"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Net loss attributable to controlling interest was $24.1 million, in the nine months ended November 2, 2025 compared to net loss of $38.1 million in the nine months ended October 27, 2024.</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189"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The following table presents reconciliations of net loss to EBITDA and EBITDA to Adjusted EBITDA, both of which are non-U.S. GAAP financial measures, for the periods indicated below. See the above section titled “How We Assess the Performance of Our Business,” for our definition of Adjusted EBITDA.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2"/>
                <w:szCs w:val="12"/>
                <w:color w:val="auto"/>
              </w:rPr>
            </w:pPr>
          </w:p>
        </w:tc>
        <w:tc>
          <w:tcPr>
            <w:tcW w:w="124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4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140" w:type="dxa"/>
            <w:vAlign w:val="bottom"/>
          </w:tcPr>
          <w:p>
            <w:pPr>
              <w:spacing w:after="0"/>
              <w:rPr>
                <w:sz w:val="12"/>
                <w:szCs w:val="12"/>
                <w:color w:val="auto"/>
              </w:rPr>
            </w:pPr>
          </w:p>
        </w:tc>
        <w:tc>
          <w:tcPr>
            <w:tcW w:w="12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4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70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66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0" w:type="dxa"/>
            <w:vAlign w:val="bottom"/>
          </w:tcPr>
          <w:p>
            <w:pPr>
              <w:spacing w:after="0"/>
              <w:rPr>
                <w:sz w:val="1"/>
                <w:szCs w:val="1"/>
                <w:color w:val="auto"/>
              </w:rPr>
            </w:pPr>
          </w:p>
        </w:tc>
      </w:tr>
      <w:tr>
        <w:trPr>
          <w:trHeight w:val="216"/>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6,234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19,528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23,581</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3,856</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1,231</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4,181</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16"/>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4,919</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158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70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3,991</w:t>
            </w:r>
          </w:p>
        </w:tc>
        <w:tc>
          <w:tcPr>
            <w:tcW w:w="66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16"/>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incentive expense</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2,078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Impairment expense</w:t>
            </w: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expense</w:t>
            </w:r>
          </w:p>
        </w:tc>
        <w:tc>
          <w:tcPr>
            <w:tcW w:w="1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6,152</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7,468</w:t>
            </w:r>
          </w:p>
        </w:tc>
        <w:tc>
          <w:tcPr>
            <w:tcW w:w="66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6,084</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85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857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$5.5 million to ($0.7) million in the three months ended November 2, 2025 compared to ($6.2) million in the three months ended October 27, 2024. As a percentage of net sales, Adjusted EBITDA increased to (0.6%) of net sales in the three months November 2, 2025 compared to (4.9%) of net sales in the three months ended October 27, 2024.</w:t>
      </w:r>
    </w:p>
    <w:p>
      <w:pPr>
        <w:spacing w:after="0" w:line="153"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$1.4 million to $7.5 million in the nine months ended November 2, 2025 compared to $6.1 million in the nine months ended October 27, 2024. As a percentage of net sales, Adjusted EBITDA increased to 2.1% of net sales in the nine months ended November 2, 2025 compared to 1.6% of net sales in the nine months ended October 27,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November 2, 2025, our net working capital was $51.1 million, including $8.2 million of cash and cash equivalents.</w:t>
      </w:r>
    </w:p>
    <w:p>
      <w:pPr>
        <w:spacing w:after="0" w:line="139"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We expect to spend approximately $17.0 million in fiscal 2025 on capital expenditures, inclusive of software hosting implementation costs, primarily due to investments in two new stores and information technology. Due to the seasonality of our business, the fourth quarter typically has the most significant impact on our amount of cash from operating activities. We also use cash in our investing activities for capital expenditures throughout all four quarters of our fiscal year.</w:t>
      </w:r>
    </w:p>
    <w:p>
      <w:pPr>
        <w:spacing w:after="0" w:line="139" w:lineRule="exact"/>
        <w:rPr>
          <w:sz w:val="20"/>
          <w:szCs w:val="20"/>
          <w:color w:val="auto"/>
        </w:rPr>
      </w:pPr>
    </w:p>
    <w:p>
      <w:pPr>
        <w:ind w:right="500" w:firstLine="494"/>
        <w:spacing w:after="0" w:line="282"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2025</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(31,115)</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(58,125)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41,624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40,969</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4,837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2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5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5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-882015</wp:posOffset>
            </wp:positionV>
            <wp:extent cx="1111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89"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loss adjusted for non-cash items that include depreciation and amortization, stock-based compensation and the effect of changes in operating assets and liabilities.</w:t>
      </w:r>
    </w:p>
    <w:p>
      <w:pPr>
        <w:spacing w:after="0" w:line="135"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For the nine months ended November 2, 2025, net cash used in operating activities was $31.1 million, which primarily consisted of cash used in operating assets and liabilities of $30.2 million and a $24.0 million net loss for the nine months ended November 2, 2025 partially offset by depreciation of $19.5 million. The cash used in operating assets and liabilities of $30.2 million was primarily due to a $25.7 million decrease in inventory.</w:t>
      </w:r>
    </w:p>
    <w:p>
      <w:pPr>
        <w:spacing w:after="0" w:line="135"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For the nine months ended October 27, 2024, net cash used in operating activities was $58.1 million, which primarily consisted of cash used in operating assets and liabilities of $49.4 million and a $38.1 million net loss for the nine months ended October 27, 2024 partially offset by depreciation of $24.7 million. The cash used in operating assets and liabilities of $49.4 million was primarily due to a $105.7 million increase in inventory, partially offset by a $53.2 million increase in trade accounts payable.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infrastructure, retail stores and information technology.</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nine months ended November 2, 2025 and October 27, 2024, net cash used in investing activities was $5.7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02" w:lineRule="exact"/>
        <w:rPr>
          <w:sz w:val="20"/>
          <w:szCs w:val="20"/>
          <w:color w:val="auto"/>
        </w:rPr>
      </w:pPr>
    </w:p>
    <w:p>
      <w:pPr>
        <w:ind w:right="560" w:firstLine="494"/>
        <w:spacing w:after="0" w:line="282"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21" w:lineRule="exact"/>
        <w:rPr>
          <w:sz w:val="20"/>
          <w:szCs w:val="20"/>
          <w:color w:val="auto"/>
        </w:rPr>
      </w:pPr>
    </w:p>
    <w:p>
      <w:pPr>
        <w:ind w:right="580" w:firstLine="494"/>
        <w:spacing w:after="0" w:line="282" w:lineRule="auto"/>
        <w:rPr>
          <w:sz w:val="20"/>
          <w:szCs w:val="20"/>
          <w:color w:val="auto"/>
        </w:rPr>
      </w:pPr>
      <w:r>
        <w:rPr>
          <w:rFonts w:ascii="Times New Roman" w:cs="Times New Roman" w:eastAsia="Times New Roman" w:hAnsi="Times New Roman"/>
          <w:sz w:val="18"/>
          <w:szCs w:val="18"/>
          <w:color w:val="auto"/>
        </w:rPr>
        <w:t>For the nine months ended November 2, 2025, net cash provided by financing activities was $41.6 million compared to net cash provided by financing activities of $41.0 million for nine months ended October 27,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ind w:right="360" w:firstLine="49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February 2,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89" w:lineRule="exact"/>
        <w:rPr>
          <w:sz w:val="20"/>
          <w:szCs w:val="20"/>
          <w:color w:val="auto"/>
        </w:rPr>
      </w:pPr>
    </w:p>
    <w:p>
      <w:pPr>
        <w:ind w:right="260" w:firstLine="49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As of the date of this filing, there were no significant changes to any of the critical accounting policies and estimates described in our 2024 Form 10-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300" w:firstLine="494"/>
        <w:spacing w:after="0" w:line="282" w:lineRule="auto"/>
        <w:rPr>
          <w:sz w:val="20"/>
          <w:szCs w:val="20"/>
          <w:color w:val="auto"/>
        </w:rPr>
      </w:pPr>
      <w:r>
        <w:rPr>
          <w:rFonts w:ascii="Times New Roman" w:cs="Times New Roman" w:eastAsia="Times New Roman" w:hAnsi="Times New Roman"/>
          <w:sz w:val="18"/>
          <w:szCs w:val="18"/>
          <w:color w:val="auto"/>
        </w:rPr>
        <w:t>See Note 14 “Recent Accounting Pronouncements,” of Notes to Condensed Consolidated Financial Statements included in Part 1, Item 1, of this quarterly report on Form 10-Q for information regarding recent accounting pronouncements.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jc w:val="both"/>
        <w:ind w:right="40" w:firstLine="494"/>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2024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right="300" w:firstLine="49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2024 Form 10-K, or other SEC filings. There have been no material changes to our risk factors as previously disclosed in our fiscal 2024 Annual Report on Form 10-K.</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November 2, 2025, which were not registered under the Securities Act.</w:t>
      </w:r>
    </w:p>
    <w:p>
      <w:pPr>
        <w:spacing w:after="0" w:line="198" w:lineRule="exact"/>
        <w:rPr>
          <w:sz w:val="20"/>
          <w:szCs w:val="20"/>
          <w:color w:val="auto"/>
        </w:rPr>
      </w:pPr>
    </w:p>
    <w:p>
      <w:pPr>
        <w:ind w:right="380" w:firstLine="494"/>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regarding shares acquired by us during the quarter, which consisted solely of shares acquired from employees in lieu of amounts required to satisfy minimum tax withholding requirements upon the vesting of the employees’ restricted stock during the three months ended November 2,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73"/>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5"/>
                <w:szCs w:val="15"/>
                <w:color w:val="auto"/>
              </w:rPr>
            </w:pPr>
          </w:p>
        </w:tc>
        <w:tc>
          <w:tcPr>
            <w:tcW w:w="12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2025 - August 31, 2025</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3"/>
            <w:shd w:val="clear" w:color="auto" w:fill="CFF0FC"/>
          </w:tcPr>
          <w:p>
            <w:pPr>
              <w:jc w:val="right"/>
              <w:ind w:right="17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September 1, 2025 - October 5, 2025</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3.79</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6, 2025 - November 2, 2025</w:t>
            </w: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140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3"/>
          </w:tcPr>
          <w:p>
            <w:pPr>
              <w:jc w:val="right"/>
              <w:ind w:right="17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832"/>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66"/>
        </w:trPr>
        <w:tc>
          <w:tcPr>
            <w:tcW w:w="3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-993775</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-993775</wp:posOffset>
            </wp:positionV>
            <wp:extent cx="1200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-993775</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-993775</wp:posOffset>
            </wp:positionV>
            <wp:extent cx="1111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2, 2025, no director or Section 16 officer of the Company adopted or terminated a “Rule 10b5-1 trading arrangement” or “non-Rule 10b5-1 trading arrangement,” as each term is defined in Item 408(a) of Regulation S-K.</w:t>
      </w:r>
    </w:p>
    <w:p>
      <w:pPr>
        <w:spacing w:after="0" w:line="1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5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1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Exhibit No.</w:t>
            </w:r>
          </w:p>
        </w:tc>
      </w:tr>
      <w:tr>
        <w:trPr>
          <w:trHeight w:val="29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4"/>
                <w:szCs w:val="24"/>
                <w:color w:val="auto"/>
              </w:rPr>
            </w:pPr>
          </w:p>
        </w:tc>
        <w:tc>
          <w:tcPr>
            <w:tcW w:w="94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Amendment No. 2 to Credit Agreement, dated as of October 1, 2025, among Duluth Holdings Inc., certain financial institutions as</w:t>
              </w:r>
            </w:hyperlink>
          </w:p>
        </w:tc>
        <w:tc>
          <w:tcPr>
            <w:tcW w:w="360" w:type="dxa"/>
            <w:vAlign w:val="bottom"/>
            <w:gridSpan w:val="3"/>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Lenders thereto, and BMO Bank N.A., as Administrative Agent, incorporated by reference to Exhibit 10.1 to the Company’s Current</w:t>
              </w:r>
            </w:hyperlink>
          </w:p>
        </w:tc>
        <w:tc>
          <w:tcPr>
            <w:tcW w:w="160" w:type="dxa"/>
            <w:vAlign w:val="bottom"/>
            <w:gridSpan w:val="2"/>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Report on Form 8-K dated October 1, 2025.</w:t>
              </w:r>
            </w:hyperlink>
          </w:p>
        </w:tc>
        <w:tc>
          <w:tcPr>
            <w:tcW w:w="6580" w:type="dxa"/>
            <w:vAlign w:val="bottom"/>
            <w:gridSpan w:val="5"/>
          </w:tcPr>
          <w:p>
            <w:pPr>
              <w:spacing w:after="0"/>
              <w:rPr>
                <w:sz w:val="17"/>
                <w:szCs w:val="17"/>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60" w:type="dxa"/>
            <w:vAlign w:val="bottom"/>
          </w:tcPr>
          <w:p>
            <w:pPr>
              <w:spacing w:after="0"/>
              <w:rPr>
                <w:sz w:val="24"/>
                <w:szCs w:val="24"/>
                <w:color w:val="auto"/>
              </w:rPr>
            </w:pPr>
          </w:p>
        </w:tc>
        <w:tc>
          <w:tcPr>
            <w:tcW w:w="9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and Exchange Act, as</w:t>
            </w:r>
          </w:p>
        </w:tc>
        <w:tc>
          <w:tcPr>
            <w:tcW w:w="620" w:type="dxa"/>
            <w:vAlign w:val="bottom"/>
            <w:gridSpan w:val="4"/>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Pr>
          <w:p>
            <w:pPr>
              <w:spacing w:after="0"/>
              <w:rPr>
                <w:sz w:val="24"/>
                <w:szCs w:val="24"/>
                <w:color w:val="auto"/>
              </w:rPr>
            </w:pPr>
          </w:p>
        </w:tc>
        <w:tc>
          <w:tcPr>
            <w:tcW w:w="9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and Exchange Act of 1934, as</w:t>
            </w:r>
          </w:p>
        </w:tc>
        <w:tc>
          <w:tcPr>
            <w:tcW w:w="6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60" w:type="dxa"/>
            <w:vAlign w:val="bottom"/>
          </w:tcPr>
          <w:p>
            <w:pPr>
              <w:spacing w:after="0"/>
              <w:rPr>
                <w:sz w:val="24"/>
                <w:szCs w:val="24"/>
                <w:color w:val="auto"/>
              </w:rPr>
            </w:pPr>
          </w:p>
        </w:tc>
        <w:tc>
          <w:tcPr>
            <w:tcW w:w="9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Act of 2002.*</w:t>
            </w:r>
          </w:p>
        </w:tc>
        <w:tc>
          <w:tcPr>
            <w:tcW w:w="20" w:type="dxa"/>
            <w:vAlign w:val="bottom"/>
            <w:tcBorders>
              <w:bottom w:val="single" w:sz="8" w:color="0000EE"/>
            </w:tcBorders>
          </w:tcPr>
          <w:p>
            <w:pPr>
              <w:spacing w:after="0"/>
              <w:rPr>
                <w:sz w:val="17"/>
                <w:szCs w:val="17"/>
                <w:color w:val="auto"/>
              </w:rPr>
            </w:pPr>
          </w:p>
        </w:tc>
        <w:tc>
          <w:tcPr>
            <w:tcW w:w="8760" w:type="dxa"/>
            <w:vAlign w:val="bottom"/>
            <w:gridSpan w:val="6"/>
          </w:tcPr>
          <w:p>
            <w:pPr>
              <w:spacing w:after="0"/>
              <w:rPr>
                <w:sz w:val="17"/>
                <w:szCs w:val="17"/>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660" w:type="dxa"/>
            <w:vAlign w:val="bottom"/>
          </w:tcPr>
          <w:p>
            <w:pPr>
              <w:spacing w:after="0"/>
              <w:rPr>
                <w:sz w:val="24"/>
                <w:szCs w:val="24"/>
                <w:color w:val="auto"/>
              </w:rPr>
            </w:pPr>
          </w:p>
        </w:tc>
        <w:tc>
          <w:tcPr>
            <w:tcW w:w="9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6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Act of 2002.*</w:t>
            </w:r>
          </w:p>
        </w:tc>
        <w:tc>
          <w:tcPr>
            <w:tcW w:w="20" w:type="dxa"/>
            <w:vAlign w:val="bottom"/>
            <w:tcBorders>
              <w:bottom w:val="single" w:sz="8" w:color="0000EE"/>
            </w:tcBorders>
          </w:tcPr>
          <w:p>
            <w:pPr>
              <w:spacing w:after="0"/>
              <w:rPr>
                <w:sz w:val="17"/>
                <w:szCs w:val="17"/>
                <w:color w:val="auto"/>
              </w:rPr>
            </w:pPr>
          </w:p>
        </w:tc>
        <w:tc>
          <w:tcPr>
            <w:tcW w:w="8760" w:type="dxa"/>
            <w:vAlign w:val="bottom"/>
            <w:gridSpan w:val="6"/>
          </w:tcPr>
          <w:p>
            <w:pPr>
              <w:spacing w:after="0"/>
              <w:rPr>
                <w:sz w:val="17"/>
                <w:szCs w:val="17"/>
                <w:color w:val="auto"/>
              </w:rPr>
            </w:pPr>
          </w:p>
        </w:tc>
      </w:tr>
      <w:tr>
        <w:trPr>
          <w:trHeight w:val="35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6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101.SCH</w:t>
            </w:r>
          </w:p>
        </w:tc>
        <w:tc>
          <w:tcPr>
            <w:tcW w:w="66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left="1360" w:right="260" w:hanging="1339"/>
        <w:spacing w:after="0" w:line="282" w:lineRule="auto"/>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November 2, 2025 has been formatted in Inline XBRL (Inline Extensible Business Reporting Language and contained in Exhibits 101).</w:t>
      </w:r>
    </w:p>
    <w:p>
      <w:pPr>
        <w:spacing w:after="0" w:line="16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 or arrangement</w:t>
      </w:r>
    </w:p>
    <w:p>
      <w:pPr>
        <w:spacing w:after="0" w:line="27" w:lineRule="exact"/>
        <w:rPr>
          <w:sz w:val="20"/>
          <w:szCs w:val="20"/>
          <w:color w:val="auto"/>
        </w:rPr>
      </w:pPr>
    </w:p>
    <w:p>
      <w:pPr>
        <w:ind w:left="680" w:hanging="67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680" w:right="140" w:hanging="672"/>
        <w:spacing w:after="0" w:line="260"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Regulation S-T, the XBRL-related information in Exhibit 101 to this Quarterly Report on Form 10-Q shall be deemed to be “furnished” and not “filed.”</w:t>
      </w:r>
    </w:p>
    <w:p>
      <w:pPr>
        <w:spacing w:after="0" w:line="3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20" w:firstLine="4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17, 2025</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19685</wp:posOffset>
            </wp:positionV>
            <wp:extent cx="4071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Heena Agrawal</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Financial Officer</w:t>
      </w:r>
    </w:p>
    <w:p>
      <w:pPr>
        <w:spacing w:after="0" w:line="9" w:lineRule="exact"/>
        <w:rPr>
          <w:sz w:val="20"/>
          <w:szCs w:val="20"/>
          <w:color w:val="auto"/>
        </w:rPr>
      </w:pPr>
    </w:p>
    <w:p>
      <w:pPr>
        <w:ind w:left="48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 and Interim Principal Accounting Officer)</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Stephanie Pugliese, Chief Executive Officer, certify that:</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1.I have reviewed this Quarterly Report on Form 10-Q of Duluth Holdings Inc. (the “registrant”);</w:t>
      </w:r>
    </w:p>
    <w:p>
      <w:pPr>
        <w:spacing w:after="0" w:line="185" w:lineRule="exact"/>
        <w:rPr>
          <w:sz w:val="20"/>
          <w:szCs w:val="20"/>
          <w:color w:val="auto"/>
        </w:rPr>
      </w:pPr>
    </w:p>
    <w:p>
      <w:pPr>
        <w:ind w:left="760" w:right="40" w:hanging="360"/>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sz w:val="20"/>
          <w:szCs w:val="20"/>
          <w:color w:val="auto"/>
        </w:rPr>
      </w:pPr>
    </w:p>
    <w:p>
      <w:pPr>
        <w:ind w:left="760" w:right="200" w:hanging="360"/>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sz w:val="20"/>
          <w:szCs w:val="20"/>
          <w:color w:val="auto"/>
        </w:rPr>
      </w:pPr>
    </w:p>
    <w:p>
      <w:pPr>
        <w:ind w:left="760" w:right="20" w:hanging="360"/>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left="1140" w:right="140" w:hanging="373"/>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sz w:val="20"/>
          <w:szCs w:val="20"/>
          <w:color w:val="auto"/>
        </w:rPr>
      </w:pPr>
    </w:p>
    <w:p>
      <w:pPr>
        <w:ind w:left="1140" w:right="220" w:hanging="373"/>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ind w:left="1140" w:right="380" w:hanging="373"/>
        <w:spacing w:after="0" w:line="312" w:lineRule="auto"/>
        <w:rPr>
          <w:sz w:val="20"/>
          <w:szCs w:val="20"/>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sz w:val="20"/>
          <w:szCs w:val="20"/>
          <w:color w:val="auto"/>
        </w:rPr>
      </w:pPr>
    </w:p>
    <w:p>
      <w:pPr>
        <w:ind w:left="1140" w:right="100" w:hanging="373"/>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left="760" w:right="200" w:hanging="360"/>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140" w:right="40" w:hanging="373"/>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sz w:val="20"/>
          <w:szCs w:val="20"/>
          <w:color w:val="auto"/>
        </w:rPr>
      </w:pPr>
    </w:p>
    <w:p>
      <w:pPr>
        <w:ind w:left="1140" w:right="540" w:hanging="373"/>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17, 2025</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 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Stephanie Pugliese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1.I have reviewed this Quarterly Report on Form 10-Q of Duluth Holdings Inc. (the “registrant”);</w:t>
      </w:r>
    </w:p>
    <w:p>
      <w:pPr>
        <w:spacing w:after="0" w:line="185" w:lineRule="exact"/>
        <w:rPr>
          <w:sz w:val="20"/>
          <w:szCs w:val="20"/>
          <w:color w:val="auto"/>
        </w:rPr>
      </w:pPr>
    </w:p>
    <w:p>
      <w:pPr>
        <w:ind w:left="760" w:right="40" w:hanging="360"/>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sz w:val="20"/>
          <w:szCs w:val="20"/>
          <w:color w:val="auto"/>
        </w:rPr>
      </w:pPr>
    </w:p>
    <w:p>
      <w:pPr>
        <w:ind w:left="760" w:right="200" w:hanging="360"/>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sz w:val="20"/>
          <w:szCs w:val="20"/>
          <w:color w:val="auto"/>
        </w:rPr>
      </w:pPr>
    </w:p>
    <w:p>
      <w:pPr>
        <w:ind w:left="760" w:right="20" w:hanging="360"/>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left="1140" w:right="140" w:hanging="373"/>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sz w:val="20"/>
          <w:szCs w:val="20"/>
          <w:color w:val="auto"/>
        </w:rPr>
      </w:pPr>
    </w:p>
    <w:p>
      <w:pPr>
        <w:ind w:left="1140" w:right="220" w:hanging="373"/>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ind w:left="1140" w:right="380" w:hanging="373"/>
        <w:spacing w:after="0" w:line="312" w:lineRule="auto"/>
        <w:rPr>
          <w:sz w:val="20"/>
          <w:szCs w:val="20"/>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sz w:val="20"/>
          <w:szCs w:val="20"/>
          <w:color w:val="auto"/>
        </w:rPr>
      </w:pPr>
    </w:p>
    <w:p>
      <w:pPr>
        <w:ind w:left="1140" w:right="100" w:hanging="373"/>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9" w:lineRule="exact"/>
        <w:rPr>
          <w:sz w:val="20"/>
          <w:szCs w:val="20"/>
          <w:color w:val="auto"/>
        </w:rPr>
      </w:pPr>
    </w:p>
    <w:p>
      <w:pPr>
        <w:ind w:left="760" w:right="200" w:hanging="360"/>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140" w:right="40" w:hanging="373"/>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sz w:val="20"/>
          <w:szCs w:val="20"/>
          <w:color w:val="auto"/>
        </w:rPr>
      </w:pPr>
    </w:p>
    <w:p>
      <w:pPr>
        <w:ind w:left="1140" w:right="540" w:hanging="373"/>
        <w:spacing w:after="0" w:line="261"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rPr>
          <w:sz w:val="20"/>
          <w:szCs w:val="20"/>
          <w:color w:val="auto"/>
        </w:rPr>
      </w:pPr>
      <w:r>
        <w:rPr>
          <w:rFonts w:ascii="Times New Roman" w:cs="Times New Roman" w:eastAsia="Times New Roman" w:hAnsi="Times New Roman"/>
          <w:sz w:val="18"/>
          <w:szCs w:val="18"/>
          <w:color w:val="auto"/>
        </w:rPr>
        <w:t xml:space="preserve">Date: December </w:t>
      </w:r>
      <w:r>
        <w:rPr>
          <w:rFonts w:ascii="Times New Roman" w:cs="Times New Roman" w:eastAsia="Times New Roman" w:hAnsi="Times New Roman"/>
          <w:sz w:val="16"/>
          <w:szCs w:val="16"/>
          <w:color w:val="auto"/>
        </w:rPr>
        <w:t>17, 2025</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ind w:right="16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on Form 10-Q of Duluth Holdings Inc. (the “Company”) for the quarterly period ended November 2, 2025 as filed with the Securities and Exchange Commission on the date hereof (the “Report”), I, Stephanie Pugliese, as Chief Executive Officer of the Company, hereby certify, pursuant to 18 U.S.C. Section 1350, as adopted pursuant to Section 906 of the Sarbanes-Oxley Act of 2002, that, to the best of my knowledge:</w:t>
      </w:r>
    </w:p>
    <w:p>
      <w:pPr>
        <w:spacing w:after="0" w:line="177" w:lineRule="exact"/>
        <w:rPr>
          <w:sz w:val="20"/>
          <w:szCs w:val="20"/>
          <w:color w:val="auto"/>
        </w:rPr>
      </w:pPr>
    </w:p>
    <w:p>
      <w:pPr>
        <w:ind w:left="960" w:hanging="503"/>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(the “Exchange Act”); and</w:t>
      </w:r>
    </w:p>
    <w:p>
      <w:pPr>
        <w:spacing w:after="0" w:line="234" w:lineRule="exact"/>
        <w:rPr>
          <w:rFonts w:ascii="Times New Roman" w:cs="Times New Roman" w:eastAsia="Times New Roman" w:hAnsi="Times New Roman"/>
          <w:sz w:val="16"/>
          <w:szCs w:val="16"/>
          <w:color w:val="auto"/>
        </w:rPr>
      </w:pPr>
    </w:p>
    <w:p>
      <w:pPr>
        <w:ind w:left="960" w:hanging="503"/>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/s/ Stephanie Pugliese</w:t>
      </w:r>
    </w:p>
    <w:p>
      <w:pPr>
        <w:spacing w:after="0" w:line="3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b w:val="1"/>
          <w:bCs w:val="1"/>
          <w:color w:val="auto"/>
        </w:rPr>
        <w:t>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-114935</wp:posOffset>
            </wp:positionV>
            <wp:extent cx="38487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b w:val="1"/>
          <w:bCs w:val="1"/>
          <w:color w:val="auto"/>
        </w:rPr>
        <w:t>Chief Executive Officer</w:t>
      </w:r>
    </w:p>
    <w:p>
      <w:pPr>
        <w:spacing w:after="0" w:line="1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b w:val="1"/>
          <w:bCs w:val="1"/>
          <w:color w:val="auto"/>
        </w:rPr>
        <w:t>December 17, 2025</w:t>
      </w:r>
    </w:p>
    <w:p>
      <w:pPr>
        <w:spacing w:after="0" w:line="254"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jc w:val="both"/>
        <w:ind w:right="6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on Form 10-Q of Duluth Holdings Inc. (the “Company”) for the quarterly period ended November 2, 2025 as filed with the Securities and Exchange Commission on the date hereof (the “Report”), I, Heena Agrawal, as Chief Financial Officer of the Company, hereby certify, pursuant to 18 U.S.C. Section 1350, as adopted pursuant to Section 906 of the Sarbanes-Oxley Act of 2002, that, to the best of my knowledge:</w:t>
      </w:r>
    </w:p>
    <w:p>
      <w:pPr>
        <w:spacing w:after="0" w:line="177" w:lineRule="exact"/>
        <w:rPr>
          <w:sz w:val="20"/>
          <w:szCs w:val="20"/>
          <w:color w:val="auto"/>
        </w:rPr>
      </w:pPr>
    </w:p>
    <w:p>
      <w:pPr>
        <w:ind w:left="960" w:hanging="503"/>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(the “Exchange Act”); and</w:t>
      </w:r>
    </w:p>
    <w:p>
      <w:pPr>
        <w:spacing w:after="0" w:line="234" w:lineRule="exact"/>
        <w:rPr>
          <w:rFonts w:ascii="Times New Roman" w:cs="Times New Roman" w:eastAsia="Times New Roman" w:hAnsi="Times New Roman"/>
          <w:sz w:val="16"/>
          <w:szCs w:val="16"/>
          <w:color w:val="auto"/>
        </w:rPr>
      </w:pPr>
    </w:p>
    <w:p>
      <w:pPr>
        <w:ind w:left="960" w:hanging="503"/>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/s/ Heena Agrawal</w:t>
      </w:r>
    </w:p>
    <w:p>
      <w:pPr>
        <w:spacing w:after="0" w:line="3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b w:val="1"/>
          <w:bCs w:val="1"/>
          <w:color w:val="auto"/>
        </w:rPr>
        <w:t>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-114935</wp:posOffset>
            </wp:positionV>
            <wp:extent cx="38487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b w:val="1"/>
          <w:bCs w:val="1"/>
          <w:color w:val="auto"/>
        </w:rPr>
        <w:t>Chief Financial Officer</w:t>
      </w:r>
    </w:p>
    <w:p>
      <w:pPr>
        <w:spacing w:after="0" w:line="1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b w:val="1"/>
          <w:bCs w:val="1"/>
          <w:color w:val="auto"/>
        </w:rPr>
        <w:t>December 17, 2025</w:t>
      </w:r>
    </w:p>
    <w:p>
      <w:pPr>
        <w:spacing w:after="0" w:line="254"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upperLetter"/>
      <w:start w:val="2"/>
    </w:lvl>
  </w:abstractNum>
  <w:abstractNum w:abstractNumId="4">
    <w:nsid w:val="12200854"/>
    <w:multiLevelType w:val="hybridMultilevel"/>
    <w:lvl w:ilvl="0">
      <w:lvlJc w:val="left"/>
      <w:lvlText w:val="%1."/>
      <w:numFmt w:val="upperLetter"/>
      <w:start w:val="3"/>
    </w:lvl>
  </w:abstractNum>
  <w:abstractNum w:abstractNumId="5">
    <w:nsid w:val="4DB127F8"/>
    <w:multiLevelType w:val="hybridMultilevel"/>
    <w:lvl w:ilvl="0">
      <w:lvlJc w:val="left"/>
      <w:lvlText w:val="%1."/>
      <w:numFmt w:val="upperLetter"/>
      <w:start w:val="6"/>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21" Type="http://schemas.openxmlformats.org/officeDocument/2006/relationships/hyperlink" Target="https://www.sec.gov/Archives/edgar/data/1649744/000119312525229318/d9882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2025-12-17T10:30:44Z</dcterms:created>
  <dcterms:modified xsi:type="dcterms:W3CDTF">2025-12-17T10:30:44Z</dcterms:modified>
</cp:coreProperties>
</file>