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20"/>
        <w:spacing w:after="0" w:line="228"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3300"/>
        <w:spacing w:after="0" w:line="231" w:lineRule="auto"/>
        <w:rPr>
          <w:sz w:val="20"/>
          <w:szCs w:val="20"/>
          <w:color w:val="auto"/>
        </w:rPr>
      </w:pPr>
      <w:r>
        <w:rPr>
          <w:rFonts w:ascii="Times New Roman" w:cs="Times New Roman" w:eastAsia="Times New Roman" w:hAnsi="Times New Roman"/>
          <w:sz w:val="14"/>
          <w:szCs w:val="14"/>
          <w:color w:val="auto"/>
        </w:rPr>
        <w:t>_________________________________________</w:t>
      </w:r>
    </w:p>
    <w:p>
      <w:pPr>
        <w:jc w:val="center"/>
        <w:ind w:right="20"/>
        <w:spacing w:after="0" w:line="238" w:lineRule="auto"/>
        <w:rPr>
          <w:sz w:val="20"/>
          <w:szCs w:val="20"/>
          <w:color w:val="auto"/>
        </w:rPr>
      </w:pPr>
      <w:r>
        <w:rPr>
          <w:rFonts w:ascii="Times New Roman" w:cs="Times New Roman" w:eastAsia="Times New Roman" w:hAnsi="Times New Roman"/>
          <w:sz w:val="29"/>
          <w:szCs w:val="29"/>
          <w:b w:val="1"/>
          <w:bCs w:val="1"/>
          <w:color w:val="auto"/>
        </w:rPr>
        <w:t>FORM 10-Q</w:t>
      </w:r>
    </w:p>
    <w:p>
      <w:pPr>
        <w:spacing w:after="0" w:line="1"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25" w:lineRule="exact"/>
        <w:rPr>
          <w:sz w:val="24"/>
          <w:szCs w:val="24"/>
          <w:color w:val="auto"/>
        </w:rPr>
      </w:pPr>
    </w:p>
    <w:p>
      <w:pPr>
        <w:ind w:left="560" w:right="680" w:hanging="435"/>
        <w:spacing w:after="0" w:line="262" w:lineRule="auto"/>
        <w:tabs>
          <w:tab w:leader="none" w:pos="5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August 4, 2019</w:t>
      </w:r>
    </w:p>
    <w:p>
      <w:pPr>
        <w:spacing w:after="0" w:line="1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560" w:right="660" w:hanging="435"/>
        <w:spacing w:after="0" w:line="262" w:lineRule="auto"/>
        <w:tabs>
          <w:tab w:leader="none" w:pos="5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8" w:lineRule="exact"/>
        <w:rPr>
          <w:sz w:val="24"/>
          <w:szCs w:val="24"/>
          <w:color w:val="auto"/>
        </w:rPr>
      </w:pPr>
    </w:p>
    <w:p>
      <w:pPr>
        <w:ind w:left="2940"/>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3368040</wp:posOffset>
            </wp:positionH>
            <wp:positionV relativeFrom="paragraph">
              <wp:posOffset>-5080</wp:posOffset>
            </wp:positionV>
            <wp:extent cx="8096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09625" cy="8890"/>
                    </a:xfrm>
                    <a:prstGeom prst="rect">
                      <a:avLst/>
                    </a:prstGeom>
                    <a:noFill/>
                  </pic:spPr>
                </pic:pic>
              </a:graphicData>
            </a:graphic>
          </wp:anchor>
        </w:drawing>
      </w:r>
    </w:p>
    <w:p>
      <w:pPr>
        <w:spacing w:after="0" w:line="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001-37641</w:t>
      </w:r>
    </w:p>
    <w:p>
      <w:pPr>
        <w:spacing w:after="0" w:line="17"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jc w:val="center"/>
        <w:ind w:right="20"/>
        <w:spacing w:after="0" w:line="234" w:lineRule="auto"/>
        <w:rPr>
          <w:sz w:val="20"/>
          <w:szCs w:val="20"/>
          <w:color w:val="auto"/>
        </w:rPr>
      </w:pPr>
      <w:r>
        <w:rPr>
          <w:rFonts w:ascii="Times New Roman" w:cs="Times New Roman" w:eastAsia="Times New Roman" w:hAnsi="Times New Roman"/>
          <w:sz w:val="40"/>
          <w:szCs w:val="40"/>
          <w:b w:val="1"/>
          <w:bCs w:val="1"/>
          <w:color w:val="auto"/>
        </w:rPr>
        <w:t>DULUTH HOLDINGS INC.</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34" w:lineRule="exact"/>
        <w:rPr>
          <w:sz w:val="24"/>
          <w:szCs w:val="24"/>
          <w:color w:val="auto"/>
        </w:rPr>
      </w:pPr>
    </w:p>
    <w:tbl>
      <w:tblPr>
        <w:tblLayout w:type="fixed"/>
        <w:tblInd w:w="1200" w:type="dxa"/>
        <w:tblCellMar>
          <w:top w:w="0" w:type="dxa"/>
          <w:left w:w="0" w:type="dxa"/>
          <w:bottom w:w="0" w:type="dxa"/>
          <w:right w:w="0" w:type="dxa"/>
        </w:tblCellMar>
      </w:tblPr>
      <w:tr>
        <w:trPr>
          <w:trHeight w:val="214"/>
        </w:trPr>
        <w:tc>
          <w:tcPr>
            <w:tcW w:w="5180" w:type="dxa"/>
            <w:vAlign w:val="bottom"/>
          </w:tcPr>
          <w:p>
            <w:pPr>
              <w:jc w:val="center"/>
              <w:ind w:right="2702"/>
              <w:spacing w:after="0"/>
              <w:rPr>
                <w:sz w:val="20"/>
                <w:szCs w:val="20"/>
                <w:color w:val="auto"/>
              </w:rPr>
            </w:pPr>
            <w:r>
              <w:rPr>
                <w:rFonts w:ascii="Times New Roman" w:cs="Times New Roman" w:eastAsia="Times New Roman" w:hAnsi="Times New Roman"/>
                <w:sz w:val="18"/>
                <w:szCs w:val="18"/>
                <w:b w:val="1"/>
                <w:bCs w:val="1"/>
                <w:color w:val="auto"/>
              </w:rPr>
              <w:t>Wisconsin</w:t>
            </w:r>
          </w:p>
        </w:tc>
        <w:tc>
          <w:tcPr>
            <w:tcW w:w="150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39-1564801</w:t>
            </w:r>
          </w:p>
        </w:tc>
      </w:tr>
      <w:tr>
        <w:trPr>
          <w:trHeight w:val="149"/>
        </w:trPr>
        <w:tc>
          <w:tcPr>
            <w:tcW w:w="5180" w:type="dxa"/>
            <w:vAlign w:val="bottom"/>
          </w:tcPr>
          <w:p>
            <w:pPr>
              <w:jc w:val="center"/>
              <w:ind w:right="27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180" w:type="dxa"/>
            <w:vAlign w:val="bottom"/>
          </w:tcPr>
          <w:p>
            <w:pPr>
              <w:jc w:val="center"/>
              <w:ind w:right="270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00" w:type="dxa"/>
            <w:vAlign w:val="bottom"/>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25"/>
        </w:trPr>
        <w:tc>
          <w:tcPr>
            <w:tcW w:w="5180" w:type="dxa"/>
            <w:vAlign w:val="bottom"/>
          </w:tcPr>
          <w:p>
            <w:pPr>
              <w:jc w:val="center"/>
              <w:ind w:right="2702"/>
              <w:spacing w:after="0"/>
              <w:rPr>
                <w:sz w:val="20"/>
                <w:szCs w:val="20"/>
                <w:color w:val="auto"/>
              </w:rPr>
            </w:pPr>
            <w:r>
              <w:rPr>
                <w:rFonts w:ascii="Times New Roman" w:cs="Times New Roman" w:eastAsia="Times New Roman" w:hAnsi="Times New Roman"/>
                <w:sz w:val="18"/>
                <w:szCs w:val="18"/>
                <w:b w:val="1"/>
                <w:bCs w:val="1"/>
                <w:color w:val="auto"/>
                <w:w w:val="99"/>
              </w:rPr>
              <w:t>201 East Front Street</w:t>
            </w:r>
          </w:p>
        </w:tc>
        <w:tc>
          <w:tcPr>
            <w:tcW w:w="1500" w:type="dxa"/>
            <w:vAlign w:val="bottom"/>
          </w:tcPr>
          <w:p>
            <w:pPr>
              <w:spacing w:after="0"/>
              <w:rPr>
                <w:sz w:val="24"/>
                <w:szCs w:val="24"/>
                <w:color w:val="auto"/>
              </w:rPr>
            </w:pPr>
          </w:p>
        </w:tc>
      </w:tr>
      <w:tr>
        <w:trPr>
          <w:trHeight w:val="241"/>
        </w:trPr>
        <w:tc>
          <w:tcPr>
            <w:tcW w:w="5180" w:type="dxa"/>
            <w:vAlign w:val="bottom"/>
          </w:tcPr>
          <w:p>
            <w:pPr>
              <w:jc w:val="center"/>
              <w:ind w:right="2702"/>
              <w:spacing w:after="0"/>
              <w:rPr>
                <w:sz w:val="20"/>
                <w:szCs w:val="20"/>
                <w:color w:val="auto"/>
              </w:rPr>
            </w:pPr>
            <w:r>
              <w:rPr>
                <w:rFonts w:ascii="Times New Roman" w:cs="Times New Roman" w:eastAsia="Times New Roman" w:hAnsi="Times New Roman"/>
                <w:sz w:val="18"/>
                <w:szCs w:val="18"/>
                <w:b w:val="1"/>
                <w:bCs w:val="1"/>
                <w:color w:val="auto"/>
                <w:w w:val="99"/>
              </w:rPr>
              <w:t>Mount Horeb, Wisconsin</w:t>
            </w:r>
          </w:p>
        </w:tc>
        <w:tc>
          <w:tcPr>
            <w:tcW w:w="1500" w:type="dxa"/>
            <w:vAlign w:val="bottom"/>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53572</w:t>
            </w:r>
          </w:p>
        </w:tc>
      </w:tr>
      <w:tr>
        <w:trPr>
          <w:trHeight w:val="190"/>
        </w:trPr>
        <w:tc>
          <w:tcPr>
            <w:tcW w:w="5180" w:type="dxa"/>
            <w:vAlign w:val="bottom"/>
          </w:tcPr>
          <w:p>
            <w:pPr>
              <w:jc w:val="center"/>
              <w:ind w:right="272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500" w:type="dxa"/>
            <w:vAlign w:val="bottom"/>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88"/>
        </w:trPr>
        <w:tc>
          <w:tcPr>
            <w:tcW w:w="5180" w:type="dxa"/>
            <w:vAlign w:val="bottom"/>
          </w:tcPr>
          <w:p>
            <w:pPr>
              <w:jc w:val="right"/>
              <w:ind w:right="1142"/>
              <w:spacing w:after="0"/>
              <w:rPr>
                <w:sz w:val="20"/>
                <w:szCs w:val="20"/>
                <w:color w:val="auto"/>
              </w:rPr>
            </w:pPr>
            <w:r>
              <w:rPr>
                <w:rFonts w:ascii="Times New Roman" w:cs="Times New Roman" w:eastAsia="Times New Roman" w:hAnsi="Times New Roman"/>
                <w:sz w:val="14"/>
                <w:szCs w:val="14"/>
                <w:b w:val="1"/>
                <w:bCs w:val="1"/>
                <w:color w:val="auto"/>
              </w:rPr>
              <w:t>(608) 424-1544</w:t>
            </w:r>
          </w:p>
        </w:tc>
        <w:tc>
          <w:tcPr>
            <w:tcW w:w="1500" w:type="dxa"/>
            <w:vAlign w:val="bottom"/>
          </w:tcPr>
          <w:p>
            <w:pPr>
              <w:spacing w:after="0"/>
              <w:rPr>
                <w:sz w:val="16"/>
                <w:szCs w:val="16"/>
                <w:color w:val="auto"/>
              </w:rPr>
            </w:pPr>
          </w:p>
        </w:tc>
      </w:tr>
      <w:tr>
        <w:trPr>
          <w:trHeight w:val="164"/>
        </w:trPr>
        <w:tc>
          <w:tcPr>
            <w:tcW w:w="5180" w:type="dxa"/>
            <w:vAlign w:val="bottom"/>
          </w:tcPr>
          <w:p>
            <w:pPr>
              <w:jc w:val="center"/>
              <w:ind w:left="1742"/>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500" w:type="dxa"/>
            <w:vAlign w:val="bottom"/>
          </w:tcPr>
          <w:p>
            <w:pPr>
              <w:spacing w:after="0"/>
              <w:rPr>
                <w:sz w:val="14"/>
                <w:szCs w:val="14"/>
                <w:color w:val="auto"/>
              </w:rPr>
            </w:pPr>
          </w:p>
        </w:tc>
      </w:tr>
      <w:tr>
        <w:trPr>
          <w:trHeight w:val="188"/>
        </w:trPr>
        <w:tc>
          <w:tcPr>
            <w:tcW w:w="5180" w:type="dxa"/>
            <w:vAlign w:val="bottom"/>
          </w:tcPr>
          <w:p>
            <w:pPr>
              <w:jc w:val="right"/>
              <w:ind w:right="42"/>
              <w:spacing w:after="0"/>
              <w:rPr>
                <w:sz w:val="20"/>
                <w:szCs w:val="20"/>
                <w:color w:val="auto"/>
              </w:rPr>
            </w:pPr>
            <w:r>
              <w:rPr>
                <w:rFonts w:ascii="Times New Roman" w:cs="Times New Roman" w:eastAsia="Times New Roman" w:hAnsi="Times New Roman"/>
                <w:sz w:val="14"/>
                <w:szCs w:val="14"/>
                <w:color w:val="auto"/>
              </w:rPr>
              <w:t>_________________________________________</w:t>
            </w:r>
          </w:p>
        </w:tc>
        <w:tc>
          <w:tcPr>
            <w:tcW w:w="1500" w:type="dxa"/>
            <w:vAlign w:val="bottom"/>
          </w:tcPr>
          <w:p>
            <w:pPr>
              <w:spacing w:after="0"/>
              <w:rPr>
                <w:sz w:val="16"/>
                <w:szCs w:val="16"/>
                <w:color w:val="auto"/>
              </w:rPr>
            </w:pPr>
          </w:p>
        </w:tc>
      </w:tr>
    </w:tbl>
    <w:p>
      <w:pPr>
        <w:spacing w:after="0" w:line="64"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50" w:lineRule="exact"/>
        <w:rPr>
          <w:sz w:val="24"/>
          <w:szCs w:val="24"/>
          <w:color w:val="auto"/>
        </w:rPr>
      </w:pPr>
    </w:p>
    <w:tbl>
      <w:tblPr>
        <w:tblLayout w:type="fixed"/>
        <w:tblInd w:w="30" w:type="dxa"/>
        <w:tblCellMar>
          <w:top w:w="0" w:type="dxa"/>
          <w:left w:w="0" w:type="dxa"/>
          <w:bottom w:w="0" w:type="dxa"/>
          <w:right w:w="0" w:type="dxa"/>
        </w:tblCellMar>
      </w:tblPr>
      <w:tr>
        <w:trPr>
          <w:trHeight w:val="216"/>
        </w:trPr>
        <w:tc>
          <w:tcPr>
            <w:tcW w:w="3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96"/>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B Common Stock, No Par Value</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DLTH</w:t>
            </w:r>
          </w:p>
        </w:tc>
        <w:tc>
          <w:tcPr>
            <w:tcW w:w="3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35" w:lineRule="exact"/>
        <w:rPr>
          <w:sz w:val="24"/>
          <w:szCs w:val="24"/>
          <w:color w:val="auto"/>
        </w:rPr>
      </w:pPr>
    </w:p>
    <w:p>
      <w:pPr>
        <w:ind w:right="40" w:firstLine="428"/>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4" w:lineRule="exact"/>
        <w:rPr>
          <w:sz w:val="24"/>
          <w:szCs w:val="24"/>
          <w:color w:val="auto"/>
        </w:rPr>
      </w:pPr>
    </w:p>
    <w:p>
      <w:pPr>
        <w:jc w:val="both"/>
        <w:ind w:right="100" w:firstLine="428"/>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4" w:lineRule="exact"/>
        <w:rPr>
          <w:sz w:val="24"/>
          <w:szCs w:val="24"/>
          <w:color w:val="auto"/>
        </w:rPr>
      </w:pPr>
    </w:p>
    <w:p>
      <w:pPr>
        <w:ind w:right="220" w:firstLine="42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18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36" w:lineRule="exact"/>
        <w:rPr>
          <w:sz w:val="24"/>
          <w:szCs w:val="24"/>
          <w:color w:val="auto"/>
        </w:rPr>
      </w:pPr>
    </w:p>
    <w:p>
      <w:pPr>
        <w:ind w:right="60" w:firstLine="432"/>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7" w:lineRule="exact"/>
        <w:rPr>
          <w:sz w:val="24"/>
          <w:szCs w:val="24"/>
          <w:color w:val="auto"/>
        </w:rPr>
      </w:pPr>
    </w:p>
    <w:p>
      <w:pPr>
        <w:ind w:left="440"/>
        <w:spacing w:after="0" w:line="184" w:lineRule="exact"/>
        <w:tabs>
          <w:tab w:leader="none" w:pos="7940" w:val="left"/>
          <w:tab w:leader="none" w:pos="85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93"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A common stock, no par value, as of September 10, 2019, was 3,364,200.</w:t>
      </w:r>
    </w:p>
    <w:p>
      <w:pPr>
        <w:spacing w:after="0" w:line="26"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B common stock, no par value, as of September 10, 2019, was 29,368,320.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620395</wp:posOffset>
            </wp:positionV>
            <wp:extent cx="6139815"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60"/>
          </w:cols>
          <w:pgMar w:left="1140" w:top="209" w:right="119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QUARTER ENDED August 4, 2019</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Borders>
              <w:bottom w:val="single" w:sz="8" w:color="0000EE"/>
            </w:tcBorders>
            <w:gridSpan w:val="7"/>
          </w:tcPr>
          <w:p>
            <w:pPr>
              <w:jc w:val="cente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I—Financial Information</w:t>
              </w:r>
            </w:hyperlink>
          </w:p>
        </w:tc>
        <w:tc>
          <w:tcPr>
            <w:tcW w:w="2800" w:type="dxa"/>
            <w:vAlign w:val="bottom"/>
            <w:gridSpan w:val="8"/>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Page</w:t>
            </w:r>
          </w:p>
        </w:tc>
      </w:tr>
      <w:tr>
        <w:trPr>
          <w:trHeight w:val="412"/>
        </w:trPr>
        <w:tc>
          <w:tcPr>
            <w:tcW w:w="100" w:type="dxa"/>
            <w:vAlign w:val="bottom"/>
          </w:tcPr>
          <w:p>
            <w:pPr>
              <w:spacing w:after="0"/>
              <w:rPr>
                <w:sz w:val="24"/>
                <w:szCs w:val="24"/>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Item 1.</w:t>
              </w:r>
            </w:hyperlink>
          </w:p>
        </w:tc>
        <w:tc>
          <w:tcPr>
            <w:tcW w:w="740" w:type="dxa"/>
            <w:vAlign w:val="bottom"/>
            <w:gridSpan w:val="3"/>
          </w:tcPr>
          <w:p>
            <w:pPr>
              <w:spacing w:after="0"/>
              <w:rPr>
                <w:sz w:val="24"/>
                <w:szCs w:val="24"/>
                <w:color w:val="auto"/>
              </w:rPr>
            </w:pPr>
          </w:p>
        </w:tc>
        <w:tc>
          <w:tcPr>
            <w:tcW w:w="7280" w:type="dxa"/>
            <w:vAlign w:val="bottom"/>
            <w:gridSpan w:val="2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80" w:type="dxa"/>
            <w:vAlign w:val="bottom"/>
            <w:gridSpan w:val="2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as of August 4, 2019 and February 3, 2019</w:t>
              </w:r>
            </w:hyperlink>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(Unaudited)</w:t>
              </w:r>
            </w:hyperlink>
          </w:p>
        </w:tc>
        <w:tc>
          <w:tcPr>
            <w:tcW w:w="5180" w:type="dxa"/>
            <w:vAlign w:val="bottom"/>
            <w:tcBorders>
              <w:top w:val="single" w:sz="8" w:color="0000EE"/>
            </w:tcBorders>
            <w:gridSpan w:val="16"/>
          </w:tcPr>
          <w:p>
            <w:pPr>
              <w:spacing w:after="0"/>
              <w:rPr>
                <w:sz w:val="17"/>
                <w:szCs w:val="17"/>
                <w:color w:val="auto"/>
              </w:rPr>
            </w:pPr>
          </w:p>
        </w:tc>
        <w:tc>
          <w:tcPr>
            <w:tcW w:w="1220" w:type="dxa"/>
            <w:vAlign w:val="bottom"/>
            <w:gridSpan w:val="6"/>
          </w:tcPr>
          <w:p>
            <w:pPr>
              <w:spacing w:after="0"/>
              <w:rPr>
                <w:sz w:val="17"/>
                <w:szCs w:val="17"/>
                <w:color w:val="auto"/>
              </w:rPr>
            </w:pPr>
          </w:p>
        </w:tc>
        <w:tc>
          <w:tcPr>
            <w:tcW w:w="980" w:type="dxa"/>
            <w:vAlign w:val="bottom"/>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7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Operations for the three and six months ended August</w:t>
              </w:r>
            </w:hyperlink>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80" w:type="dxa"/>
            <w:vAlign w:val="bottom"/>
            <w:gridSpan w:val="24"/>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 2019 and July 29, 2018 (Unaudited)</w:t>
              </w:r>
            </w:hyperlink>
          </w:p>
        </w:tc>
        <w:tc>
          <w:tcPr>
            <w:tcW w:w="9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80" w:type="dxa"/>
            <w:vAlign w:val="bottom"/>
            <w:gridSpan w:val="24"/>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Comprehensive Income for the three and six months</w:t>
              </w:r>
            </w:hyperlink>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ended August 4, 2019 and July 29, 2018 (Unaudited)</w:t>
              </w:r>
            </w:hyperlink>
          </w:p>
        </w:tc>
        <w:tc>
          <w:tcPr>
            <w:tcW w:w="64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7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Statement of Shareholders’ Equity for the six months ended August</w:t>
              </w:r>
            </w:hyperlink>
          </w:p>
        </w:tc>
        <w:tc>
          <w:tcPr>
            <w:tcW w:w="560" w:type="dxa"/>
            <w:vAlign w:val="bottom"/>
            <w:gridSpan w:val="2"/>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4, 2019 (Unaudited)</w:t>
              </w:r>
            </w:hyperlink>
          </w:p>
        </w:tc>
        <w:tc>
          <w:tcPr>
            <w:tcW w:w="5780" w:type="dxa"/>
            <w:vAlign w:val="bottom"/>
            <w:gridSpan w:val="18"/>
          </w:tcPr>
          <w:p>
            <w:pPr>
              <w:spacing w:after="0"/>
              <w:rPr>
                <w:sz w:val="17"/>
                <w:szCs w:val="17"/>
                <w:color w:val="auto"/>
              </w:rPr>
            </w:pPr>
          </w:p>
        </w:tc>
        <w:tc>
          <w:tcPr>
            <w:tcW w:w="980" w:type="dxa"/>
            <w:vAlign w:val="bottom"/>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80" w:type="dxa"/>
            <w:vAlign w:val="bottom"/>
            <w:gridSpan w:val="24"/>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 of Shareholders’ Equity for the six months ended July 29,</w:t>
              </w:r>
            </w:hyperlink>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8">
              <w:r>
                <w:rPr>
                  <w:rFonts w:ascii="Times New Roman" w:cs="Times New Roman" w:eastAsia="Times New Roman" w:hAnsi="Times New Roman"/>
                  <w:sz w:val="18"/>
                  <w:szCs w:val="18"/>
                  <w:color w:val="0000EE"/>
                  <w:w w:val="98"/>
                </w:rPr>
                <w:t>2018 (Unaudited)</w:t>
              </w:r>
            </w:hyperlink>
          </w:p>
        </w:tc>
        <w:tc>
          <w:tcPr>
            <w:tcW w:w="5480" w:type="dxa"/>
            <w:vAlign w:val="bottom"/>
            <w:tcBorders>
              <w:top w:val="single" w:sz="8" w:color="0000EE"/>
            </w:tcBorders>
            <w:gridSpan w:val="19"/>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7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Condensed Consolidated Statements of Cash Flows for the six months ended August 4, 2019</w:t>
              </w:r>
            </w:hyperlink>
          </w:p>
        </w:tc>
        <w:tc>
          <w:tcPr>
            <w:tcW w:w="580" w:type="dxa"/>
            <w:vAlign w:val="bottom"/>
            <w:gridSpan w:val="3"/>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and July 29, 2018 (Unaudited)</w:t>
              </w:r>
            </w:hyperlink>
          </w:p>
        </w:tc>
        <w:tc>
          <w:tcPr>
            <w:tcW w:w="5080" w:type="dxa"/>
            <w:vAlign w:val="bottom"/>
            <w:gridSpan w:val="16"/>
          </w:tcPr>
          <w:p>
            <w:pPr>
              <w:spacing w:after="0"/>
              <w:rPr>
                <w:sz w:val="17"/>
                <w:szCs w:val="17"/>
                <w:color w:val="auto"/>
              </w:rPr>
            </w:pPr>
          </w:p>
        </w:tc>
        <w:tc>
          <w:tcPr>
            <w:tcW w:w="980" w:type="dxa"/>
            <w:vAlign w:val="bottom"/>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Notes to Condensed Consolidated Financial Statements (Unaudited)</w:t>
              </w:r>
            </w:hyperlink>
          </w:p>
        </w:tc>
        <w:tc>
          <w:tcPr>
            <w:tcW w:w="2360" w:type="dxa"/>
            <w:vAlign w:val="bottom"/>
            <w:gridSpan w:val="7"/>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412"/>
        </w:trPr>
        <w:tc>
          <w:tcPr>
            <w:tcW w:w="100" w:type="dxa"/>
            <w:vAlign w:val="bottom"/>
          </w:tcPr>
          <w:p>
            <w:pPr>
              <w:spacing w:after="0"/>
              <w:rPr>
                <w:sz w:val="24"/>
                <w:szCs w:val="24"/>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20">
              <w:r>
                <w:rPr>
                  <w:rFonts w:ascii="Times New Roman" w:cs="Times New Roman" w:eastAsia="Times New Roman" w:hAnsi="Times New Roman"/>
                  <w:sz w:val="18"/>
                  <w:szCs w:val="18"/>
                  <w:color w:val="0000EE"/>
                  <w:w w:val="97"/>
                </w:rPr>
                <w:t>Item 2.</w:t>
              </w:r>
            </w:hyperlink>
          </w:p>
        </w:tc>
        <w:tc>
          <w:tcPr>
            <w:tcW w:w="740" w:type="dxa"/>
            <w:vAlign w:val="bottom"/>
            <w:gridSpan w:val="3"/>
          </w:tcPr>
          <w:p>
            <w:pPr>
              <w:spacing w:after="0"/>
              <w:rPr>
                <w:sz w:val="24"/>
                <w:szCs w:val="24"/>
                <w:color w:val="auto"/>
              </w:rPr>
            </w:pPr>
          </w:p>
        </w:tc>
        <w:tc>
          <w:tcPr>
            <w:tcW w:w="7280" w:type="dxa"/>
            <w:vAlign w:val="bottom"/>
            <w:gridSpan w:val="24"/>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412"/>
        </w:trPr>
        <w:tc>
          <w:tcPr>
            <w:tcW w:w="100" w:type="dxa"/>
            <w:vAlign w:val="bottom"/>
          </w:tcPr>
          <w:p>
            <w:pPr>
              <w:spacing w:after="0"/>
              <w:rPr>
                <w:sz w:val="24"/>
                <w:szCs w:val="24"/>
                <w:color w:val="auto"/>
              </w:rPr>
            </w:pPr>
          </w:p>
        </w:tc>
        <w:tc>
          <w:tcPr>
            <w:tcW w:w="520" w:type="dxa"/>
            <w:vAlign w:val="bottom"/>
            <w:tcBorders>
              <w:top w:val="single" w:sz="8" w:color="0000EE"/>
            </w:tcBorders>
          </w:tcPr>
          <w:p>
            <w:pPr>
              <w:spacing w:after="0"/>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Item 3.</w:t>
              </w:r>
            </w:hyperlink>
          </w:p>
        </w:tc>
        <w:tc>
          <w:tcPr>
            <w:tcW w:w="740" w:type="dxa"/>
            <w:vAlign w:val="bottom"/>
            <w:gridSpan w:val="3"/>
          </w:tcPr>
          <w:p>
            <w:pPr>
              <w:spacing w:after="0"/>
              <w:rPr>
                <w:sz w:val="24"/>
                <w:szCs w:val="24"/>
                <w:color w:val="auto"/>
              </w:rPr>
            </w:pPr>
          </w:p>
        </w:tc>
        <w:tc>
          <w:tcPr>
            <w:tcW w:w="6460" w:type="dxa"/>
            <w:vAlign w:val="bottom"/>
            <w:tcBorders>
              <w:top w:val="single" w:sz="8" w:color="0000EE"/>
            </w:tcBorders>
            <w:gridSpan w:val="19"/>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Quantitative and Qualitative Disclosures About Market Risk</w:t>
              </w:r>
            </w:hyperlink>
          </w:p>
        </w:tc>
        <w:tc>
          <w:tcPr>
            <w:tcW w:w="820" w:type="dxa"/>
            <w:vAlign w:val="bottom"/>
            <w:gridSpan w:val="5"/>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412"/>
        </w:trPr>
        <w:tc>
          <w:tcPr>
            <w:tcW w:w="100" w:type="dxa"/>
            <w:vAlign w:val="bottom"/>
          </w:tcPr>
          <w:p>
            <w:pPr>
              <w:spacing w:after="0"/>
              <w:rPr>
                <w:sz w:val="24"/>
                <w:szCs w:val="24"/>
                <w:color w:val="auto"/>
              </w:rPr>
            </w:pPr>
          </w:p>
        </w:tc>
        <w:tc>
          <w:tcPr>
            <w:tcW w:w="520" w:type="dxa"/>
            <w:vAlign w:val="bottom"/>
            <w:tcBorders>
              <w:top w:val="single" w:sz="8" w:color="0000EE"/>
            </w:tcBorders>
          </w:tcPr>
          <w:p>
            <w:pPr>
              <w:spacing w:after="0"/>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Item 4.</w:t>
              </w:r>
            </w:hyperlink>
          </w:p>
        </w:tc>
        <w:tc>
          <w:tcPr>
            <w:tcW w:w="740" w:type="dxa"/>
            <w:vAlign w:val="bottom"/>
            <w:gridSpan w:val="3"/>
          </w:tcPr>
          <w:p>
            <w:pPr>
              <w:spacing w:after="0"/>
              <w:rPr>
                <w:sz w:val="24"/>
                <w:szCs w:val="24"/>
                <w:color w:val="auto"/>
              </w:rPr>
            </w:pPr>
          </w:p>
        </w:tc>
        <w:tc>
          <w:tcPr>
            <w:tcW w:w="436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Controls and Procedures</w:t>
              </w:r>
            </w:hyperlink>
          </w:p>
        </w:tc>
        <w:tc>
          <w:tcPr>
            <w:tcW w:w="2920" w:type="dxa"/>
            <w:vAlign w:val="bottom"/>
            <w:gridSpan w:val="10"/>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412"/>
        </w:trPr>
        <w:tc>
          <w:tcPr>
            <w:tcW w:w="10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Borders>
              <w:bottom w:val="single" w:sz="8" w:color="0000EE"/>
            </w:tcBorders>
            <w:gridSpan w:val="5"/>
          </w:tcPr>
          <w:p>
            <w:pPr>
              <w:jc w:val="cente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Part II—Other Information</w:t>
              </w:r>
            </w:hyperlink>
          </w:p>
        </w:tc>
        <w:tc>
          <w:tcPr>
            <w:tcW w:w="2900" w:type="dxa"/>
            <w:vAlign w:val="bottom"/>
            <w:gridSpan w:val="9"/>
          </w:tcPr>
          <w:p>
            <w:pPr>
              <w:spacing w:after="0"/>
              <w:rPr>
                <w:sz w:val="24"/>
                <w:szCs w:val="24"/>
                <w:color w:val="auto"/>
              </w:rPr>
            </w:pPr>
          </w:p>
        </w:tc>
        <w:tc>
          <w:tcPr>
            <w:tcW w:w="980" w:type="dxa"/>
            <w:vAlign w:val="bottom"/>
          </w:tcPr>
          <w:p>
            <w:pPr>
              <w:spacing w:after="0"/>
              <w:rPr>
                <w:sz w:val="24"/>
                <w:szCs w:val="24"/>
                <w:color w:val="auto"/>
              </w:rPr>
            </w:pPr>
          </w:p>
        </w:tc>
      </w:tr>
      <w:tr>
        <w:trPr>
          <w:trHeight w:val="412"/>
        </w:trPr>
        <w:tc>
          <w:tcPr>
            <w:tcW w:w="10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Item 1.</w:t>
              </w:r>
            </w:hyperlink>
          </w:p>
        </w:tc>
        <w:tc>
          <w:tcPr>
            <w:tcW w:w="740" w:type="dxa"/>
            <w:vAlign w:val="bottom"/>
            <w:gridSpan w:val="3"/>
          </w:tcPr>
          <w:p>
            <w:pPr>
              <w:spacing w:after="0"/>
              <w:rPr>
                <w:sz w:val="24"/>
                <w:szCs w:val="24"/>
                <w:color w:val="auto"/>
              </w:rPr>
            </w:pPr>
          </w:p>
        </w:tc>
        <w:tc>
          <w:tcPr>
            <w:tcW w:w="13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29">
              <w:r>
                <w:rPr>
                  <w:rFonts w:ascii="Times New Roman" w:cs="Times New Roman" w:eastAsia="Times New Roman" w:hAnsi="Times New Roman"/>
                  <w:sz w:val="18"/>
                  <w:szCs w:val="18"/>
                  <w:color w:val="0000EE"/>
                  <w:w w:val="98"/>
                </w:rPr>
                <w:t>Legal Proceedings</w:t>
              </w:r>
            </w:hyperlink>
          </w:p>
        </w:tc>
        <w:tc>
          <w:tcPr>
            <w:tcW w:w="5940" w:type="dxa"/>
            <w:vAlign w:val="bottom"/>
            <w:gridSpan w:val="19"/>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412"/>
        </w:trPr>
        <w:tc>
          <w:tcPr>
            <w:tcW w:w="100" w:type="dxa"/>
            <w:vAlign w:val="bottom"/>
          </w:tcPr>
          <w:p>
            <w:pPr>
              <w:spacing w:after="0"/>
              <w:rPr>
                <w:sz w:val="24"/>
                <w:szCs w:val="24"/>
                <w:color w:val="auto"/>
              </w:rPr>
            </w:pPr>
          </w:p>
        </w:tc>
        <w:tc>
          <w:tcPr>
            <w:tcW w:w="1260" w:type="dxa"/>
            <w:vAlign w:val="bottom"/>
            <w:gridSpan w:val="4"/>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1A.</w:t>
              </w:r>
            </w:hyperlink>
          </w:p>
        </w:tc>
        <w:tc>
          <w:tcPr>
            <w:tcW w:w="7280" w:type="dxa"/>
            <w:vAlign w:val="bottom"/>
            <w:gridSpan w:val="24"/>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Risk Factors</w:t>
              </w:r>
            </w:hyperlink>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
        </w:trPr>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2940" w:type="dxa"/>
            <w:vAlign w:val="bottom"/>
            <w:gridSpan w:val="1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Item 2.</w:t>
              </w:r>
            </w:hyperlink>
          </w:p>
        </w:tc>
        <w:tc>
          <w:tcPr>
            <w:tcW w:w="12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7280" w:type="dxa"/>
            <w:vAlign w:val="bottom"/>
            <w:gridSpan w:val="24"/>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Unregistered Sales of Equity Securities and Use of Proceeds</w:t>
              </w:r>
            </w:hyperlink>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412"/>
        </w:trPr>
        <w:tc>
          <w:tcPr>
            <w:tcW w:w="100" w:type="dxa"/>
            <w:vAlign w:val="bottom"/>
          </w:tcPr>
          <w:p>
            <w:pPr>
              <w:spacing w:after="0"/>
              <w:rPr>
                <w:sz w:val="24"/>
                <w:szCs w:val="24"/>
                <w:color w:val="auto"/>
              </w:rPr>
            </w:pPr>
          </w:p>
        </w:tc>
        <w:tc>
          <w:tcPr>
            <w:tcW w:w="520" w:type="dxa"/>
            <w:vAlign w:val="bottom"/>
            <w:tcBorders>
              <w:top w:val="single" w:sz="8" w:color="0000EE"/>
            </w:tcBorders>
          </w:tcPr>
          <w:p>
            <w:pPr>
              <w:spacing w:after="0"/>
              <w:rPr>
                <w:rFonts w:ascii="Times New Roman" w:cs="Times New Roman" w:eastAsia="Times New Roman" w:hAnsi="Times New Roman"/>
                <w:sz w:val="18"/>
                <w:szCs w:val="18"/>
                <w:color w:val="0000EE"/>
                <w:w w:val="97"/>
              </w:rPr>
            </w:pPr>
            <w:hyperlink w:anchor="page30">
              <w:r>
                <w:rPr>
                  <w:rFonts w:ascii="Times New Roman" w:cs="Times New Roman" w:eastAsia="Times New Roman" w:hAnsi="Times New Roman"/>
                  <w:sz w:val="18"/>
                  <w:szCs w:val="18"/>
                  <w:color w:val="0000EE"/>
                  <w:w w:val="97"/>
                </w:rPr>
                <w:t>Item 6.</w:t>
              </w:r>
            </w:hyperlink>
          </w:p>
        </w:tc>
        <w:tc>
          <w:tcPr>
            <w:tcW w:w="740" w:type="dxa"/>
            <w:vAlign w:val="bottom"/>
            <w:gridSpan w:val="3"/>
          </w:tcPr>
          <w:p>
            <w:pPr>
              <w:spacing w:after="0"/>
              <w:rPr>
                <w:sz w:val="24"/>
                <w:szCs w:val="24"/>
                <w:color w:val="auto"/>
              </w:rPr>
            </w:pPr>
          </w:p>
        </w:tc>
        <w:tc>
          <w:tcPr>
            <w:tcW w:w="434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Exhibits</w:t>
              </w:r>
            </w:hyperlink>
          </w:p>
        </w:tc>
        <w:tc>
          <w:tcPr>
            <w:tcW w:w="2940" w:type="dxa"/>
            <w:vAlign w:val="bottom"/>
            <w:gridSpan w:val="11"/>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44"/>
        </w:trPr>
        <w:tc>
          <w:tcPr>
            <w:tcW w:w="100" w:type="dxa"/>
            <w:vAlign w:val="bottom"/>
          </w:tcPr>
          <w:p>
            <w:pPr>
              <w:spacing w:after="0"/>
              <w:rPr>
                <w:sz w:val="24"/>
                <w:szCs w:val="24"/>
                <w:color w:val="auto"/>
              </w:rPr>
            </w:pPr>
          </w:p>
        </w:tc>
        <w:tc>
          <w:tcPr>
            <w:tcW w:w="1260" w:type="dxa"/>
            <w:vAlign w:val="bottom"/>
            <w:gridSpan w:val="4"/>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Signatures</w:t>
              </w:r>
            </w:hyperlink>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898"/>
        </w:trPr>
        <w:tc>
          <w:tcPr>
            <w:tcW w:w="10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3820" w:type="dxa"/>
            <w:vAlign w:val="bottom"/>
            <w:gridSpan w:val="12"/>
          </w:tcPr>
          <w:p>
            <w:pPr>
              <w:ind w:left="338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24"/>
        </w:trPr>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r>
        <w:trPr>
          <w:trHeight w:val="20"/>
        </w:trPr>
        <w:tc>
          <w:tcPr>
            <w:tcW w:w="10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6089015</wp:posOffset>
            </wp:positionH>
            <wp:positionV relativeFrom="paragraph">
              <wp:posOffset>-38100</wp:posOffset>
            </wp:positionV>
            <wp:extent cx="3429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-38100</wp:posOffset>
            </wp:positionV>
            <wp:extent cx="34290"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20"/>
          </w:cols>
          <w:pgMar w:left="1160" w:top="117" w:right="11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Assets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February 3, 2019</w:t>
            </w: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ind w:left="28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30"/>
        </w:trPr>
        <w:tc>
          <w:tcPr>
            <w:tcW w:w="20" w:type="dxa"/>
            <w:vAlign w:val="bottom"/>
          </w:tcPr>
          <w:p>
            <w:pPr>
              <w:spacing w:after="0"/>
              <w:rPr>
                <w:sz w:val="19"/>
                <w:szCs w:val="19"/>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receivables</w:t>
            </w:r>
          </w:p>
        </w:tc>
        <w:tc>
          <w:tcPr>
            <w:tcW w:w="1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w:t>
            </w:r>
          </w:p>
        </w:tc>
      </w:tr>
      <w:tr>
        <w:trPr>
          <w:trHeight w:val="238"/>
        </w:trPr>
        <w:tc>
          <w:tcPr>
            <w:tcW w:w="20" w:type="dxa"/>
            <w:vAlign w:val="bottom"/>
          </w:tcPr>
          <w:p>
            <w:pPr>
              <w:spacing w:after="0"/>
              <w:rPr>
                <w:sz w:val="20"/>
                <w:szCs w:val="20"/>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 less reserve for excess and obsolete items</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$1,262 and $2,420, respectively</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114,849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97,685</w:t>
            </w: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&amp; other current assets</w:t>
            </w:r>
          </w:p>
        </w:tc>
        <w:tc>
          <w:tcPr>
            <w:tcW w:w="1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12,225</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12,640</w:t>
            </w:r>
          </w:p>
        </w:tc>
      </w:tr>
      <w:tr>
        <w:trPr>
          <w:trHeight w:val="230"/>
        </w:trPr>
        <w:tc>
          <w:tcPr>
            <w:tcW w:w="20" w:type="dxa"/>
            <w:vAlign w:val="bottom"/>
          </w:tcPr>
          <w:p>
            <w:pPr>
              <w:spacing w:after="0"/>
              <w:rPr>
                <w:sz w:val="19"/>
                <w:szCs w:val="19"/>
                <w:color w:val="auto"/>
              </w:rPr>
            </w:pPr>
          </w:p>
        </w:tc>
        <w:tc>
          <w:tcPr>
            <w:tcW w:w="5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Prepaid catalog costs</w:t>
            </w:r>
          </w:p>
        </w:tc>
        <w:tc>
          <w:tcPr>
            <w:tcW w:w="13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w:t>
            </w: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137,474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118,198</w:t>
            </w: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136,427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167,109</w:t>
            </w: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115,053</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security</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25"/>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intangible asset, net of accumulated amortization</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$290 and $280, respectively</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3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17"/>
        </w:trPr>
        <w:tc>
          <w:tcPr>
            <w:tcW w:w="20" w:type="dxa"/>
            <w:vAlign w:val="bottom"/>
          </w:tcPr>
          <w:p>
            <w:pPr>
              <w:spacing w:after="0"/>
              <w:rPr>
                <w:sz w:val="18"/>
                <w:szCs w:val="18"/>
                <w:color w:val="auto"/>
              </w:rPr>
            </w:pPr>
          </w:p>
        </w:tc>
        <w:tc>
          <w:tcPr>
            <w:tcW w:w="5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3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434,095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295,305</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Liabilities and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February 3, 2019</w:t>
            </w: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Trade accounts payable</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25,363</w:t>
            </w:r>
          </w:p>
        </w:tc>
      </w:tr>
      <w:tr>
        <w:trPr>
          <w:trHeight w:val="230"/>
        </w:trPr>
        <w:tc>
          <w:tcPr>
            <w:tcW w:w="20" w:type="dxa"/>
            <w:vAlign w:val="bottom"/>
          </w:tcPr>
          <w:p>
            <w:pPr>
              <w:spacing w:after="0"/>
              <w:rPr>
                <w:sz w:val="19"/>
                <w:szCs w:val="19"/>
                <w:color w:val="auto"/>
              </w:rPr>
            </w:pPr>
          </w:p>
        </w:tc>
        <w:tc>
          <w:tcPr>
            <w:tcW w:w="6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26,530</w:t>
            </w:r>
          </w:p>
        </w:tc>
      </w:tr>
      <w:tr>
        <w:trPr>
          <w:trHeight w:val="230"/>
        </w:trPr>
        <w:tc>
          <w:tcPr>
            <w:tcW w:w="20" w:type="dxa"/>
            <w:vAlign w:val="bottom"/>
          </w:tcPr>
          <w:p>
            <w:pPr>
              <w:spacing w:after="0"/>
              <w:rPr>
                <w:sz w:val="19"/>
                <w:szCs w:val="19"/>
                <w:color w:val="auto"/>
              </w:rPr>
            </w:pPr>
          </w:p>
        </w:tc>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taxes payable</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30"/>
        </w:trPr>
        <w:tc>
          <w:tcPr>
            <w:tcW w:w="20" w:type="dxa"/>
            <w:vAlign w:val="bottom"/>
          </w:tcPr>
          <w:p>
            <w:pPr>
              <w:spacing w:after="0"/>
              <w:rPr>
                <w:sz w:val="19"/>
                <w:szCs w:val="19"/>
                <w:color w:val="auto"/>
              </w:rPr>
            </w:pPr>
          </w:p>
        </w:tc>
        <w:tc>
          <w:tcPr>
            <w:tcW w:w="6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52,611</w:t>
            </w: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28,283</w:t>
            </w:r>
          </w:p>
        </w:tc>
      </w:tr>
      <w:tr>
        <w:trPr>
          <w:trHeight w:val="230"/>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 under build-to-suit leases</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23,034</w:t>
            </w: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less current maturities</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 less current maturities</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Long-term line of credit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16,542</w:t>
            </w:r>
          </w:p>
        </w:tc>
      </w:tr>
      <w:tr>
        <w:trPr>
          <w:trHeight w:val="230"/>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w:t>
            </w:r>
          </w:p>
        </w:tc>
      </w:tr>
      <w:tr>
        <w:trPr>
          <w:trHeight w:val="230"/>
        </w:trPr>
        <w:tc>
          <w:tcPr>
            <w:tcW w:w="20" w:type="dxa"/>
            <w:vAlign w:val="bottom"/>
          </w:tcPr>
          <w:p>
            <w:pPr>
              <w:spacing w:after="0"/>
              <w:rPr>
                <w:sz w:val="19"/>
                <w:szCs w:val="19"/>
                <w:color w:val="auto"/>
              </w:rPr>
            </w:pPr>
          </w:p>
        </w:tc>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rent obligations, less current maturities</w:t>
            </w: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5,003</w:t>
            </w: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135,195</w:t>
            </w: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8"/>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 or outstanding as of August 4, 2019 and February 3, 2019</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20" w:type="dxa"/>
            <w:vAlign w:val="bottom"/>
          </w:tcPr>
          <w:p>
            <w:pPr>
              <w:spacing w:after="0"/>
              <w:rPr>
                <w:sz w:val="20"/>
                <w:szCs w:val="20"/>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(Class A), no par value; 10,000 shares authorized;</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3,364 shares issued and outstanding as of August 4, 2019 and February 3, 2019</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(Class B), no par value; 200,000 shares authorized;</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29,388 shares issued and 29,369 shares outstanding as of August 4, 2019 and</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29,215 shares issued and 29,210 shares outstanding as of February 3, 2019</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20" w:type="dxa"/>
            <w:vAlign w:val="bottom"/>
          </w:tcPr>
          <w:p>
            <w:pPr>
              <w:spacing w:after="0"/>
              <w:rPr>
                <w:sz w:val="20"/>
                <w:szCs w:val="20"/>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19 and 5 shares as of August 4, 2019 and</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February 3, 2019, respectively</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89,849</w:t>
            </w:r>
          </w:p>
        </w:tc>
      </w:tr>
      <w:tr>
        <w:trPr>
          <w:trHeight w:val="230"/>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63,032</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70,592</w:t>
            </w:r>
          </w:p>
        </w:tc>
      </w:tr>
      <w:tr>
        <w:trPr>
          <w:trHeight w:val="210"/>
        </w:trPr>
        <w:tc>
          <w:tcPr>
            <w:tcW w:w="20" w:type="dxa"/>
            <w:vAlign w:val="bottom"/>
          </w:tcPr>
          <w:p>
            <w:pPr>
              <w:spacing w:after="0"/>
              <w:rPr>
                <w:sz w:val="18"/>
                <w:szCs w:val="18"/>
                <w:color w:val="auto"/>
              </w:rPr>
            </w:pPr>
          </w:p>
        </w:tc>
        <w:tc>
          <w:tcPr>
            <w:tcW w:w="6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shareholders' equity of Duluth Holdings Inc.</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160,349</w:t>
            </w:r>
          </w:p>
        </w:tc>
      </w:tr>
      <w:tr>
        <w:trPr>
          <w:trHeight w:val="230"/>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10"/>
        </w:trPr>
        <w:tc>
          <w:tcPr>
            <w:tcW w:w="20" w:type="dxa"/>
            <w:vAlign w:val="bottom"/>
          </w:tcPr>
          <w:p>
            <w:pPr>
              <w:spacing w:after="0"/>
              <w:rPr>
                <w:sz w:val="18"/>
                <w:szCs w:val="18"/>
                <w:color w:val="auto"/>
              </w:rPr>
            </w:pPr>
          </w:p>
        </w:tc>
        <w:tc>
          <w:tcPr>
            <w:tcW w:w="62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153,300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160,110</w:t>
            </w:r>
          </w:p>
        </w:tc>
      </w:tr>
      <w:tr>
        <w:trPr>
          <w:trHeight w:val="217"/>
        </w:trPr>
        <w:tc>
          <w:tcPr>
            <w:tcW w:w="20" w:type="dxa"/>
            <w:vAlign w:val="bottom"/>
          </w:tcPr>
          <w:p>
            <w:pPr>
              <w:spacing w:after="0"/>
              <w:rPr>
                <w:sz w:val="18"/>
                <w:szCs w:val="18"/>
                <w:color w:val="auto"/>
              </w:rPr>
            </w:pPr>
          </w:p>
        </w:tc>
        <w:tc>
          <w:tcPr>
            <w:tcW w:w="62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434,095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295,305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figures)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3"/>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July 29, 2018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July 29, 2018</w:t>
            </w: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110,653</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236,207</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210,860</w:t>
            </w:r>
          </w:p>
        </w:tc>
      </w:tr>
      <w:tr>
        <w:trPr>
          <w:trHeight w:val="230"/>
        </w:trPr>
        <w:tc>
          <w:tcPr>
            <w:tcW w:w="20" w:type="dxa"/>
            <w:vAlign w:val="bottom"/>
          </w:tcPr>
          <w:p>
            <w:pPr>
              <w:spacing w:after="0"/>
              <w:rPr>
                <w:sz w:val="19"/>
                <w:szCs w:val="19"/>
                <w:color w:val="auto"/>
              </w:rPr>
            </w:pPr>
          </w:p>
        </w:tc>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48,413</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110,485</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92,680</w:t>
            </w: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125,722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118,180</w:t>
            </w:r>
          </w:p>
        </w:tc>
      </w:tr>
      <w:tr>
        <w:trPr>
          <w:trHeight w:val="230"/>
        </w:trPr>
        <w:tc>
          <w:tcPr>
            <w:tcW w:w="20" w:type="dxa"/>
            <w:vAlign w:val="bottom"/>
          </w:tcPr>
          <w:p>
            <w:pPr>
              <w:spacing w:after="0"/>
              <w:rPr>
                <w:sz w:val="19"/>
                <w:szCs w:val="19"/>
                <w:color w:val="auto"/>
              </w:rPr>
            </w:pPr>
          </w:p>
        </w:tc>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61,069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52,344</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132,091</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108,541</w:t>
            </w: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w:t>
            </w: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income, net</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w:t>
            </w: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w:t>
            </w: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7"/>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w:t>
            </w:r>
          </w:p>
        </w:tc>
      </w:tr>
      <w:tr>
        <w:trPr>
          <w:trHeight w:val="216"/>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(loss) per share (Class A and Class B):</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32,065</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32,253</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32,056</w:t>
            </w:r>
          </w:p>
        </w:tc>
      </w:tr>
      <w:tr>
        <w:trPr>
          <w:trHeight w:val="230"/>
        </w:trPr>
        <w:tc>
          <w:tcPr>
            <w:tcW w:w="20" w:type="dxa"/>
            <w:vAlign w:val="bottom"/>
          </w:tcPr>
          <w:p>
            <w:pPr>
              <w:spacing w:after="0"/>
              <w:rPr>
                <w:sz w:val="19"/>
                <w:szCs w:val="19"/>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controlling interest</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03"/>
        </w:trPr>
        <w:tc>
          <w:tcPr>
            <w:tcW w:w="20" w:type="dxa"/>
            <w:vAlign w:val="bottom"/>
          </w:tcPr>
          <w:p>
            <w:pPr>
              <w:spacing w:after="0"/>
              <w:rPr>
                <w:sz w:val="17"/>
                <w:szCs w:val="17"/>
                <w:color w:val="auto"/>
              </w:rPr>
            </w:pPr>
          </w:p>
        </w:tc>
        <w:tc>
          <w:tcPr>
            <w:tcW w:w="46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Diluted earnings (loss) per share (Class A and Class B):</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and equivalents outstanding</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32,414</w:t>
            </w: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32,439</w:t>
            </w:r>
          </w:p>
        </w:tc>
      </w:tr>
      <w:tr>
        <w:trPr>
          <w:trHeight w:val="217"/>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controlling interest</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3"/>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July 29, 2018</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July 29,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6,452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1,846</w:t>
            </w: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6,452</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0" w:type="dxa"/>
            <w:vAlign w:val="bottom"/>
          </w:tcPr>
          <w:p>
            <w:pPr>
              <w:spacing w:after="0"/>
              <w:rPr>
                <w:sz w:val="1"/>
                <w:szCs w:val="1"/>
                <w:color w:val="auto"/>
              </w:rPr>
            </w:pPr>
          </w:p>
        </w:tc>
      </w:tr>
      <w:tr>
        <w:trPr>
          <w:trHeight w:val="225"/>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 income attributable to</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attributable to</w:t>
            </w: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960" w:type="dxa"/>
            <w:vAlign w:val="bottom"/>
            <w:vMerge w:val="continue"/>
            <w:shd w:val="clear" w:color="auto" w:fill="CCEEFF"/>
          </w:tcPr>
          <w:p>
            <w:pPr>
              <w:spacing w:after="0"/>
              <w:rPr>
                <w:sz w:val="17"/>
                <w:szCs w:val="17"/>
                <w:color w:val="auto"/>
              </w:rPr>
            </w:pPr>
          </w:p>
        </w:tc>
        <w:tc>
          <w:tcPr>
            <w:tcW w:w="78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CCEEFF"/>
            </w:tcBorders>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1,936</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right w:val="single" w:sz="8" w:color="CCEEFF"/>
            </w:tcBorders>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6,377</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controlling interest</w:t>
            </w:r>
          </w:p>
        </w:tc>
        <w:tc>
          <w:tcPr>
            <w:tcW w:w="78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40" w:type="dxa"/>
            <w:vAlign w:val="bottom"/>
            <w:tcBorders>
              <w:right w:val="single" w:sz="8" w:color="CCEEFF"/>
            </w:tcBorders>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0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100" w:type="dxa"/>
            <w:vAlign w:val="bottom"/>
            <w:tcBorders>
              <w:right w:val="single" w:sz="8" w:color="CCEEFF"/>
            </w:tcBorders>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7"/>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Six Months Ended August 4, 2019</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in</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200"/>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variable interest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86"/>
        </w:trPr>
        <w:tc>
          <w:tcPr>
            <w:tcW w:w="20" w:type="dxa"/>
            <w:vAlign w:val="bottom"/>
          </w:tcPr>
          <w:p>
            <w:pPr>
              <w:spacing w:after="0"/>
              <w:rPr>
                <w:sz w:val="16"/>
                <w:szCs w:val="16"/>
                <w:color w:val="auto"/>
              </w:rPr>
            </w:pPr>
          </w:p>
        </w:tc>
        <w:tc>
          <w:tcPr>
            <w:tcW w:w="35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3, 2019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160,110</w:t>
            </w:r>
          </w:p>
        </w:tc>
      </w:tr>
      <w:tr>
        <w:trPr>
          <w:trHeight w:val="238"/>
        </w:trPr>
        <w:tc>
          <w:tcPr>
            <w:tcW w:w="20" w:type="dxa"/>
            <w:vAlign w:val="bottom"/>
          </w:tcPr>
          <w:p>
            <w:pPr>
              <w:spacing w:after="0"/>
              <w:rPr>
                <w:sz w:val="20"/>
                <w:szCs w:val="20"/>
                <w:color w:val="auto"/>
              </w:rPr>
            </w:pPr>
          </w:p>
        </w:tc>
        <w:tc>
          <w:tcPr>
            <w:tcW w:w="3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Cumulative effect from</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3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adoption of ASC 842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4, 2019</w:t>
            </w: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32,574</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68,668</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158,186</w:t>
            </w:r>
          </w:p>
        </w:tc>
      </w:tr>
      <w:tr>
        <w:trPr>
          <w:trHeight w:val="216"/>
        </w:trPr>
        <w:tc>
          <w:tcPr>
            <w:tcW w:w="20" w:type="dxa"/>
            <w:vAlign w:val="bottom"/>
          </w:tcPr>
          <w:p>
            <w:pPr>
              <w:spacing w:after="0"/>
              <w:rPr>
                <w:sz w:val="18"/>
                <w:szCs w:val="18"/>
                <w:color w:val="auto"/>
              </w:rPr>
            </w:pPr>
          </w:p>
        </w:tc>
        <w:tc>
          <w:tcPr>
            <w:tcW w:w="3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16"/>
        </w:trPr>
        <w:tc>
          <w:tcPr>
            <w:tcW w:w="20" w:type="dxa"/>
            <w:vAlign w:val="bottom"/>
          </w:tcPr>
          <w:p>
            <w:pPr>
              <w:spacing w:after="0"/>
              <w:rPr>
                <w:sz w:val="18"/>
                <w:szCs w:val="18"/>
                <w:color w:val="auto"/>
              </w:rPr>
            </w:pPr>
          </w:p>
        </w:tc>
        <w:tc>
          <w:tcPr>
            <w:tcW w:w="3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(7,645)</w:t>
            </w:r>
          </w:p>
        </w:tc>
      </w:tr>
      <w:tr>
        <w:trPr>
          <w:trHeight w:val="210"/>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5th, 2019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150,831</w:t>
            </w:r>
          </w:p>
        </w:tc>
      </w:tr>
      <w:tr>
        <w:trPr>
          <w:trHeight w:val="216"/>
        </w:trPr>
        <w:tc>
          <w:tcPr>
            <w:tcW w:w="20" w:type="dxa"/>
            <w:vAlign w:val="bottom"/>
          </w:tcPr>
          <w:p>
            <w:pPr>
              <w:spacing w:after="0"/>
              <w:rPr>
                <w:sz w:val="18"/>
                <w:szCs w:val="18"/>
                <w:color w:val="auto"/>
              </w:rPr>
            </w:pPr>
          </w:p>
        </w:tc>
        <w:tc>
          <w:tcPr>
            <w:tcW w:w="3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20" w:type="dxa"/>
            <w:vAlign w:val="bottom"/>
          </w:tcPr>
          <w:p>
            <w:pPr>
              <w:spacing w:after="0"/>
              <w:rPr>
                <w:sz w:val="18"/>
                <w:szCs w:val="18"/>
                <w:color w:val="auto"/>
              </w:rPr>
            </w:pPr>
          </w:p>
        </w:tc>
        <w:tc>
          <w:tcPr>
            <w:tcW w:w="3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r>
      <w:tr>
        <w:trPr>
          <w:trHeight w:val="217"/>
        </w:trPr>
        <w:tc>
          <w:tcPr>
            <w:tcW w:w="20" w:type="dxa"/>
            <w:vAlign w:val="bottom"/>
          </w:tcPr>
          <w:p>
            <w:pPr>
              <w:spacing w:after="0"/>
              <w:rPr>
                <w:sz w:val="18"/>
                <w:szCs w:val="18"/>
                <w:color w:val="auto"/>
              </w:rPr>
            </w:pPr>
          </w:p>
        </w:tc>
        <w:tc>
          <w:tcPr>
            <w:tcW w:w="3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4, 2019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32,733</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91,075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63,032</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153,300</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July 29, 2018</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 in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213"/>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variable interest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99"/>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9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28, 2018</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32,462</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48,084</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139,349</w:t>
            </w:r>
          </w:p>
        </w:tc>
      </w:tr>
      <w:tr>
        <w:trPr>
          <w:trHeight w:val="238"/>
        </w:trPr>
        <w:tc>
          <w:tcPr>
            <w:tcW w:w="20" w:type="dxa"/>
            <w:vAlign w:val="bottom"/>
          </w:tcPr>
          <w:p>
            <w:pPr>
              <w:spacing w:after="0"/>
              <w:rPr>
                <w:sz w:val="20"/>
                <w:szCs w:val="20"/>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Cumulative effect from</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adoption of ASC 606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29, 2018</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32,462</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47,436</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138,701</w:t>
            </w: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income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10"/>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Balance at April 29, 2018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32,566</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88,452</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46,745</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138,392</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w:t>
            </w:r>
          </w:p>
        </w:tc>
      </w:tr>
      <w:tr>
        <w:trPr>
          <w:trHeight w:val="217"/>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July 29, 2018</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32,586</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88,901</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53,122</w:t>
            </w: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145,293</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412"/>
        </w:trPr>
        <w:tc>
          <w:tcPr>
            <w:tcW w:w="20" w:type="dxa"/>
            <w:vAlign w:val="bottom"/>
          </w:tcPr>
          <w:p>
            <w:pPr>
              <w:spacing w:after="0"/>
              <w:rPr>
                <w:sz w:val="24"/>
                <w:szCs w:val="24"/>
                <w:color w:val="auto"/>
              </w:rPr>
            </w:pPr>
          </w:p>
        </w:tc>
        <w:tc>
          <w:tcPr>
            <w:tcW w:w="59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1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July 29, 2018</w:t>
            </w: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6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3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w:t>
            </w:r>
          </w:p>
        </w:tc>
      </w:tr>
      <w:tr>
        <w:trPr>
          <w:trHeight w:val="230"/>
        </w:trPr>
        <w:tc>
          <w:tcPr>
            <w:tcW w:w="2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receivables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20" w:type="dxa"/>
            <w:vAlign w:val="bottom"/>
          </w:tcPr>
          <w:p>
            <w:pPr>
              <w:spacing w:after="0"/>
              <w:rPr>
                <w:sz w:val="18"/>
                <w:szCs w:val="18"/>
                <w:color w:val="auto"/>
              </w:rPr>
            </w:pPr>
          </w:p>
        </w:tc>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(12,130)</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 &amp; other current assets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r>
      <w:tr>
        <w:trPr>
          <w:trHeight w:val="216"/>
        </w:trPr>
        <w:tc>
          <w:tcPr>
            <w:tcW w:w="20" w:type="dxa"/>
            <w:vAlign w:val="bottom"/>
          </w:tcPr>
          <w:p>
            <w:pPr>
              <w:spacing w:after="0"/>
              <w:rPr>
                <w:sz w:val="18"/>
                <w:szCs w:val="18"/>
                <w:color w:val="auto"/>
              </w:rPr>
            </w:pPr>
          </w:p>
        </w:tc>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catalog costs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Trade accounts payable</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16"/>
        </w:trPr>
        <w:tc>
          <w:tcPr>
            <w:tcW w:w="20" w:type="dxa"/>
            <w:vAlign w:val="bottom"/>
          </w:tcPr>
          <w:p>
            <w:pPr>
              <w:spacing w:after="0"/>
              <w:rPr>
                <w:sz w:val="18"/>
                <w:szCs w:val="18"/>
                <w:color w:val="auto"/>
              </w:rPr>
            </w:pPr>
          </w:p>
        </w:tc>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taxes payable</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deferred rent obligations</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(8,045)</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(12,585)</w:t>
            </w: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(26,798)</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contributions towards build-to-suit stores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Principal receipts from available-for-sale security</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other assets</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(16,713)</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(27,325)</w:t>
            </w: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57,093</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(22,093)</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Payments on long term debt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Change in bank overdrafts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finance lease obligations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r>
      <w:tr>
        <w:trPr>
          <w:trHeight w:val="230"/>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Shares withheld for tax payments on vested restricted shares</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27,829</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36,404</w:t>
            </w: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restricted cash</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5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7,083</w:t>
            </w:r>
          </w:p>
        </w:tc>
      </w:tr>
      <w:tr>
        <w:trPr>
          <w:trHeight w:val="230"/>
        </w:trPr>
        <w:tc>
          <w:tcPr>
            <w:tcW w:w="20" w:type="dxa"/>
            <w:vAlign w:val="bottom"/>
          </w:tcPr>
          <w:p>
            <w:pPr>
              <w:spacing w:after="0"/>
              <w:rPr>
                <w:sz w:val="19"/>
                <w:szCs w:val="19"/>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5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w:t>
            </w:r>
          </w:p>
        </w:tc>
      </w:tr>
      <w:tr>
        <w:trPr>
          <w:trHeight w:val="203"/>
        </w:trPr>
        <w:tc>
          <w:tcPr>
            <w:tcW w:w="20" w:type="dxa"/>
            <w:vAlign w:val="bottom"/>
          </w:tcPr>
          <w:p>
            <w:pPr>
              <w:spacing w:after="0"/>
              <w:rPr>
                <w:sz w:val="17"/>
                <w:szCs w:val="17"/>
                <w:color w:val="auto"/>
              </w:rPr>
            </w:pPr>
          </w:p>
        </w:tc>
        <w:tc>
          <w:tcPr>
            <w:tcW w:w="59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6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3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6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3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7,852</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acquired under build-to-suit leases</w:t>
            </w:r>
          </w:p>
        </w:tc>
        <w:tc>
          <w:tcPr>
            <w:tcW w:w="6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12,907</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liability to acquire property and equipment</w:t>
            </w:r>
          </w:p>
        </w:tc>
        <w:tc>
          <w:tcPr>
            <w:tcW w:w="6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3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ind w:right="428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1. NATURE OF OPERATIONS AND BASIS OF PRESENTATION </w:t>
      </w:r>
      <w:r>
        <w:rPr>
          <w:rFonts w:ascii="Times New Roman" w:cs="Times New Roman" w:eastAsia="Times New Roman" w:hAnsi="Times New Roman"/>
          <w:sz w:val="18"/>
          <w:szCs w:val="18"/>
          <w:b w:val="1"/>
          <w:bCs w:val="1"/>
          <w:i w:val="1"/>
          <w:iCs w:val="1"/>
          <w:color w:val="auto"/>
        </w:rPr>
        <w:t>A. Nature of Operations</w:t>
      </w:r>
    </w:p>
    <w:p>
      <w:pPr>
        <w:spacing w:after="0" w:line="1" w:lineRule="exact"/>
        <w:rPr>
          <w:sz w:val="20"/>
          <w:szCs w:val="20"/>
          <w:color w:val="auto"/>
        </w:rPr>
      </w:pPr>
    </w:p>
    <w:p>
      <w:pPr>
        <w:ind w:right="120" w:firstLine="428"/>
        <w:spacing w:after="0" w:line="274" w:lineRule="auto"/>
        <w:rPr>
          <w:sz w:val="20"/>
          <w:szCs w:val="20"/>
          <w:color w:val="auto"/>
        </w:rPr>
      </w:pPr>
      <w:r>
        <w:rPr>
          <w:rFonts w:ascii="Times New Roman" w:cs="Times New Roman" w:eastAsia="Times New Roman" w:hAnsi="Times New Roman"/>
          <w:sz w:val="17"/>
          <w:szCs w:val="17"/>
          <w:color w:val="auto"/>
        </w:rPr>
        <w:t>Duluth Holdings Inc. (“Duluth Trading” or the “Company”), a Wisconsin corporation, is a lifestyle brand of men’s and women’s casual wear, workwear and accessories sold exclusively through the Company’s own direct and retail channels. The direct segment, consisting of the Company’s website and catalogs, offers products nationwide. In 2010, the Company added retail to its omni-channel platform with the opening of its first store. Since then, Duluth Trading has expanded its retail presence, and as of August 4, 2019, the Company operated 52 retail stores and three outlet stores. The Company’s products are marketed under the Duluth Trading brand, with the majority of products being exclusively developed and sold as Duluth Trading branded merchandise.</w:t>
      </w:r>
    </w:p>
    <w:p>
      <w:pPr>
        <w:spacing w:after="0" w:line="147" w:lineRule="exact"/>
        <w:rPr>
          <w:sz w:val="20"/>
          <w:szCs w:val="20"/>
          <w:color w:val="auto"/>
        </w:rPr>
      </w:pPr>
    </w:p>
    <w:p>
      <w:pPr>
        <w:ind w:right="40" w:firstLine="428"/>
        <w:spacing w:after="0" w:line="258" w:lineRule="auto"/>
        <w:rPr>
          <w:sz w:val="20"/>
          <w:szCs w:val="20"/>
          <w:color w:val="auto"/>
        </w:rPr>
      </w:pPr>
      <w:r>
        <w:rPr>
          <w:rFonts w:ascii="Times New Roman" w:cs="Times New Roman" w:eastAsia="Times New Roman" w:hAnsi="Times New Roman"/>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3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Basis of Presentation</w:t>
      </w:r>
    </w:p>
    <w:p>
      <w:pPr>
        <w:spacing w:after="0" w:line="189" w:lineRule="exact"/>
        <w:rPr>
          <w:sz w:val="20"/>
          <w:szCs w:val="20"/>
          <w:color w:val="auto"/>
        </w:rPr>
      </w:pPr>
    </w:p>
    <w:p>
      <w:pPr>
        <w:ind w:firstLine="42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accordance with U.S. Generally Accepted Accounting Principles (“U.S. GAAP”). The Company consolidates TRI Holdings, LLC (“TRI”) as a variable interest entity (see Note 6 “Variable Interest Entity” for further information). All intercompany balances and transactions have been eliminated.</w:t>
      </w:r>
    </w:p>
    <w:p>
      <w:pPr>
        <w:spacing w:after="0" w:line="149" w:lineRule="exact"/>
        <w:rPr>
          <w:sz w:val="20"/>
          <w:szCs w:val="20"/>
          <w:color w:val="auto"/>
        </w:rPr>
      </w:pPr>
    </w:p>
    <w:p>
      <w:pPr>
        <w:ind w:right="80" w:firstLine="428"/>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the Sunday nearest to January 31 of the following year. Fiscal 2019 is a 52-week period and ends on February 2, 2020. Fiscal 2018 was a 53-week period and ended on February 3, 2019. The three and six months of fiscal 2019 and fiscal 2018 represent the Company’s 13 and 26-week periods ended August 4, 2019 and July 29, 2018, respectively.</w:t>
      </w:r>
    </w:p>
    <w:p>
      <w:pPr>
        <w:spacing w:after="0" w:line="136" w:lineRule="exact"/>
        <w:rPr>
          <w:sz w:val="20"/>
          <w:szCs w:val="20"/>
          <w:color w:val="auto"/>
        </w:rPr>
      </w:pPr>
    </w:p>
    <w:p>
      <w:pPr>
        <w:ind w:right="60" w:firstLine="428"/>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as of and for the three and six months ended August 4, 2019 and July 29, 2018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footnote disclosures normally included in consolidated financial statements prepared in accordance with U.S. GAAP have been condensed or omitted pursuant to such SEC rules and regulations as of and for the three and six months ended August 4, 2019 and July 29, 2018. These interim condensed consolidated financial statements should be read in conjunction with the consolidated financial statements and notes included in the Company’s annual report on Form 10-K for the fiscal year ended February 3, 2019.</w:t>
      </w:r>
    </w:p>
    <w:p>
      <w:pPr>
        <w:spacing w:after="0" w:line="14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Seasonality of Business</w:t>
      </w:r>
    </w:p>
    <w:p>
      <w:pPr>
        <w:spacing w:after="0" w:line="202" w:lineRule="exact"/>
        <w:rPr>
          <w:sz w:val="20"/>
          <w:szCs w:val="20"/>
          <w:color w:val="auto"/>
        </w:rPr>
      </w:pPr>
    </w:p>
    <w:p>
      <w:pPr>
        <w:jc w:val="both"/>
        <w:ind w:right="160" w:firstLine="428"/>
        <w:spacing w:after="0" w:line="266" w:lineRule="auto"/>
        <w:rPr>
          <w:sz w:val="20"/>
          <w:szCs w:val="20"/>
          <w:color w:val="auto"/>
        </w:rPr>
      </w:pPr>
      <w:r>
        <w:rPr>
          <w:rFonts w:ascii="Times New Roman" w:cs="Times New Roman" w:eastAsia="Times New Roman" w:hAnsi="Times New Roman"/>
          <w:sz w:val="18"/>
          <w:szCs w:val="18"/>
          <w:color w:val="auto"/>
        </w:rPr>
        <w:t>The Company’s business is affected by the pattern of seasonality common to most retail apparel businesses. Historically, the Company has recognized a significant portion of its revenue and operating profit in the fourth fiscal quarter of each year as a result of increased sales during the holiday season.</w:t>
      </w:r>
    </w:p>
    <w:p>
      <w:pPr>
        <w:spacing w:after="0" w:line="13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Restricted Cash</w:t>
      </w:r>
    </w:p>
    <w:p>
      <w:pPr>
        <w:spacing w:after="0" w:line="189" w:lineRule="exact"/>
        <w:rPr>
          <w:sz w:val="20"/>
          <w:szCs w:val="20"/>
          <w:color w:val="auto"/>
        </w:rPr>
      </w:pPr>
    </w:p>
    <w:p>
      <w:pPr>
        <w:ind w:right="40" w:firstLine="428"/>
        <w:spacing w:after="0" w:line="266" w:lineRule="auto"/>
        <w:rPr>
          <w:sz w:val="20"/>
          <w:szCs w:val="20"/>
          <w:color w:val="auto"/>
        </w:rPr>
      </w:pPr>
      <w:r>
        <w:rPr>
          <w:rFonts w:ascii="Times New Roman" w:cs="Times New Roman" w:eastAsia="Times New Roman" w:hAnsi="Times New Roman"/>
          <w:sz w:val="18"/>
          <w:szCs w:val="18"/>
          <w:color w:val="auto"/>
        </w:rPr>
        <w:t>The Company’s restricted cash is held in escrow accounts and is used to pay a portion of the construction loans entered into by third party landlords (the “Landlords”) in connection with the Company’s retail store leases. The restricted cash is disbursed based on the escrow agreements entered into by and among the Landlords, the Company and the escrow agent.</w:t>
      </w:r>
    </w:p>
    <w:p>
      <w:pPr>
        <w:spacing w:after="0" w:line="15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E.</w:t>
      </w:r>
      <w:r>
        <w:rPr>
          <w:sz w:val="20"/>
          <w:szCs w:val="20"/>
          <w:color w:val="auto"/>
        </w:rPr>
        <w:tab/>
      </w:r>
      <w:r>
        <w:rPr>
          <w:rFonts w:ascii="Times New Roman" w:cs="Times New Roman" w:eastAsia="Times New Roman" w:hAnsi="Times New Roman"/>
          <w:sz w:val="17"/>
          <w:szCs w:val="17"/>
          <w:b w:val="1"/>
          <w:bCs w:val="1"/>
          <w:i w:val="1"/>
          <w:iCs w:val="1"/>
          <w:color w:val="auto"/>
        </w:rPr>
        <w:t>Significant Accounting Policies</w:t>
      </w:r>
    </w:p>
    <w:p>
      <w:pPr>
        <w:spacing w:after="0" w:line="189" w:lineRule="exact"/>
        <w:rPr>
          <w:sz w:val="20"/>
          <w:szCs w:val="20"/>
          <w:color w:val="auto"/>
        </w:rPr>
      </w:pPr>
    </w:p>
    <w:p>
      <w:pPr>
        <w:ind w:right="660" w:firstLine="428"/>
        <w:spacing w:after="0" w:line="282" w:lineRule="auto"/>
        <w:rPr>
          <w:sz w:val="20"/>
          <w:szCs w:val="20"/>
          <w:color w:val="auto"/>
        </w:rPr>
      </w:pPr>
      <w:r>
        <w:rPr>
          <w:rFonts w:ascii="Times New Roman" w:cs="Times New Roman" w:eastAsia="Times New Roman" w:hAnsi="Times New Roman"/>
          <w:sz w:val="18"/>
          <w:szCs w:val="18"/>
          <w:color w:val="auto"/>
        </w:rPr>
        <w:t>Except as disclosed below, there have been no significant changes to the Company’s significant accounting policies as described in the Company’s Annual Report on Form 10-K for the year ended February 3, 2019.</w:t>
      </w:r>
    </w:p>
    <w:p>
      <w:pPr>
        <w:spacing w:after="0" w:line="11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F.</w:t>
      </w:r>
      <w:r>
        <w:rPr>
          <w:sz w:val="20"/>
          <w:szCs w:val="20"/>
          <w:color w:val="auto"/>
        </w:rPr>
        <w:tab/>
      </w:r>
      <w:r>
        <w:rPr>
          <w:rFonts w:ascii="Times New Roman" w:cs="Times New Roman" w:eastAsia="Times New Roman" w:hAnsi="Times New Roman"/>
          <w:sz w:val="17"/>
          <w:szCs w:val="17"/>
          <w:b w:val="1"/>
          <w:bCs w:val="1"/>
          <w:i w:val="1"/>
          <w:iCs w:val="1"/>
          <w:color w:val="auto"/>
        </w:rPr>
        <w:t>Reclassifications</w:t>
      </w:r>
    </w:p>
    <w:p>
      <w:pPr>
        <w:spacing w:after="0" w:line="202"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to the 2018 financial statements in order to conform to the 2019 presentation. There were no changes to previously reported shareholders’ equity or net income as a result of the reclassifications.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297" w:right="115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Pronouncements</w:t>
      </w:r>
    </w:p>
    <w:p>
      <w:pPr>
        <w:spacing w:after="0" w:line="185" w:lineRule="exact"/>
        <w:rPr>
          <w:sz w:val="20"/>
          <w:szCs w:val="20"/>
          <w:color w:val="auto"/>
        </w:rPr>
      </w:pPr>
    </w:p>
    <w:p>
      <w:pPr>
        <w:ind w:right="100" w:firstLine="441"/>
        <w:spacing w:after="0" w:line="259" w:lineRule="auto"/>
        <w:rPr>
          <w:sz w:val="20"/>
          <w:szCs w:val="20"/>
          <w:color w:val="auto"/>
        </w:rPr>
      </w:pPr>
      <w:r>
        <w:rPr>
          <w:rFonts w:ascii="Times New Roman" w:cs="Times New Roman" w:eastAsia="Times New Roman" w:hAnsi="Times New Roman"/>
          <w:sz w:val="18"/>
          <w:szCs w:val="18"/>
          <w:color w:val="auto"/>
        </w:rPr>
        <w:t xml:space="preserve">On February 4, 2019, the Company adopted Accounting Standards Update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(“ASC 842”) and related amendments. ASC 842 requires lessees to (i) recognize a right-of-use asset and a lease liability that is initially measured at the present value of the remaining lease payments, on the consolidated balance sheets, (ii) recognize a single lease cost, calculated over the lease term on a straight-line basis and (iii) classify lease related cash payments within operating and financing activities.</w:t>
      </w:r>
    </w:p>
    <w:p>
      <w:pPr>
        <w:spacing w:after="0" w:line="155" w:lineRule="exact"/>
        <w:rPr>
          <w:sz w:val="20"/>
          <w:szCs w:val="20"/>
          <w:color w:val="auto"/>
        </w:rPr>
      </w:pPr>
    </w:p>
    <w:p>
      <w:pPr>
        <w:ind w:right="100" w:firstLine="441"/>
        <w:spacing w:after="0" w:line="258" w:lineRule="auto"/>
        <w:rPr>
          <w:sz w:val="20"/>
          <w:szCs w:val="20"/>
          <w:color w:val="auto"/>
        </w:rPr>
      </w:pPr>
      <w:r>
        <w:rPr>
          <w:rFonts w:ascii="Times New Roman" w:cs="Times New Roman" w:eastAsia="Times New Roman" w:hAnsi="Times New Roman"/>
          <w:sz w:val="18"/>
          <w:szCs w:val="18"/>
          <w:color w:val="auto"/>
        </w:rPr>
        <w:t>The Company adopted ASC 842 utilizing the optional transition method, which allows guidance to be initially applied at the adoption date with a cumulative-effect adjustment to the opening balance of retained earnings. The Company elected the package of practical expedients, which allows the Company to forgo reassessing prior conclusions on lease definition, classification and initial direct costs related to existing leases as of the adoption date. The Company elected not to recognize short-term leases on the consolidated balance sheets and all non-lease components, such as common area maintenance, were excluded.</w:t>
      </w:r>
    </w:p>
    <w:p>
      <w:pPr>
        <w:spacing w:after="0" w:line="143"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The Company’s existing lease arrangements consist of both operating leases and build-to-suit leases. Under ASC 842, the Company is still required to evaluate whether it is deemed to be the owner of the leased property for accounting purposes during the store construction period, however, the prescriptive rules under ASC 840 have been removed. The Company evaluated its existing build-to-suit leases as of the adoption date and determined that the Company is not the owner of the leased premises during the construction period, which resulted in the derecognition of its build-to-suit assets and liabilities that were previously reported on the Company’s consolidated balance sheets. As of February 4, 2019, substantially all of the previous build-to-suit leases are classified as operating leases.</w:t>
      </w:r>
    </w:p>
    <w:p>
      <w:pPr>
        <w:spacing w:after="0" w:line="149"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The impact of the adoption was a $121.8 million right-of-use asset (“ROU asset”) with an offsetting $115.5 million lease liability, which is net of $4.9 million of previously recognized straight-line operating lease adjustments on existing leases and $11.2 million of unamortized initial direct costs. The lease liabilities at February 4, 2019 reflect remaining lease payments discounted using an incremental borrowing rate based on the remaining lease term (the “Discount”), as an implicit rate was not readily determinable for any of the Company’s existing leases. See Note 2 “Leases,” for further information.</w:t>
      </w:r>
    </w:p>
    <w:p>
      <w:pPr>
        <w:spacing w:after="0" w:line="36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LEASES</w:t>
      </w:r>
    </w:p>
    <w:p>
      <w:pPr>
        <w:spacing w:after="0" w:line="189" w:lineRule="exact"/>
        <w:rPr>
          <w:sz w:val="20"/>
          <w:szCs w:val="20"/>
          <w:color w:val="auto"/>
        </w:rPr>
      </w:pPr>
    </w:p>
    <w:p>
      <w:pPr>
        <w:ind w:right="120" w:firstLine="492"/>
        <w:spacing w:after="0" w:line="255" w:lineRule="auto"/>
        <w:rPr>
          <w:sz w:val="20"/>
          <w:szCs w:val="20"/>
          <w:color w:val="auto"/>
        </w:rPr>
      </w:pPr>
      <w:r>
        <w:rPr>
          <w:rFonts w:ascii="Times New Roman" w:cs="Times New Roman" w:eastAsia="Times New Roman" w:hAnsi="Times New Roman"/>
          <w:sz w:val="18"/>
          <w:szCs w:val="18"/>
          <w:color w:val="auto"/>
        </w:rPr>
        <w:t>Effective February 4, 2019, the Company adopted ASC 842, which resulted in a recognition of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w:t>
      </w:r>
    </w:p>
    <w:p>
      <w:pPr>
        <w:spacing w:after="0" w:line="149" w:lineRule="exact"/>
        <w:rPr>
          <w:sz w:val="20"/>
          <w:szCs w:val="20"/>
          <w:color w:val="auto"/>
        </w:rPr>
      </w:pPr>
    </w:p>
    <w:p>
      <w:pPr>
        <w:ind w:right="200" w:firstLine="492"/>
        <w:spacing w:after="0" w:line="258" w:lineRule="auto"/>
        <w:rPr>
          <w:sz w:val="20"/>
          <w:szCs w:val="20"/>
          <w:color w:val="auto"/>
        </w:rPr>
      </w:pPr>
      <w:r>
        <w:rPr>
          <w:rFonts w:ascii="Times New Roman" w:cs="Times New Roman" w:eastAsia="Times New Roman" w:hAnsi="Times New Roman"/>
          <w:sz w:val="18"/>
          <w:szCs w:val="18"/>
          <w:color w:val="auto"/>
        </w:rPr>
        <w:t>The Company leases retail space under non-cancelable lease agreements, which expire on various dates through 2036. Substantially all of these arrangements are store leases. Store leases generally have initial lease terms ranging from five to fifteen years with renewal options and rent escalation provisions. At the commencement of a lease, the Company includes only the initial lease term as the option to extend is not reasonably certain. The Company does not record leases with a lease term of 12 months or less on the Company’s consolidated balance sheets.</w:t>
      </w:r>
    </w:p>
    <w:p>
      <w:pPr>
        <w:spacing w:after="0" w:line="157" w:lineRule="exact"/>
        <w:rPr>
          <w:sz w:val="20"/>
          <w:szCs w:val="20"/>
          <w:color w:val="auto"/>
        </w:rPr>
      </w:pPr>
    </w:p>
    <w:p>
      <w:pPr>
        <w:ind w:right="200" w:firstLine="492"/>
        <w:spacing w:after="0" w:line="282" w:lineRule="auto"/>
        <w:rPr>
          <w:sz w:val="20"/>
          <w:szCs w:val="20"/>
          <w:color w:val="auto"/>
        </w:rPr>
      </w:pPr>
      <w:r>
        <w:rPr>
          <w:rFonts w:ascii="Times New Roman" w:cs="Times New Roman" w:eastAsia="Times New Roman" w:hAnsi="Times New Roman"/>
          <w:sz w:val="18"/>
          <w:szCs w:val="18"/>
          <w:color w:val="auto"/>
        </w:rPr>
        <w:t>When calculating the lease liability on a discounted basis, the Company applies its estimated Discount. The Company bases this Discount on a collateralized interest rate as well as publicly available data for instruments with similar characteristics.</w:t>
      </w:r>
    </w:p>
    <w:p>
      <w:pPr>
        <w:spacing w:after="0" w:line="121" w:lineRule="exact"/>
        <w:rPr>
          <w:sz w:val="20"/>
          <w:szCs w:val="20"/>
          <w:color w:val="auto"/>
        </w:rPr>
      </w:pPr>
    </w:p>
    <w:p>
      <w:pPr>
        <w:ind w:right="180" w:firstLine="492"/>
        <w:spacing w:after="0" w:line="266" w:lineRule="auto"/>
        <w:rPr>
          <w:sz w:val="20"/>
          <w:szCs w:val="20"/>
          <w:color w:val="auto"/>
        </w:rPr>
      </w:pPr>
      <w:r>
        <w:rPr>
          <w:rFonts w:ascii="Times New Roman" w:cs="Times New Roman" w:eastAsia="Times New Roman" w:hAnsi="Times New Roman"/>
          <w:sz w:val="18"/>
          <w:szCs w:val="18"/>
          <w:color w:val="auto"/>
        </w:rPr>
        <w:t>In addition to rent payments, leases for retail space contain payments for real estate taxes, insurance costs, common area maintenance, and utilities that are not fixed. The Company accounts for these costs as variable payments and does not include such costs as a lease component.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82" w:lineRule="exact"/>
        <w:rPr>
          <w:sz w:val="20"/>
          <w:szCs w:val="20"/>
          <w:color w:val="auto"/>
        </w:rPr>
      </w:pPr>
    </w:p>
    <w:p>
      <w:pPr>
        <w:ind w:right="220" w:firstLine="492"/>
        <w:spacing w:after="0" w:line="282" w:lineRule="auto"/>
        <w:rPr>
          <w:sz w:val="20"/>
          <w:szCs w:val="20"/>
          <w:color w:val="auto"/>
        </w:rPr>
      </w:pPr>
      <w:r>
        <w:rPr>
          <w:rFonts w:ascii="Times New Roman" w:cs="Times New Roman" w:eastAsia="Times New Roman" w:hAnsi="Times New Roman"/>
          <w:sz w:val="18"/>
          <w:szCs w:val="18"/>
          <w:color w:val="auto"/>
        </w:rPr>
        <w:t>The expense components of the Company’s leases reflected on the Company’s consolidated statement of operations were as follows:</w:t>
      </w:r>
    </w:p>
    <w:p>
      <w:pPr>
        <w:sectPr>
          <w:pgSz w:w="11900" w:h="16838" w:orient="portrait"/>
          <w:cols w:equalWidth="0" w:num="1">
            <w:col w:w="9640"/>
          </w:cols>
          <w:pgMar w:left="1140" w:top="297"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lease</w:t>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Amortization of right-of-use assets</w:t>
      </w:r>
    </w:p>
    <w:p>
      <w:pPr>
        <w:spacing w:after="0" w:line="2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finance lease expense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expense</w:t>
      </w:r>
    </w:p>
    <w:p>
      <w:pPr>
        <w:spacing w:after="0" w:line="24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Amortization of build-to-suit leases capital contribution</w:t>
      </w:r>
    </w:p>
    <w:p>
      <w:pPr>
        <w:spacing w:after="0"/>
        <w:rPr>
          <w:sz w:val="20"/>
          <w:szCs w:val="20"/>
          <w:color w:val="auto"/>
        </w:rPr>
      </w:pPr>
      <w:r>
        <w:rPr>
          <w:rFonts w:ascii="Times New Roman" w:cs="Times New Roman" w:eastAsia="Times New Roman" w:hAnsi="Times New Roman"/>
          <w:sz w:val="18"/>
          <w:szCs w:val="18"/>
          <w:color w:val="auto"/>
        </w:rPr>
        <w:t>Variable lease expense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expense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tc>
        <w:tc>
          <w:tcPr>
            <w:tcW w:w="160" w:type="dxa"/>
            <w:vAlign w:val="bottom"/>
          </w:tcPr>
          <w:p>
            <w:pPr>
              <w:spacing w:after="0"/>
              <w:rPr>
                <w:sz w:val="16"/>
                <w:szCs w:val="16"/>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6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0" w:type="dxa"/>
            <w:vAlign w:val="bottom"/>
          </w:tcPr>
          <w:p>
            <w:pPr>
              <w:spacing w:after="0"/>
              <w:rPr>
                <w:sz w:val="1"/>
                <w:szCs w:val="1"/>
                <w:color w:val="auto"/>
              </w:rPr>
            </w:pPr>
          </w:p>
        </w:tc>
      </w:tr>
      <w:tr>
        <w:trPr>
          <w:trHeight w:val="63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3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3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4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0" w:type="dxa"/>
            <w:vAlign w:val="bottom"/>
          </w:tcPr>
          <w:p>
            <w:pPr>
              <w:spacing w:after="0"/>
              <w:rPr>
                <w:sz w:val="1"/>
                <w:szCs w:val="1"/>
                <w:color w:val="auto"/>
              </w:rPr>
            </w:pPr>
          </w:p>
        </w:tc>
      </w:tr>
      <w:tr>
        <w:trPr>
          <w:trHeight w:val="22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2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-1997710</wp:posOffset>
            </wp:positionH>
            <wp:positionV relativeFrom="paragraph">
              <wp:posOffset>-1757680</wp:posOffset>
            </wp:positionV>
            <wp:extent cx="609727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97270" cy="137160"/>
                    </a:xfrm>
                    <a:prstGeom prst="rect">
                      <a:avLst/>
                    </a:prstGeom>
                    <a:noFill/>
                  </pic:spPr>
                </pic:pic>
              </a:graphicData>
            </a:graphic>
          </wp:anchor>
        </w:drawing>
        <w:drawing>
          <wp:anchor simplePos="0" relativeHeight="251657728" behindDoc="1" locked="0" layoutInCell="0" allowOverlap="1">
            <wp:simplePos x="0" y="0"/>
            <wp:positionH relativeFrom="column">
              <wp:posOffset>-1997710</wp:posOffset>
            </wp:positionH>
            <wp:positionV relativeFrom="paragraph">
              <wp:posOffset>-1328420</wp:posOffset>
            </wp:positionV>
            <wp:extent cx="609727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97270" cy="146050"/>
                    </a:xfrm>
                    <a:prstGeom prst="rect">
                      <a:avLst/>
                    </a:prstGeom>
                    <a:noFill/>
                  </pic:spPr>
                </pic:pic>
              </a:graphicData>
            </a:graphic>
          </wp:anchor>
        </w:drawing>
        <w:drawing>
          <wp:anchor simplePos="0" relativeHeight="251657728" behindDoc="1" locked="0" layoutInCell="0" allowOverlap="1">
            <wp:simplePos x="0" y="0"/>
            <wp:positionH relativeFrom="column">
              <wp:posOffset>-1997710</wp:posOffset>
            </wp:positionH>
            <wp:positionV relativeFrom="paragraph">
              <wp:posOffset>-1036955</wp:posOffset>
            </wp:positionV>
            <wp:extent cx="609727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97270" cy="291465"/>
                    </a:xfrm>
                    <a:prstGeom prst="rect">
                      <a:avLst/>
                    </a:prstGeom>
                    <a:noFill/>
                  </pic:spPr>
                </pic:pic>
              </a:graphicData>
            </a:graphic>
          </wp:anchor>
        </w:drawing>
        <w:drawing>
          <wp:anchor simplePos="0" relativeHeight="251657728" behindDoc="1" locked="0" layoutInCell="0" allowOverlap="1">
            <wp:simplePos x="0" y="0"/>
            <wp:positionH relativeFrom="column">
              <wp:posOffset>-1997710</wp:posOffset>
            </wp:positionH>
            <wp:positionV relativeFrom="paragraph">
              <wp:posOffset>-454025</wp:posOffset>
            </wp:positionV>
            <wp:extent cx="609727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97270" cy="291465"/>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2600" w:space="560"/>
            <w:col w:w="6480"/>
          </w:cols>
          <w:pgMar w:left="1140" w:top="297" w:right="111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8"/>
          <w:szCs w:val="18"/>
          <w:color w:val="auto"/>
        </w:rPr>
        <w:t>Other information related to leases were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gridSpan w:val="2"/>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liabilities: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7860" w:type="dxa"/>
            <w:vAlign w:val="bottom"/>
            <w:gridSpan w:val="6"/>
          </w:tcPr>
          <w:p>
            <w:pPr>
              <w:ind w:left="480"/>
              <w:spacing w:after="0"/>
              <w:rPr>
                <w:sz w:val="20"/>
                <w:szCs w:val="20"/>
                <w:color w:val="auto"/>
              </w:rPr>
            </w:pPr>
            <w:r>
              <w:rPr>
                <w:rFonts w:ascii="Times New Roman" w:cs="Times New Roman" w:eastAsia="Times New Roman" w:hAnsi="Times New Roman"/>
                <w:sz w:val="18"/>
                <w:szCs w:val="18"/>
                <w:color w:val="auto"/>
                <w:w w:val="99"/>
              </w:rPr>
              <w:t>Future minimum lease payments under the non-cancellable leases are as follows as of August 4, 2019: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(remainder of fiscal year)</w:t>
            </w:r>
          </w:p>
        </w:tc>
        <w:tc>
          <w:tcPr>
            <w:tcW w:w="50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27,877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38,110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 Discount</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10,830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27,280</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58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6101715</wp:posOffset>
            </wp:positionH>
            <wp:positionV relativeFrom="paragraph">
              <wp:posOffset>-38100</wp:posOffset>
            </wp:positionV>
            <wp:extent cx="3429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3429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40"/>
          </w:cols>
          <w:pgMar w:left="1140" w:top="297" w:right="111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Prior to the adoption of ASC 842, the minimum lease payments under non-cancellable operating leases were as follows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3, 2019:</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9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7"/>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party</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
        </w:trPr>
        <w:tc>
          <w:tcPr>
            <w:tcW w:w="20" w:type="dxa"/>
            <w:vAlign w:val="bottom"/>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210"/>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44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60" w:type="dxa"/>
            <w:vAlign w:val="bottom"/>
            <w:gridSpan w:val="2"/>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15,598</w:t>
            </w:r>
          </w:p>
        </w:tc>
        <w:tc>
          <w:tcPr>
            <w:tcW w:w="48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15,745</w:t>
            </w:r>
          </w:p>
        </w:tc>
      </w:tr>
      <w:tr>
        <w:trPr>
          <w:trHeight w:val="230"/>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16,157</w:t>
            </w:r>
          </w:p>
        </w:tc>
      </w:tr>
      <w:tr>
        <w:trPr>
          <w:trHeight w:val="230"/>
        </w:trPr>
        <w:tc>
          <w:tcPr>
            <w:tcW w:w="20" w:type="dxa"/>
            <w:vAlign w:val="bottom"/>
          </w:tcPr>
          <w:p>
            <w:pPr>
              <w:spacing w:after="0"/>
              <w:rPr>
                <w:sz w:val="19"/>
                <w:szCs w:val="19"/>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15,474</w:t>
            </w:r>
          </w:p>
        </w:tc>
      </w:tr>
      <w:tr>
        <w:trPr>
          <w:trHeight w:val="230"/>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15,593</w:t>
            </w:r>
          </w:p>
        </w:tc>
      </w:tr>
      <w:tr>
        <w:trPr>
          <w:trHeight w:val="230"/>
        </w:trPr>
        <w:tc>
          <w:tcPr>
            <w:tcW w:w="20" w:type="dxa"/>
            <w:vAlign w:val="bottom"/>
          </w:tcPr>
          <w:p>
            <w:pPr>
              <w:spacing w:after="0"/>
              <w:rPr>
                <w:sz w:val="19"/>
                <w:szCs w:val="19"/>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15,784</w:t>
            </w:r>
          </w:p>
        </w:tc>
      </w:tr>
      <w:tr>
        <w:trPr>
          <w:trHeight w:val="230"/>
        </w:trPr>
        <w:tc>
          <w:tcPr>
            <w:tcW w:w="20" w:type="dxa"/>
            <w:vAlign w:val="bottom"/>
          </w:tcPr>
          <w:p>
            <w:pPr>
              <w:spacing w:after="0"/>
              <w:rPr>
                <w:sz w:val="19"/>
                <w:szCs w:val="19"/>
                <w:color w:val="auto"/>
              </w:rPr>
            </w:pPr>
          </w:p>
        </w:tc>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112,098</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112,098</w:t>
            </w:r>
          </w:p>
        </w:tc>
      </w:tr>
      <w:tr>
        <w:trPr>
          <w:trHeight w:val="217"/>
        </w:trPr>
        <w:tc>
          <w:tcPr>
            <w:tcW w:w="20" w:type="dxa"/>
            <w:vAlign w:val="bottom"/>
          </w:tcPr>
          <w:p>
            <w:pPr>
              <w:spacing w:after="0"/>
              <w:rPr>
                <w:sz w:val="18"/>
                <w:szCs w:val="18"/>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190,128</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190,851</w:t>
            </w:r>
          </w:p>
        </w:tc>
      </w:tr>
    </w:tbl>
    <w:p>
      <w:pPr>
        <w:spacing w:after="0" w:line="157"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Subsequent to the issuance of the May 5, 2019 interim financial statements, the Company concluded that four build-to-suit leases, which commenced during the first quarter of 2019 following the adoption of ASC 842, should have reclassified from operating to finance leases. The reclassification was corrected during the three months ended August 4, 2019. The Company has assessed the impact of the reclassification with the May 5, 2019 interim financial statements and determined the reclassification to be immaterial.</w:t>
      </w:r>
    </w:p>
    <w:p>
      <w:pPr>
        <w:spacing w:after="0" w:line="166" w:lineRule="exact"/>
        <w:rPr>
          <w:sz w:val="20"/>
          <w:szCs w:val="20"/>
          <w:color w:val="auto"/>
        </w:rPr>
      </w:pPr>
    </w:p>
    <w:p>
      <w:pPr>
        <w:jc w:val="center"/>
        <w:ind w:left="440" w:right="6840" w:hanging="432"/>
        <w:spacing w:after="0" w:line="490" w:lineRule="auto"/>
        <w:tabs>
          <w:tab w:leader="none" w:pos="32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AND LINE OF CREDIT </w:t>
      </w:r>
      <w:r>
        <w:rPr>
          <w:rFonts w:ascii="Times New Roman" w:cs="Times New Roman" w:eastAsia="Times New Roman" w:hAnsi="Times New Roman"/>
          <w:sz w:val="18"/>
          <w:szCs w:val="18"/>
          <w:color w:val="auto"/>
        </w:rPr>
        <w:t>Debt consists of the following:</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February 3, 2019</w:t>
            </w:r>
          </w:p>
        </w:tc>
        <w:tc>
          <w:tcPr>
            <w:tcW w:w="0" w:type="dxa"/>
            <w:vAlign w:val="bottom"/>
          </w:tcPr>
          <w:p>
            <w:pPr>
              <w:spacing w:after="0"/>
              <w:rPr>
                <w:sz w:val="1"/>
                <w:szCs w:val="1"/>
                <w:color w:val="auto"/>
              </w:rPr>
            </w:pPr>
          </w:p>
        </w:tc>
      </w:tr>
      <w:tr>
        <w:trPr>
          <w:trHeight w:val="196"/>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Senior Secured Note</w:t>
            </w:r>
          </w:p>
        </w:tc>
        <w:tc>
          <w:tcPr>
            <w:tcW w:w="2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TRI Note</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28,541</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7"/>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3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28,016</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12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Line of credit</w:t>
            </w:r>
          </w:p>
        </w:tc>
        <w:tc>
          <w:tcPr>
            <w:tcW w:w="2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16,542</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 Holdings, LLC</w:t>
      </w:r>
    </w:p>
    <w:p>
      <w:pPr>
        <w:spacing w:after="0" w:line="202" w:lineRule="exact"/>
        <w:rPr>
          <w:sz w:val="20"/>
          <w:szCs w:val="20"/>
          <w:color w:val="auto"/>
        </w:rPr>
      </w:pPr>
    </w:p>
    <w:p>
      <w:pPr>
        <w:jc w:val="both"/>
        <w:ind w:right="20" w:firstLine="428"/>
        <w:spacing w:after="0" w:line="266" w:lineRule="auto"/>
        <w:rPr>
          <w:sz w:val="20"/>
          <w:szCs w:val="20"/>
          <w:color w:val="auto"/>
        </w:rPr>
      </w:pPr>
      <w:r>
        <w:rPr>
          <w:rFonts w:ascii="Times New Roman" w:cs="Times New Roman" w:eastAsia="Times New Roman" w:hAnsi="Times New Roman"/>
          <w:sz w:val="18"/>
          <w:szCs w:val="18"/>
          <w:color w:val="auto"/>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spacing w:after="0" w:line="136" w:lineRule="exact"/>
        <w:rPr>
          <w:sz w:val="20"/>
          <w:szCs w:val="20"/>
          <w:color w:val="auto"/>
        </w:rPr>
      </w:pPr>
    </w:p>
    <w:p>
      <w:pPr>
        <w:ind w:right="180" w:firstLine="428"/>
        <w:spacing w:after="0" w:line="266" w:lineRule="auto"/>
        <w:rPr>
          <w:sz w:val="20"/>
          <w:szCs w:val="20"/>
          <w:color w:val="auto"/>
        </w:rPr>
      </w:pPr>
      <w:r>
        <w:rPr>
          <w:rFonts w:ascii="Times New Roman" w:cs="Times New Roman" w:eastAsia="Times New Roman" w:hAnsi="Times New Roman"/>
          <w:sz w:val="18"/>
          <w:szCs w:val="18"/>
          <w:color w:val="auto"/>
        </w:rPr>
        <w:t>TRI entered into a promissory note (“TRI Note”) with an original balance of $3.5 million. The TRI Note is scheduled to mature in November 2038 and requires annual interest payments at a rate of 3.05%, with a final balloon payment due in November 2038.</w:t>
      </w:r>
    </w:p>
    <w:p>
      <w:pPr>
        <w:spacing w:after="0" w:line="134" w:lineRule="exact"/>
        <w:rPr>
          <w:sz w:val="20"/>
          <w:szCs w:val="20"/>
          <w:color w:val="auto"/>
        </w:rPr>
      </w:pPr>
    </w:p>
    <w:p>
      <w:pPr>
        <w:ind w:right="140" w:firstLine="428"/>
        <w:spacing w:after="0" w:line="284" w:lineRule="auto"/>
        <w:rPr>
          <w:sz w:val="20"/>
          <w:szCs w:val="20"/>
          <w:color w:val="auto"/>
        </w:rPr>
      </w:pPr>
      <w:r>
        <w:rPr>
          <w:rFonts w:ascii="Times New Roman" w:cs="Times New Roman" w:eastAsia="Times New Roman" w:hAnsi="Times New Roman"/>
          <w:sz w:val="18"/>
          <w:szCs w:val="18"/>
          <w:color w:val="auto"/>
        </w:rPr>
        <w:t xml:space="preserve">While the above notes are consolidated in accordance with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is not the guarantor nor obligor of these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Line of Credit</w:t>
      </w:r>
    </w:p>
    <w:p>
      <w:pPr>
        <w:spacing w:after="0" w:line="189" w:lineRule="exact"/>
        <w:rPr>
          <w:sz w:val="20"/>
          <w:szCs w:val="20"/>
          <w:color w:val="auto"/>
        </w:rPr>
      </w:pPr>
    </w:p>
    <w:p>
      <w:pPr>
        <w:ind w:right="20" w:firstLine="428"/>
        <w:spacing w:after="0" w:line="253" w:lineRule="auto"/>
        <w:rPr>
          <w:sz w:val="20"/>
          <w:szCs w:val="20"/>
          <w:color w:val="auto"/>
        </w:rPr>
      </w:pPr>
      <w:r>
        <w:rPr>
          <w:rFonts w:ascii="Times New Roman" w:cs="Times New Roman" w:eastAsia="Times New Roman" w:hAnsi="Times New Roman"/>
          <w:sz w:val="18"/>
          <w:szCs w:val="18"/>
          <w:color w:val="auto"/>
        </w:rPr>
        <w:t>On May 17, 2018, the Company entered into a credit agreement (the “Credit Agreement”) which provides for borrowing availability of up to $80.0 million in revolving credit (the “Revolver”), and borrowing availability of up to $50.0 million in a delayed draw term loan (“DDTL”), for a total credit facility of $130.0 million. The $80.0 million revolving credit matures on May 17, 2023. The $50.0 million DDTL is available to draw upon in differing amounts through May 17, 2020, and matures on May 17, 2023. The Credit Agreement is secured by essentially all Company assets and requires the Company to maintain compliance with certain financial and non-financial covenants, including a maximum rent adjusted leverage ratio and a minimum fixed charge coverage ratio as defined in the Credit Agreement. At the Company’s option, the interest rate applicable to the Revolver or DDTL will be a floating rate equal to: (i) the base rate plus a margin of 25 to 100 basis points (“bps”), based upon the Company’s rent adjusted leverage ratio, or (ii) a fixed rate for a one-, two-, three- or six-month interest period equal to LIBOR for such interest period plus a margin of 125 to 200 bps, based upon the Company’s rent adjusted leverage ratio (effective rate of 3.8% at August 4, 2019). In addition, outstanding balances under the DDTL require quarterly principal payments with a final balloon payment at maturity.</w:t>
      </w:r>
    </w:p>
    <w:p>
      <w:pPr>
        <w:spacing w:after="0" w:line="166" w:lineRule="exact"/>
        <w:rPr>
          <w:sz w:val="20"/>
          <w:szCs w:val="20"/>
          <w:color w:val="auto"/>
        </w:rPr>
      </w:pPr>
    </w:p>
    <w:p>
      <w:pPr>
        <w:ind w:right="140" w:firstLine="428"/>
        <w:spacing w:after="0" w:line="282" w:lineRule="auto"/>
        <w:rPr>
          <w:sz w:val="20"/>
          <w:szCs w:val="20"/>
          <w:color w:val="auto"/>
        </w:rPr>
      </w:pPr>
      <w:r>
        <w:rPr>
          <w:rFonts w:ascii="Times New Roman" w:cs="Times New Roman" w:eastAsia="Times New Roman" w:hAnsi="Times New Roman"/>
          <w:sz w:val="18"/>
          <w:szCs w:val="18"/>
          <w:color w:val="auto"/>
        </w:rPr>
        <w:t>As of August 4, 2019 and for the six months then ended, the Company was in compliance with all financial and non-financial covenants for all debts discussed above.</w:t>
      </w:r>
    </w:p>
    <w:p>
      <w:pPr>
        <w:spacing w:after="0" w:line="117" w:lineRule="exact"/>
        <w:rPr>
          <w:sz w:val="20"/>
          <w:szCs w:val="20"/>
          <w:color w:val="auto"/>
        </w:rPr>
      </w:pPr>
    </w:p>
    <w:p>
      <w:pPr>
        <w:ind w:left="440" w:right="4100" w:hanging="432"/>
        <w:spacing w:after="0" w:line="533" w:lineRule="auto"/>
        <w:tabs>
          <w:tab w:leader="none" w:pos="318"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w:t>
      </w:r>
      <w:r>
        <w:rPr>
          <w:rFonts w:ascii="Times New Roman" w:cs="Times New Roman" w:eastAsia="Times New Roman" w:hAnsi="Times New Roman"/>
          <w:sz w:val="17"/>
          <w:szCs w:val="17"/>
          <w:color w:val="auto"/>
        </w:rPr>
        <w:t>Accrued expenses and other current liabilities consist of the following:</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February 3, 2019</w:t>
            </w:r>
          </w:p>
        </w:tc>
      </w:tr>
      <w:tr>
        <w:trPr>
          <w:trHeight w:val="196"/>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15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Freight</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Product returns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Catalog costs</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Unpaid purchases of property &amp; equipment</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advertising</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8,155</w:t>
            </w:r>
          </w:p>
        </w:tc>
      </w:tr>
      <w:tr>
        <w:trPr>
          <w:trHeight w:val="217"/>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4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23,693</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26,530</w:t>
            </w: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INVESTMENT</w:t>
      </w:r>
    </w:p>
    <w:p>
      <w:pPr>
        <w:spacing w:after="0" w:line="187" w:lineRule="exact"/>
        <w:rPr>
          <w:sz w:val="20"/>
          <w:szCs w:val="20"/>
          <w:color w:val="auto"/>
        </w:rPr>
      </w:pPr>
    </w:p>
    <w:p>
      <w:pPr>
        <w:ind w:right="120" w:firstLine="441"/>
        <w:spacing w:after="0" w:line="257"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98"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36"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82"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The fair value of the Company’s available-for-sale security was valued based on a discounted cash flow method (Level 3), which incorporates the U.S. Treasury yield curve, credit information and an estimate of future cash flows. As of August 4, 2019, the carrying value of the Company’s available-for-sale security approximates its fair value.</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February 3, 2019</w:t>
            </w:r>
          </w:p>
        </w:tc>
      </w:tr>
      <w:tr>
        <w:trPr>
          <w:trHeight w:val="227"/>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1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1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86"/>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1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1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78"/>
        </w:trPr>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234"/>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trust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r>
    </w:tbl>
    <w:p>
      <w:pPr>
        <w:spacing w:after="0" w:line="157" w:lineRule="exact"/>
        <w:rPr>
          <w:sz w:val="20"/>
          <w:szCs w:val="20"/>
          <w:color w:val="auto"/>
        </w:rPr>
      </w:pPr>
    </w:p>
    <w:p>
      <w:pPr>
        <w:ind w:right="560" w:firstLine="428"/>
        <w:spacing w:after="0" w:line="282" w:lineRule="auto"/>
        <w:rPr>
          <w:sz w:val="20"/>
          <w:szCs w:val="20"/>
          <w:color w:val="auto"/>
        </w:rPr>
      </w:pPr>
      <w:r>
        <w:rPr>
          <w:rFonts w:ascii="Times New Roman" w:cs="Times New Roman" w:eastAsia="Times New Roman" w:hAnsi="Times New Roman"/>
          <w:sz w:val="18"/>
          <w:szCs w:val="18"/>
          <w:color w:val="auto"/>
        </w:rPr>
        <w:t>The following table presents future principal receipts related to the Company’s available-for-sale security by contractual maturity as of August 4, 2019. Cost and estimated fair value are equal.</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20" w:type="dxa"/>
            <w:vAlign w:val="bottom"/>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86"/>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284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23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w:t>
            </w:r>
          </w:p>
        </w:tc>
      </w:tr>
      <w:tr>
        <w:trPr>
          <w:trHeight w:val="217"/>
        </w:trPr>
        <w:tc>
          <w:tcPr>
            <w:tcW w:w="20" w:type="dxa"/>
            <w:vAlign w:val="bottom"/>
          </w:tcPr>
          <w:p>
            <w:pPr>
              <w:spacing w:after="0"/>
              <w:rPr>
                <w:sz w:val="18"/>
                <w:szCs w:val="18"/>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w:t>
            </w:r>
          </w:p>
        </w:tc>
      </w:tr>
    </w:tbl>
    <w:p>
      <w:pPr>
        <w:spacing w:after="0" w:line="200" w:lineRule="exact"/>
        <w:rPr>
          <w:sz w:val="20"/>
          <w:szCs w:val="20"/>
          <w:color w:val="auto"/>
        </w:rPr>
      </w:pPr>
    </w:p>
    <w:p>
      <w:pPr>
        <w:spacing w:after="0" w:line="23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VARIABLE INTEREST ENTITY</w:t>
      </w:r>
    </w:p>
    <w:p>
      <w:pPr>
        <w:spacing w:after="0" w:line="187" w:lineRule="exact"/>
        <w:rPr>
          <w:sz w:val="20"/>
          <w:szCs w:val="20"/>
          <w:color w:val="auto"/>
        </w:rPr>
      </w:pPr>
    </w:p>
    <w:p>
      <w:pPr>
        <w:ind w:right="40" w:firstLine="486"/>
        <w:spacing w:after="0" w:line="259" w:lineRule="auto"/>
        <w:rPr>
          <w:sz w:val="20"/>
          <w:szCs w:val="20"/>
          <w:color w:val="auto"/>
        </w:rPr>
      </w:pPr>
      <w:r>
        <w:rPr>
          <w:rFonts w:ascii="Times New Roman" w:cs="Times New Roman" w:eastAsia="Times New Roman" w:hAnsi="Times New Roman"/>
          <w:sz w:val="18"/>
          <w:szCs w:val="18"/>
          <w:color w:val="auto"/>
        </w:rPr>
        <w:t xml:space="preserve">Based upon the criteria set forth in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consolidates variable interest entities (“VIEs”) in which it has a controlling financial interest and is therefore deemed the primary beneficiary. A controlling financial interest will have both of the following characteristics: (a) the power to direct the VIE activities that most significantly impact economic performance; and (b) the obligation to absorb the VIE losses and the right to receive benefits that are significant to the VIE. The Company has determined that it was the primary beneficiary of one variable interest entity (“VIE”) as of August 4, 2019 and February 3, 2019.</w:t>
      </w:r>
    </w:p>
    <w:p>
      <w:pPr>
        <w:spacing w:after="0" w:line="141" w:lineRule="exact"/>
        <w:rPr>
          <w:sz w:val="20"/>
          <w:szCs w:val="20"/>
          <w:color w:val="auto"/>
        </w:rPr>
      </w:pPr>
    </w:p>
    <w:p>
      <w:pPr>
        <w:ind w:right="100" w:firstLine="428"/>
        <w:spacing w:after="0" w:line="255" w:lineRule="auto"/>
        <w:rPr>
          <w:sz w:val="20"/>
          <w:szCs w:val="20"/>
          <w:color w:val="auto"/>
        </w:rPr>
      </w:pPr>
      <w:r>
        <w:rPr>
          <w:rFonts w:ascii="Times New Roman" w:cs="Times New Roman" w:eastAsia="Times New Roman" w:hAnsi="Times New Roman"/>
          <w:sz w:val="18"/>
          <w:szCs w:val="18"/>
          <w:color w:val="auto"/>
        </w:rPr>
        <w:t>The Company leases the Company’s headquarters in Mt. Horeb, Wisconsin from TRI. In conjunction with the lease, the Company invested $6.3 million in a trust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 primary beneficiary, it consolidates TRI and the lease is eliminated in consolidation. The Company does not consolidate the trust as the Company is not the primary beneficiary.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condensed consolidated balance sheets include the following amounts as a result of the consolidation of TRI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4, 2019 and February 3, 2019:</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February 3, 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6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24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 in VIE</w:t>
            </w:r>
          </w:p>
        </w:tc>
        <w:tc>
          <w:tcPr>
            <w:tcW w:w="24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28,260</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4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bottom w:val="single" w:sz="8" w:color="EEEEEE"/>
            </w:tcBorders>
          </w:tcPr>
          <w:p>
            <w:pPr>
              <w:spacing w:after="0" w:line="20" w:lineRule="exact"/>
              <w:rPr>
                <w:sz w:val="1"/>
                <w:szCs w:val="1"/>
                <w:color w:val="auto"/>
              </w:rPr>
            </w:pPr>
          </w:p>
        </w:tc>
        <w:tc>
          <w:tcPr>
            <w:tcW w:w="24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6101715</wp:posOffset>
            </wp:positionH>
            <wp:positionV relativeFrom="paragraph">
              <wp:posOffset>-38100</wp:posOffset>
            </wp:positionV>
            <wp:extent cx="3429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3429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40"/>
          </w:cols>
          <w:pgMar w:left="1140" w:top="297" w:right="111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1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EARNINGS (LOSS) PER SHARE</w:t>
      </w:r>
    </w:p>
    <w:p>
      <w:pPr>
        <w:spacing w:after="0" w:line="187" w:lineRule="exact"/>
        <w:rPr>
          <w:sz w:val="20"/>
          <w:szCs w:val="20"/>
          <w:color w:val="auto"/>
        </w:rPr>
      </w:pPr>
    </w:p>
    <w:p>
      <w:pPr>
        <w:ind w:right="100" w:firstLine="428"/>
        <w:spacing w:after="0" w:line="259" w:lineRule="auto"/>
        <w:rPr>
          <w:sz w:val="20"/>
          <w:szCs w:val="20"/>
          <w:color w:val="auto"/>
        </w:rPr>
      </w:pPr>
      <w:r>
        <w:rPr>
          <w:rFonts w:ascii="Times New Roman" w:cs="Times New Roman" w:eastAsia="Times New Roman" w:hAnsi="Times New Roman"/>
          <w:sz w:val="18"/>
          <w:szCs w:val="18"/>
          <w:color w:val="auto"/>
        </w:rPr>
        <w:t>Earnings (loss) per share is computed under the provisions of ASC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Basic earnings (loss) per share is based on the weighted average number of common shares outstanding for the period. Diluted earnings (loss) per share is based on the weighted average number of common shares plus the effect of dilutive potential common shares outstanding during the period using the treasury stock method. Dilutive potential common shares include outstanding restricted stock. The reconciliation of the numerator and denominator of the basic and diluted earnings (loss) per share calculation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July 29, 2018</w:t>
            </w: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July 29, 2018</w:t>
            </w:r>
          </w:p>
        </w:tc>
      </w:tr>
      <w:tr>
        <w:trPr>
          <w:trHeight w:val="196"/>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 net income (loss) attributable</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 controlling interest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w:t>
            </w:r>
          </w:p>
        </w:tc>
      </w:tr>
      <w:tr>
        <w:trPr>
          <w:trHeight w:val="225"/>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 - weighted average shares</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A and Class B)</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32,056</w:t>
            </w:r>
          </w:p>
        </w:tc>
      </w:tr>
      <w:tr>
        <w:trPr>
          <w:trHeight w:val="216"/>
        </w:trPr>
        <w:tc>
          <w:tcPr>
            <w:tcW w:w="20" w:type="dxa"/>
            <w:vAlign w:val="bottom"/>
          </w:tcPr>
          <w:p>
            <w:pPr>
              <w:spacing w:after="0"/>
              <w:rPr>
                <w:sz w:val="18"/>
                <w:szCs w:val="18"/>
                <w:color w:val="auto"/>
              </w:rPr>
            </w:pPr>
          </w:p>
        </w:tc>
        <w:tc>
          <w:tcPr>
            <w:tcW w:w="3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Dilutive shares</w:t>
            </w:r>
          </w:p>
        </w:tc>
        <w:tc>
          <w:tcPr>
            <w:tcW w:w="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30"/>
        </w:trPr>
        <w:tc>
          <w:tcPr>
            <w:tcW w:w="20" w:type="dxa"/>
            <w:vAlign w:val="bottom"/>
          </w:tcPr>
          <w:p>
            <w:pPr>
              <w:spacing w:after="0"/>
              <w:rPr>
                <w:sz w:val="19"/>
                <w:szCs w:val="19"/>
                <w:color w:val="auto"/>
              </w:rPr>
            </w:pPr>
          </w:p>
        </w:tc>
        <w:tc>
          <w:tcPr>
            <w:tcW w:w="3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32,399</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32,414</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32,253</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32,439</w:t>
            </w:r>
          </w:p>
        </w:tc>
      </w:tr>
      <w:tr>
        <w:trPr>
          <w:trHeight w:val="24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per share (Class A and Class B)</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34"/>
        </w:trPr>
        <w:tc>
          <w:tcPr>
            <w:tcW w:w="20" w:type="dxa"/>
            <w:vAlign w:val="bottom"/>
          </w:tcPr>
          <w:p>
            <w:pPr>
              <w:spacing w:after="0"/>
              <w:rPr>
                <w:sz w:val="20"/>
                <w:szCs w:val="20"/>
                <w:color w:val="auto"/>
              </w:rPr>
            </w:pP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r>
    </w:tbl>
    <w:p>
      <w:pPr>
        <w:spacing w:after="0" w:line="166" w:lineRule="exact"/>
        <w:rPr>
          <w:sz w:val="20"/>
          <w:szCs w:val="20"/>
          <w:color w:val="auto"/>
        </w:rPr>
      </w:pPr>
    </w:p>
    <w:p>
      <w:pPr>
        <w:ind w:right="540" w:firstLine="492"/>
        <w:spacing w:after="0" w:line="282" w:lineRule="auto"/>
        <w:rPr>
          <w:sz w:val="20"/>
          <w:szCs w:val="20"/>
          <w:color w:val="auto"/>
        </w:rPr>
      </w:pPr>
      <w:r>
        <w:rPr>
          <w:rFonts w:ascii="Times New Roman" w:cs="Times New Roman" w:eastAsia="Times New Roman" w:hAnsi="Times New Roman"/>
          <w:sz w:val="18"/>
          <w:szCs w:val="18"/>
          <w:color w:val="auto"/>
        </w:rPr>
        <w:t>The computation of diluted earnings (loss) per share excluded 0.2 million shares of unvested restricted stock for the six months ended August 4, 2019 because their inclusion would be anti-dilutive due to a net loss.</w:t>
      </w:r>
    </w:p>
    <w:p>
      <w:pPr>
        <w:spacing w:after="0" w:line="33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87" w:lineRule="exact"/>
        <w:rPr>
          <w:sz w:val="20"/>
          <w:szCs w:val="20"/>
          <w:color w:val="auto"/>
        </w:rPr>
      </w:pPr>
    </w:p>
    <w:p>
      <w:pPr>
        <w:ind w:right="180" w:firstLine="428"/>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plan in accordance with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which requires the Company to measure all share-based payments at grant date fair value and recognize the cost over the requisite service period of the award.</w:t>
      </w:r>
    </w:p>
    <w:p>
      <w:pPr>
        <w:spacing w:after="0" w:line="149" w:lineRule="exact"/>
        <w:rPr>
          <w:sz w:val="20"/>
          <w:szCs w:val="20"/>
          <w:color w:val="auto"/>
        </w:rPr>
      </w:pPr>
    </w:p>
    <w:p>
      <w:pPr>
        <w:jc w:val="both"/>
        <w:ind w:right="400" w:firstLine="428"/>
        <w:spacing w:after="0" w:line="261" w:lineRule="auto"/>
        <w:rPr>
          <w:sz w:val="20"/>
          <w:szCs w:val="20"/>
          <w:color w:val="auto"/>
        </w:rPr>
      </w:pPr>
      <w:r>
        <w:rPr>
          <w:rFonts w:ascii="Times New Roman" w:cs="Times New Roman" w:eastAsia="Times New Roman" w:hAnsi="Times New Roman"/>
          <w:sz w:val="18"/>
          <w:szCs w:val="18"/>
          <w:color w:val="auto"/>
        </w:rPr>
        <w:t>Total stock compensation expense associated with restricted stock recognized by the Company was $0.5 million and $0.9 million for the three and six months ended for both August 4, 2019 and July 29, 2018, respectively. The Company’s total stock compensation expense is included in selling, general and administrative expenses on the Condensed Consolidated Statements of Operations.</w:t>
      </w:r>
    </w:p>
    <w:p>
      <w:pPr>
        <w:spacing w:after="0" w:line="140" w:lineRule="exact"/>
        <w:rPr>
          <w:sz w:val="20"/>
          <w:szCs w:val="20"/>
          <w:color w:val="auto"/>
        </w:rPr>
      </w:pPr>
    </w:p>
    <w:p>
      <w:pPr>
        <w:ind w:right="560" w:firstLine="428"/>
        <w:spacing w:after="0" w:line="282" w:lineRule="auto"/>
        <w:rPr>
          <w:sz w:val="20"/>
          <w:szCs w:val="20"/>
          <w:color w:val="auto"/>
        </w:rPr>
      </w:pPr>
      <w:r>
        <w:rPr>
          <w:rFonts w:ascii="Times New Roman" w:cs="Times New Roman" w:eastAsia="Times New Roman" w:hAnsi="Times New Roman"/>
          <w:sz w:val="18"/>
          <w:szCs w:val="18"/>
          <w:color w:val="auto"/>
        </w:rPr>
        <w:t>A summary of the activity in the Company’s unvested restricted stock during the six months ended August 4, 2019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203"/>
        </w:trPr>
        <w:tc>
          <w:tcPr>
            <w:tcW w:w="2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30"/>
        </w:trPr>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3"/>
        </w:trPr>
        <w:tc>
          <w:tcPr>
            <w:tcW w:w="20" w:type="dxa"/>
            <w:vAlign w:val="bottom"/>
          </w:tcPr>
          <w:p>
            <w:pPr>
              <w:spacing w:after="0"/>
              <w:rPr>
                <w:sz w:val="18"/>
                <w:szCs w:val="18"/>
                <w:color w:val="auto"/>
              </w:rPr>
            </w:pPr>
          </w:p>
        </w:tc>
        <w:tc>
          <w:tcPr>
            <w:tcW w:w="71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February 3, 2019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321,657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r>
      <w:tr>
        <w:trPr>
          <w:trHeight w:val="230"/>
        </w:trPr>
        <w:tc>
          <w:tcPr>
            <w:tcW w:w="20" w:type="dxa"/>
            <w:vAlign w:val="bottom"/>
          </w:tcPr>
          <w:p>
            <w:pPr>
              <w:spacing w:after="0"/>
              <w:rPr>
                <w:sz w:val="19"/>
                <w:szCs w:val="19"/>
                <w:color w:val="auto"/>
              </w:rPr>
            </w:pP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165,190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r>
      <w:tr>
        <w:trPr>
          <w:trHeight w:val="230"/>
        </w:trPr>
        <w:tc>
          <w:tcPr>
            <w:tcW w:w="20" w:type="dxa"/>
            <w:vAlign w:val="bottom"/>
          </w:tcPr>
          <w:p>
            <w:pPr>
              <w:spacing w:after="0"/>
              <w:rPr>
                <w:sz w:val="19"/>
                <w:szCs w:val="19"/>
                <w:color w:val="auto"/>
              </w:rPr>
            </w:pPr>
          </w:p>
        </w:tc>
        <w:tc>
          <w:tcPr>
            <w:tcW w:w="7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(61,262)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r>
      <w:tr>
        <w:trPr>
          <w:trHeight w:val="230"/>
        </w:trPr>
        <w:tc>
          <w:tcPr>
            <w:tcW w:w="20" w:type="dxa"/>
            <w:vAlign w:val="bottom"/>
          </w:tcPr>
          <w:p>
            <w:pPr>
              <w:spacing w:after="0"/>
              <w:rPr>
                <w:sz w:val="19"/>
                <w:szCs w:val="19"/>
                <w:color w:val="auto"/>
              </w:rPr>
            </w:pPr>
          </w:p>
        </w:tc>
        <w:tc>
          <w:tcPr>
            <w:tcW w:w="7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(7,858)</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17"/>
        </w:trPr>
        <w:tc>
          <w:tcPr>
            <w:tcW w:w="20" w:type="dxa"/>
            <w:vAlign w:val="bottom"/>
          </w:tcPr>
          <w:p>
            <w:pPr>
              <w:spacing w:after="0"/>
              <w:rPr>
                <w:sz w:val="18"/>
                <w:szCs w:val="18"/>
                <w:color w:val="auto"/>
              </w:rPr>
            </w:pPr>
          </w:p>
        </w:tc>
        <w:tc>
          <w:tcPr>
            <w:tcW w:w="7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August 4, 2019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417,727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r>
    </w:tbl>
    <w:p>
      <w:pPr>
        <w:spacing w:after="0" w:line="157" w:lineRule="exact"/>
        <w:rPr>
          <w:sz w:val="20"/>
          <w:szCs w:val="20"/>
          <w:color w:val="auto"/>
        </w:rPr>
      </w:pPr>
    </w:p>
    <w:p>
      <w:pPr>
        <w:ind w:right="560" w:firstLine="428"/>
        <w:spacing w:after="0" w:line="282" w:lineRule="auto"/>
        <w:rPr>
          <w:sz w:val="20"/>
          <w:szCs w:val="20"/>
          <w:color w:val="auto"/>
        </w:rPr>
      </w:pPr>
      <w:r>
        <w:rPr>
          <w:rFonts w:ascii="Times New Roman" w:cs="Times New Roman" w:eastAsia="Times New Roman" w:hAnsi="Times New Roman"/>
          <w:sz w:val="18"/>
          <w:szCs w:val="18"/>
          <w:color w:val="auto"/>
        </w:rPr>
        <w:t>At August 4, 2019, the Company had unrecognized compensation expense of $4.3 million related to the restricted stock awards, which is expected to be recognized over a weighted average period of 2.9 years.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February 3, 2019</w:t>
            </w:r>
          </w:p>
        </w:tc>
      </w:tr>
      <w:tr>
        <w:trPr>
          <w:trHeight w:val="196"/>
        </w:trPr>
        <w:tc>
          <w:tcPr>
            <w:tcW w:w="47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32,765</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71,469</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36,473</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Software</w:t>
            </w:r>
          </w:p>
        </w:tc>
        <w:tc>
          <w:tcPr>
            <w:tcW w:w="16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24,939</w:t>
            </w: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170,191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188,416</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6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(43,526)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(34,203)</w:t>
            </w: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126,665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154,213</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12,896</w:t>
            </w:r>
          </w:p>
        </w:tc>
      </w:tr>
      <w:tr>
        <w:trPr>
          <w:trHeight w:val="217"/>
        </w:trPr>
        <w:tc>
          <w:tcPr>
            <w:tcW w:w="2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136,427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167,109</w:t>
            </w: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189" w:lineRule="exact"/>
        <w:rPr>
          <w:sz w:val="20"/>
          <w:szCs w:val="20"/>
          <w:color w:val="auto"/>
        </w:rPr>
      </w:pPr>
    </w:p>
    <w:p>
      <w:pPr>
        <w:ind w:right="300" w:firstLine="428"/>
        <w:spacing w:after="0" w:line="258" w:lineRule="auto"/>
        <w:rPr>
          <w:sz w:val="20"/>
          <w:szCs w:val="20"/>
          <w:color w:val="auto"/>
        </w:rPr>
      </w:pPr>
      <w:r>
        <w:rPr>
          <w:rFonts w:ascii="Times New Roman" w:cs="Times New Roman" w:eastAsia="Times New Roman" w:hAnsi="Times New Roman"/>
          <w:sz w:val="18"/>
          <w:szCs w:val="18"/>
          <w:color w:val="auto"/>
        </w:rPr>
        <w:t>The Company has two operating segments, which are also its reportable segments: direct and retail. The direct segment includes net sales from the Company’s website and catalogs. The retail segment includes net sales from the Company’s retail and outlet stores. These two operating segments are components of the Company for which separate financial information is available and for which operating results are evaluated on a regular basis by the chief operating decision maker in deciding how to allocate resources and in assessing performance of the segments.</w:t>
      </w:r>
    </w:p>
    <w:p>
      <w:pPr>
        <w:spacing w:after="0" w:line="143" w:lineRule="exact"/>
        <w:rPr>
          <w:sz w:val="20"/>
          <w:szCs w:val="20"/>
          <w:color w:val="auto"/>
        </w:rPr>
      </w:pPr>
    </w:p>
    <w:p>
      <w:pPr>
        <w:ind w:right="40" w:firstLine="428"/>
        <w:spacing w:after="0" w:line="258" w:lineRule="auto"/>
        <w:rPr>
          <w:sz w:val="20"/>
          <w:szCs w:val="20"/>
          <w:color w:val="auto"/>
        </w:rPr>
      </w:pPr>
      <w:r>
        <w:rPr>
          <w:rFonts w:ascii="Times New Roman" w:cs="Times New Roman" w:eastAsia="Times New Roman" w:hAnsi="Times New Roman"/>
          <w:sz w:val="18"/>
          <w:szCs w:val="18"/>
          <w:color w:val="auto"/>
        </w:rPr>
        <w:t>Income tax expense, and corporate expenses, which include but are not limited to: human resources, legal, finance, information technology, design and other corporate-related expenses are included in the Company’s direct segment. Interest expense, depreciation and amortization, and property and equipment expenditures, are recognized in each segment. Advertising expenses are generally included in the Company’s direct segment, except for specific store advertising, which is included in the Company’s retail segment.</w:t>
      </w:r>
    </w:p>
    <w:p>
      <w:pPr>
        <w:spacing w:after="0" w:line="157" w:lineRule="exact"/>
        <w:rPr>
          <w:sz w:val="20"/>
          <w:szCs w:val="20"/>
          <w:color w:val="auto"/>
        </w:rPr>
      </w:pPr>
    </w:p>
    <w:p>
      <w:pPr>
        <w:ind w:right="60" w:firstLine="428"/>
        <w:spacing w:after="0" w:line="282" w:lineRule="auto"/>
        <w:rPr>
          <w:sz w:val="20"/>
          <w:szCs w:val="20"/>
          <w:color w:val="auto"/>
        </w:rPr>
      </w:pPr>
      <w:r>
        <w:rPr>
          <w:rFonts w:ascii="Times New Roman" w:cs="Times New Roman" w:eastAsia="Times New Roman" w:hAnsi="Times New Roman"/>
          <w:sz w:val="18"/>
          <w:szCs w:val="18"/>
          <w:color w:val="auto"/>
        </w:rPr>
        <w:t>Net sales outside of the United States were insignificant. Variable allocations of assets are not made for segment reporting. The Company does not have any assets outside of the United States.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Segment information is presented in the following table: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July 29, 2018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July 29, 2018</w:t>
            </w:r>
          </w:p>
        </w:tc>
        <w:tc>
          <w:tcPr>
            <w:tcW w:w="20" w:type="dxa"/>
            <w:vAlign w:val="bottom"/>
          </w:tcPr>
          <w:p>
            <w:pPr>
              <w:spacing w:after="0"/>
              <w:rPr>
                <w:sz w:val="18"/>
                <w:szCs w:val="18"/>
                <w:color w:val="auto"/>
              </w:rPr>
            </w:pPr>
          </w:p>
        </w:tc>
      </w:tr>
      <w:tr>
        <w:trPr>
          <w:trHeight w:val="210"/>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Direct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60,267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125,968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127,045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83,815</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net sales</w:t>
            </w: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121,963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110,653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236,207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210,860</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Direct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operating income (loss)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(loss) income, net</w:t>
            </w: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7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2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6101715</wp:posOffset>
            </wp:positionH>
            <wp:positionV relativeFrom="paragraph">
              <wp:posOffset>-38100</wp:posOffset>
            </wp:positionV>
            <wp:extent cx="3429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3429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40"/>
          </w:cols>
          <w:pgMar w:left="1140" w:top="297" w:right="111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sales by business is presented in the following table: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5"/>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10"/>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July 29, 2018</w:t>
            </w:r>
          </w:p>
        </w:tc>
        <w:tc>
          <w:tcPr>
            <w:tcW w:w="160" w:type="dxa"/>
            <w:vAlign w:val="bottom"/>
          </w:tcPr>
          <w:p>
            <w:pPr>
              <w:spacing w:after="0"/>
              <w:rPr>
                <w:sz w:val="18"/>
                <w:szCs w:val="18"/>
                <w:color w:val="auto"/>
              </w:rPr>
            </w:pPr>
          </w:p>
        </w:tc>
        <w:tc>
          <w:tcPr>
            <w:tcW w:w="128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July 29, 2018</w:t>
            </w:r>
          </w:p>
        </w:tc>
      </w:tr>
      <w:tr>
        <w:trPr>
          <w:trHeight w:val="196"/>
        </w:trPr>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Men's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80,090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75,434</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155,890</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143,354</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Women's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56,785</w:t>
            </w:r>
          </w:p>
        </w:tc>
      </w:tr>
      <w:tr>
        <w:trPr>
          <w:trHeight w:val="216"/>
        </w:trPr>
        <w:tc>
          <w:tcPr>
            <w:tcW w:w="20" w:type="dxa"/>
            <w:vAlign w:val="bottom"/>
          </w:tcPr>
          <w:p>
            <w:pPr>
              <w:spacing w:after="0"/>
              <w:rPr>
                <w:sz w:val="18"/>
                <w:szCs w:val="18"/>
                <w:color w:val="auto"/>
              </w:rPr>
            </w:pPr>
          </w:p>
        </w:tc>
        <w:tc>
          <w:tcPr>
            <w:tcW w:w="2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Hard goods/other</w:t>
            </w:r>
          </w:p>
        </w:tc>
        <w:tc>
          <w:tcPr>
            <w:tcW w:w="10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12,402</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10,721</w:t>
            </w:r>
          </w:p>
        </w:tc>
      </w:tr>
      <w:tr>
        <w:trPr>
          <w:trHeight w:val="217"/>
        </w:trPr>
        <w:tc>
          <w:tcPr>
            <w:tcW w:w="20" w:type="dxa"/>
            <w:vAlign w:val="bottom"/>
          </w:tcPr>
          <w:p>
            <w:pPr>
              <w:spacing w:after="0"/>
              <w:rPr>
                <w:sz w:val="18"/>
                <w:szCs w:val="18"/>
                <w:color w:val="auto"/>
              </w:rPr>
            </w:pPr>
          </w:p>
        </w:tc>
        <w:tc>
          <w:tcPr>
            <w:tcW w:w="2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net sales</w:t>
            </w:r>
          </w:p>
        </w:tc>
        <w:tc>
          <w:tcPr>
            <w:tcW w:w="10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110,653</w:t>
            </w: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236,207</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210,860</w:t>
            </w:r>
          </w:p>
        </w:tc>
      </w:tr>
      <w:tr>
        <w:trPr>
          <w:trHeight w:val="392"/>
        </w:trPr>
        <w:tc>
          <w:tcPr>
            <w:tcW w:w="20" w:type="dxa"/>
            <w:vAlign w:val="bottom"/>
          </w:tcPr>
          <w:p>
            <w:pPr>
              <w:spacing w:after="0"/>
              <w:rPr>
                <w:sz w:val="24"/>
                <w:szCs w:val="24"/>
                <w:color w:val="auto"/>
              </w:rPr>
            </w:pPr>
          </w:p>
        </w:tc>
        <w:tc>
          <w:tcPr>
            <w:tcW w:w="51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Segment total assets is presented in the following table: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9"/>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2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February 3, 2019</w:t>
            </w:r>
          </w:p>
        </w:tc>
      </w:tr>
      <w:tr>
        <w:trPr>
          <w:trHeight w:val="183"/>
        </w:trPr>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4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221,542</w:t>
            </w:r>
          </w:p>
        </w:tc>
        <w:tc>
          <w:tcPr>
            <w:tcW w:w="660" w:type="dxa"/>
            <w:vAlign w:val="bottom"/>
            <w:gridSpan w:val="2"/>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181,429</w:t>
            </w:r>
          </w:p>
        </w:tc>
      </w:tr>
      <w:tr>
        <w:trPr>
          <w:trHeight w:val="216"/>
        </w:trPr>
        <w:tc>
          <w:tcPr>
            <w:tcW w:w="20" w:type="dxa"/>
            <w:vAlign w:val="bottom"/>
          </w:tcPr>
          <w:p>
            <w:pPr>
              <w:spacing w:after="0"/>
              <w:rPr>
                <w:sz w:val="18"/>
                <w:szCs w:val="18"/>
                <w:color w:val="auto"/>
              </w:rPr>
            </w:pPr>
          </w:p>
        </w:tc>
        <w:tc>
          <w:tcPr>
            <w:tcW w:w="2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Retail</w:t>
            </w:r>
          </w:p>
        </w:tc>
        <w:tc>
          <w:tcPr>
            <w:tcW w:w="10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212,553</w:t>
            </w:r>
          </w:p>
        </w:tc>
        <w:tc>
          <w:tcPr>
            <w:tcW w:w="2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113,876</w:t>
            </w:r>
          </w:p>
        </w:tc>
      </w:tr>
      <w:tr>
        <w:trPr>
          <w:trHeight w:val="217"/>
        </w:trPr>
        <w:tc>
          <w:tcPr>
            <w:tcW w:w="20" w:type="dxa"/>
            <w:vAlign w:val="bottom"/>
          </w:tcPr>
          <w:p>
            <w:pPr>
              <w:spacing w:after="0"/>
              <w:rPr>
                <w:sz w:val="18"/>
                <w:szCs w:val="18"/>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at period end</w:t>
            </w:r>
          </w:p>
        </w:tc>
        <w:tc>
          <w:tcPr>
            <w:tcW w:w="10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4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434,095</w:t>
            </w:r>
          </w:p>
        </w:tc>
        <w:tc>
          <w:tcPr>
            <w:tcW w:w="2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295,305</w:t>
            </w:r>
          </w:p>
        </w:tc>
      </w:tr>
    </w:tbl>
    <w:p>
      <w:pPr>
        <w:spacing w:after="0" w:line="200" w:lineRule="exact"/>
        <w:rPr>
          <w:sz w:val="20"/>
          <w:szCs w:val="20"/>
          <w:color w:val="auto"/>
        </w:rPr>
      </w:pPr>
    </w:p>
    <w:p>
      <w:pPr>
        <w:spacing w:after="0" w:line="22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tab/>
        <w:t>CONTRACT ASSETS AND LIABILITIES</w:t>
      </w:r>
    </w:p>
    <w:p>
      <w:pPr>
        <w:spacing w:after="0" w:line="18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Company’s contract assets primarily consist of the right of return for amounts of inventory to be returned that is expected to be resold and is recorded in Prepaid expenses and other current assets on the Company’s consolidated balance sheets. The Company’s contract liabilities primarily consist of gift card liabilities and are recorded in accrued expenses and other current liabilities under deferred revenue (see Note 4 “Accrued Expenses and Other Current Liabilities”) on the Company’s consolidated balance sheets. Upon issuance of a gift card, a liability is established for its cash value. The gift card liability is relieved and revenues on gift cards are recorded at the time of redemption by the customer. Based on historical redemption patterns, gift cards are generally redeemed within one year and gift card breakage is not material.</w:t>
      </w:r>
    </w:p>
    <w:p>
      <w:pPr>
        <w:spacing w:after="0" w:line="1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Contract assets and liabilities on the Company’s consolidated balance sheets are presented in the following table: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February 3, 2019</w:t>
            </w:r>
          </w:p>
        </w:tc>
      </w:tr>
      <w:tr>
        <w:trPr>
          <w:trHeight w:val="196"/>
        </w:trPr>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8,508</w:t>
            </w:r>
          </w:p>
        </w:tc>
      </w:tr>
    </w:tbl>
    <w:p>
      <w:pPr>
        <w:spacing w:after="0" w:line="152" w:lineRule="exact"/>
        <w:rPr>
          <w:sz w:val="20"/>
          <w:szCs w:val="20"/>
          <w:color w:val="auto"/>
        </w:rPr>
      </w:pPr>
    </w:p>
    <w:p>
      <w:pPr>
        <w:ind w:right="260" w:firstLine="567"/>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from our beginning contract liability balance was $5.1 million in the six months ended August 4, 2019.</w:t>
      </w:r>
    </w:p>
    <w:p>
      <w:pPr>
        <w:spacing w:after="0" w:line="1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89" w:lineRule="exact"/>
        <w:rPr>
          <w:sz w:val="20"/>
          <w:szCs w:val="20"/>
          <w:color w:val="auto"/>
        </w:rPr>
      </w:pPr>
    </w:p>
    <w:p>
      <w:pPr>
        <w:ind w:right="80" w:firstLine="428"/>
        <w:spacing w:after="0" w:line="258" w:lineRule="auto"/>
        <w:rPr>
          <w:sz w:val="20"/>
          <w:szCs w:val="20"/>
          <w:color w:val="auto"/>
        </w:rPr>
      </w:pPr>
      <w:r>
        <w:rPr>
          <w:rFonts w:ascii="Times New Roman" w:cs="Times New Roman" w:eastAsia="Times New Roman" w:hAnsi="Times New Roman"/>
          <w:sz w:val="18"/>
          <w:szCs w:val="18"/>
          <w:color w:val="auto"/>
        </w:rPr>
        <w:t>The provision for income taxes for the interim period is based on an estimate of the annual effective tax rate adjusted to reflect the impact of discrete items. Management judgment is required in projecting ordinary income to estimate the Company’s annual effective tax rate. The effective tax rate related to controlling interest was 26% for both the three and six months ended August 4, 2019 and July 29, 2018, respectively. The income from TRI was excluded from the calculation of the Company’s effective tax rate, as TRI is a limited liability company and not subject to income taxes.</w:t>
      </w:r>
    </w:p>
    <w:p>
      <w:pPr>
        <w:spacing w:after="0" w:line="15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189" w:lineRule="exact"/>
        <w:rPr>
          <w:sz w:val="20"/>
          <w:szCs w:val="20"/>
          <w:color w:val="auto"/>
        </w:rPr>
      </w:pPr>
    </w:p>
    <w:p>
      <w:pPr>
        <w:ind w:right="820" w:firstLine="441"/>
        <w:spacing w:after="0" w:line="282" w:lineRule="auto"/>
        <w:rPr>
          <w:sz w:val="20"/>
          <w:szCs w:val="20"/>
          <w:color w:val="auto"/>
        </w:rPr>
      </w:pPr>
      <w:r>
        <w:rPr>
          <w:rFonts w:ascii="Times New Roman" w:cs="Times New Roman" w:eastAsia="Times New Roman" w:hAnsi="Times New Roman"/>
          <w:sz w:val="18"/>
          <w:szCs w:val="18"/>
          <w:color w:val="auto"/>
        </w:rPr>
        <w:t>During the six months ended August 4, 2019, there have been no new recent accounting pronouncements that are of significance, or potential significance, to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7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89" w:lineRule="exact"/>
        <w:rPr>
          <w:sz w:val="20"/>
          <w:szCs w:val="20"/>
          <w:color w:val="auto"/>
        </w:rPr>
      </w:pPr>
    </w:p>
    <w:p>
      <w:pPr>
        <w:ind w:firstLine="428"/>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which these condensed consolidated financial statements were available to be issued and has determined that it does not have any material subsequent events to disclose in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80"/>
          </w:cols>
          <w:pgMar w:left="1140" w:top="297" w:right="117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2" w:lineRule="exact"/>
        <w:rPr>
          <w:sz w:val="20"/>
          <w:szCs w:val="20"/>
          <w:color w:val="auto"/>
        </w:rPr>
      </w:pPr>
    </w:p>
    <w:p>
      <w:pPr>
        <w:ind w:right="120" w:firstLine="428"/>
        <w:spacing w:after="0" w:line="243"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the financial condition and results of our operations should be read in conjunction with the financial statements and related notes of Duluth Holdings Inc. included in Item 1of this Quarterly Report on Form 10-Q and with our audited financial statements and the related notes included in our Annual Report on Form 10-K for the fiscal year ended February 3, 2019 (“2018 Form 10-K”).</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i w:val="1"/>
          <w:iCs w:val="1"/>
          <w:color w:val="auto"/>
        </w:rPr>
        <w:t>The three and six months of fiscal 2019 and fiscal 2018 represent our 13 and 26-week periods ended August 4, 2019 and July 29, 2018, respectively.</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i w:val="1"/>
          <w:iCs w:val="1"/>
          <w:color w:val="auto"/>
        </w:rPr>
        <w:t>Unless the context indicates otherwise, the terms the “Company,” “Duluth,” “Duluth Trading,” “we,” “our,” or “us” are used to refer to Duluth Holdings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firstLine="428"/>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including the risks and uncertainties described under Part I, Item 1A “Risk Factors,” in our 2018 Form 10-K and other SEC filings, which factors are incorporated by reference herein. These risks and uncertainties include, but are not limited to, the following: our ability to maintain and enhance a strong brand image; our ability to successfully open new stores; effectively adapting to new challenges associated with our expansion into new geographic markets; generating adequate cash from our existing stores to support our growth; the inability to maintain the performance of a maturing store portfolio; the impact of changes in corporate tax regulations; identifying and responding to new and changing customer preferences; the success of the locations in which our stores are located; our ability to attract and retain customers in the various retail venues and locations in which our stores are located; competing effectively in an environment of intense competition; our ability to adapt to significant changes in sales due to the seasonality of our business; price reductions or inventory shortages resulting from failure to purchase the appropriate amount of inventory in advance of the season in which it will be sold; increases in costs of fuel or other energy, transportation or utility costs and in the costs of labor and employment; failure of our information technology systems to support our current and growing business, before and after our planned upgrades; and other factors that may be disclose in our SEC filings or otherwise. 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179" w:lineRule="exact"/>
        <w:rPr>
          <w:sz w:val="20"/>
          <w:szCs w:val="20"/>
          <w:color w:val="auto"/>
        </w:rPr>
      </w:pPr>
    </w:p>
    <w:p>
      <w:pPr>
        <w:ind w:right="700" w:firstLine="428"/>
        <w:spacing w:after="0" w:line="282" w:lineRule="auto"/>
        <w:rPr>
          <w:sz w:val="20"/>
          <w:szCs w:val="20"/>
          <w:color w:val="auto"/>
        </w:rPr>
      </w:pPr>
      <w:r>
        <w:rPr>
          <w:rFonts w:ascii="Times New Roman" w:cs="Times New Roman" w:eastAsia="Times New Roman" w:hAnsi="Times New Roman"/>
          <w:sz w:val="18"/>
          <w:szCs w:val="18"/>
          <w:color w:val="auto"/>
        </w:rPr>
        <w:t>We undertake no obligation to update or revise these forward-looking statements, except as required under the federal securities laws.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00" w:firstLine="428"/>
        <w:spacing w:after="0" w:line="257" w:lineRule="auto"/>
        <w:rPr>
          <w:sz w:val="20"/>
          <w:szCs w:val="20"/>
          <w:color w:val="auto"/>
        </w:rPr>
      </w:pPr>
      <w:r>
        <w:rPr>
          <w:rFonts w:ascii="Times New Roman" w:cs="Times New Roman" w:eastAsia="Times New Roman" w:hAnsi="Times New Roman"/>
          <w:sz w:val="18"/>
          <w:szCs w:val="18"/>
          <w:color w:val="auto"/>
        </w:rPr>
        <w:t>We are a growing lifestyle brand of men’s and women’s casual wear, workwear and accessories sold exclusively through our own omni-channel platform. The direct segment, consisting of our website and catalogs, offers products nationwide and represented 49.4% and 53.3% of our consolidated net sales for the three and six months ended August 4, 2019, respectively, and 55.0% and</w:t>
      </w:r>
    </w:p>
    <w:p>
      <w:pPr>
        <w:spacing w:after="0" w:line="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60.3% of our consolidated net sales for the three and six months ended July 29, 2018, respectively. In 2010, we added retail to our omni-channel platform with the opening of our first store. Since then, we have expanded our retail presence, and as of August 4, 2019, we operated 52 retail stores and three outlet stores. Net sales for our retail segment represented 50.6% and 46.7% of our consolidated net sales for the three and six months ended August 4, 2019, respectively and 45.0% and 39.7% of our consolidated net sales for the three and six months ended July 29, 2018, respectively.</w:t>
      </w:r>
    </w:p>
    <w:p>
      <w:pPr>
        <w:spacing w:after="0" w:line="160" w:lineRule="exact"/>
        <w:rPr>
          <w:sz w:val="20"/>
          <w:szCs w:val="20"/>
          <w:color w:val="auto"/>
        </w:rPr>
      </w:pPr>
    </w:p>
    <w:p>
      <w:pPr>
        <w:ind w:right="20" w:firstLine="428"/>
        <w:spacing w:after="0" w:line="261" w:lineRule="auto"/>
        <w:rPr>
          <w:sz w:val="20"/>
          <w:szCs w:val="20"/>
          <w:color w:val="auto"/>
        </w:rPr>
      </w:pPr>
      <w:r>
        <w:rPr>
          <w:rFonts w:ascii="Times New Roman" w:cs="Times New Roman" w:eastAsia="Times New Roman" w:hAnsi="Times New Roman"/>
          <w:sz w:val="18"/>
          <w:szCs w:val="18"/>
          <w:color w:val="auto"/>
        </w:rPr>
        <w:t>We offer a comprehensive line of innovative, durable and functional products, such as our Longtail T</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xml:space="preserve"> shirts, Buck Naked</w:t>
      </w:r>
      <w:r>
        <w:rPr>
          <w:rFonts w:ascii="Times New Roman" w:cs="Times New Roman" w:eastAsia="Times New Roman" w:hAnsi="Times New Roman"/>
          <w:sz w:val="7"/>
          <w:szCs w:val="7"/>
          <w:color w:val="auto"/>
        </w:rPr>
        <w:t>TM</w:t>
      </w:r>
      <w:r>
        <w:rPr>
          <w:rFonts w:ascii="Times New Roman" w:cs="Times New Roman" w:eastAsia="Times New Roman" w:hAnsi="Times New Roman"/>
          <w:sz w:val="18"/>
          <w:szCs w:val="18"/>
          <w:color w:val="auto"/>
        </w:rPr>
        <w:t xml:space="preserve"> underwear, Fire Hose</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xml:space="preserve"> work pants, and No-Yank</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xml:space="preserve"> Tank, which reflect our position as the Modern, Self-Reliant American Lifestyle brand. Our brand has a heritage in workwear that transcends tradesmen and appeals to a broad demographic for everyday and on-the-job use.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8" w:lineRule="exact"/>
        <w:rPr>
          <w:sz w:val="20"/>
          <w:szCs w:val="20"/>
          <w:color w:val="auto"/>
        </w:rPr>
      </w:pPr>
    </w:p>
    <w:p>
      <w:pPr>
        <w:ind w:firstLine="428"/>
        <w:spacing w:after="0" w:line="261" w:lineRule="auto"/>
        <w:rPr>
          <w:sz w:val="20"/>
          <w:szCs w:val="20"/>
          <w:color w:val="auto"/>
        </w:rPr>
      </w:pPr>
      <w:r>
        <w:rPr>
          <w:rFonts w:ascii="Times New Roman" w:cs="Times New Roman" w:eastAsia="Times New Roman" w:hAnsi="Times New Roman"/>
          <w:sz w:val="18"/>
          <w:szCs w:val="18"/>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our financial results is as follows:</w:t>
      </w:r>
    </w:p>
    <w:p>
      <w:pPr>
        <w:spacing w:after="0" w:line="5" w:lineRule="exact"/>
        <w:rPr>
          <w:sz w:val="20"/>
          <w:szCs w:val="20"/>
          <w:color w:val="auto"/>
        </w:rPr>
      </w:pPr>
    </w:p>
    <w:p>
      <w:pPr>
        <w:ind w:left="860" w:hanging="420"/>
        <w:spacing w:after="0"/>
        <w:tabs>
          <w:tab w:leader="none" w:pos="86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Net sales have increased year-over-year for 38 consecutive quarters through August 4, 2019;</w:t>
      </w:r>
    </w:p>
    <w:p>
      <w:pPr>
        <w:spacing w:after="0" w:line="96" w:lineRule="exact"/>
        <w:rPr>
          <w:rFonts w:ascii="Times New Roman" w:cs="Times New Roman" w:eastAsia="Times New Roman" w:hAnsi="Times New Roman"/>
          <w:sz w:val="29"/>
          <w:szCs w:val="29"/>
          <w:color w:val="auto"/>
          <w:vertAlign w:val="superscript"/>
        </w:rPr>
      </w:pPr>
    </w:p>
    <w:p>
      <w:pPr>
        <w:ind w:left="860" w:right="120" w:hanging="420"/>
        <w:spacing w:after="0" w:line="207" w:lineRule="auto"/>
        <w:tabs>
          <w:tab w:leader="none" w:pos="86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Net sales in fiscal 2019 second quarter increased by 10.2% over the prior year second quarter to $122.0 million and net sales in the first six months of fiscal 2019 increased by 12.0% over the first six months of the prior year to $236.2 million;</w:t>
      </w:r>
    </w:p>
    <w:p>
      <w:pPr>
        <w:spacing w:after="0" w:line="78" w:lineRule="exact"/>
        <w:rPr>
          <w:rFonts w:ascii="Times New Roman" w:cs="Times New Roman" w:eastAsia="Times New Roman" w:hAnsi="Times New Roman"/>
          <w:sz w:val="29"/>
          <w:szCs w:val="29"/>
          <w:color w:val="auto"/>
          <w:vertAlign w:val="superscript"/>
        </w:rPr>
      </w:pPr>
    </w:p>
    <w:p>
      <w:pPr>
        <w:ind w:left="860" w:right="180" w:hanging="420"/>
        <w:spacing w:after="0" w:line="200" w:lineRule="auto"/>
        <w:tabs>
          <w:tab w:leader="none" w:pos="86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Net income of $1.9 million in fiscal 2019 second quarter compared to the prior year second quarter net income of $6.4 million and net loss in the first six months of fiscal 2019 of $5.6 million.</w:t>
      </w:r>
    </w:p>
    <w:p>
      <w:pPr>
        <w:spacing w:after="0" w:line="76" w:lineRule="exact"/>
        <w:rPr>
          <w:rFonts w:ascii="Times New Roman" w:cs="Times New Roman" w:eastAsia="Times New Roman" w:hAnsi="Times New Roman"/>
          <w:sz w:val="29"/>
          <w:szCs w:val="29"/>
          <w:color w:val="auto"/>
          <w:vertAlign w:val="superscript"/>
        </w:rPr>
      </w:pPr>
    </w:p>
    <w:p>
      <w:pPr>
        <w:ind w:left="860" w:right="80" w:hanging="420"/>
        <w:spacing w:after="0" w:line="214" w:lineRule="auto"/>
        <w:tabs>
          <w:tab w:leader="none" w:pos="86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Adjusted EBITDA of $9.6 million in fiscal 2019 second quarter compared to the prior year second quarter Adjusted EBITDA of $13.1 million and adjusted EBITDA in the first six months of fiscal 2019 decreased by 69.9% over the first six months of the prior year to $4.7 million;</w:t>
      </w:r>
    </w:p>
    <w:p>
      <w:pPr>
        <w:ind w:left="860" w:hanging="420"/>
        <w:spacing w:after="0" w:line="223" w:lineRule="auto"/>
        <w:tabs>
          <w:tab w:leader="none" w:pos="86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opened four new stores in fiscal 2019 second quarter, adding approximately 61,000 of gross square footage; and</w:t>
      </w:r>
    </w:p>
    <w:p>
      <w:pPr>
        <w:spacing w:after="0" w:line="96" w:lineRule="exact"/>
        <w:rPr>
          <w:rFonts w:ascii="Times New Roman" w:cs="Times New Roman" w:eastAsia="Times New Roman" w:hAnsi="Times New Roman"/>
          <w:sz w:val="29"/>
          <w:szCs w:val="29"/>
          <w:color w:val="auto"/>
          <w:vertAlign w:val="superscript"/>
        </w:rPr>
      </w:pPr>
    </w:p>
    <w:p>
      <w:pPr>
        <w:ind w:left="860" w:hanging="420"/>
        <w:spacing w:after="0" w:line="186" w:lineRule="auto"/>
        <w:tabs>
          <w:tab w:leader="none" w:pos="86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retail stores have achieved and are expected to continue to achieve an average payback of less than two years.</w:t>
      </w:r>
    </w:p>
    <w:p>
      <w:pPr>
        <w:spacing w:after="0" w:line="198" w:lineRule="exact"/>
        <w:rPr>
          <w:sz w:val="20"/>
          <w:szCs w:val="20"/>
          <w:color w:val="auto"/>
        </w:rPr>
      </w:pPr>
    </w:p>
    <w:p>
      <w:pPr>
        <w:ind w:firstLine="428"/>
        <w:spacing w:after="0" w:line="256" w:lineRule="auto"/>
        <w:rPr>
          <w:sz w:val="20"/>
          <w:szCs w:val="20"/>
          <w:color w:val="auto"/>
        </w:rPr>
      </w:pPr>
      <w:r>
        <w:rPr>
          <w:rFonts w:ascii="Times New Roman" w:cs="Times New Roman" w:eastAsia="Times New Roman" w:hAnsi="Times New Roman"/>
          <w:sz w:val="18"/>
          <w:szCs w:val="18"/>
          <w:color w:val="auto"/>
        </w:rPr>
        <w:t>We expect that the pace of capital outlays will moderate going forward and into 2020 as we rebalance our business model to focus on driving greater returns on the capital invested and growing our operating earnings and positive free cash flow. We plan to continue opening stores in new markets, but will likely plan for expanding square footage by 30% to 40% less than we have over the last 3 years. We believe the capital deployed for systems and infrastructure will also moderate as much of the investments needed to scale and support our growing business is in place now. As such, the expense associated with these investments is fixed and should allow for greater operating leverage in net earnings.</w:t>
      </w:r>
    </w:p>
    <w:p>
      <w:pPr>
        <w:spacing w:after="0" w:line="147" w:lineRule="exact"/>
        <w:rPr>
          <w:sz w:val="20"/>
          <w:szCs w:val="20"/>
          <w:color w:val="auto"/>
        </w:rPr>
      </w:pPr>
    </w:p>
    <w:p>
      <w:pPr>
        <w:ind w:right="320" w:firstLine="428"/>
        <w:spacing w:after="0" w:line="261" w:lineRule="auto"/>
        <w:rPr>
          <w:sz w:val="20"/>
          <w:szCs w:val="20"/>
          <w:color w:val="auto"/>
        </w:rPr>
      </w:pPr>
      <w:r>
        <w:rPr>
          <w:rFonts w:ascii="Times New Roman" w:cs="Times New Roman" w:eastAsia="Times New Roman" w:hAnsi="Times New Roman"/>
          <w:sz w:val="18"/>
          <w:szCs w:val="18"/>
          <w:color w:val="auto"/>
        </w:rPr>
        <w:t>See “Reconciliation of Net Income to EBITDA and EBITDA to Adjusted EBITDA” section for a reconciliation of our net income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53" w:lineRule="exact"/>
        <w:rPr>
          <w:sz w:val="20"/>
          <w:szCs w:val="20"/>
          <w:color w:val="auto"/>
        </w:rPr>
      </w:pPr>
    </w:p>
    <w:p>
      <w:pPr>
        <w:ind w:right="140" w:firstLine="428"/>
        <w:spacing w:after="0" w:line="266" w:lineRule="auto"/>
        <w:rPr>
          <w:sz w:val="20"/>
          <w:szCs w:val="20"/>
          <w:color w:val="auto"/>
        </w:rPr>
      </w:pPr>
      <w:r>
        <w:rPr>
          <w:rFonts w:ascii="Times New Roman" w:cs="Times New Roman" w:eastAsia="Times New Roman" w:hAnsi="Times New Roman"/>
          <w:sz w:val="18"/>
          <w:szCs w:val="18"/>
          <w:color w:val="auto"/>
        </w:rPr>
        <w:t>Our business is seasonal, and as a result, our net sales fluctuate from quarter to quarter, which often affects the comparability of our results between quarters. Net sales are historically higher in the fourth quarter of our fiscal year due to the holiday selling season.</w:t>
      </w:r>
    </w:p>
    <w:p>
      <w:pPr>
        <w:spacing w:after="0" w:line="136" w:lineRule="exact"/>
        <w:rPr>
          <w:sz w:val="20"/>
          <w:szCs w:val="20"/>
          <w:color w:val="auto"/>
        </w:rPr>
      </w:pPr>
    </w:p>
    <w:p>
      <w:pPr>
        <w:ind w:right="300" w:firstLine="428"/>
        <w:spacing w:after="0" w:line="266" w:lineRule="auto"/>
        <w:rPr>
          <w:sz w:val="20"/>
          <w:szCs w:val="20"/>
          <w:color w:val="auto"/>
        </w:rPr>
      </w:pPr>
      <w:r>
        <w:rPr>
          <w:rFonts w:ascii="Times New Roman" w:cs="Times New Roman" w:eastAsia="Times New Roman" w:hAnsi="Times New Roman"/>
          <w:sz w:val="18"/>
          <w:szCs w:val="18"/>
          <w:color w:val="auto"/>
        </w:rPr>
        <w:t>We are pursuing several strategies to continue our growth, including building brand awareness to continue customer acquisition, continuing retail expansion, selectively broadening assortments in certain men’s product categories and growing our women’s business.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202" w:lineRule="exact"/>
        <w:rPr>
          <w:sz w:val="20"/>
          <w:szCs w:val="20"/>
          <w:color w:val="auto"/>
        </w:rPr>
      </w:pPr>
    </w:p>
    <w:p>
      <w:pPr>
        <w:ind w:right="620" w:firstLine="428"/>
        <w:spacing w:after="0" w:line="282"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variety of financial and operating measures that affect our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89" w:lineRule="exact"/>
        <w:rPr>
          <w:sz w:val="20"/>
          <w:szCs w:val="20"/>
          <w:color w:val="auto"/>
        </w:rPr>
      </w:pPr>
    </w:p>
    <w:p>
      <w:pPr>
        <w:ind w:right="140" w:firstLine="428"/>
        <w:spacing w:after="0" w:line="266" w:lineRule="auto"/>
        <w:rPr>
          <w:sz w:val="20"/>
          <w:szCs w:val="20"/>
          <w:color w:val="auto"/>
        </w:rPr>
      </w:pPr>
      <w:r>
        <w:rPr>
          <w:rFonts w:ascii="Times New Roman" w:cs="Times New Roman" w:eastAsia="Times New Roman" w:hAnsi="Times New Roman"/>
          <w:sz w:val="18"/>
          <w:szCs w:val="18"/>
          <w:color w:val="auto"/>
        </w:rPr>
        <w:t>Net sales reflect our sale of merchandise plus shipping and handling revenue collected from our customers, less returns and discounts. Direct sales are recognized upon shipment of the product and retail sales are recognized at the point of sale. We also use net sales as one of the key financial metrics in determining our annual bonus compensation for our employees.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60"/>
          </w:cols>
          <w:pgMar w:left="1140" w:top="297" w:right="119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89" w:lineRule="exact"/>
        <w:rPr>
          <w:sz w:val="20"/>
          <w:szCs w:val="20"/>
          <w:color w:val="auto"/>
        </w:rPr>
      </w:pPr>
    </w:p>
    <w:p>
      <w:pPr>
        <w:ind w:right="20" w:firstLine="428"/>
        <w:spacing w:after="0" w:line="253" w:lineRule="auto"/>
        <w:rPr>
          <w:sz w:val="20"/>
          <w:szCs w:val="20"/>
          <w:color w:val="auto"/>
        </w:rPr>
      </w:pPr>
      <w:r>
        <w:rPr>
          <w:rFonts w:ascii="Times New Roman" w:cs="Times New Roman" w:eastAsia="Times New Roman" w:hAnsi="Times New Roman"/>
          <w:sz w:val="18"/>
          <w:szCs w:val="18"/>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distribution centers to our retail stores. The primary drivers of the costs of individual goods are raw material costs. Depreciation and amortization are excluded from gross profit. We expect gross profit to increase to the extent that we successfully grow our net sales. Given the size of our direct segment sales relative to our total net sales, shipping and handling revenue has had a significant impact on our gross profit and gross profit margin. Historically, this revenue has partially offset shipping and handling expense included in selling, general and administrative expenses. We have experienced declines in shipping and handling revenues, and this trend is expected to continue. Declines in shipping and handling revenues may have a material adverse effect on our gross profit and gross profit margin, as well as Adjusted EBITDA to the extent there are not commensurate declines, or if there are increases, in our shipping and handling expense. Our gross profit may not be comparable to other retailers, as we do not include distribution network and store occupancy expenses in calculating gross profit, but instead we include them in selling, general and administrative expenses.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02" w:lineRule="exact"/>
        <w:rPr>
          <w:sz w:val="20"/>
          <w:szCs w:val="20"/>
          <w:color w:val="auto"/>
        </w:rPr>
      </w:pPr>
    </w:p>
    <w:p>
      <w:pPr>
        <w:ind w:right="180" w:firstLine="428"/>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49" w:lineRule="exact"/>
        <w:rPr>
          <w:sz w:val="20"/>
          <w:szCs w:val="20"/>
          <w:color w:val="auto"/>
        </w:rPr>
      </w:pPr>
    </w:p>
    <w:p>
      <w:pPr>
        <w:ind w:right="80" w:firstLine="428"/>
        <w:spacing w:after="0" w:line="261" w:lineRule="auto"/>
        <w:rPr>
          <w:sz w:val="20"/>
          <w:szCs w:val="20"/>
          <w:color w:val="auto"/>
        </w:rPr>
      </w:pPr>
      <w:r>
        <w:rPr>
          <w:rFonts w:ascii="Times New Roman" w:cs="Times New Roman" w:eastAsia="Times New Roman" w:hAnsi="Times New Roman"/>
          <w:sz w:val="18"/>
          <w:szCs w:val="18"/>
          <w:color w:val="auto"/>
        </w:rPr>
        <w:t>Our historical sales growth has been accompanied by increased selling, general and administrative expenses. The most significant components of these increases are advertising, marketing, rent/occupancy and payroll costs. While we expect these expenses to increase as we continue to open new stores, increase brand awareness and grow our organization to support our growing business, we believe these expenses will decrease as a percentage of sales over time.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02" w:lineRule="exact"/>
        <w:rPr>
          <w:sz w:val="20"/>
          <w:szCs w:val="20"/>
          <w:color w:val="auto"/>
        </w:rPr>
      </w:pPr>
    </w:p>
    <w:p>
      <w:pPr>
        <w:ind w:firstLine="428"/>
        <w:spacing w:after="0" w:line="258" w:lineRule="auto"/>
        <w:rPr>
          <w:sz w:val="20"/>
          <w:szCs w:val="20"/>
          <w:color w:val="auto"/>
        </w:rPr>
      </w:pPr>
      <w:r>
        <w:rPr>
          <w:rFonts w:ascii="Times New Roman" w:cs="Times New Roman" w:eastAsia="Times New Roman" w:hAnsi="Times New Roman"/>
          <w:sz w:val="18"/>
          <w:szCs w:val="18"/>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43" w:lineRule="exact"/>
        <w:rPr>
          <w:sz w:val="20"/>
          <w:szCs w:val="20"/>
          <w:color w:val="auto"/>
        </w:rPr>
      </w:pPr>
    </w:p>
    <w:p>
      <w:pPr>
        <w:ind w:right="380" w:firstLine="428"/>
        <w:spacing w:after="0" w:line="261" w:lineRule="auto"/>
        <w:rPr>
          <w:sz w:val="20"/>
          <w:szCs w:val="20"/>
          <w:color w:val="auto"/>
        </w:rPr>
      </w:pPr>
      <w:r>
        <w:rPr>
          <w:rFonts w:ascii="Times New Roman" w:cs="Times New Roman" w:eastAsia="Times New Roman" w:hAnsi="Times New Roman"/>
          <w:sz w:val="18"/>
          <w:szCs w:val="18"/>
          <w:color w:val="auto"/>
        </w:rPr>
        <w:t>We define Adjusted EBITDA as consolidated net income (loss) before depreciation and amortization, interest expense and provision for income taxes adjusted for the impact of certain items, including non-cash and other items we do not consider representative of our ongoing operating performance. We believe Adjusted EBITDA is less susceptible to variances in actual performance resulting from depreciation, amortization and other items.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right="120" w:firstLine="42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unaudited consolidated results of operations for the periods indicated, both in dollars and as a percentage of net sales.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140" w:type="dxa"/>
            <w:vAlign w:val="bottom"/>
          </w:tcPr>
          <w:p>
            <w:pPr>
              <w:spacing w:after="0"/>
              <w:rPr>
                <w:sz w:val="15"/>
                <w:szCs w:val="15"/>
                <w:color w:val="auto"/>
              </w:rPr>
            </w:pPr>
          </w:p>
        </w:tc>
        <w:tc>
          <w:tcPr>
            <w:tcW w:w="124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July 29, 2018</w:t>
            </w:r>
          </w:p>
        </w:tc>
        <w:tc>
          <w:tcPr>
            <w:tcW w:w="100" w:type="dxa"/>
            <w:vAlign w:val="bottom"/>
          </w:tcPr>
          <w:p>
            <w:pPr>
              <w:spacing w:after="0"/>
              <w:rPr>
                <w:sz w:val="15"/>
                <w:szCs w:val="15"/>
                <w:color w:val="auto"/>
              </w:rPr>
            </w:pPr>
          </w:p>
        </w:tc>
        <w:tc>
          <w:tcPr>
            <w:tcW w:w="128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140" w:type="dxa"/>
            <w:vAlign w:val="bottom"/>
          </w:tcPr>
          <w:p>
            <w:pPr>
              <w:spacing w:after="0"/>
              <w:rPr>
                <w:sz w:val="15"/>
                <w:szCs w:val="15"/>
                <w:color w:val="auto"/>
              </w:rPr>
            </w:pPr>
          </w:p>
        </w:tc>
        <w:tc>
          <w:tcPr>
            <w:tcW w:w="130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July 29, 2018</w:t>
            </w:r>
          </w:p>
        </w:tc>
        <w:tc>
          <w:tcPr>
            <w:tcW w:w="0" w:type="dxa"/>
            <w:vAlign w:val="bottom"/>
          </w:tcPr>
          <w:p>
            <w:pPr>
              <w:spacing w:after="0"/>
              <w:rPr>
                <w:sz w:val="1"/>
                <w:szCs w:val="1"/>
                <w:color w:val="auto"/>
              </w:rPr>
            </w:pPr>
          </w:p>
        </w:tc>
      </w:tr>
      <w:tr>
        <w:trPr>
          <w:trHeight w:val="196"/>
        </w:trPr>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net sales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60,267</w:t>
            </w:r>
          </w:p>
        </w:tc>
        <w:tc>
          <w:tcPr>
            <w:tcW w:w="1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60,833</w:t>
            </w: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125,968</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127,045</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Retail net sales</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61,696</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49,820</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110,239</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83,815</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121,963</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110,653</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236,207</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210,860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 (excluding depreciation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and amortization)</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57,159</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48,413</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110,485</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92,680</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64,804</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62,240</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125,722</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61,069</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52,344</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132,091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108,541</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income, net</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income attributable to</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1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Direct net sales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49.4 %</w:t>
            </w: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1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net sales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50.6 %</w:t>
            </w:r>
          </w:p>
        </w:tc>
        <w:tc>
          <w:tcPr>
            <w:tcW w:w="14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shd w:val="clear" w:color="auto" w:fill="CCEEFF"/>
          </w:tcPr>
          <w:p>
            <w:pPr>
              <w:spacing w:after="0"/>
              <w:rPr>
                <w:sz w:val="19"/>
                <w:szCs w:val="19"/>
                <w:color w:val="auto"/>
              </w:rPr>
            </w:pPr>
          </w:p>
        </w:tc>
        <w:tc>
          <w:tcPr>
            <w:tcW w:w="1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46.7 %</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 (excluding depreciation</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and amortization)</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46.9 %</w:t>
            </w:r>
          </w:p>
        </w:tc>
        <w:tc>
          <w:tcPr>
            <w:tcW w:w="14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100" w:type="dxa"/>
            <w:vAlign w:val="bottom"/>
            <w:shd w:val="clear" w:color="auto" w:fill="CCEEFF"/>
          </w:tcPr>
          <w:p>
            <w:pPr>
              <w:spacing w:after="0"/>
              <w:rPr>
                <w:sz w:val="20"/>
                <w:szCs w:val="20"/>
                <w:color w:val="auto"/>
              </w:rPr>
            </w:pPr>
          </w:p>
        </w:tc>
        <w:tc>
          <w:tcPr>
            <w:tcW w:w="1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14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100" w:type="dxa"/>
            <w:vAlign w:val="bottom"/>
            <w:shd w:val="clear" w:color="auto" w:fill="CCEEFF"/>
          </w:tcPr>
          <w:p>
            <w:pPr>
              <w:spacing w:after="0"/>
              <w:rPr>
                <w:sz w:val="19"/>
                <w:szCs w:val="19"/>
                <w:color w:val="auto"/>
              </w:rPr>
            </w:pPr>
          </w:p>
        </w:tc>
        <w:tc>
          <w:tcPr>
            <w:tcW w:w="1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55.9 %</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1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 (loss) income, net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Net (loss) income attributable to</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top w:val="single" w:sz="8" w:color="CCEEFF"/>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Borders>
              <w:top w:val="single" w:sz="8" w:color="CCEEFF"/>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top w:val="single" w:sz="8" w:color="CCEEFF"/>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right="3000"/>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Three Months Ended August 4, 2019 Compared to Three Months Ended July 29, 2018 </w:t>
      </w:r>
      <w:r>
        <w:rPr>
          <w:rFonts w:ascii="Times New Roman" w:cs="Times New Roman" w:eastAsia="Times New Roman" w:hAnsi="Times New Roman"/>
          <w:sz w:val="18"/>
          <w:szCs w:val="18"/>
          <w:b w:val="1"/>
          <w:bCs w:val="1"/>
          <w:i w:val="1"/>
          <w:iCs w:val="1"/>
          <w:color w:val="auto"/>
        </w:rPr>
        <w:t>Net Sales</w:t>
      </w:r>
    </w:p>
    <w:p>
      <w:pPr>
        <w:ind w:right="80" w:firstLine="428"/>
        <w:spacing w:after="0" w:line="256" w:lineRule="auto"/>
        <w:rPr>
          <w:sz w:val="20"/>
          <w:szCs w:val="20"/>
          <w:color w:val="auto"/>
        </w:rPr>
      </w:pPr>
      <w:r>
        <w:rPr>
          <w:rFonts w:ascii="Times New Roman" w:cs="Times New Roman" w:eastAsia="Times New Roman" w:hAnsi="Times New Roman"/>
          <w:sz w:val="18"/>
          <w:szCs w:val="18"/>
          <w:color w:val="auto"/>
        </w:rPr>
        <w:t>Net sales increased $11.3 million, or 10.2%, to $122.0 million in the three months ended August 4, 2019 compared to $110.7 million in the three months ended July 29, 2018, driven by an increase in the retail segment of $11.9 million, or 23.8%, with gains across the majority of product categories and in both our men’s and women’s business, partially offset by a decrease in the direct segment of $0.6 million, or 0.9%. Our website visits increased 12% in the three months ended August 4, 2019 compared to the three months ended July 29, 2018. The increase in retail net sales was driven by new stores with 55 stores as of August 4, 2019 compared to 39 stores as of July 29, 2018, partially offset by existing stores.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89" w:lineRule="exact"/>
        <w:rPr>
          <w:sz w:val="20"/>
          <w:szCs w:val="20"/>
          <w:color w:val="auto"/>
        </w:rPr>
      </w:pPr>
    </w:p>
    <w:p>
      <w:pPr>
        <w:ind w:right="180" w:firstLine="428"/>
        <w:spacing w:after="0" w:line="258" w:lineRule="auto"/>
        <w:rPr>
          <w:sz w:val="20"/>
          <w:szCs w:val="20"/>
          <w:color w:val="auto"/>
        </w:rPr>
      </w:pPr>
      <w:r>
        <w:rPr>
          <w:rFonts w:ascii="Times New Roman" w:cs="Times New Roman" w:eastAsia="Times New Roman" w:hAnsi="Times New Roman"/>
          <w:sz w:val="18"/>
          <w:szCs w:val="18"/>
          <w:color w:val="auto"/>
        </w:rPr>
        <w:t>Gross profit increased $2.6 million, or 4.1%, to $64.8 million in the three months ended August 4, 2019 compared to $62.2 million in the three months ended July 29, 2018. As a percentage of net sales, gross margin decreased 310 basis points to 53.1% of net sales in the three months ended August 4, 2019, compared to 56.2% of net sales in the three months ended July 29, 2018. The decrease in gross margin rate was primarily attributable to a decrease in product margins due to additional global promotions, coupled with recent clearance activity.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02" w:lineRule="exact"/>
        <w:rPr>
          <w:sz w:val="20"/>
          <w:szCs w:val="20"/>
          <w:color w:val="auto"/>
        </w:rPr>
      </w:pPr>
    </w:p>
    <w:p>
      <w:pPr>
        <w:ind w:firstLine="428"/>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increased $8.7 million, or 16.7%, to $61.1 million in the three months ended August 4, 2019 compared to $52.3 million in the three months ended July 29, 2018. Selling, general and administrative expenses as a percentage of net sales increased 280 basis points to 50.1% in the three months ended August 4, 2019, compared to 47.3% in the three months ended July 29, 2018. The increase in selling, general and administrative expenses was attributable to an increase of $0.4 million in advertising and marketing costs, $1.3 million in selling expenses and $7.0 million in general and administrative expenses.</w:t>
      </w:r>
    </w:p>
    <w:p>
      <w:pPr>
        <w:spacing w:after="0" w:line="147" w:lineRule="exact"/>
        <w:rPr>
          <w:sz w:val="20"/>
          <w:szCs w:val="20"/>
          <w:color w:val="auto"/>
        </w:rPr>
      </w:pPr>
    </w:p>
    <w:p>
      <w:pPr>
        <w:ind w:right="320" w:firstLine="428"/>
        <w:spacing w:after="0" w:line="261" w:lineRule="auto"/>
        <w:rPr>
          <w:sz w:val="20"/>
          <w:szCs w:val="20"/>
          <w:color w:val="auto"/>
        </w:rPr>
      </w:pPr>
      <w:r>
        <w:rPr>
          <w:rFonts w:ascii="Times New Roman" w:cs="Times New Roman" w:eastAsia="Times New Roman" w:hAnsi="Times New Roman"/>
          <w:sz w:val="18"/>
          <w:szCs w:val="18"/>
          <w:color w:val="auto"/>
        </w:rPr>
        <w:t>As a percentage of net sales, advertising and marketing costs decreased 90 basis points to 13.4% in the three months ended August 4, 2019, compared to 14.3% in the three months ended July 29, 2018. The 90 basis point decrease in advertising and marketing costs as a percentage of net sales was primarily attributable to advertising leverage gained from a higher mix of retail sales.</w:t>
      </w:r>
    </w:p>
    <w:p>
      <w:pPr>
        <w:spacing w:after="0" w:line="140" w:lineRule="exact"/>
        <w:rPr>
          <w:sz w:val="20"/>
          <w:szCs w:val="20"/>
          <w:color w:val="auto"/>
        </w:rPr>
      </w:pPr>
    </w:p>
    <w:p>
      <w:pPr>
        <w:ind w:right="240" w:firstLine="428"/>
        <w:spacing w:after="0" w:line="266" w:lineRule="auto"/>
        <w:rPr>
          <w:sz w:val="20"/>
          <w:szCs w:val="20"/>
          <w:color w:val="auto"/>
        </w:rPr>
      </w:pPr>
      <w:r>
        <w:rPr>
          <w:rFonts w:ascii="Times New Roman" w:cs="Times New Roman" w:eastAsia="Times New Roman" w:hAnsi="Times New Roman"/>
          <w:sz w:val="18"/>
          <w:szCs w:val="18"/>
          <w:color w:val="auto"/>
        </w:rPr>
        <w:t>As a percentage of net sales, selling expenses decreased 30 basis points to 14.4% in the three months ended August 4, 2019, compared to 14.7% in the three months ended July 29, 2018, primarily due to a decrease in shipping expenses due to improved shipping rates, partially offset by an increase in store labor.</w:t>
      </w:r>
    </w:p>
    <w:p>
      <w:pPr>
        <w:spacing w:after="0" w:line="149" w:lineRule="exact"/>
        <w:rPr>
          <w:sz w:val="20"/>
          <w:szCs w:val="20"/>
          <w:color w:val="auto"/>
        </w:rPr>
      </w:pPr>
    </w:p>
    <w:p>
      <w:pPr>
        <w:ind w:right="120" w:firstLine="428"/>
        <w:spacing w:after="0" w:line="258" w:lineRule="auto"/>
        <w:rPr>
          <w:sz w:val="20"/>
          <w:szCs w:val="20"/>
          <w:color w:val="auto"/>
        </w:rPr>
      </w:pPr>
      <w:r>
        <w:rPr>
          <w:rFonts w:ascii="Times New Roman" w:cs="Times New Roman" w:eastAsia="Times New Roman" w:hAnsi="Times New Roman"/>
          <w:sz w:val="18"/>
          <w:szCs w:val="18"/>
          <w:color w:val="auto"/>
        </w:rPr>
        <w:t>As a percentage of net sales, general and administrative expenses increased 400 basis points to 22.3% in the three months ended August 4, 2019, compared to 18.3% in the three months ended July 29, 2018. The 400 basis point increase was primarily attributable to an increase in occupancy and equipment cost due to growth in the number of retail stores, an increase in depreciation expense due to investments in technology and corporate facilities, and an increase in personnel cost due to an increase in headcount to support the growth of the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89" w:lineRule="exact"/>
        <w:rPr>
          <w:sz w:val="20"/>
          <w:szCs w:val="20"/>
          <w:color w:val="auto"/>
        </w:rPr>
      </w:pPr>
    </w:p>
    <w:p>
      <w:pPr>
        <w:jc w:val="both"/>
        <w:ind w:right="100" w:firstLine="428"/>
        <w:spacing w:after="0" w:line="266" w:lineRule="auto"/>
        <w:rPr>
          <w:sz w:val="20"/>
          <w:szCs w:val="20"/>
          <w:color w:val="auto"/>
        </w:rPr>
      </w:pPr>
      <w:r>
        <w:rPr>
          <w:rFonts w:ascii="Times New Roman" w:cs="Times New Roman" w:eastAsia="Times New Roman" w:hAnsi="Times New Roman"/>
          <w:sz w:val="18"/>
          <w:szCs w:val="18"/>
          <w:color w:val="auto"/>
        </w:rPr>
        <w:t>Income tax expense was $0.7 million in the three months ended August 4, 2019, compared to $2.2 million in the three months ended July 29, 2018. Our effective tax rate related to controlling interest was 26% for both the three months ended August 4, 2019, and July 29, 2018,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89" w:lineRule="exact"/>
        <w:rPr>
          <w:sz w:val="20"/>
          <w:szCs w:val="20"/>
          <w:color w:val="auto"/>
        </w:rPr>
      </w:pPr>
    </w:p>
    <w:p>
      <w:pPr>
        <w:ind w:right="220" w:firstLine="428"/>
        <w:spacing w:after="0" w:line="282" w:lineRule="auto"/>
        <w:rPr>
          <w:sz w:val="20"/>
          <w:szCs w:val="20"/>
          <w:color w:val="auto"/>
        </w:rPr>
      </w:pPr>
      <w:r>
        <w:rPr>
          <w:rFonts w:ascii="Times New Roman" w:cs="Times New Roman" w:eastAsia="Times New Roman" w:hAnsi="Times New Roman"/>
          <w:sz w:val="18"/>
          <w:szCs w:val="18"/>
          <w:color w:val="auto"/>
        </w:rPr>
        <w:t>Net income was $1.9 million, in the three months ended August 4, 2019 compared to $6.4 million in the three months ended July 29, 2018, primarily due to the factors discussed above.</w:t>
      </w:r>
    </w:p>
    <w:p>
      <w:pPr>
        <w:spacing w:after="0" w:line="200" w:lineRule="exact"/>
        <w:rPr>
          <w:sz w:val="20"/>
          <w:szCs w:val="20"/>
          <w:color w:val="auto"/>
        </w:rPr>
      </w:pPr>
    </w:p>
    <w:p>
      <w:pPr>
        <w:spacing w:after="0" w:line="322" w:lineRule="exact"/>
        <w:rPr>
          <w:sz w:val="20"/>
          <w:szCs w:val="20"/>
          <w:color w:val="auto"/>
        </w:rPr>
      </w:pPr>
    </w:p>
    <w:p>
      <w:pPr>
        <w:ind w:right="342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Six Months Ended August 4, 2019 Compared to Six Months Ended July 29, 2018 </w:t>
      </w:r>
      <w:r>
        <w:rPr>
          <w:rFonts w:ascii="Times New Roman" w:cs="Times New Roman" w:eastAsia="Times New Roman" w:hAnsi="Times New Roman"/>
          <w:sz w:val="18"/>
          <w:szCs w:val="18"/>
          <w:b w:val="1"/>
          <w:bCs w:val="1"/>
          <w:i w:val="1"/>
          <w:iCs w:val="1"/>
          <w:color w:val="auto"/>
        </w:rPr>
        <w:t>Net Sales</w:t>
      </w:r>
    </w:p>
    <w:p>
      <w:pPr>
        <w:spacing w:after="0" w:line="1" w:lineRule="exact"/>
        <w:rPr>
          <w:sz w:val="20"/>
          <w:szCs w:val="20"/>
          <w:color w:val="auto"/>
        </w:rPr>
      </w:pPr>
    </w:p>
    <w:p>
      <w:pPr>
        <w:ind w:right="20" w:firstLine="428"/>
        <w:spacing w:after="0" w:line="256" w:lineRule="auto"/>
        <w:rPr>
          <w:sz w:val="20"/>
          <w:szCs w:val="20"/>
          <w:color w:val="auto"/>
        </w:rPr>
      </w:pPr>
      <w:r>
        <w:rPr>
          <w:rFonts w:ascii="Times New Roman" w:cs="Times New Roman" w:eastAsia="Times New Roman" w:hAnsi="Times New Roman"/>
          <w:sz w:val="18"/>
          <w:szCs w:val="18"/>
          <w:color w:val="auto"/>
        </w:rPr>
        <w:t>Net sales increased $25.3 million, or 12.0%, to $236.2 million in the six months ended August 4, 2019 compared to $210.9 million in the six months ended July 29, 2018, driven by an increase in the retail segment of $26.4 million, or 31.5%, with gains across the majority of product categories and in both our men’s and women’s business, partially offset by a decrease in the direct segment of $1.1 million, or 0.8%. Our website visits increased 13% in the six months ended August 4, 2019 compared to the six months ended July 29, 2018. The increase in retail net sales was primarily attributable to the same factors discussed above for the six months ended August 4, 2019 compared to the six months ended July 29, 2018.</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89" w:lineRule="exact"/>
        <w:rPr>
          <w:sz w:val="20"/>
          <w:szCs w:val="20"/>
          <w:color w:val="auto"/>
        </w:rPr>
      </w:pPr>
    </w:p>
    <w:p>
      <w:pPr>
        <w:ind w:right="60" w:firstLine="428"/>
        <w:spacing w:after="0" w:line="258" w:lineRule="auto"/>
        <w:rPr>
          <w:sz w:val="20"/>
          <w:szCs w:val="20"/>
          <w:color w:val="auto"/>
        </w:rPr>
      </w:pPr>
      <w:r>
        <w:rPr>
          <w:rFonts w:ascii="Times New Roman" w:cs="Times New Roman" w:eastAsia="Times New Roman" w:hAnsi="Times New Roman"/>
          <w:sz w:val="18"/>
          <w:szCs w:val="18"/>
          <w:color w:val="auto"/>
        </w:rPr>
        <w:t>Gross profit increased $7.5 million, or 6.4%, to $125.7 million in the six months ended August 4, 2019 compared to $118.2 million in the six months ended July 29, 2018. As a percentage of net sales, gross margin decreased 280 basis points to 53.2% of net sales in the six months ended August 4, 2019, compared to 56.0% of net sales in the six months ended July 29, 2018. The decrease in gross margin rate was primarily attributable to a decrease in product margins due to additional clearance and discounts to drive sales during the first half of the year, coupled with a slight decrease in shipping revenues.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297" w:right="115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ind w:firstLine="428"/>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$23.6 million, or 21.7%, to $132.1 million in the six months ended August 4, 2019 compared to $108.5 million in the six months ended July 29, 2018. Selling, general and administrative expenses as a percentage of net sales increased 440 basis points to 55.9% in the six months ended August 4, 2019, compared to 51.5% in the six months ended July 29, 2018. The increase in selling, general and administrative expenses was attributable to an increase of $2.9 million in advertising and marketing costs, $4.2 million in selling expenses and $16.5 million in general and administrative expenses.</w:t>
      </w:r>
    </w:p>
    <w:p>
      <w:pPr>
        <w:spacing w:after="0" w:line="143" w:lineRule="exact"/>
        <w:rPr>
          <w:sz w:val="20"/>
          <w:szCs w:val="20"/>
          <w:color w:val="auto"/>
        </w:rPr>
      </w:pPr>
    </w:p>
    <w:p>
      <w:pPr>
        <w:ind w:right="40" w:firstLine="428"/>
        <w:spacing w:after="0" w:line="266" w:lineRule="auto"/>
        <w:rPr>
          <w:sz w:val="20"/>
          <w:szCs w:val="20"/>
          <w:color w:val="auto"/>
        </w:rPr>
      </w:pPr>
      <w:r>
        <w:rPr>
          <w:rFonts w:ascii="Times New Roman" w:cs="Times New Roman" w:eastAsia="Times New Roman" w:hAnsi="Times New Roman"/>
          <w:sz w:val="18"/>
          <w:szCs w:val="18"/>
          <w:color w:val="auto"/>
        </w:rPr>
        <w:t>As a percentage of net sales, advertising and marketing costs decreased 70 basis points to 17.1% in the six months ended August 4, 2019, compared to 17.8% in the six months ended July 29, 2018. The 70 basis point decrease in advertising and marketing costs as a percentage of net sales was primarily attributable to advertising leverage gained from a higher mix of retail sales.</w:t>
      </w:r>
    </w:p>
    <w:p>
      <w:pPr>
        <w:spacing w:after="0" w:line="149" w:lineRule="exact"/>
        <w:rPr>
          <w:sz w:val="20"/>
          <w:szCs w:val="20"/>
          <w:color w:val="auto"/>
        </w:rPr>
      </w:pPr>
    </w:p>
    <w:p>
      <w:pPr>
        <w:ind w:right="320" w:firstLine="428"/>
        <w:spacing w:after="0" w:line="266" w:lineRule="auto"/>
        <w:rPr>
          <w:sz w:val="20"/>
          <w:szCs w:val="20"/>
          <w:color w:val="auto"/>
        </w:rPr>
      </w:pPr>
      <w:r>
        <w:rPr>
          <w:rFonts w:ascii="Times New Roman" w:cs="Times New Roman" w:eastAsia="Times New Roman" w:hAnsi="Times New Roman"/>
          <w:sz w:val="18"/>
          <w:szCs w:val="18"/>
          <w:color w:val="auto"/>
        </w:rPr>
        <w:t>As a percentage of net sales, selling expenses increased 20 basis points to 15.5% in the six months ended August 4, 2019, compared to 15.3% in the six months ended July 29, 2018, primarily due to an increase in customer service due to our growth in retail, partially offset by a decrease in shipping expenses due to leverage from an increase in the proportion of retail sales.</w:t>
      </w:r>
    </w:p>
    <w:p>
      <w:pPr>
        <w:spacing w:after="0" w:line="136" w:lineRule="exact"/>
        <w:rPr>
          <w:sz w:val="20"/>
          <w:szCs w:val="20"/>
          <w:color w:val="auto"/>
        </w:rPr>
      </w:pPr>
    </w:p>
    <w:p>
      <w:pPr>
        <w:ind w:firstLine="428"/>
        <w:spacing w:after="0" w:line="258" w:lineRule="auto"/>
        <w:rPr>
          <w:sz w:val="20"/>
          <w:szCs w:val="20"/>
          <w:color w:val="auto"/>
        </w:rPr>
      </w:pPr>
      <w:r>
        <w:rPr>
          <w:rFonts w:ascii="Times New Roman" w:cs="Times New Roman" w:eastAsia="Times New Roman" w:hAnsi="Times New Roman"/>
          <w:sz w:val="18"/>
          <w:szCs w:val="18"/>
          <w:color w:val="auto"/>
        </w:rPr>
        <w:t>As a percentage of net sales, general and administrative expenses increased 490 basis points to 23.3% in the six months ended August 4, 2019, compared to 18.4% in the six months ended July 29, 2018. The 490 basis point increase was primarily attributable to an increase in occupancy and equipment cost due to growth in the number of retail stores, an increase in depreciation expense due to investments in technology and corporate facilities, and an increase in personnel cost due to an increase in headcount to support the growth of the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02" w:lineRule="exact"/>
        <w:rPr>
          <w:sz w:val="20"/>
          <w:szCs w:val="20"/>
          <w:color w:val="auto"/>
        </w:rPr>
      </w:pPr>
    </w:p>
    <w:p>
      <w:pPr>
        <w:ind w:right="40" w:firstLine="428"/>
        <w:spacing w:after="0" w:line="266" w:lineRule="auto"/>
        <w:rPr>
          <w:sz w:val="20"/>
          <w:szCs w:val="20"/>
          <w:color w:val="auto"/>
        </w:rPr>
      </w:pPr>
      <w:r>
        <w:rPr>
          <w:rFonts w:ascii="Times New Roman" w:cs="Times New Roman" w:eastAsia="Times New Roman" w:hAnsi="Times New Roman"/>
          <w:sz w:val="18"/>
          <w:szCs w:val="18"/>
          <w:color w:val="auto"/>
        </w:rPr>
        <w:t>Income tax benefit was $2.0 million for the six months ended August 4, 2019, compared to income tax expense of $2.0 million in the six months ended July 29, 2018. Our effective tax rate related to controlling interest was 26% for both the six months ended August 4, 2019 and July 29, 2018,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w:t>
      </w:r>
    </w:p>
    <w:p>
      <w:pPr>
        <w:spacing w:after="0" w:line="189" w:lineRule="exact"/>
        <w:rPr>
          <w:sz w:val="20"/>
          <w:szCs w:val="20"/>
          <w:color w:val="auto"/>
        </w:rPr>
      </w:pPr>
    </w:p>
    <w:p>
      <w:pPr>
        <w:ind w:right="220" w:firstLine="428"/>
        <w:spacing w:after="0" w:line="282" w:lineRule="auto"/>
        <w:rPr>
          <w:sz w:val="20"/>
          <w:szCs w:val="20"/>
          <w:color w:val="auto"/>
        </w:rPr>
      </w:pPr>
      <w:r>
        <w:rPr>
          <w:rFonts w:ascii="Times New Roman" w:cs="Times New Roman" w:eastAsia="Times New Roman" w:hAnsi="Times New Roman"/>
          <w:sz w:val="18"/>
          <w:szCs w:val="18"/>
          <w:color w:val="auto"/>
        </w:rPr>
        <w:t>Net loss was $5.6 million, in the six months ended August 4, 2019 compared to net income of $5.7 million in the six months ended July 29, 2018, primarily due to the factors discussed above.</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EBITDA and EBITDA to Adjusted EBITDA</w:t>
      </w:r>
    </w:p>
    <w:p>
      <w:pPr>
        <w:spacing w:after="0" w:line="189" w:lineRule="exact"/>
        <w:rPr>
          <w:sz w:val="20"/>
          <w:szCs w:val="20"/>
          <w:color w:val="auto"/>
        </w:rPr>
      </w:pPr>
    </w:p>
    <w:p>
      <w:pPr>
        <w:jc w:val="both"/>
        <w:ind w:right="140" w:firstLine="428"/>
        <w:spacing w:after="0" w:line="266" w:lineRule="auto"/>
        <w:rPr>
          <w:sz w:val="20"/>
          <w:szCs w:val="20"/>
          <w:color w:val="auto"/>
        </w:rPr>
      </w:pPr>
      <w:r>
        <w:rPr>
          <w:rFonts w:ascii="Times New Roman" w:cs="Times New Roman" w:eastAsia="Times New Roman" w:hAnsi="Times New Roman"/>
          <w:sz w:val="18"/>
          <w:szCs w:val="18"/>
          <w:color w:val="auto"/>
        </w:rPr>
        <w:t>The following table presents reconciliations of net income to EBITDA and EBITDA to Adjusted EBITDA, both of which are non-U.S. GAAP financial measures, for the periods indicated below. See the above section titled “How We Assess the Performance of Our Business,” for our definition of Adjusted EBITDA.</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41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July 29, 2018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July 29, 2018</w:t>
            </w:r>
          </w:p>
        </w:tc>
      </w:tr>
      <w:tr>
        <w:trPr>
          <w:trHeight w:val="196"/>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w:t>
            </w:r>
          </w:p>
        </w:tc>
      </w:tr>
      <w:tr>
        <w:trPr>
          <w:trHeight w:val="216"/>
        </w:trPr>
        <w:tc>
          <w:tcPr>
            <w:tcW w:w="20" w:type="dxa"/>
            <w:vAlign w:val="bottom"/>
          </w:tcPr>
          <w:p>
            <w:pPr>
              <w:spacing w:after="0"/>
              <w:rPr>
                <w:sz w:val="18"/>
                <w:szCs w:val="18"/>
                <w:color w:val="auto"/>
              </w:rPr>
            </w:pP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r>
      <w:tr>
        <w:trPr>
          <w:trHeight w:val="225"/>
        </w:trPr>
        <w:tc>
          <w:tcPr>
            <w:tcW w:w="20" w:type="dxa"/>
            <w:vAlign w:val="bottom"/>
          </w:tcPr>
          <w:p>
            <w:pPr>
              <w:spacing w:after="0"/>
              <w:rPr>
                <w:sz w:val="19"/>
                <w:szCs w:val="19"/>
                <w:color w:val="auto"/>
              </w:rPr>
            </w:pP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build-to-suit leases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contribution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14,873</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17"/>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6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9,560</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13,107</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15,731</w:t>
            </w:r>
          </w:p>
        </w:tc>
      </w:tr>
    </w:tbl>
    <w:p>
      <w:pPr>
        <w:spacing w:after="0" w:line="157" w:lineRule="exact"/>
        <w:rPr>
          <w:sz w:val="20"/>
          <w:szCs w:val="20"/>
          <w:color w:val="auto"/>
        </w:rPr>
      </w:pPr>
    </w:p>
    <w:p>
      <w:pPr>
        <w:ind w:right="60" w:firstLine="428"/>
        <w:spacing w:after="0" w:line="261" w:lineRule="auto"/>
        <w:rPr>
          <w:sz w:val="20"/>
          <w:szCs w:val="20"/>
          <w:color w:val="auto"/>
        </w:rPr>
      </w:pPr>
      <w:r>
        <w:rPr>
          <w:rFonts w:ascii="Times New Roman" w:cs="Times New Roman" w:eastAsia="Times New Roman" w:hAnsi="Times New Roman"/>
          <w:sz w:val="18"/>
          <w:szCs w:val="18"/>
          <w:color w:val="auto"/>
        </w:rPr>
        <w:t>As a result of the factors discussed above in the “Results of Operations” section, Adjusted EBITDA decreased $3.5 million to $9.6 million in the three months ended August 4, 2019 compared to $13.1 million in the three months ended July 29, 2018. As a percentage of net sales, Adjusted EBITDA decreased 400 basis points to 7.8% of net sales in the three months ended August 4, 2019 compared to 11.8% of net sales in the three months ended July 29, 2018.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8" w:lineRule="exact"/>
        <w:rPr>
          <w:sz w:val="20"/>
          <w:szCs w:val="20"/>
          <w:color w:val="auto"/>
        </w:rPr>
      </w:pPr>
    </w:p>
    <w:p>
      <w:pPr>
        <w:ind w:right="40" w:firstLine="428"/>
        <w:spacing w:after="0" w:line="261" w:lineRule="auto"/>
        <w:rPr>
          <w:sz w:val="20"/>
          <w:szCs w:val="20"/>
          <w:color w:val="auto"/>
        </w:rPr>
      </w:pPr>
      <w:r>
        <w:rPr>
          <w:rFonts w:ascii="Times New Roman" w:cs="Times New Roman" w:eastAsia="Times New Roman" w:hAnsi="Times New Roman"/>
          <w:sz w:val="18"/>
          <w:szCs w:val="18"/>
          <w:color w:val="auto"/>
        </w:rPr>
        <w:t>As a result of the factors discussed above in the “Results of Operations” section, Adjusted EBITDA decreased $11.0 million to $4.7 million in the six months ended August 4, 2019 compared to $ 15.7 million in the six months ended July 29, 2018. As a percentage of net sales, Adjusted EBITDA decreased 550 basis points to 2.0% of net sales in the six months ended August 4, 2019 compared to 7.5% of net sales in the six months ended July 29, 2018.</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89" w:lineRule="exact"/>
        <w:rPr>
          <w:sz w:val="20"/>
          <w:szCs w:val="20"/>
          <w:color w:val="auto"/>
        </w:rPr>
      </w:pPr>
    </w:p>
    <w:p>
      <w:pPr>
        <w:ind w:right="40" w:firstLine="428"/>
        <w:spacing w:after="0" w:line="255" w:lineRule="auto"/>
        <w:rPr>
          <w:sz w:val="20"/>
          <w:szCs w:val="20"/>
          <w:color w:val="auto"/>
        </w:rPr>
      </w:pPr>
      <w:r>
        <w:rPr>
          <w:rFonts w:ascii="Times New Roman" w:cs="Times New Roman" w:eastAsia="Times New Roman" w:hAnsi="Times New Roman"/>
          <w:sz w:val="18"/>
          <w:szCs w:val="18"/>
          <w:color w:val="auto"/>
        </w:rPr>
        <w:t>Our business relies on cash from operating activities and a credit facility as our primary sources of liquidity. On May 17, 2018, we entered into a new credit facility which provides for borrowings of up to $80.0 million on a revolving line of credit and an additional $50.0 million in a delayed draw term loan. The $80.0 million revolving line of credit matures on May 17, 2023 and we have the option to draw in various amounts on the $50.0 million term loan through May 17, 2020, with a maturity on May 17, 2023. Our primary cash needs have been for inventory, marketing and advertising, payroll, store leases, capital expenditures associated with opening new stores, infrastructure and information technology. The most significant components of our working capital are cash, inventory, accounts payable and other current liabilities.</w:t>
      </w:r>
    </w:p>
    <w:p>
      <w:pPr>
        <w:spacing w:after="0" w:line="149" w:lineRule="exact"/>
        <w:rPr>
          <w:sz w:val="20"/>
          <w:szCs w:val="20"/>
          <w:color w:val="auto"/>
        </w:rPr>
      </w:pPr>
    </w:p>
    <w:p>
      <w:pPr>
        <w:ind w:right="60" w:firstLine="428"/>
        <w:spacing w:after="0" w:line="255" w:lineRule="auto"/>
        <w:rPr>
          <w:sz w:val="20"/>
          <w:szCs w:val="20"/>
          <w:color w:val="auto"/>
        </w:rPr>
      </w:pPr>
      <w:r>
        <w:rPr>
          <w:rFonts w:ascii="Times New Roman" w:cs="Times New Roman" w:eastAsia="Times New Roman" w:hAnsi="Times New Roman"/>
          <w:sz w:val="18"/>
          <w:szCs w:val="18"/>
          <w:color w:val="auto"/>
        </w:rPr>
        <w:t>We expect to spend approximately $38.0 million to $42.0 million in fiscal 2019 on capital expenditures, including a total of approximately $30.0 million to $32.0 million for new retail store expansion and remodels. We expect capital expenditures of approximately $2.0 million and starting inventory of $0.5 million to open a new store. At August 4, 2019, our net working capital was $66.1 million, including $3.5 million of cash. Due to the seasonality of our business, a significant amount of cash from operating activities is generated during the fourth quarter of our fiscal year. During the first three quarters of our fiscal year, we typically are net users of cash in our operating activities as we acquire inventory in anticipation of our peak selling season, which occurs in the fourth quarter of our fiscal year. We also use cash in our investing activities for capital expenditures throughout all four quarters of our fiscal year.</w:t>
      </w:r>
    </w:p>
    <w:p>
      <w:pPr>
        <w:spacing w:after="0" w:line="158" w:lineRule="exact"/>
        <w:rPr>
          <w:sz w:val="20"/>
          <w:szCs w:val="20"/>
          <w:color w:val="auto"/>
        </w:rPr>
      </w:pPr>
    </w:p>
    <w:p>
      <w:pPr>
        <w:ind w:right="260" w:firstLine="428"/>
        <w:spacing w:after="0" w:line="266" w:lineRule="auto"/>
        <w:rPr>
          <w:sz w:val="20"/>
          <w:szCs w:val="20"/>
          <w:color w:val="auto"/>
        </w:rPr>
      </w:pPr>
      <w:r>
        <w:rPr>
          <w:rFonts w:ascii="Times New Roman" w:cs="Times New Roman" w:eastAsia="Times New Roman" w:hAnsi="Times New Roman"/>
          <w:sz w:val="18"/>
          <w:szCs w:val="18"/>
          <w:color w:val="auto"/>
        </w:rPr>
        <w:t>We believe that our cash flow from operating activities and the availability of cash under our revolving line of credit will be sufficient to cover working capital requirements and anticipated capital expenditures and for funding our growth strategy for the foreseeable future.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20" w:type="dxa"/>
            <w:vAlign w:val="bottom"/>
            <w:tcBorders>
              <w:bottom w:val="single" w:sz="8" w:color="auto"/>
            </w:tcBorders>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August 4, 2019</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July 29, 2018</w:t>
            </w:r>
          </w:p>
        </w:tc>
      </w:tr>
      <w:tr>
        <w:trPr>
          <w:trHeight w:val="250"/>
        </w:trPr>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w:t>
            </w:r>
          </w:p>
        </w:tc>
        <w:tc>
          <w:tcPr>
            <w:tcW w:w="2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(12,585)</w:t>
            </w: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(27,325)</w:t>
            </w:r>
          </w:p>
        </w:tc>
      </w:tr>
      <w:tr>
        <w:trPr>
          <w:trHeight w:val="230"/>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27,829</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36,404</w:t>
            </w:r>
          </w:p>
        </w:tc>
      </w:tr>
      <w:tr>
        <w:trPr>
          <w:trHeight w:val="217"/>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cash and restricted cash</w:t>
            </w:r>
          </w:p>
        </w:tc>
        <w:tc>
          <w:tcPr>
            <w:tcW w:w="1120" w:type="dxa"/>
            <w:vAlign w:val="bottom"/>
          </w:tcPr>
          <w:p>
            <w:pPr>
              <w:spacing w:after="0"/>
              <w:rPr>
                <w:sz w:val="18"/>
                <w:szCs w:val="18"/>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89" w:lineRule="exact"/>
        <w:rPr>
          <w:sz w:val="20"/>
          <w:szCs w:val="20"/>
          <w:color w:val="auto"/>
        </w:rPr>
      </w:pPr>
    </w:p>
    <w:p>
      <w:pPr>
        <w:ind w:right="320" w:firstLine="428"/>
        <w:spacing w:after="0" w:line="282" w:lineRule="auto"/>
        <w:rPr>
          <w:sz w:val="20"/>
          <w:szCs w:val="20"/>
          <w:color w:val="auto"/>
        </w:rPr>
      </w:pPr>
      <w:r>
        <w:rPr>
          <w:rFonts w:ascii="Times New Roman" w:cs="Times New Roman" w:eastAsia="Times New Roman" w:hAnsi="Times New Roman"/>
          <w:sz w:val="18"/>
          <w:szCs w:val="18"/>
          <w:color w:val="auto"/>
        </w:rPr>
        <w:t>Operating activities consist primarily of net income adjusted for non-cash items that include depreciation and amortization, stock-based compensation and the effect of changes in assets and liabilities.</w:t>
      </w:r>
    </w:p>
    <w:p>
      <w:pPr>
        <w:spacing w:after="0" w:line="135" w:lineRule="exact"/>
        <w:rPr>
          <w:sz w:val="20"/>
          <w:szCs w:val="20"/>
          <w:color w:val="auto"/>
        </w:rPr>
      </w:pPr>
    </w:p>
    <w:p>
      <w:pPr>
        <w:ind w:right="120" w:firstLine="428"/>
        <w:spacing w:after="0" w:line="261" w:lineRule="auto"/>
        <w:rPr>
          <w:sz w:val="20"/>
          <w:szCs w:val="20"/>
          <w:color w:val="auto"/>
        </w:rPr>
      </w:pPr>
      <w:r>
        <w:rPr>
          <w:rFonts w:ascii="Times New Roman" w:cs="Times New Roman" w:eastAsia="Times New Roman" w:hAnsi="Times New Roman"/>
          <w:sz w:val="18"/>
          <w:szCs w:val="18"/>
          <w:color w:val="auto"/>
        </w:rPr>
        <w:t>While our cash flows from operations for the six months ended August 4, 2019 is negative, primarily driven by the seasonal nature of our business, we expect cash flows from operations for the full year fiscal 2019 to be positive from operating performance and seasonal reductions in working capital during the fourth quarter of our fiscal year, which is consistent with previous full fiscal years.</w:t>
      </w:r>
    </w:p>
    <w:p>
      <w:pPr>
        <w:spacing w:after="0" w:line="140" w:lineRule="exact"/>
        <w:rPr>
          <w:sz w:val="20"/>
          <w:szCs w:val="20"/>
          <w:color w:val="auto"/>
        </w:rPr>
      </w:pPr>
    </w:p>
    <w:p>
      <w:pPr>
        <w:ind w:firstLine="428"/>
        <w:spacing w:after="0" w:line="255" w:lineRule="auto"/>
        <w:rPr>
          <w:sz w:val="20"/>
          <w:szCs w:val="20"/>
          <w:color w:val="auto"/>
        </w:rPr>
      </w:pPr>
      <w:r>
        <w:rPr>
          <w:rFonts w:ascii="Times New Roman" w:cs="Times New Roman" w:eastAsia="Times New Roman" w:hAnsi="Times New Roman"/>
          <w:sz w:val="18"/>
          <w:szCs w:val="18"/>
          <w:color w:val="auto"/>
        </w:rPr>
        <w:t>For six months ended August 4, 2019, net cash used in operating activities was $8.0 million, which primarily consisted of net loss of $5.8 million, non-cash depreciation and amortization of $9.4 million and stock based compensation of $1.0 million, offset by cash used in operating assets and liabilities of $12.0 million. The cash used in operating assets and liabilities of $12.0 million primarily consisted of a $17.2 million increase in inventory, primarily due to the increase in the number of retail stores and building of inventory for our peak season, a $10.8 million increase in trade accounts payable due to timing of payments, a $7.1 million decrease in accrued expenses and deferred rent obligations, and a $1.9 million decrease in deferred catalog costs due to a reduction in catalog circulation.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8" w:lineRule="exact"/>
        <w:rPr>
          <w:sz w:val="20"/>
          <w:szCs w:val="20"/>
          <w:color w:val="auto"/>
        </w:rPr>
      </w:pPr>
    </w:p>
    <w:p>
      <w:pPr>
        <w:ind w:right="40" w:firstLine="428"/>
        <w:spacing w:after="0" w:line="255" w:lineRule="auto"/>
        <w:rPr>
          <w:sz w:val="20"/>
          <w:szCs w:val="20"/>
          <w:color w:val="auto"/>
        </w:rPr>
      </w:pPr>
      <w:r>
        <w:rPr>
          <w:rFonts w:ascii="Times New Roman" w:cs="Times New Roman" w:eastAsia="Times New Roman" w:hAnsi="Times New Roman"/>
          <w:sz w:val="18"/>
          <w:szCs w:val="18"/>
          <w:color w:val="auto"/>
        </w:rPr>
        <w:t>For the six months ended July 29, 2018, net cash used in operating activities was $12.6 million, which consisted of net income of $5.8 million, non-cash depreciation and amortization of $5.1 million and stock based compensation of $0.9 million, offset by cash used in operating assets and liabilities of $24.0 million. The cash used in operating assets and liabilities of $24.0 million primarily consisted of a $12.1 million increase in inventory, primarily due to our sales increase and building up of inventory for the opening of new retail stores during fiscal 2018 and our peak season, a $2.3 million increase in prepaid expenses and other current assets due to an increase in estimated expected inventory returns, a $5.5 million decrease in income tax payable primarily due to timing of payments, and a $3.3 million decrease in accrued expenses and deferred rent obligations.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89" w:lineRule="exact"/>
        <w:rPr>
          <w:sz w:val="20"/>
          <w:szCs w:val="20"/>
          <w:color w:val="auto"/>
        </w:rPr>
      </w:pPr>
    </w:p>
    <w:p>
      <w:pPr>
        <w:ind w:right="120" w:firstLine="428"/>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capital expenditures for growth related to new store openings, information technology and enhancements for our distribution and corporate facilities.</w:t>
      </w:r>
    </w:p>
    <w:p>
      <w:pPr>
        <w:spacing w:after="0" w:line="135" w:lineRule="exact"/>
        <w:rPr>
          <w:sz w:val="20"/>
          <w:szCs w:val="20"/>
          <w:color w:val="auto"/>
        </w:rPr>
      </w:pPr>
    </w:p>
    <w:p>
      <w:pPr>
        <w:ind w:right="160" w:firstLine="428"/>
        <w:spacing w:after="0" w:line="266" w:lineRule="auto"/>
        <w:rPr>
          <w:sz w:val="20"/>
          <w:szCs w:val="20"/>
          <w:color w:val="auto"/>
        </w:rPr>
      </w:pPr>
      <w:r>
        <w:rPr>
          <w:rFonts w:ascii="Times New Roman" w:cs="Times New Roman" w:eastAsia="Times New Roman" w:hAnsi="Times New Roman"/>
          <w:sz w:val="18"/>
          <w:szCs w:val="18"/>
          <w:color w:val="auto"/>
        </w:rPr>
        <w:t>For the six months ended August 4, 2019, net cash used in investing activities was $16.7 million and was primarily driven by capital expenditures of $13.8 million for new retail stores and retail store build-out, as well as investments in information technology, and $3.0 million of capital contributions towards our build-to-suit stores.</w:t>
      </w:r>
    </w:p>
    <w:p>
      <w:pPr>
        <w:spacing w:after="0" w:line="136" w:lineRule="exact"/>
        <w:rPr>
          <w:sz w:val="20"/>
          <w:szCs w:val="20"/>
          <w:color w:val="auto"/>
        </w:rPr>
      </w:pPr>
    </w:p>
    <w:p>
      <w:pPr>
        <w:ind w:right="300" w:firstLine="428"/>
        <w:spacing w:after="0" w:line="282" w:lineRule="auto"/>
        <w:rPr>
          <w:sz w:val="20"/>
          <w:szCs w:val="20"/>
          <w:color w:val="auto"/>
        </w:rPr>
      </w:pPr>
      <w:r>
        <w:rPr>
          <w:rFonts w:ascii="Times New Roman" w:cs="Times New Roman" w:eastAsia="Times New Roman" w:hAnsi="Times New Roman"/>
          <w:sz w:val="18"/>
          <w:szCs w:val="18"/>
          <w:color w:val="auto"/>
        </w:rPr>
        <w:t>For the six months ended July 29, 2018, net cash used in investing activities was $27.3 million and was primarily driven by capital expenditures of $26.8 million for new retail store build-out, as well as investments in information technology.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02" w:lineRule="exact"/>
        <w:rPr>
          <w:sz w:val="20"/>
          <w:szCs w:val="20"/>
          <w:color w:val="auto"/>
        </w:rPr>
      </w:pPr>
    </w:p>
    <w:p>
      <w:pPr>
        <w:ind w:right="240" w:firstLine="428"/>
        <w:spacing w:after="0" w:line="266" w:lineRule="auto"/>
        <w:rPr>
          <w:sz w:val="20"/>
          <w:szCs w:val="20"/>
          <w:color w:val="auto"/>
        </w:rPr>
      </w:pPr>
      <w:r>
        <w:rPr>
          <w:rFonts w:ascii="Times New Roman" w:cs="Times New Roman" w:eastAsia="Times New Roman" w:hAnsi="Times New Roman"/>
          <w:sz w:val="18"/>
          <w:szCs w:val="18"/>
          <w:color w:val="auto"/>
        </w:rPr>
        <w:t>Financing activities consist primarily of borrowings and payments related to our revolving line of credit and other long-term debts, as well as proceeds from finance lease obligations and principal payments on long term debt by our consolidated variable interest entity TRI Holdings, LLC (“TRI”).</w:t>
      </w:r>
    </w:p>
    <w:p>
      <w:pPr>
        <w:spacing w:after="0" w:line="136" w:lineRule="exact"/>
        <w:rPr>
          <w:sz w:val="20"/>
          <w:szCs w:val="20"/>
          <w:color w:val="auto"/>
        </w:rPr>
      </w:pPr>
    </w:p>
    <w:p>
      <w:pPr>
        <w:ind w:right="140" w:firstLine="428"/>
        <w:spacing w:after="0" w:line="282" w:lineRule="auto"/>
        <w:rPr>
          <w:sz w:val="20"/>
          <w:szCs w:val="20"/>
          <w:color w:val="auto"/>
        </w:rPr>
      </w:pPr>
      <w:r>
        <w:rPr>
          <w:rFonts w:ascii="Times New Roman" w:cs="Times New Roman" w:eastAsia="Times New Roman" w:hAnsi="Times New Roman"/>
          <w:sz w:val="18"/>
          <w:szCs w:val="18"/>
          <w:color w:val="auto"/>
        </w:rPr>
        <w:t>For the six months ended August 4, 2019, net cash provided by financing activities was $27.8 million, primarily consisting of proceeds of $28.5 million, net from our revolving line of credit to fund working capital.</w:t>
      </w:r>
    </w:p>
    <w:p>
      <w:pPr>
        <w:spacing w:after="0" w:line="121" w:lineRule="exact"/>
        <w:rPr>
          <w:sz w:val="20"/>
          <w:szCs w:val="20"/>
          <w:color w:val="auto"/>
        </w:rPr>
      </w:pPr>
    </w:p>
    <w:p>
      <w:pPr>
        <w:jc w:val="both"/>
        <w:ind w:right="280" w:firstLine="428"/>
        <w:spacing w:after="0" w:line="266" w:lineRule="auto"/>
        <w:rPr>
          <w:sz w:val="20"/>
          <w:szCs w:val="20"/>
          <w:color w:val="auto"/>
        </w:rPr>
      </w:pPr>
      <w:r>
        <w:rPr>
          <w:rFonts w:ascii="Times New Roman" w:cs="Times New Roman" w:eastAsia="Times New Roman" w:hAnsi="Times New Roman"/>
          <w:sz w:val="18"/>
          <w:szCs w:val="18"/>
          <w:color w:val="auto"/>
        </w:rPr>
        <w:t>For the six months ended July 29, 2018, net cash provided by financing activities was $36.4 million, primarily consisting of proceeds of $35.0 million, net from our revolving line of credit to fund working capital and capital expenditures, and $1.0 million from finance lease obligations in connection with our build-to-suit lease transactions.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Line of Credit</w:t>
      </w:r>
    </w:p>
    <w:p>
      <w:pPr>
        <w:spacing w:after="0" w:line="189" w:lineRule="exact"/>
        <w:rPr>
          <w:sz w:val="20"/>
          <w:szCs w:val="20"/>
          <w:color w:val="auto"/>
        </w:rPr>
      </w:pPr>
    </w:p>
    <w:p>
      <w:pPr>
        <w:ind w:firstLine="428"/>
        <w:spacing w:after="0" w:line="256" w:lineRule="auto"/>
        <w:rPr>
          <w:sz w:val="20"/>
          <w:szCs w:val="20"/>
          <w:color w:val="auto"/>
        </w:rPr>
      </w:pPr>
      <w:r>
        <w:rPr>
          <w:rFonts w:ascii="Times New Roman" w:cs="Times New Roman" w:eastAsia="Times New Roman" w:hAnsi="Times New Roman"/>
          <w:sz w:val="18"/>
          <w:szCs w:val="18"/>
          <w:color w:val="auto"/>
        </w:rPr>
        <w:t>On May 17, 2018, we entered into a new credit agreement and subsequently terminated our Amended and Restated Agreement. The outstanding balance of $27.5 million under the Amended and Restated Agreement was paid off with borrowings under the new credit agreement. The credit agreement is secured by essentially all Company assets and requires that we maintain compliance with certain financial and non-financial covenants, including a trailing twelve month maximum rent adjusted leverage ratio and minimum fixed charge coverage ratio. See Note 3 “Debt and Line of Credit,” in the Notes to Condensed Consolidated Financial Statements for further information.</w:t>
      </w:r>
    </w:p>
    <w:p>
      <w:pPr>
        <w:spacing w:after="0" w:line="147" w:lineRule="exact"/>
        <w:rPr>
          <w:sz w:val="20"/>
          <w:szCs w:val="20"/>
          <w:color w:val="auto"/>
        </w:rPr>
      </w:pPr>
    </w:p>
    <w:p>
      <w:pPr>
        <w:ind w:right="140" w:firstLine="428"/>
        <w:spacing w:after="0" w:line="282" w:lineRule="auto"/>
        <w:rPr>
          <w:sz w:val="20"/>
          <w:szCs w:val="20"/>
          <w:color w:val="auto"/>
        </w:rPr>
      </w:pPr>
      <w:r>
        <w:rPr>
          <w:rFonts w:ascii="Times New Roman" w:cs="Times New Roman" w:eastAsia="Times New Roman" w:hAnsi="Times New Roman"/>
          <w:sz w:val="18"/>
          <w:szCs w:val="18"/>
          <w:color w:val="auto"/>
        </w:rPr>
        <w:t>As of August 4, 2019 and for the six months then ended, the Company was in compliance with all financial and non-financial covenants for all debts discussed above and expects to be in compliance for the remainder of fiscal 2019.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ind w:right="80" w:firstLine="428"/>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contractual obligations as described in our Annual Report on Form 10-K for the fiscal year ended February 3, 2019.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not a party to any material off-balance sheet arrangements.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Critical Accounting Estimates</w:t>
      </w:r>
    </w:p>
    <w:p>
      <w:pPr>
        <w:spacing w:after="0" w:line="189" w:lineRule="exact"/>
        <w:rPr>
          <w:sz w:val="20"/>
          <w:szCs w:val="20"/>
          <w:color w:val="auto"/>
        </w:rPr>
      </w:pPr>
    </w:p>
    <w:p>
      <w:pPr>
        <w:ind w:right="40" w:firstLine="428"/>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8" w:lineRule="exact"/>
        <w:rPr>
          <w:sz w:val="20"/>
          <w:szCs w:val="20"/>
          <w:color w:val="auto"/>
        </w:rPr>
      </w:pPr>
    </w:p>
    <w:p>
      <w:pPr>
        <w:ind w:right="60" w:firstLine="428"/>
        <w:spacing w:after="0" w:line="282" w:lineRule="auto"/>
        <w:rPr>
          <w:sz w:val="20"/>
          <w:szCs w:val="20"/>
          <w:color w:val="auto"/>
        </w:rPr>
      </w:pPr>
      <w:r>
        <w:rPr>
          <w:rFonts w:ascii="Times New Roman" w:cs="Times New Roman" w:eastAsia="Times New Roman" w:hAnsi="Times New Roman"/>
          <w:sz w:val="18"/>
          <w:szCs w:val="18"/>
          <w:color w:val="auto"/>
        </w:rPr>
        <w:t>As of the date of this filing, there were no significant changes to any of the critical accounting policies and estimates described in our 2018 Form 10-K, except as discussed below.</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Recently Adopted Accounting Pronouncements</w:t>
      </w:r>
    </w:p>
    <w:p>
      <w:pPr>
        <w:spacing w:after="0" w:line="185" w:lineRule="exact"/>
        <w:rPr>
          <w:sz w:val="20"/>
          <w:szCs w:val="20"/>
          <w:color w:val="auto"/>
        </w:rPr>
      </w:pPr>
    </w:p>
    <w:p>
      <w:pPr>
        <w:ind w:right="20" w:firstLine="428"/>
        <w:spacing w:after="0" w:line="261" w:lineRule="auto"/>
        <w:rPr>
          <w:sz w:val="20"/>
          <w:szCs w:val="20"/>
          <w:color w:val="auto"/>
        </w:rPr>
      </w:pPr>
      <w:r>
        <w:rPr>
          <w:rFonts w:ascii="Times New Roman" w:cs="Times New Roman" w:eastAsia="Times New Roman" w:hAnsi="Times New Roman"/>
          <w:sz w:val="18"/>
          <w:szCs w:val="18"/>
          <w:color w:val="auto"/>
        </w:rPr>
        <w:t>On February 4, 2019, we adopted authoritative guidance related to leases using the optional transition method and elected the package of practical expedients. As such, the comparative prior period information has not been restated and continues to be reported under the accounting standards in effect for those periods. Beginning with the first quarter of fiscal 2019, our financial results reflect adoption of the standard.</w:t>
      </w:r>
    </w:p>
    <w:p>
      <w:pPr>
        <w:spacing w:after="0" w:line="153" w:lineRule="exact"/>
        <w:rPr>
          <w:sz w:val="20"/>
          <w:szCs w:val="20"/>
          <w:color w:val="auto"/>
        </w:rPr>
      </w:pPr>
    </w:p>
    <w:p>
      <w:pPr>
        <w:jc w:val="both"/>
        <w:ind w:right="500" w:firstLine="428"/>
        <w:spacing w:after="0" w:line="266" w:lineRule="auto"/>
        <w:rPr>
          <w:sz w:val="20"/>
          <w:szCs w:val="20"/>
          <w:color w:val="auto"/>
        </w:rPr>
      </w:pPr>
      <w:r>
        <w:rPr>
          <w:rFonts w:ascii="Times New Roman" w:cs="Times New Roman" w:eastAsia="Times New Roman" w:hAnsi="Times New Roman"/>
          <w:sz w:val="18"/>
          <w:szCs w:val="18"/>
          <w:color w:val="auto"/>
        </w:rPr>
        <w:t>See Note 1 “Nature of Operations and Basis of Presentation,” of Notes to Condensed Consolidated Financial Statements included in Part 1, Item 1, of this quarterly report on Form 10-Q for further information regarding recently adopted accounting pronouncements.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firstLine="428"/>
        <w:spacing w:after="0" w:line="282" w:lineRule="auto"/>
        <w:rPr>
          <w:sz w:val="20"/>
          <w:szCs w:val="20"/>
          <w:color w:val="auto"/>
        </w:rPr>
      </w:pPr>
      <w:r>
        <w:rPr>
          <w:rFonts w:ascii="Times New Roman" w:cs="Times New Roman" w:eastAsia="Times New Roman" w:hAnsi="Times New Roman"/>
          <w:sz w:val="18"/>
          <w:szCs w:val="18"/>
          <w:color w:val="auto"/>
        </w:rPr>
        <w:t>See Note 13 “Recent Accounting Pronouncements,” of Notes to Condensed Consolidated Financial Statements included in Part 1, Item 1, of this quarterly report on Form 10-Q for information regarding recent accounting pronouncements.</w:t>
      </w:r>
    </w:p>
    <w:p>
      <w:pPr>
        <w:spacing w:after="0" w:line="1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in the market risks described in our 2018 Form 10-K. See Note 3 “Debt and Line of Credit,” of Notes to Condensed Consolidated Financial Statements included in Part 1, Item 1, of this quarterly report on Form 10-Q, for disclosure on our interest rate related to our line of credit.</w:t>
      </w:r>
    </w:p>
    <w:p>
      <w:pPr>
        <w:spacing w:after="0" w:line="13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02" w:lineRule="exact"/>
        <w:rPr>
          <w:sz w:val="20"/>
          <w:szCs w:val="20"/>
          <w:color w:val="auto"/>
        </w:rPr>
      </w:pPr>
    </w:p>
    <w:p>
      <w:pPr>
        <w:ind w:right="160" w:firstLine="428"/>
        <w:spacing w:after="0" w:line="255" w:lineRule="auto"/>
        <w:rPr>
          <w:sz w:val="20"/>
          <w:szCs w:val="20"/>
          <w:color w:val="auto"/>
        </w:rPr>
      </w:pPr>
      <w:r>
        <w:rPr>
          <w:rFonts w:ascii="Times New Roman" w:cs="Times New Roman" w:eastAsia="Times New Roman" w:hAnsi="Times New Roman"/>
          <w:sz w:val="18"/>
          <w:szCs w:val="18"/>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this evaluation, our Chief Executive Officer and Chief Financial Officer have concluded that, as of August 4, 2019, as a result of the material weakness in our internal control over financial reporting discussed below and in the Company’s Annual Report on Form 10-K, for the year ended February 3, 2019, our disclosure controls and procedures were not effective.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w:t>
      </w:r>
    </w:p>
    <w:p>
      <w:pPr>
        <w:spacing w:after="0" w:line="18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As disclosed in our 2018 Form 10-K, management concluded that a material weakness existed in our internal control over financial reporting. Specifically we determined that due to the lack of sufficient resources throughout the year, we did not design and implement effective internal control activities to timely detect and resolve issues resulting from converting to a new order management system, nor did we consistently execute certain account reconciliations and analyses timely during fiscal 2018.</w:t>
      </w:r>
    </w:p>
    <w:p>
      <w:pPr>
        <w:spacing w:after="0" w:line="153" w:lineRule="exact"/>
        <w:rPr>
          <w:sz w:val="20"/>
          <w:szCs w:val="20"/>
          <w:color w:val="auto"/>
        </w:rPr>
      </w:pPr>
    </w:p>
    <w:p>
      <w:pPr>
        <w:ind w:right="80" w:firstLine="428"/>
        <w:spacing w:after="0" w:line="281" w:lineRule="auto"/>
        <w:rPr>
          <w:sz w:val="20"/>
          <w:szCs w:val="20"/>
          <w:color w:val="auto"/>
        </w:rPr>
      </w:pPr>
      <w:r>
        <w:rPr>
          <w:rFonts w:ascii="Times New Roman" w:cs="Times New Roman" w:eastAsia="Times New Roman" w:hAnsi="Times New Roman"/>
          <w:sz w:val="17"/>
          <w:szCs w:val="17"/>
          <w:color w:val="auto"/>
        </w:rPr>
        <w:t>Management has developed certain remediation steps to address the material weakness discussed above and to improve internal control over financial reporting. The Company is taking steps to correctly allocate resources as needed and to further automate and enhance the reconciliation process. The material weakness will not be considered remediated until applicable remedial controls operate for a sufficient period of time and management has concluded that these controls are operating effectively.</w:t>
      </w:r>
    </w:p>
    <w:p>
      <w:pPr>
        <w:spacing w:after="0" w:line="124" w:lineRule="exact"/>
        <w:rPr>
          <w:sz w:val="20"/>
          <w:szCs w:val="20"/>
          <w:color w:val="auto"/>
        </w:rPr>
      </w:pPr>
    </w:p>
    <w:p>
      <w:pPr>
        <w:ind w:right="280" w:firstLine="428"/>
        <w:spacing w:after="0" w:line="266" w:lineRule="auto"/>
        <w:rPr>
          <w:sz w:val="20"/>
          <w:szCs w:val="20"/>
          <w:color w:val="auto"/>
        </w:rPr>
      </w:pPr>
      <w:r>
        <w:rPr>
          <w:rFonts w:ascii="Times New Roman" w:cs="Times New Roman" w:eastAsia="Times New Roman" w:hAnsi="Times New Roman"/>
          <w:sz w:val="18"/>
          <w:szCs w:val="18"/>
          <w:color w:val="auto"/>
        </w:rPr>
        <w:t>Management has concluded that, notwithstanding the material weakness described above, the Company’s consolidated financial statements included in this Quarterly Report on Form 10-Q fairly present, in all material respects, our financial position, results of operations and cash flows as of the date, and for the periods presented, in conformity with U.S. GAAP.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02" w:lineRule="exact"/>
        <w:rPr>
          <w:sz w:val="20"/>
          <w:szCs w:val="20"/>
          <w:color w:val="auto"/>
        </w:rPr>
      </w:pPr>
    </w:p>
    <w:p>
      <w:pPr>
        <w:ind w:right="60" w:firstLine="428"/>
        <w:spacing w:after="0" w:line="266" w:lineRule="auto"/>
        <w:rPr>
          <w:sz w:val="20"/>
          <w:szCs w:val="20"/>
          <w:color w:val="auto"/>
        </w:rPr>
      </w:pPr>
      <w:r>
        <w:rPr>
          <w:rFonts w:ascii="Times New Roman" w:cs="Times New Roman" w:eastAsia="Times New Roman" w:hAnsi="Times New Roman"/>
          <w:sz w:val="18"/>
          <w:szCs w:val="18"/>
          <w:color w:val="auto"/>
        </w:rPr>
        <w:t>There were no other changes in our internal control over financial reporting (as defined in Rule 13a-15(d) and 15d-15(d) under the Exchange Act) that occurred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ind w:right="120" w:firstLine="428"/>
        <w:spacing w:after="0" w:line="261" w:lineRule="auto"/>
        <w:rPr>
          <w:sz w:val="20"/>
          <w:szCs w:val="20"/>
          <w:color w:val="auto"/>
        </w:rPr>
      </w:pPr>
      <w:r>
        <w:rPr>
          <w:rFonts w:ascii="Times New Roman" w:cs="Times New Roman" w:eastAsia="Times New Roman" w:hAnsi="Times New Roman"/>
          <w:sz w:val="18"/>
          <w:szCs w:val="18"/>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2018 Form 10-K or other SEC filings. There have been no material changes to our risk factors as previously disclosed in our Annual Report on Form 10-K.</w:t>
      </w:r>
    </w:p>
    <w:p>
      <w:pPr>
        <w:spacing w:after="0" w:line="13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did not sell any equity securities during the quarter ended August 4, 2019, which were not registered under the Securities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420"/>
          </w:cols>
          <w:pgMar w:left="1140" w:top="297" w:right="1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w:t>
      </w:r>
    </w:p>
    <w:tbl>
      <w:tblPr>
        <w:tblLayout w:type="fixed"/>
        <w:tblInd w:w="20" w:type="dxa"/>
        <w:tblCellMar>
          <w:top w:w="0" w:type="dxa"/>
          <w:left w:w="0" w:type="dxa"/>
          <w:bottom w:w="0" w:type="dxa"/>
          <w:right w:w="0" w:type="dxa"/>
        </w:tblCellMar>
      </w:tblPr>
      <w:tr>
        <w:trPr>
          <w:trHeight w:val="171"/>
        </w:trPr>
        <w:tc>
          <w:tcPr>
            <w:tcW w:w="1200" w:type="dxa"/>
            <w:vAlign w:val="bottom"/>
          </w:tcPr>
          <w:p>
            <w:pPr>
              <w:ind w:left="120"/>
              <w:spacing w:after="0" w:line="151" w:lineRule="exact"/>
              <w:rPr>
                <w:sz w:val="20"/>
                <w:szCs w:val="20"/>
                <w:color w:val="auto"/>
              </w:rPr>
            </w:pPr>
            <w:r>
              <w:rPr>
                <w:rFonts w:ascii="Times New Roman" w:cs="Times New Roman" w:eastAsia="Times New Roman" w:hAnsi="Times New Roman"/>
                <w:sz w:val="17"/>
                <w:szCs w:val="17"/>
                <w:color w:val="auto"/>
              </w:rPr>
              <w:t>31.1</w:t>
            </w:r>
          </w:p>
        </w:tc>
        <w:tc>
          <w:tcPr>
            <w:tcW w:w="8400" w:type="dxa"/>
            <w:vAlign w:val="bottom"/>
            <w:gridSpan w:val="8"/>
          </w:tcPr>
          <w:p>
            <w:pPr>
              <w:spacing w:after="0" w:line="152" w:lineRule="exact"/>
              <w:rPr>
                <w:rFonts w:ascii="Times New Roman" w:cs="Times New Roman" w:eastAsia="Times New Roman" w:hAnsi="Times New Roman"/>
                <w:sz w:val="16"/>
                <w:szCs w:val="16"/>
                <w:color w:val="0000EE"/>
              </w:rPr>
            </w:pPr>
            <w:hyperlink w:anchor="page32">
              <w:r>
                <w:rPr>
                  <w:rFonts w:ascii="Times New Roman" w:cs="Times New Roman" w:eastAsia="Times New Roman" w:hAnsi="Times New Roman"/>
                  <w:sz w:val="16"/>
                  <w:szCs w:val="16"/>
                  <w:color w:val="0000EE"/>
                </w:rPr>
                <w:t>Certification of Chief Executive Officer pursuant to Rule 13a-14(a) and Rule 15d-14(a) of the Securities and Exchange Act, as</w:t>
              </w:r>
            </w:hyperlink>
          </w:p>
        </w:tc>
        <w:tc>
          <w:tcPr>
            <w:tcW w:w="0" w:type="dxa"/>
            <w:vAlign w:val="bottom"/>
          </w:tcPr>
          <w:p>
            <w:pPr>
              <w:spacing w:after="0"/>
              <w:rPr>
                <w:sz w:val="1"/>
                <w:szCs w:val="1"/>
                <w:color w:val="auto"/>
              </w:rPr>
            </w:pPr>
          </w:p>
        </w:tc>
      </w:tr>
      <w:tr>
        <w:trPr>
          <w:trHeight w:val="183"/>
        </w:trPr>
        <w:tc>
          <w:tcPr>
            <w:tcW w:w="12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8200" w:type="dxa"/>
            <w:vAlign w:val="bottom"/>
            <w:tcBorders>
              <w:top w:val="single" w:sz="8" w:color="0000EE"/>
            </w:tcBorders>
            <w:gridSpan w:val="7"/>
          </w:tcPr>
          <w:p>
            <w:pPr>
              <w:spacing w:after="0" w:line="183" w:lineRule="exact"/>
              <w:rPr>
                <w:rFonts w:ascii="Times New Roman" w:cs="Times New Roman" w:eastAsia="Times New Roman" w:hAnsi="Times New Roman"/>
                <w:sz w:val="16"/>
                <w:szCs w:val="16"/>
                <w:color w:val="0000EE"/>
              </w:rPr>
            </w:pPr>
            <w:hyperlink w:anchor="page32">
              <w:r>
                <w:rPr>
                  <w:rFonts w:ascii="Times New Roman" w:cs="Times New Roman" w:eastAsia="Times New Roman" w:hAnsi="Times New Roman"/>
                  <w:sz w:val="16"/>
                  <w:szCs w:val="16"/>
                  <w:color w:val="0000EE"/>
                </w:rPr>
                <w:t>amended.</w:t>
              </w:r>
              <w:r>
                <w:rPr>
                  <w:rFonts w:ascii="Times New Roman" w:cs="Times New Roman" w:eastAsia="Times New Roman" w:hAnsi="Times New Roman"/>
                  <w:sz w:val="16"/>
                  <w:szCs w:val="16"/>
                  <w:color w:val="000000"/>
                </w:rPr>
                <w:t>*</w:t>
              </w:r>
            </w:hyperlink>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vMerge w:val="continue"/>
          </w:tcPr>
          <w:p>
            <w:pPr>
              <w:spacing w:after="0"/>
              <w:rPr>
                <w:sz w:val="15"/>
                <w:szCs w:val="15"/>
                <w:color w:val="auto"/>
              </w:rPr>
            </w:pPr>
          </w:p>
        </w:tc>
        <w:tc>
          <w:tcPr>
            <w:tcW w:w="8120" w:type="dxa"/>
            <w:vAlign w:val="bottom"/>
            <w:tcBorders>
              <w:bottom w:val="single" w:sz="8" w:color="0000EE"/>
            </w:tcBorders>
            <w:gridSpan w:val="6"/>
          </w:tcPr>
          <w:p>
            <w:pPr>
              <w:spacing w:after="0" w:line="169" w:lineRule="exact"/>
              <w:rPr>
                <w:rFonts w:ascii="Times New Roman" w:cs="Times New Roman" w:eastAsia="Times New Roman" w:hAnsi="Times New Roman"/>
                <w:sz w:val="16"/>
                <w:szCs w:val="16"/>
                <w:color w:val="0000EE"/>
              </w:rPr>
            </w:pPr>
            <w:hyperlink w:anchor="page33">
              <w:r>
                <w:rPr>
                  <w:rFonts w:ascii="Times New Roman" w:cs="Times New Roman" w:eastAsia="Times New Roman" w:hAnsi="Times New Roman"/>
                  <w:sz w:val="16"/>
                  <w:szCs w:val="16"/>
                  <w:color w:val="0000EE"/>
                </w:rPr>
                <w:t>Certification of Chief Financial Officer pursuant to Rule 13a-14(a) and Rule 15d-14(a) of the Securities and Exchange Act of</w:t>
              </w:r>
            </w:hyperlink>
          </w:p>
        </w:tc>
        <w:tc>
          <w:tcPr>
            <w:tcW w:w="2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8400" w:type="dxa"/>
            <w:vAlign w:val="bottom"/>
            <w:gridSpan w:val="8"/>
          </w:tcPr>
          <w:p>
            <w:pPr>
              <w:spacing w:after="0" w:line="183" w:lineRule="exact"/>
              <w:rPr>
                <w:rFonts w:ascii="Times New Roman" w:cs="Times New Roman" w:eastAsia="Times New Roman" w:hAnsi="Times New Roman"/>
                <w:sz w:val="16"/>
                <w:szCs w:val="16"/>
                <w:color w:val="0000EE"/>
              </w:rPr>
            </w:pPr>
            <w:hyperlink w:anchor="page33">
              <w:r>
                <w:rPr>
                  <w:rFonts w:ascii="Times New Roman" w:cs="Times New Roman" w:eastAsia="Times New Roman" w:hAnsi="Times New Roman"/>
                  <w:sz w:val="16"/>
                  <w:szCs w:val="16"/>
                  <w:color w:val="0000EE"/>
                </w:rPr>
                <w:t>1934, as amended.</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vMerge w:val="continue"/>
          </w:tcPr>
          <w:p>
            <w:pPr>
              <w:spacing w:after="0"/>
              <w:rPr>
                <w:sz w:val="15"/>
                <w:szCs w:val="15"/>
                <w:color w:val="auto"/>
              </w:rPr>
            </w:pPr>
          </w:p>
        </w:tc>
        <w:tc>
          <w:tcPr>
            <w:tcW w:w="7680" w:type="dxa"/>
            <w:vAlign w:val="bottom"/>
            <w:tcBorders>
              <w:bottom w:val="single" w:sz="8" w:color="0000EE"/>
            </w:tcBorders>
            <w:gridSpan w:val="5"/>
          </w:tcPr>
          <w:p>
            <w:pPr>
              <w:spacing w:after="0" w:line="169" w:lineRule="exact"/>
              <w:rPr>
                <w:rFonts w:ascii="Times New Roman" w:cs="Times New Roman" w:eastAsia="Times New Roman" w:hAnsi="Times New Roman"/>
                <w:sz w:val="16"/>
                <w:szCs w:val="16"/>
                <w:color w:val="0000EE"/>
              </w:rPr>
            </w:pPr>
            <w:hyperlink w:anchor="page34">
              <w:r>
                <w:rPr>
                  <w:rFonts w:ascii="Times New Roman" w:cs="Times New Roman" w:eastAsia="Times New Roman" w:hAnsi="Times New Roman"/>
                  <w:sz w:val="16"/>
                  <w:szCs w:val="16"/>
                  <w:color w:val="0000EE"/>
                </w:rPr>
                <w:t>Certification of Chief Executive Officer pursuant to 18 U.S.C. Section 1350, as adopted pursuant to Section 906 of the</w:t>
              </w:r>
            </w:hyperlink>
          </w:p>
        </w:tc>
        <w:tc>
          <w:tcPr>
            <w:tcW w:w="7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8400" w:type="dxa"/>
            <w:vAlign w:val="bottom"/>
            <w:gridSpan w:val="8"/>
          </w:tcPr>
          <w:p>
            <w:pPr>
              <w:spacing w:after="0" w:line="183" w:lineRule="exact"/>
              <w:rPr>
                <w:rFonts w:ascii="Times New Roman" w:cs="Times New Roman" w:eastAsia="Times New Roman" w:hAnsi="Times New Roman"/>
                <w:sz w:val="16"/>
                <w:szCs w:val="16"/>
                <w:color w:val="0000EE"/>
              </w:rPr>
            </w:pPr>
            <w:hyperlink w:anchor="page34">
              <w:r>
                <w:rPr>
                  <w:rFonts w:ascii="Times New Roman" w:cs="Times New Roman" w:eastAsia="Times New Roman" w:hAnsi="Times New Roman"/>
                  <w:sz w:val="16"/>
                  <w:szCs w:val="16"/>
                  <w:color w:val="0000EE"/>
                </w:rPr>
                <w:t>Sarbanes-Oxley Act of 2002.</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vMerge w:val="continue"/>
          </w:tcPr>
          <w:p>
            <w:pPr>
              <w:spacing w:after="0"/>
              <w:rPr>
                <w:sz w:val="15"/>
                <w:szCs w:val="15"/>
                <w:color w:val="auto"/>
              </w:rPr>
            </w:pPr>
          </w:p>
        </w:tc>
        <w:tc>
          <w:tcPr>
            <w:tcW w:w="7640" w:type="dxa"/>
            <w:vAlign w:val="bottom"/>
            <w:tcBorders>
              <w:bottom w:val="single" w:sz="8" w:color="0000EE"/>
            </w:tcBorders>
            <w:gridSpan w:val="4"/>
          </w:tcPr>
          <w:p>
            <w:pPr>
              <w:spacing w:after="0" w:line="169" w:lineRule="exact"/>
              <w:rPr>
                <w:rFonts w:ascii="Times New Roman" w:cs="Times New Roman" w:eastAsia="Times New Roman" w:hAnsi="Times New Roman"/>
                <w:sz w:val="16"/>
                <w:szCs w:val="16"/>
                <w:color w:val="0000EE"/>
              </w:rPr>
            </w:pPr>
            <w:hyperlink w:anchor="page35">
              <w:r>
                <w:rPr>
                  <w:rFonts w:ascii="Times New Roman" w:cs="Times New Roman" w:eastAsia="Times New Roman" w:hAnsi="Times New Roman"/>
                  <w:sz w:val="16"/>
                  <w:szCs w:val="16"/>
                  <w:color w:val="0000EE"/>
                </w:rPr>
                <w:t>Certification of Chief Financial Officer pursuant to 18 U.S.C. Section 1350, as adopted pursuant to Section 906 of the</w:t>
              </w:r>
            </w:hyperlink>
          </w:p>
        </w:tc>
        <w:tc>
          <w:tcPr>
            <w:tcW w:w="7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101.INS</w:t>
            </w:r>
          </w:p>
        </w:tc>
        <w:tc>
          <w:tcPr>
            <w:tcW w:w="8400" w:type="dxa"/>
            <w:vAlign w:val="bottom"/>
            <w:gridSpan w:val="8"/>
          </w:tcPr>
          <w:p>
            <w:pPr>
              <w:spacing w:after="0" w:line="183" w:lineRule="exact"/>
              <w:rPr>
                <w:rFonts w:ascii="Times New Roman" w:cs="Times New Roman" w:eastAsia="Times New Roman" w:hAnsi="Times New Roman"/>
                <w:sz w:val="16"/>
                <w:szCs w:val="16"/>
                <w:color w:val="0000EE"/>
              </w:rPr>
            </w:pPr>
            <w:hyperlink w:anchor="page35">
              <w:r>
                <w:rPr>
                  <w:rFonts w:ascii="Times New Roman" w:cs="Times New Roman" w:eastAsia="Times New Roman" w:hAnsi="Times New Roman"/>
                  <w:sz w:val="16"/>
                  <w:szCs w:val="16"/>
                  <w:color w:val="0000EE"/>
                </w:rPr>
                <w:t>Sarbanes-Oxley Act of 2002.</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65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00" w:type="dxa"/>
            <w:vAlign w:val="bottom"/>
            <w:vMerge w:val="continue"/>
          </w:tcPr>
          <w:p>
            <w:pPr>
              <w:spacing w:after="0"/>
              <w:rPr>
                <w:sz w:val="18"/>
                <w:szCs w:val="18"/>
                <w:color w:val="auto"/>
              </w:rPr>
            </w:pPr>
          </w:p>
        </w:tc>
        <w:tc>
          <w:tcPr>
            <w:tcW w:w="84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Instance Document**</w:t>
            </w: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84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101.CAL</w:t>
            </w:r>
          </w:p>
        </w:tc>
        <w:tc>
          <w:tcPr>
            <w:tcW w:w="84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101.DEF</w:t>
            </w:r>
          </w:p>
        </w:tc>
        <w:tc>
          <w:tcPr>
            <w:tcW w:w="84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Definition Document**</w:t>
            </w: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101.LAB</w:t>
            </w:r>
          </w:p>
        </w:tc>
        <w:tc>
          <w:tcPr>
            <w:tcW w:w="84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0" w:type="dxa"/>
            <w:vAlign w:val="bottom"/>
          </w:tcPr>
          <w:p>
            <w:pPr>
              <w:spacing w:after="0"/>
              <w:rPr>
                <w:sz w:val="1"/>
                <w:szCs w:val="1"/>
                <w:color w:val="auto"/>
              </w:rPr>
            </w:pPr>
          </w:p>
        </w:tc>
      </w:tr>
      <w:tr>
        <w:trPr>
          <w:trHeight w:val="234"/>
        </w:trPr>
        <w:tc>
          <w:tcPr>
            <w:tcW w:w="1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101.PRE</w:t>
            </w:r>
          </w:p>
        </w:tc>
        <w:tc>
          <w:tcPr>
            <w:tcW w:w="84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ind w:left="1480" w:hanging="1355"/>
        <w:spacing w:after="0"/>
        <w:tabs>
          <w:tab w:leader="none" w:pos="14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35" w:lineRule="exact"/>
        <w:rPr>
          <w:sz w:val="20"/>
          <w:szCs w:val="20"/>
          <w:color w:val="auto"/>
        </w:rPr>
      </w:pPr>
    </w:p>
    <w:p>
      <w:pPr>
        <w:ind w:left="1480" w:right="320" w:hanging="1355"/>
        <w:spacing w:after="0" w:line="298" w:lineRule="auto"/>
        <w:tabs>
          <w:tab w:leader="none" w:pos="14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Regulation S-T, the XBRL-related information in Exhibit 101 to this Quarterly Report on Form 10-Q shall be deemed to be “furnished” and not “filed.”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42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Date: September 13, 2019</w:t>
      </w:r>
    </w:p>
    <w:p>
      <w:pPr>
        <w:spacing w:after="0" w:line="2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DULUTH HOLDINGS INC.</w:t>
      </w:r>
    </w:p>
    <w:p>
      <w:pPr>
        <w:spacing w:after="0" w:line="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(Registrant)</w:t>
      </w:r>
    </w:p>
    <w:p>
      <w:pPr>
        <w:spacing w:after="0" w:line="33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/s/ DAVID LORETTA</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-130810</wp:posOffset>
            </wp:positionV>
            <wp:extent cx="32416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i w:val="1"/>
          <w:iCs w:val="1"/>
          <w:color w:val="auto"/>
        </w:rPr>
        <w:t>Senior Vice President and Chief Financial Officer</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i w:val="1"/>
          <w:iCs w:val="1"/>
          <w:color w:val="auto"/>
        </w:rPr>
        <w:t>(On behalf of the Registrant as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/s/ MICHAEL MURPHY</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Michael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-130810</wp:posOffset>
            </wp:positionV>
            <wp:extent cx="32416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Corporate Controller</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i w:val="1"/>
          <w:iCs w:val="1"/>
          <w:color w:val="auto"/>
        </w:rPr>
        <w:t>(On behalf of the Registrant as Principal Accounting Officer)</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20"/>
          </w:cols>
          <w:pgMar w:left="1140" w:top="297" w:right="1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L. Schlecht, Chief Executive Officer, certify that:</w:t>
      </w:r>
    </w:p>
    <w:p>
      <w:pPr>
        <w:spacing w:after="0" w:line="171" w:lineRule="exact"/>
        <w:rPr>
          <w:sz w:val="20"/>
          <w:szCs w:val="20"/>
          <w:color w:val="auto"/>
        </w:rPr>
      </w:pPr>
    </w:p>
    <w:p>
      <w:pPr>
        <w:ind w:left="680" w:hanging="348"/>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Duluth Holdings Inc. (the “registrant”);</w:t>
      </w:r>
    </w:p>
    <w:p>
      <w:pPr>
        <w:spacing w:after="0" w:line="17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8"/>
          <w:szCs w:val="18"/>
          <w:color w:val="auto"/>
        </w:rPr>
      </w:pPr>
    </w:p>
    <w:p>
      <w:pPr>
        <w:jc w:val="both"/>
        <w:ind w:left="660" w:right="320" w:hanging="328"/>
        <w:spacing w:after="0" w:line="266" w:lineRule="auto"/>
        <w:tabs>
          <w:tab w:leader="none" w:pos="6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0" w:hanging="323"/>
        <w:spacing w:after="0" w:line="261" w:lineRule="auto"/>
        <w:tabs>
          <w:tab w:leader="none" w:pos="101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980" w:right="120" w:hanging="323"/>
        <w:spacing w:after="0" w:line="289" w:lineRule="auto"/>
        <w:tabs>
          <w:tab w:leader="none" w:pos="1022"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6" w:lineRule="exact"/>
        <w:rPr>
          <w:rFonts w:ascii="Times New Roman" w:cs="Times New Roman" w:eastAsia="Times New Roman" w:hAnsi="Times New Roman"/>
          <w:sz w:val="17"/>
          <w:szCs w:val="17"/>
          <w:color w:val="auto"/>
        </w:rPr>
      </w:pPr>
    </w:p>
    <w:p>
      <w:pPr>
        <w:ind w:left="980" w:right="300" w:hanging="323"/>
        <w:spacing w:after="0" w:line="266" w:lineRule="auto"/>
        <w:tabs>
          <w:tab w:leader="none" w:pos="101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100" w:hanging="323"/>
        <w:spacing w:after="0" w:line="261" w:lineRule="auto"/>
        <w:tabs>
          <w:tab w:leader="none" w:pos="102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8"/>
          <w:szCs w:val="18"/>
          <w:color w:val="auto"/>
        </w:rPr>
      </w:pPr>
    </w:p>
    <w:p>
      <w:pPr>
        <w:ind w:left="980" w:right="460" w:hanging="323"/>
        <w:spacing w:after="0" w:line="266" w:lineRule="auto"/>
        <w:tabs>
          <w:tab w:leader="none" w:pos="101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240" w:hanging="323"/>
        <w:spacing w:after="0" w:line="282" w:lineRule="auto"/>
        <w:tabs>
          <w:tab w:leader="none" w:pos="102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13, 2019</w:t>
      </w:r>
    </w:p>
    <w:p>
      <w:pPr>
        <w:spacing w:after="0" w:line="3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 Stephen L. Schlecht</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Stephen L. Schlecht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17" w:right="11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Loretta, Chief Financial Officer, certify that:</w:t>
      </w:r>
    </w:p>
    <w:p>
      <w:pPr>
        <w:spacing w:after="0" w:line="171" w:lineRule="exact"/>
        <w:rPr>
          <w:sz w:val="20"/>
          <w:szCs w:val="20"/>
          <w:color w:val="auto"/>
        </w:rPr>
      </w:pPr>
    </w:p>
    <w:p>
      <w:pPr>
        <w:ind w:left="680" w:hanging="348"/>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Duluth Holdings Inc. (the “registrant”);</w:t>
      </w:r>
    </w:p>
    <w:p>
      <w:pPr>
        <w:spacing w:after="0" w:line="17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8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8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8"/>
          <w:szCs w:val="18"/>
          <w:color w:val="auto"/>
        </w:rPr>
      </w:pPr>
    </w:p>
    <w:p>
      <w:pPr>
        <w:jc w:val="both"/>
        <w:ind w:left="660" w:right="320" w:hanging="328"/>
        <w:spacing w:after="0" w:line="266" w:lineRule="auto"/>
        <w:tabs>
          <w:tab w:leader="none" w:pos="68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0" w:hanging="323"/>
        <w:spacing w:after="0" w:line="261" w:lineRule="auto"/>
        <w:tabs>
          <w:tab w:leader="none" w:pos="101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980" w:right="120" w:hanging="323"/>
        <w:spacing w:after="0" w:line="289" w:lineRule="auto"/>
        <w:tabs>
          <w:tab w:leader="none" w:pos="1022"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6" w:lineRule="exact"/>
        <w:rPr>
          <w:rFonts w:ascii="Times New Roman" w:cs="Times New Roman" w:eastAsia="Times New Roman" w:hAnsi="Times New Roman"/>
          <w:sz w:val="17"/>
          <w:szCs w:val="17"/>
          <w:color w:val="auto"/>
        </w:rPr>
      </w:pPr>
    </w:p>
    <w:p>
      <w:pPr>
        <w:ind w:left="980" w:right="300" w:hanging="323"/>
        <w:spacing w:after="0" w:line="266" w:lineRule="auto"/>
        <w:tabs>
          <w:tab w:leader="none" w:pos="101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100" w:hanging="323"/>
        <w:spacing w:after="0" w:line="266" w:lineRule="auto"/>
        <w:tabs>
          <w:tab w:leader="none" w:pos="102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8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8"/>
          <w:szCs w:val="18"/>
          <w:color w:val="auto"/>
        </w:rPr>
      </w:pPr>
    </w:p>
    <w:p>
      <w:pPr>
        <w:ind w:left="980" w:right="460" w:hanging="323"/>
        <w:spacing w:after="0" w:line="266" w:lineRule="auto"/>
        <w:tabs>
          <w:tab w:leader="none" w:pos="101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240" w:hanging="323"/>
        <w:spacing w:after="0" w:line="282" w:lineRule="auto"/>
        <w:tabs>
          <w:tab w:leader="none" w:pos="102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13, 2019</w:t>
      </w:r>
    </w:p>
    <w:p>
      <w:pPr>
        <w:spacing w:after="0" w:line="3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 David Loretta</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17" w:right="11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36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Duluth Holdings Inc. (the “Company”) for the quarterly period ended August 4, 2019 as filed with the Securities and Exchange Commission on the date hereof (the “Report”), I, Stephen L. Schlecht, as Chief Executive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660" w:right="50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/s/ Stephen L. Schlecht</w:t>
      </w:r>
    </w:p>
    <w:p>
      <w:pPr>
        <w:spacing w:after="0" w:line="31"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Stephen L. Schlecht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b w:val="1"/>
          <w:bCs w:val="1"/>
          <w:color w:val="auto"/>
        </w:rPr>
        <w:t>September 13, 2019</w:t>
      </w:r>
    </w:p>
    <w:p>
      <w:pPr>
        <w:spacing w:after="0" w:line="382" w:lineRule="exact"/>
        <w:rPr>
          <w:sz w:val="20"/>
          <w:szCs w:val="20"/>
          <w:color w:val="auto"/>
        </w:rPr>
      </w:pPr>
    </w:p>
    <w:p>
      <w:pPr>
        <w:ind w:right="80" w:firstLine="432"/>
        <w:spacing w:after="0" w:line="23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6139815"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17" w:right="11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Duluth Holdings Inc. (the “Company”) for the quarterly period ended August 4, 2019 as filed with the Securities and Exchange Commission on the date hereof (the “Report”), I, David Loretta, as Chief Financial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980" w:right="180" w:hanging="323"/>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980" w:right="220" w:hanging="323"/>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/s/ David Loretta</w:t>
      </w:r>
    </w:p>
    <w:p>
      <w:pPr>
        <w:spacing w:after="0" w:line="31"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b w:val="1"/>
          <w:bCs w:val="1"/>
          <w:color w:val="auto"/>
        </w:rPr>
        <w:t>September 13, 2019</w:t>
      </w:r>
    </w:p>
    <w:p>
      <w:pPr>
        <w:spacing w:after="0" w:line="382" w:lineRule="exact"/>
        <w:rPr>
          <w:sz w:val="20"/>
          <w:szCs w:val="20"/>
          <w:color w:val="auto"/>
        </w:rPr>
      </w:pPr>
    </w:p>
    <w:p>
      <w:pPr>
        <w:ind w:right="80" w:firstLine="432"/>
        <w:spacing w:after="0" w:line="23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6139815"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sectPr>
      <w:pgSz w:w="11900" w:h="16838" w:orient="portrait"/>
      <w:cols w:equalWidth="0" w:num="1">
        <w:col w:w="9620"/>
      </w:cols>
      <w:pgMar w:left="1140" w:top="117"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4"/>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2019-12-28T06:12:38Z</dcterms:created>
  <dcterms:modified xsi:type="dcterms:W3CDTF">2019-12-28T06:12:38Z</dcterms:modified>
</cp:coreProperties>
</file>