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jc w:val="center"/>
        <w:ind w:right="-79"/>
        <w:spacing w:after="0" w:line="237" w:lineRule="auto"/>
        <w:rPr>
          <w:sz w:val="20"/>
          <w:szCs w:val="20"/>
          <w:color w:val="auto"/>
        </w:rPr>
      </w:pPr>
      <w:r>
        <w:rPr>
          <w:rFonts w:ascii="Arial" w:cs="Arial" w:eastAsia="Arial" w:hAnsi="Arial"/>
          <w:sz w:val="29"/>
          <w:szCs w:val="29"/>
          <w:b w:val="1"/>
          <w:bCs w:val="1"/>
          <w:color w:val="auto"/>
        </w:rPr>
        <w:t>SECURITIES AND EXCHANGE COMMISSION</w:t>
      </w:r>
    </w:p>
    <w:p>
      <w:pPr>
        <w:jc w:val="center"/>
        <w:ind w:right="-79"/>
        <w:spacing w:after="0" w:line="214" w:lineRule="auto"/>
        <w:rPr>
          <w:sz w:val="20"/>
          <w:szCs w:val="20"/>
          <w:color w:val="auto"/>
        </w:rPr>
      </w:pPr>
      <w:r>
        <w:rPr>
          <w:rFonts w:ascii="Arial" w:cs="Arial" w:eastAsia="Arial" w:hAnsi="Arial"/>
          <w:sz w:val="22"/>
          <w:szCs w:val="22"/>
          <w:b w:val="1"/>
          <w:bCs w:val="1"/>
          <w:color w:val="auto"/>
        </w:rPr>
        <w:t>Washington, D.C. 20549</w:t>
      </w:r>
    </w:p>
    <w:p>
      <w:pPr>
        <w:ind w:left="4140"/>
        <w:spacing w:after="0" w:line="212" w:lineRule="auto"/>
        <w:rPr>
          <w:sz w:val="20"/>
          <w:szCs w:val="20"/>
          <w:color w:val="auto"/>
        </w:rPr>
      </w:pPr>
      <w:r>
        <w:rPr>
          <w:rFonts w:ascii="Arial" w:cs="Arial" w:eastAsia="Arial" w:hAnsi="Arial"/>
          <w:sz w:val="14"/>
          <w:szCs w:val="14"/>
          <w:color w:val="auto"/>
        </w:rPr>
        <w:t>_________________________________________</w:t>
      </w:r>
    </w:p>
    <w:p>
      <w:pPr>
        <w:jc w:val="center"/>
        <w:ind w:right="-79"/>
        <w:spacing w:after="0" w:line="22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480" w:right="180" w:hanging="472"/>
        <w:spacing w:after="0" w:line="243"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May 2, 2021</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140" w:hanging="492"/>
        <w:spacing w:after="0" w:line="243" w:lineRule="auto"/>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u w:val="single" w:color="auto"/>
          <w:color w:val="auto"/>
        </w:rPr>
        <w:t>_______</w:t>
      </w:r>
      <w:r>
        <w:rPr>
          <w:rFonts w:ascii="Arial" w:cs="Arial" w:eastAsia="Arial" w:hAnsi="Arial"/>
          <w:sz w:val="18"/>
          <w:szCs w:val="18"/>
          <w:b w:val="1"/>
          <w:bCs w:val="1"/>
          <w:color w:val="auto"/>
        </w:rPr>
        <w:t xml:space="preserve"> to </w:t>
      </w:r>
      <w:r>
        <w:rPr>
          <w:rFonts w:ascii="Arial" w:cs="Arial" w:eastAsia="Arial" w:hAnsi="Arial"/>
          <w:sz w:val="18"/>
          <w:szCs w:val="18"/>
          <w:u w:val="single" w:color="auto"/>
          <w:color w:val="auto"/>
        </w:rPr>
        <w:t>_______</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001-37641</w:t>
      </w:r>
    </w:p>
    <w:p>
      <w:pPr>
        <w:ind w:left="4140"/>
        <w:spacing w:after="0" w:line="219" w:lineRule="auto"/>
        <w:rPr>
          <w:sz w:val="20"/>
          <w:szCs w:val="20"/>
          <w:color w:val="auto"/>
        </w:rPr>
      </w:pPr>
      <w:r>
        <w:rPr>
          <w:rFonts w:ascii="Arial" w:cs="Arial" w:eastAsia="Arial" w:hAnsi="Arial"/>
          <w:sz w:val="14"/>
          <w:szCs w:val="14"/>
          <w:color w:val="auto"/>
        </w:rPr>
        <w:t>_________________________________________</w:t>
      </w:r>
    </w:p>
    <w:p>
      <w:pPr>
        <w:jc w:val="center"/>
        <w:ind w:right="-79"/>
        <w:spacing w:after="0" w:line="220" w:lineRule="auto"/>
        <w:rPr>
          <w:sz w:val="20"/>
          <w:szCs w:val="20"/>
          <w:color w:val="auto"/>
        </w:rPr>
      </w:pPr>
      <w:r>
        <w:rPr>
          <w:rFonts w:ascii="Arial" w:cs="Arial" w:eastAsia="Arial" w:hAnsi="Arial"/>
          <w:sz w:val="40"/>
          <w:szCs w:val="40"/>
          <w:b w:val="1"/>
          <w:bCs w:val="1"/>
          <w:color w:val="auto"/>
        </w:rPr>
        <w:t>DULUTH HOLDINGS INC.</w:t>
      </w:r>
    </w:p>
    <w:p>
      <w:pPr>
        <w:jc w:val="center"/>
        <w:ind w:right="-79"/>
        <w:spacing w:after="0" w:line="225" w:lineRule="auto"/>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_________________________________________</w:t>
      </w:r>
    </w:p>
    <w:p>
      <w:pPr>
        <w:spacing w:after="0" w:line="116"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Arial" w:cs="Arial" w:eastAsia="Arial" w:hAnsi="Arial"/>
                <w:sz w:val="18"/>
                <w:szCs w:val="18"/>
                <w:b w:val="1"/>
                <w:bCs w:val="1"/>
                <w:color w:val="auto"/>
                <w:w w:val="86"/>
              </w:rPr>
              <w:t>Wisconsin</w:t>
            </w:r>
          </w:p>
        </w:tc>
        <w:tc>
          <w:tcPr>
            <w:tcW w:w="166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8"/>
        </w:trPr>
        <w:tc>
          <w:tcPr>
            <w:tcW w:w="5860" w:type="dxa"/>
            <w:vAlign w:val="bottom"/>
          </w:tcPr>
          <w:p>
            <w:pPr>
              <w:jc w:val="center"/>
              <w:ind w:right="33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66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60" w:type="dxa"/>
            <w:vAlign w:val="bottom"/>
          </w:tcPr>
          <w:p>
            <w:pPr>
              <w:jc w:val="center"/>
              <w:ind w:right="3382"/>
              <w:spacing w:after="0"/>
              <w:rPr>
                <w:sz w:val="20"/>
                <w:szCs w:val="20"/>
                <w:color w:val="auto"/>
              </w:rPr>
            </w:pPr>
            <w:r>
              <w:rPr>
                <w:rFonts w:ascii="Arial" w:cs="Arial" w:eastAsia="Arial" w:hAnsi="Arial"/>
                <w:sz w:val="14"/>
                <w:szCs w:val="14"/>
                <w:b w:val="1"/>
                <w:bCs w:val="1"/>
                <w:color w:val="auto"/>
                <w:w w:val="94"/>
              </w:rPr>
              <w:t>incorporation or organization)</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1"/>
              </w:rPr>
              <w:t>201 East Front Street</w:t>
            </w:r>
          </w:p>
        </w:tc>
        <w:tc>
          <w:tcPr>
            <w:tcW w:w="1660" w:type="dxa"/>
            <w:vAlign w:val="bottom"/>
          </w:tcPr>
          <w:p>
            <w:pPr>
              <w:spacing w:after="0"/>
              <w:rPr>
                <w:sz w:val="24"/>
                <w:szCs w:val="24"/>
                <w:color w:val="auto"/>
              </w:rPr>
            </w:pPr>
          </w:p>
        </w:tc>
      </w:tr>
      <w:tr>
        <w:trPr>
          <w:trHeight w:val="212"/>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0"/>
              </w:rPr>
              <w:t>Mount Horeb, Wisconsin</w:t>
            </w:r>
          </w:p>
        </w:tc>
        <w:tc>
          <w:tcPr>
            <w:tcW w:w="1660" w:type="dxa"/>
            <w:vAlign w:val="bottom"/>
          </w:tcPr>
          <w:p>
            <w:pPr>
              <w:jc w:val="right"/>
              <w:ind w:right="401"/>
              <w:spacing w:after="0"/>
              <w:rPr>
                <w:sz w:val="20"/>
                <w:szCs w:val="20"/>
                <w:color w:val="auto"/>
              </w:rPr>
            </w:pPr>
            <w:r>
              <w:rPr>
                <w:rFonts w:ascii="Arial" w:cs="Arial" w:eastAsia="Arial" w:hAnsi="Arial"/>
                <w:sz w:val="18"/>
                <w:szCs w:val="18"/>
                <w:b w:val="1"/>
                <w:bCs w:val="1"/>
                <w:color w:val="auto"/>
              </w:rPr>
              <w:t>53572</w:t>
            </w:r>
          </w:p>
        </w:tc>
      </w:tr>
      <w:tr>
        <w:trPr>
          <w:trHeight w:val="186"/>
        </w:trPr>
        <w:tc>
          <w:tcPr>
            <w:tcW w:w="5860" w:type="dxa"/>
            <w:vAlign w:val="bottom"/>
          </w:tcPr>
          <w:p>
            <w:pPr>
              <w:jc w:val="center"/>
              <w:ind w:right="34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178"/>
        </w:trPr>
        <w:tc>
          <w:tcPr>
            <w:tcW w:w="5860" w:type="dxa"/>
            <w:vAlign w:val="bottom"/>
          </w:tcPr>
          <w:p>
            <w:pPr>
              <w:jc w:val="right"/>
              <w:ind w:right="1322"/>
              <w:spacing w:after="0"/>
              <w:rPr>
                <w:sz w:val="20"/>
                <w:szCs w:val="20"/>
                <w:color w:val="auto"/>
              </w:rPr>
            </w:pPr>
            <w:r>
              <w:rPr>
                <w:rFonts w:ascii="Arial" w:cs="Arial" w:eastAsia="Arial" w:hAnsi="Arial"/>
                <w:sz w:val="14"/>
                <w:szCs w:val="14"/>
                <w:b w:val="1"/>
                <w:bCs w:val="1"/>
                <w:color w:val="auto"/>
              </w:rPr>
              <w:t>(608) 424-1544</w:t>
            </w:r>
          </w:p>
        </w:tc>
        <w:tc>
          <w:tcPr>
            <w:tcW w:w="1660" w:type="dxa"/>
            <w:vAlign w:val="bottom"/>
          </w:tcPr>
          <w:p>
            <w:pPr>
              <w:spacing w:after="0"/>
              <w:rPr>
                <w:sz w:val="15"/>
                <w:szCs w:val="15"/>
                <w:color w:val="auto"/>
              </w:rPr>
            </w:pPr>
          </w:p>
        </w:tc>
      </w:tr>
      <w:tr>
        <w:trPr>
          <w:trHeight w:val="166"/>
        </w:trPr>
        <w:tc>
          <w:tcPr>
            <w:tcW w:w="5860" w:type="dxa"/>
            <w:vAlign w:val="bottom"/>
          </w:tcPr>
          <w:p>
            <w:pPr>
              <w:ind w:left="2380"/>
              <w:spacing w:after="0"/>
              <w:rPr>
                <w:sz w:val="20"/>
                <w:szCs w:val="20"/>
                <w:color w:val="auto"/>
              </w:rPr>
            </w:pPr>
            <w:r>
              <w:rPr>
                <w:rFonts w:ascii="Arial" w:cs="Arial" w:eastAsia="Arial" w:hAnsi="Arial"/>
                <w:sz w:val="14"/>
                <w:szCs w:val="14"/>
                <w:b w:val="1"/>
                <w:bCs w:val="1"/>
                <w:color w:val="auto"/>
                <w:w w:val="97"/>
              </w:rPr>
              <w:t>(Registrant’s telephone number, including area code)</w:t>
            </w:r>
          </w:p>
        </w:tc>
        <w:tc>
          <w:tcPr>
            <w:tcW w:w="1660" w:type="dxa"/>
            <w:vAlign w:val="bottom"/>
          </w:tcPr>
          <w:p>
            <w:pPr>
              <w:spacing w:after="0"/>
              <w:rPr>
                <w:sz w:val="14"/>
                <w:szCs w:val="14"/>
                <w:color w:val="auto"/>
              </w:rPr>
            </w:pPr>
          </w:p>
        </w:tc>
      </w:tr>
      <w:tr>
        <w:trPr>
          <w:trHeight w:val="182"/>
        </w:trPr>
        <w:tc>
          <w:tcPr>
            <w:tcW w:w="5860" w:type="dxa"/>
            <w:vAlign w:val="bottom"/>
          </w:tcPr>
          <w:p>
            <w:pPr>
              <w:jc w:val="right"/>
              <w:ind w:right="302"/>
              <w:spacing w:after="0"/>
              <w:rPr>
                <w:sz w:val="20"/>
                <w:szCs w:val="20"/>
                <w:color w:val="auto"/>
              </w:rPr>
            </w:pPr>
            <w:r>
              <w:rPr>
                <w:rFonts w:ascii="Arial" w:cs="Arial" w:eastAsia="Arial" w:hAnsi="Arial"/>
                <w:sz w:val="14"/>
                <w:szCs w:val="14"/>
                <w:color w:val="auto"/>
              </w:rPr>
              <w:t>_________________________________________</w:t>
            </w:r>
          </w:p>
        </w:tc>
        <w:tc>
          <w:tcPr>
            <w:tcW w:w="1660" w:type="dxa"/>
            <w:vAlign w:val="bottom"/>
          </w:tcPr>
          <w:p>
            <w:pPr>
              <w:spacing w:after="0"/>
              <w:rPr>
                <w:sz w:val="15"/>
                <w:szCs w:val="15"/>
                <w:color w:val="auto"/>
              </w:rPr>
            </w:pPr>
          </w:p>
        </w:tc>
      </w:tr>
    </w:tbl>
    <w:p>
      <w:pPr>
        <w:spacing w:after="0" w:line="5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5"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3400" w:type="dxa"/>
            <w:vAlign w:val="bottom"/>
          </w:tcPr>
          <w:p>
            <w:pPr>
              <w:jc w:val="center"/>
              <w:ind w:right="839"/>
              <w:spacing w:after="0"/>
              <w:rPr>
                <w:sz w:val="20"/>
                <w:szCs w:val="20"/>
                <w:color w:val="auto"/>
              </w:rPr>
            </w:pPr>
            <w:r>
              <w:rPr>
                <w:rFonts w:ascii="Arial" w:cs="Arial" w:eastAsia="Arial" w:hAnsi="Arial"/>
                <w:sz w:val="16"/>
                <w:szCs w:val="16"/>
                <w:color w:val="auto"/>
                <w:w w:val="90"/>
              </w:rPr>
              <w:t>Title of each class</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w w:val="93"/>
              </w:rPr>
              <w:t>Trading Symbol(s)</w:t>
            </w:r>
          </w:p>
        </w:tc>
        <w:tc>
          <w:tcPr>
            <w:tcW w:w="3700" w:type="dxa"/>
            <w:vAlign w:val="bottom"/>
          </w:tcPr>
          <w:p>
            <w:pPr>
              <w:jc w:val="center"/>
              <w:ind w:left="739"/>
              <w:spacing w:after="0"/>
              <w:rPr>
                <w:sz w:val="20"/>
                <w:szCs w:val="20"/>
                <w:color w:val="auto"/>
              </w:rPr>
            </w:pPr>
            <w:r>
              <w:rPr>
                <w:rFonts w:ascii="Arial" w:cs="Arial" w:eastAsia="Arial" w:hAnsi="Arial"/>
                <w:sz w:val="16"/>
                <w:szCs w:val="16"/>
                <w:color w:val="auto"/>
                <w:w w:val="90"/>
              </w:rPr>
              <w:t>Name of each exchange on which registered</w:t>
            </w:r>
          </w:p>
        </w:tc>
      </w:tr>
      <w:tr>
        <w:trPr>
          <w:trHeight w:val="206"/>
        </w:trPr>
        <w:tc>
          <w:tcPr>
            <w:tcW w:w="3400" w:type="dxa"/>
            <w:vAlign w:val="bottom"/>
          </w:tcPr>
          <w:p>
            <w:pPr>
              <w:jc w:val="center"/>
              <w:ind w:right="839"/>
              <w:spacing w:after="0"/>
              <w:rPr>
                <w:sz w:val="20"/>
                <w:szCs w:val="20"/>
                <w:color w:val="auto"/>
              </w:rPr>
            </w:pPr>
            <w:r>
              <w:rPr>
                <w:rFonts w:ascii="Arial" w:cs="Arial" w:eastAsia="Arial" w:hAnsi="Arial"/>
                <w:sz w:val="16"/>
                <w:szCs w:val="16"/>
                <w:color w:val="auto"/>
                <w:w w:val="90"/>
              </w:rPr>
              <w:t>Class B Common Stock, No Par Value</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rPr>
              <w:t>DLTH</w:t>
            </w:r>
          </w:p>
        </w:tc>
        <w:tc>
          <w:tcPr>
            <w:tcW w:w="3700" w:type="dxa"/>
            <w:vAlign w:val="bottom"/>
          </w:tcPr>
          <w:p>
            <w:pPr>
              <w:jc w:val="center"/>
              <w:ind w:left="719"/>
              <w:spacing w:after="0"/>
              <w:rPr>
                <w:sz w:val="20"/>
                <w:szCs w:val="20"/>
                <w:color w:val="auto"/>
              </w:rPr>
            </w:pPr>
            <w:r>
              <w:rPr>
                <w:rFonts w:ascii="Arial" w:cs="Arial" w:eastAsia="Arial" w:hAnsi="Arial"/>
                <w:sz w:val="16"/>
                <w:szCs w:val="16"/>
                <w:color w:val="auto"/>
                <w:w w:val="95"/>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4057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31140"/>
                    </a:xfrm>
                    <a:prstGeom prst="rect">
                      <a:avLst/>
                    </a:prstGeom>
                    <a:noFill/>
                  </pic:spPr>
                </pic:pic>
              </a:graphicData>
            </a:graphic>
          </wp:anchor>
        </w:drawing>
      </w:r>
    </w:p>
    <w:p>
      <w:pPr>
        <w:spacing w:after="0" w:line="98" w:lineRule="exact"/>
        <w:rPr>
          <w:sz w:val="24"/>
          <w:szCs w:val="24"/>
          <w:color w:val="auto"/>
        </w:rPr>
      </w:pPr>
    </w:p>
    <w:p>
      <w:pPr>
        <w:ind w:right="120" w:firstLine="428"/>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87" w:lineRule="exact"/>
        <w:rPr>
          <w:sz w:val="24"/>
          <w:szCs w:val="24"/>
          <w:color w:val="auto"/>
        </w:rPr>
      </w:pPr>
    </w:p>
    <w:p>
      <w:pPr>
        <w:ind w:firstLine="428"/>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87" w:lineRule="exact"/>
        <w:rPr>
          <w:sz w:val="24"/>
          <w:szCs w:val="24"/>
          <w:color w:val="auto"/>
        </w:rPr>
      </w:pPr>
    </w:p>
    <w:p>
      <w:pPr>
        <w:jc w:val="both"/>
        <w:ind w:right="220" w:firstLine="428"/>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1000" w:type="dxa"/>
        <w:tblCellMar>
          <w:top w:w="0" w:type="dxa"/>
          <w:left w:w="0" w:type="dxa"/>
          <w:bottom w:w="0" w:type="dxa"/>
          <w:right w:w="0" w:type="dxa"/>
        </w:tblCellMar>
      </w:tblPr>
      <w:tr>
        <w:trPr>
          <w:trHeight w:val="188"/>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500"/>
              <w:spacing w:after="0"/>
              <w:rPr>
                <w:sz w:val="20"/>
                <w:szCs w:val="20"/>
                <w:color w:val="auto"/>
              </w:rPr>
            </w:pPr>
            <w:r>
              <w:rPr>
                <w:rFonts w:ascii="Arial" w:cs="Arial" w:eastAsia="Arial" w:hAnsi="Arial"/>
                <w:sz w:val="16"/>
                <w:szCs w:val="16"/>
                <w:color w:val="auto"/>
              </w:rPr>
              <w:t>o</w:t>
            </w:r>
          </w:p>
        </w:tc>
        <w:tc>
          <w:tcPr>
            <w:tcW w:w="3240" w:type="dxa"/>
            <w:vAlign w:val="bottom"/>
          </w:tcPr>
          <w:p>
            <w:pPr>
              <w:ind w:left="114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66"/>
        </w:trPr>
        <w:tc>
          <w:tcPr>
            <w:tcW w:w="2020" w:type="dxa"/>
            <w:vAlign w:val="bottom"/>
          </w:tcPr>
          <w:p>
            <w:pPr>
              <w:spacing w:after="0" w:line="166" w:lineRule="exact"/>
              <w:rPr>
                <w:sz w:val="20"/>
                <w:szCs w:val="20"/>
                <w:color w:val="auto"/>
              </w:rPr>
            </w:pPr>
            <w:r>
              <w:rPr>
                <w:rFonts w:ascii="Arial" w:cs="Arial" w:eastAsia="Arial" w:hAnsi="Arial"/>
                <w:sz w:val="16"/>
                <w:szCs w:val="16"/>
                <w:color w:val="auto"/>
              </w:rPr>
              <w:t>Non-accelerated Filer</w:t>
            </w:r>
          </w:p>
        </w:tc>
        <w:tc>
          <w:tcPr>
            <w:tcW w:w="1700" w:type="dxa"/>
            <w:vAlign w:val="bottom"/>
          </w:tcPr>
          <w:p>
            <w:pPr>
              <w:ind w:left="500"/>
              <w:spacing w:after="0" w:line="166" w:lineRule="exact"/>
              <w:rPr>
                <w:sz w:val="20"/>
                <w:szCs w:val="20"/>
                <w:color w:val="auto"/>
              </w:rPr>
            </w:pPr>
            <w:r>
              <w:rPr>
                <w:rFonts w:ascii="Arial" w:cs="Arial" w:eastAsia="Arial" w:hAnsi="Arial"/>
                <w:sz w:val="16"/>
                <w:szCs w:val="16"/>
                <w:color w:val="auto"/>
              </w:rPr>
              <w:t>o</w:t>
            </w:r>
          </w:p>
        </w:tc>
        <w:tc>
          <w:tcPr>
            <w:tcW w:w="3240" w:type="dxa"/>
            <w:vAlign w:val="bottom"/>
          </w:tcPr>
          <w:p>
            <w:pPr>
              <w:ind w:left="1140"/>
              <w:spacing w:after="0" w:line="166" w:lineRule="exact"/>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40" w:type="dxa"/>
            <w:vAlign w:val="bottom"/>
          </w:tcPr>
          <w:p>
            <w:pPr>
              <w:ind w:left="114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rPr>
                <w:sz w:val="20"/>
                <w:szCs w:val="20"/>
                <w:color w:val="auto"/>
              </w:rPr>
            </w:pPr>
            <w:r>
              <w:rPr>
                <w:rFonts w:ascii="Arial" w:cs="Arial" w:eastAsia="Arial" w:hAnsi="Arial"/>
                <w:sz w:val="16"/>
                <w:szCs w:val="16"/>
                <w:color w:val="auto"/>
              </w:rPr>
              <w:t>o</w:t>
            </w:r>
          </w:p>
        </w:tc>
      </w:tr>
    </w:tbl>
    <w:p>
      <w:pPr>
        <w:spacing w:after="0" w:line="104" w:lineRule="exact"/>
        <w:rPr>
          <w:sz w:val="24"/>
          <w:szCs w:val="24"/>
          <w:color w:val="auto"/>
        </w:rPr>
      </w:pPr>
    </w:p>
    <w:p>
      <w:pPr>
        <w:ind w:right="80" w:firstLine="428"/>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5" w:lineRule="exact"/>
        <w:rPr>
          <w:sz w:val="24"/>
          <w:szCs w:val="24"/>
          <w:color w:val="auto"/>
        </w:rPr>
      </w:pPr>
    </w:p>
    <w:p>
      <w:pPr>
        <w:ind w:left="440"/>
        <w:spacing w:after="0" w:line="184" w:lineRule="exact"/>
        <w:tabs>
          <w:tab w:leader="none" w:pos="7940" w:val="left"/>
          <w:tab w:leader="none" w:pos="85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ind w:left="400"/>
        <w:spacing w:after="0"/>
        <w:rPr>
          <w:sz w:val="20"/>
          <w:szCs w:val="20"/>
          <w:color w:val="auto"/>
        </w:rPr>
      </w:pPr>
      <w:r>
        <w:rPr>
          <w:rFonts w:ascii="Arial" w:cs="Arial" w:eastAsia="Arial" w:hAnsi="Arial"/>
          <w:sz w:val="16"/>
          <w:szCs w:val="16"/>
          <w:color w:val="auto"/>
        </w:rPr>
        <w:t>The number of shares outstanding of the Registrant’s Class A common stock, no par value, as of June 2, 2021, was 3,364,200.</w:t>
      </w:r>
    </w:p>
    <w:p>
      <w:pPr>
        <w:ind w:left="400"/>
        <w:spacing w:after="0"/>
        <w:rPr>
          <w:sz w:val="20"/>
          <w:szCs w:val="20"/>
          <w:color w:val="auto"/>
        </w:rPr>
      </w:pPr>
      <w:r>
        <w:rPr>
          <w:rFonts w:ascii="Arial" w:cs="Arial" w:eastAsia="Arial" w:hAnsi="Arial"/>
          <w:sz w:val="16"/>
          <w:szCs w:val="16"/>
          <w:color w:val="auto"/>
        </w:rPr>
        <w:t>The number of shares outstanding of the Registrant’s Class B common stock, no par value, as of June 2, 2021, was 29,658,718.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02" w:right="419" w:bottom="1440" w:gutter="0" w:footer="0" w:header="0"/>
        </w:sectPr>
      </w:pPr>
    </w:p>
    <w:bookmarkStart w:id="1" w:name="page2"/>
    <w:bookmarkEnd w:id="1"/>
    <w:p>
      <w:pPr>
        <w:ind w:left="4520"/>
        <w:spacing w:after="0"/>
        <w:rPr>
          <w:sz w:val="20"/>
          <w:szCs w:val="20"/>
          <w:color w:val="auto"/>
        </w:rPr>
      </w:pPr>
      <w:r>
        <w:rPr>
          <w:rFonts w:ascii="Arial" w:cs="Arial" w:eastAsia="Arial" w:hAnsi="Arial"/>
          <w:sz w:val="18"/>
          <w:szCs w:val="18"/>
          <w:b w:val="1"/>
          <w:bCs w:val="1"/>
          <w:color w:val="auto"/>
        </w:rPr>
        <w:t>DULUTH HOLDINGS INC.</w:t>
      </w:r>
    </w:p>
    <w:p>
      <w:pPr>
        <w:ind w:left="4000"/>
        <w:spacing w:after="0" w:line="221" w:lineRule="auto"/>
        <w:rPr>
          <w:sz w:val="20"/>
          <w:szCs w:val="20"/>
          <w:color w:val="auto"/>
        </w:rPr>
      </w:pPr>
      <w:r>
        <w:rPr>
          <w:rFonts w:ascii="Arial" w:cs="Arial" w:eastAsia="Arial" w:hAnsi="Arial"/>
          <w:sz w:val="18"/>
          <w:szCs w:val="18"/>
          <w:b w:val="1"/>
          <w:bCs w:val="1"/>
          <w:color w:val="auto"/>
        </w:rPr>
        <w:t>QUARTERLY REPORT ON FORM 10-Q</w:t>
      </w:r>
    </w:p>
    <w:p>
      <w:pPr>
        <w:ind w:left="4120"/>
        <w:spacing w:after="0" w:line="219" w:lineRule="auto"/>
        <w:rPr>
          <w:sz w:val="20"/>
          <w:szCs w:val="20"/>
          <w:color w:val="auto"/>
        </w:rPr>
      </w:pPr>
      <w:r>
        <w:rPr>
          <w:rFonts w:ascii="Arial" w:cs="Arial" w:eastAsia="Arial" w:hAnsi="Arial"/>
          <w:sz w:val="18"/>
          <w:szCs w:val="18"/>
          <w:b w:val="1"/>
          <w:bCs w:val="1"/>
          <w:color w:val="auto"/>
        </w:rPr>
        <w:t>FOR QUARTER ENDED May 2, 2021</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gridSpan w:val="13"/>
          </w:tcPr>
          <w:p>
            <w:pPr>
              <w:jc w:val="center"/>
              <w:ind w:right="3040"/>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Part I—Financial Information</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385"/>
        </w:trPr>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960" w:type="dxa"/>
            <w:vAlign w:val="bottom"/>
            <w:gridSpan w:val="3"/>
          </w:tcPr>
          <w:p>
            <w:pPr>
              <w:spacing w:after="0"/>
              <w:rPr>
                <w:sz w:val="24"/>
                <w:szCs w:val="24"/>
                <w:color w:val="auto"/>
              </w:rPr>
            </w:pPr>
          </w:p>
        </w:tc>
        <w:tc>
          <w:tcPr>
            <w:tcW w:w="304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2140" w:type="dxa"/>
            <w:vAlign w:val="bottom"/>
            <w:tcBorders>
              <w:top w:val="single" w:sz="8" w:color="0000FF"/>
            </w:tcBorders>
            <w:gridSpan w:val="6"/>
          </w:tcPr>
          <w:p>
            <w:pPr>
              <w:spacing w:after="0"/>
              <w:rPr>
                <w:sz w:val="24"/>
                <w:szCs w:val="24"/>
                <w:color w:val="auto"/>
              </w:rPr>
            </w:pPr>
          </w:p>
        </w:tc>
        <w:tc>
          <w:tcPr>
            <w:tcW w:w="3040" w:type="dxa"/>
            <w:vAlign w:val="bottom"/>
            <w:gridSpan w:val="7"/>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May 2, 2021 and January 31, 2021 (Unaudited)</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Condensed Consolidated Statements of Operations for the three months ended May 2, 2021 and May 3, 2020</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0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(Unaudited)</w:t>
              </w:r>
            </w:hyperlink>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Comprehensive Income for the three months ended May 2, 2021 and May</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Borders>
              <w:bottom w:val="single" w:sz="8" w:color="0000FF"/>
            </w:tcBorders>
            <w:gridSpan w:val="5"/>
          </w:tcPr>
          <w:p>
            <w:pPr>
              <w:spacing w:after="0" w:line="169"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3, 2020 (Unaudited)</w:t>
              </w:r>
            </w:hyperlink>
          </w:p>
        </w:tc>
        <w:tc>
          <w:tcPr>
            <w:tcW w:w="6720" w:type="dxa"/>
            <w:vAlign w:val="bottom"/>
            <w:gridSpan w:val="15"/>
          </w:tcPr>
          <w:p>
            <w:pPr>
              <w:spacing w:after="0"/>
              <w:rPr>
                <w:sz w:val="14"/>
                <w:szCs w:val="14"/>
                <w:color w:val="auto"/>
              </w:rPr>
            </w:pPr>
          </w:p>
        </w:tc>
        <w:tc>
          <w:tcPr>
            <w:tcW w:w="1540" w:type="dxa"/>
            <w:vAlign w:val="bottom"/>
          </w:tcPr>
          <w:p>
            <w:pPr>
              <w:spacing w:after="0"/>
              <w:rPr>
                <w:sz w:val="14"/>
                <w:szCs w:val="14"/>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 of Shareholders’ Equity for the three months ended May 2, 2021 (Unaudited)</w:t>
              </w:r>
            </w:hyperlink>
          </w:p>
        </w:tc>
        <w:tc>
          <w:tcPr>
            <w:tcW w:w="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 of Shareholders’ Equity for the three months ended May 3, 2020 (Unaudited)</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60" w:type="dxa"/>
            <w:vAlign w:val="bottom"/>
            <w:tcBorders>
              <w:top w:val="single" w:sz="8" w:color="0000FF"/>
            </w:tcBorders>
            <w:gridSpan w:val="18"/>
          </w:tcPr>
          <w:p>
            <w:pPr>
              <w:spacing w:after="0"/>
              <w:rPr>
                <w:rFonts w:ascii="Arial" w:cs="Arial" w:eastAsia="Arial" w:hAnsi="Arial"/>
                <w:sz w:val="18"/>
                <w:szCs w:val="18"/>
                <w:color w:val="0000FF"/>
                <w:w w:val="92"/>
              </w:rPr>
            </w:pPr>
            <w:hyperlink w:anchor="page9">
              <w:r>
                <w:rPr>
                  <w:rFonts w:ascii="Arial" w:cs="Arial" w:eastAsia="Arial" w:hAnsi="Arial"/>
                  <w:sz w:val="18"/>
                  <w:szCs w:val="18"/>
                  <w:color w:val="0000FF"/>
                  <w:w w:val="92"/>
                </w:rPr>
                <w:t>Condensed Consolidated Statements of Cash Flows for the three months ended May 2, 2021 and May 3, 2020</w:t>
              </w:r>
            </w:hyperlink>
          </w:p>
        </w:tc>
        <w:tc>
          <w:tcPr>
            <w:tcW w:w="60" w:type="dxa"/>
            <w:vAlign w:val="bottom"/>
            <w:gridSpan w:val="2"/>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(Unaudited)</w:t>
              </w:r>
            </w:hyperlink>
          </w:p>
        </w:tc>
        <w:tc>
          <w:tcPr>
            <w:tcW w:w="260" w:type="dxa"/>
            <w:vAlign w:val="bottom"/>
            <w:gridSpan w:val="3"/>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2.</w:t>
              </w:r>
            </w:hyperlink>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1760" w:type="dxa"/>
            <w:vAlign w:val="bottom"/>
            <w:gridSpan w:val="6"/>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3.</w:t>
              </w:r>
            </w:hyperlink>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Quantitative and Qualitative Disclosures About Market Risk</w:t>
              </w:r>
            </w:hyperlink>
          </w:p>
        </w:tc>
        <w:tc>
          <w:tcPr>
            <w:tcW w:w="3860" w:type="dxa"/>
            <w:vAlign w:val="bottom"/>
            <w:gridSpan w:val="10"/>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85"/>
        </w:trPr>
        <w:tc>
          <w:tcPr>
            <w:tcW w:w="148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4.</w:t>
              </w:r>
            </w:hyperlink>
          </w:p>
        </w:tc>
        <w:tc>
          <w:tcPr>
            <w:tcW w:w="822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12"/>
          </w:tcPr>
          <w:p>
            <w:pPr>
              <w:jc w:val="center"/>
              <w:ind w:right="3140"/>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Part II—Other Information</w:t>
              </w:r>
            </w:hyperlink>
          </w:p>
        </w:tc>
        <w:tc>
          <w:tcPr>
            <w:tcW w:w="154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1.</w:t>
              </w:r>
            </w:hyperlink>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Legal Proceedings</w:t>
              </w:r>
            </w:hyperlink>
          </w:p>
        </w:tc>
        <w:tc>
          <w:tcPr>
            <w:tcW w:w="1800" w:type="dxa"/>
            <w:vAlign w:val="bottom"/>
            <w:gridSpan w:val="4"/>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140" w:type="dxa"/>
            <w:vAlign w:val="bottom"/>
            <w:gridSpan w:val="8"/>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85"/>
        </w:trPr>
        <w:tc>
          <w:tcPr>
            <w:tcW w:w="148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1A.</w:t>
              </w:r>
            </w:hyperlink>
          </w:p>
        </w:tc>
        <w:tc>
          <w:tcPr>
            <w:tcW w:w="822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880" w:type="dxa"/>
            <w:vAlign w:val="bottom"/>
            <w:gridSpan w:val="11"/>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220" w:type="dxa"/>
            <w:vAlign w:val="bottom"/>
            <w:gridSpan w:val="2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Unregistered Sales of Equity Securities and Use of Proceeds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85"/>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6.</w:t>
              </w:r>
            </w:hyperlink>
          </w:p>
        </w:tc>
        <w:tc>
          <w:tcPr>
            <w:tcW w:w="960" w:type="dxa"/>
            <w:vAlign w:val="bottom"/>
            <w:gridSpan w:val="3"/>
          </w:tcPr>
          <w:p>
            <w:pPr>
              <w:spacing w:after="0"/>
              <w:rPr>
                <w:sz w:val="24"/>
                <w:szCs w:val="24"/>
                <w:color w:val="auto"/>
              </w:rPr>
            </w:pP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Exhibits</w:t>
              </w:r>
            </w:hyperlink>
          </w:p>
        </w:tc>
        <w:tc>
          <w:tcPr>
            <w:tcW w:w="3740" w:type="dxa"/>
            <w:vAlign w:val="bottom"/>
            <w:tcBorders>
              <w:top w:val="single" w:sz="8" w:color="0000FF"/>
            </w:tcBorders>
            <w:gridSpan w:val="8"/>
          </w:tcPr>
          <w:p>
            <w:pPr>
              <w:spacing w:after="0"/>
              <w:rPr>
                <w:sz w:val="24"/>
                <w:szCs w:val="24"/>
                <w:color w:val="auto"/>
              </w:rPr>
            </w:pPr>
          </w:p>
        </w:tc>
        <w:tc>
          <w:tcPr>
            <w:tcW w:w="3880" w:type="dxa"/>
            <w:vAlign w:val="bottom"/>
            <w:gridSpan w:val="11"/>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763"/>
        </w:trPr>
        <w:tc>
          <w:tcPr>
            <w:tcW w:w="148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817"/>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9"/>
          </w:tcPr>
          <w:p>
            <w:pPr>
              <w:ind w:left="4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07"/>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21" w:lineRule="auto"/>
        <w:rPr>
          <w:sz w:val="20"/>
          <w:szCs w:val="20"/>
          <w:color w:val="auto"/>
        </w:rPr>
      </w:pPr>
      <w:r>
        <w:rPr>
          <w:rFonts w:ascii="Arial" w:cs="Arial" w:eastAsia="Arial" w:hAnsi="Arial"/>
          <w:sz w:val="18"/>
          <w:szCs w:val="18"/>
          <w:b w:val="1"/>
          <w:bCs w:val="1"/>
          <w:color w:val="auto"/>
        </w:rPr>
        <w:t>DULUTH HOLDINGS INC.</w:t>
      </w:r>
    </w:p>
    <w:p>
      <w:pPr>
        <w:jc w:val="center"/>
        <w:spacing w:after="0" w:line="219" w:lineRule="auto"/>
        <w:rPr>
          <w:sz w:val="20"/>
          <w:szCs w:val="20"/>
          <w:color w:val="auto"/>
        </w:rPr>
      </w:pPr>
      <w:r>
        <w:rPr>
          <w:rFonts w:ascii="Arial" w:cs="Arial" w:eastAsia="Arial" w:hAnsi="Arial"/>
          <w:sz w:val="18"/>
          <w:szCs w:val="18"/>
          <w:b w:val="1"/>
          <w:bCs w:val="1"/>
          <w:color w:val="auto"/>
        </w:rPr>
        <w:t>Condensed Consolidated Balance Sheets - Assets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ind w:left="400"/>
              <w:spacing w:after="0"/>
              <w:rPr>
                <w:sz w:val="20"/>
                <w:szCs w:val="20"/>
                <w:color w:val="auto"/>
              </w:rPr>
            </w:pPr>
            <w:r>
              <w:rPr>
                <w:rFonts w:ascii="Arial" w:cs="Arial" w:eastAsia="Arial" w:hAnsi="Arial"/>
                <w:sz w:val="14"/>
                <w:szCs w:val="14"/>
                <w:b w:val="1"/>
                <w:bCs w:val="1"/>
                <w:color w:val="auto"/>
              </w:rPr>
              <w:t>May 2, 2021</w:t>
            </w: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47,221</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2,820</w:t>
            </w:r>
          </w:p>
        </w:tc>
      </w:tr>
      <w:tr>
        <w:trPr>
          <w:trHeight w:val="27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less reserves of $1,834 and $1,600, respectively</w:t>
            </w: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144,185</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149,052</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Prepaid expenses &amp; other current assets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10,203</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catalog costs</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10"/>
        </w:trPr>
        <w:tc>
          <w:tcPr>
            <w:tcW w:w="77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184,579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210,310</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119,783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124,237</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115,060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117,490</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 net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53,468</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Available-for-sale security</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6,111</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r>
      <w:tr>
        <w:trPr>
          <w:trHeight w:val="196"/>
        </w:trPr>
        <w:tc>
          <w:tcPr>
            <w:tcW w:w="7700" w:type="dxa"/>
            <w:vAlign w:val="bottom"/>
          </w:tcPr>
          <w:p>
            <w:pPr>
              <w:ind w:left="220"/>
              <w:spacing w:after="0" w:line="196" w:lineRule="exact"/>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482,164</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515,577</w:t>
            </w:r>
          </w:p>
        </w:tc>
      </w:tr>
      <w:tr>
        <w:trPr>
          <w:trHeight w:val="20"/>
        </w:trPr>
        <w:tc>
          <w:tcPr>
            <w:tcW w:w="7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Balance Sheets – Liabilities and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May 2, 2021</w:t>
            </w: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33,647</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30,903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37,686</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11,189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11,050</w:t>
            </w: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finance lease liabilities</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Current portion of Duluth long-term debt</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17,626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TRI long-term debt</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110,710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95,714</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less current maturities</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104,287</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Finance lease liabilities, less current maturities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42,304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43,299</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Duluth long-term debt, less current maturities</w:t>
            </w:r>
          </w:p>
        </w:tc>
        <w:tc>
          <w:tcPr>
            <w:tcW w:w="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TRI long-term debt, less current maturities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27,079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27,229</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290,221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324,479</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Shareholders' equity:</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or outstanding as of May 2, 2021 and January 31, 2021</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00" w:type="dxa"/>
            <w:vAlign w:val="bottom"/>
          </w:tcPr>
          <w:p>
            <w:pPr>
              <w:spacing w:after="0"/>
              <w:rPr>
                <w:sz w:val="20"/>
                <w:szCs w:val="20"/>
                <w:color w:val="auto"/>
              </w:rPr>
            </w:pPr>
            <w:r>
              <w:rPr>
                <w:rFonts w:ascii="Arial" w:cs="Arial" w:eastAsia="Arial" w:hAnsi="Arial"/>
                <w:sz w:val="18"/>
                <w:szCs w:val="18"/>
                <w:color w:val="auto"/>
              </w:rPr>
              <w:t>Common stock (Class A), no par value; 10,000 shares authorized;</w:t>
            </w: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7"/>
        </w:trPr>
        <w:tc>
          <w:tcPr>
            <w:tcW w:w="7700" w:type="dxa"/>
            <w:vAlign w:val="bottom"/>
          </w:tcPr>
          <w:p>
            <w:pPr>
              <w:ind w:left="140"/>
              <w:spacing w:after="0"/>
              <w:rPr>
                <w:sz w:val="20"/>
                <w:szCs w:val="20"/>
                <w:color w:val="auto"/>
              </w:rPr>
            </w:pPr>
            <w:r>
              <w:rPr>
                <w:rFonts w:ascii="Arial" w:cs="Arial" w:eastAsia="Arial" w:hAnsi="Arial"/>
                <w:sz w:val="18"/>
                <w:szCs w:val="18"/>
                <w:color w:val="auto"/>
              </w:rPr>
              <w:t>3,364 shares issued and outstanding as of May 2, 2021 and January 31, 2021</w:t>
            </w:r>
          </w:p>
        </w:tc>
        <w:tc>
          <w:tcPr>
            <w:tcW w:w="5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189"/>
        </w:trPr>
        <w:tc>
          <w:tcPr>
            <w:tcW w:w="77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29,631 shares issued and 29,553 shares outstanding as of May 2, 2021 and</w:t>
            </w: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29,530 shares issued and 29,477 shares outstanding as of January 31, 2021</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00" w:type="dxa"/>
            <w:vAlign w:val="bottom"/>
          </w:tcPr>
          <w:p>
            <w:pPr>
              <w:spacing w:after="0"/>
              <w:rPr>
                <w:sz w:val="20"/>
                <w:szCs w:val="20"/>
                <w:color w:val="auto"/>
              </w:rPr>
            </w:pPr>
            <w:r>
              <w:rPr>
                <w:rFonts w:ascii="Arial" w:cs="Arial" w:eastAsia="Arial" w:hAnsi="Arial"/>
                <w:sz w:val="18"/>
                <w:szCs w:val="18"/>
                <w:color w:val="auto"/>
              </w:rPr>
              <w:t>Treasury stock, at cost; 78 and 53 shares as of May 2, 2021 and</w:t>
            </w: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7"/>
        </w:trPr>
        <w:tc>
          <w:tcPr>
            <w:tcW w:w="7700" w:type="dxa"/>
            <w:vAlign w:val="bottom"/>
          </w:tcPr>
          <w:p>
            <w:pPr>
              <w:ind w:left="140"/>
              <w:spacing w:after="0"/>
              <w:rPr>
                <w:sz w:val="20"/>
                <w:szCs w:val="20"/>
                <w:color w:val="auto"/>
              </w:rPr>
            </w:pPr>
            <w:r>
              <w:rPr>
                <w:rFonts w:ascii="Arial" w:cs="Arial" w:eastAsia="Arial" w:hAnsi="Arial"/>
                <w:sz w:val="18"/>
                <w:szCs w:val="18"/>
                <w:color w:val="auto"/>
              </w:rPr>
              <w:t>January 31, 2021, respectively</w:t>
            </w:r>
          </w:p>
        </w:tc>
        <w:tc>
          <w:tcPr>
            <w:tcW w:w="5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(986)</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92,875</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101,710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101,166</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shareholders' equity of Duluth Holdings Inc.</w:t>
            </w: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194,352</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193,461</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5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(2,409)</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1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5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191,943</w:t>
            </w:r>
          </w:p>
        </w:tc>
        <w:tc>
          <w:tcPr>
            <w:tcW w:w="1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191,098</w:t>
            </w:r>
          </w:p>
        </w:tc>
      </w:tr>
      <w:tr>
        <w:trPr>
          <w:trHeight w:val="196"/>
        </w:trPr>
        <w:tc>
          <w:tcPr>
            <w:tcW w:w="7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482,164</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515,577</w:t>
            </w:r>
          </w:p>
        </w:tc>
      </w:tr>
      <w:tr>
        <w:trPr>
          <w:trHeight w:val="20"/>
        </w:trPr>
        <w:tc>
          <w:tcPr>
            <w:tcW w:w="7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jc w:val="right"/>
              <w:ind w:right="1111"/>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5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May 2, 2021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May 3, 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133,419</w:t>
            </w: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64,648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Net income (loss) attributable to controlling interest</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52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Basic earnings (loss) per share (Class A and Class B):</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of common stock outstanding</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attributable to controlling interest</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(loss) per share (Class A and Class B):</w:t>
            </w: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 equivalents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20" w:type="dxa"/>
            <w:vAlign w:val="bottom"/>
          </w:tcPr>
          <w:p>
            <w:pPr>
              <w:spacing w:after="0" w:line="196" w:lineRule="exact"/>
              <w:rPr>
                <w:sz w:val="20"/>
                <w:szCs w:val="20"/>
                <w:color w:val="auto"/>
              </w:rPr>
            </w:pPr>
            <w:r>
              <w:rPr>
                <w:rFonts w:ascii="Arial" w:cs="Arial" w:eastAsia="Arial" w:hAnsi="Arial"/>
                <w:sz w:val="18"/>
                <w:szCs w:val="18"/>
                <w:color w:val="auto"/>
              </w:rPr>
              <w:t>Net income (loss) per share attributable to controlling interest</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76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May 2, 2021</w:t>
            </w: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May 3, 2020</w:t>
            </w: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248"/>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498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(15,179)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 sale:</w:t>
            </w:r>
          </w:p>
        </w:tc>
        <w:tc>
          <w:tcPr>
            <w:tcW w:w="1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Arial" w:cs="Arial" w:eastAsia="Arial" w:hAnsi="Arial"/>
                <w:sz w:val="18"/>
                <w:szCs w:val="18"/>
                <w:color w:val="auto"/>
              </w:rPr>
              <w:t>Unrealized security income (loss) arising during the period</w:t>
            </w:r>
          </w:p>
        </w:tc>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13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96"/>
        </w:trPr>
        <w:tc>
          <w:tcPr>
            <w:tcW w:w="61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Other comprehensive income (loss)</w:t>
            </w:r>
          </w:p>
        </w:tc>
        <w:tc>
          <w:tcPr>
            <w:tcW w:w="13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202</w:t>
            </w: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1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700</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Comprehensive income (loss) attributable</w:t>
            </w:r>
          </w:p>
        </w:tc>
        <w:tc>
          <w:tcPr>
            <w:tcW w:w="130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shd w:val="clear" w:color="auto" w:fill="CCEEFF"/>
          </w:tcPr>
          <w:p>
            <w:pPr>
              <w:spacing w:after="0"/>
              <w:rPr>
                <w:sz w:val="19"/>
                <w:szCs w:val="19"/>
                <w:color w:val="auto"/>
              </w:rPr>
            </w:pPr>
          </w:p>
        </w:tc>
        <w:tc>
          <w:tcPr>
            <w:tcW w:w="2700" w:type="dxa"/>
            <w:vAlign w:val="bottom"/>
            <w:gridSpan w:val="2"/>
            <w:vMerge w:val="restart"/>
            <w:shd w:val="clear" w:color="auto" w:fill="CCEEFF"/>
          </w:tcPr>
          <w:p>
            <w:pPr>
              <w:jc w:val="right"/>
              <w:ind w:right="1248"/>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746</w:t>
            </w:r>
          </w:p>
        </w:tc>
        <w:tc>
          <w:tcPr>
            <w:tcW w:w="320" w:type="dxa"/>
            <w:vAlign w:val="bottom"/>
            <w:vMerge w:val="restart"/>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 controlling interest</w:t>
            </w:r>
          </w:p>
        </w:tc>
        <w:tc>
          <w:tcPr>
            <w:tcW w:w="2700" w:type="dxa"/>
            <w:vAlign w:val="bottom"/>
            <w:gridSpan w:val="2"/>
            <w:vMerge w:val="continue"/>
            <w:shd w:val="clear" w:color="auto" w:fill="CCEEFF"/>
          </w:tcPr>
          <w:p>
            <w:pPr>
              <w:spacing w:after="0"/>
              <w:rPr>
                <w:sz w:val="17"/>
                <w:szCs w:val="17"/>
                <w:color w:val="auto"/>
              </w:rPr>
            </w:pPr>
          </w:p>
        </w:tc>
        <w:tc>
          <w:tcPr>
            <w:tcW w:w="540" w:type="dxa"/>
            <w:vAlign w:val="bottom"/>
            <w:tcBorders>
              <w:right w:val="single" w:sz="8" w:color="CCEEFF"/>
            </w:tcBorders>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Three Months Ended May 2, 2021</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84"/>
        </w:trPr>
        <w:tc>
          <w:tcPr>
            <w:tcW w:w="3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Capital stock</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 in</w:t>
            </w:r>
          </w:p>
        </w:tc>
        <w:tc>
          <w:tcPr>
            <w:tcW w:w="100" w:type="dxa"/>
            <w:vAlign w:val="bottom"/>
          </w:tcPr>
          <w:p>
            <w:pPr>
              <w:spacing w:after="0"/>
              <w:rPr>
                <w:sz w:val="16"/>
                <w:szCs w:val="16"/>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Total</w:t>
            </w:r>
          </w:p>
        </w:tc>
      </w:tr>
      <w:tr>
        <w:trPr>
          <w:trHeight w:val="198"/>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7"/>
                <w:szCs w:val="17"/>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comprehensive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variable interest</w:t>
            </w:r>
          </w:p>
        </w:tc>
        <w:tc>
          <w:tcPr>
            <w:tcW w:w="100" w:type="dxa"/>
            <w:vAlign w:val="bottom"/>
          </w:tcPr>
          <w:p>
            <w:pPr>
              <w:spacing w:after="0"/>
              <w:rPr>
                <w:sz w:val="17"/>
                <w:szCs w:val="17"/>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shareholders'</w:t>
            </w:r>
          </w:p>
        </w:tc>
      </w:tr>
      <w:tr>
        <w:trPr>
          <w:trHeight w:val="188"/>
        </w:trPr>
        <w:tc>
          <w:tcPr>
            <w:tcW w:w="37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6"/>
                <w:szCs w:val="16"/>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earnings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entity</w:t>
            </w:r>
          </w:p>
        </w:tc>
        <w:tc>
          <w:tcPr>
            <w:tcW w:w="100" w:type="dxa"/>
            <w:vAlign w:val="bottom"/>
          </w:tcPr>
          <w:p>
            <w:pPr>
              <w:spacing w:after="0"/>
              <w:rPr>
                <w:sz w:val="16"/>
                <w:szCs w:val="16"/>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equity</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191,098</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183"/>
        </w:trPr>
        <w:tc>
          <w:tcPr>
            <w:tcW w:w="3760" w:type="dxa"/>
            <w:vAlign w:val="bottom"/>
          </w:tcPr>
          <w:p>
            <w:pPr>
              <w:spacing w:after="0" w:line="182" w:lineRule="exact"/>
              <w:rPr>
                <w:sz w:val="20"/>
                <w:szCs w:val="20"/>
                <w:color w:val="auto"/>
              </w:rPr>
            </w:pPr>
            <w:r>
              <w:rPr>
                <w:rFonts w:ascii="Arial" w:cs="Arial" w:eastAsia="Arial" w:hAnsi="Arial"/>
                <w:sz w:val="18"/>
                <w:szCs w:val="18"/>
                <w:color w:val="auto"/>
              </w:rPr>
              <w:t>Balance at May 2, 2021</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32,917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93,378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(986)</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101,710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250</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(2,409)</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191,943</w:t>
            </w: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jc w:val="right"/>
              <w:ind w:right="780"/>
              <w:spacing w:after="0"/>
              <w:rPr>
                <w:sz w:val="20"/>
                <w:szCs w:val="20"/>
                <w:color w:val="auto"/>
              </w:rPr>
            </w:pPr>
            <w:r>
              <w:rPr>
                <w:rFonts w:ascii="Arial" w:cs="Arial" w:eastAsia="Arial" w:hAnsi="Arial"/>
                <w:sz w:val="14"/>
                <w:szCs w:val="14"/>
                <w:b w:val="1"/>
                <w:bCs w:val="1"/>
                <w:color w:val="auto"/>
                <w:w w:val="99"/>
              </w:rPr>
              <w:t>Three Months Ended May 3, 2020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1"/>
        </w:trPr>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1"/>
        </w:trPr>
        <w:tc>
          <w:tcPr>
            <w:tcW w:w="37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 in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Total</w:t>
            </w:r>
          </w:p>
        </w:tc>
      </w:tr>
      <w:tr>
        <w:trPr>
          <w:trHeight w:val="211"/>
        </w:trPr>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variable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shareholders'</w:t>
            </w:r>
          </w:p>
        </w:tc>
      </w:tr>
      <w:tr>
        <w:trPr>
          <w:trHeight w:val="201"/>
        </w:trPr>
        <w:tc>
          <w:tcPr>
            <w:tcW w:w="3780" w:type="dxa"/>
            <w:vAlign w:val="bottom"/>
          </w:tcPr>
          <w:p>
            <w:pPr>
              <w:spacing w:after="0"/>
              <w:rPr>
                <w:sz w:val="17"/>
                <w:szCs w:val="17"/>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earnings</w:t>
            </w:r>
          </w:p>
        </w:tc>
        <w:tc>
          <w:tcPr>
            <w:tcW w:w="12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entity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equity</w:t>
            </w: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February 2, 2020</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32,536</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87,589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176,106</w:t>
            </w: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w:t>
            </w:r>
          </w:p>
        </w:tc>
      </w:tr>
      <w:tr>
        <w:trPr>
          <w:trHeight w:val="183"/>
        </w:trPr>
        <w:tc>
          <w:tcPr>
            <w:tcW w:w="3780" w:type="dxa"/>
            <w:vAlign w:val="bottom"/>
          </w:tcPr>
          <w:p>
            <w:pPr>
              <w:spacing w:after="0" w:line="182" w:lineRule="exact"/>
              <w:rPr>
                <w:sz w:val="20"/>
                <w:szCs w:val="20"/>
                <w:color w:val="auto"/>
              </w:rPr>
            </w:pPr>
            <w:r>
              <w:rPr>
                <w:rFonts w:ascii="Arial" w:cs="Arial" w:eastAsia="Arial" w:hAnsi="Arial"/>
                <w:sz w:val="18"/>
                <w:szCs w:val="18"/>
                <w:color w:val="auto"/>
              </w:rPr>
              <w:t>Balance at May 3, 2020</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32,744</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91,451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(514)</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72,454</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(2,210)</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160,851</w:t>
            </w: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Borders>
              <w:bottom w:val="single" w:sz="8" w:color="auto"/>
            </w:tcBorders>
          </w:tcPr>
          <w:p>
            <w:pPr>
              <w:spacing w:after="0"/>
              <w:rPr>
                <w:sz w:val="14"/>
                <w:szCs w:val="14"/>
                <w:color w:val="auto"/>
              </w:rPr>
            </w:pPr>
          </w:p>
        </w:tc>
      </w:tr>
      <w:tr>
        <w:trPr>
          <w:trHeight w:val="196"/>
        </w:trPr>
        <w:tc>
          <w:tcPr>
            <w:tcW w:w="6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May 2, 2021</w:t>
            </w:r>
          </w:p>
        </w:tc>
        <w:tc>
          <w:tcPr>
            <w:tcW w:w="580" w:type="dxa"/>
            <w:vAlign w:val="bottom"/>
          </w:tcPr>
          <w:p>
            <w:pPr>
              <w:spacing w:after="0"/>
              <w:rPr>
                <w:sz w:val="17"/>
                <w:szCs w:val="17"/>
                <w:color w:val="auto"/>
              </w:rPr>
            </w:pPr>
          </w:p>
        </w:tc>
        <w:tc>
          <w:tcPr>
            <w:tcW w:w="1320" w:type="dxa"/>
            <w:vAlign w:val="bottom"/>
          </w:tcPr>
          <w:p>
            <w:pPr>
              <w:jc w:val="right"/>
              <w:ind w:right="491"/>
              <w:spacing w:after="0"/>
              <w:rPr>
                <w:sz w:val="20"/>
                <w:szCs w:val="20"/>
                <w:color w:val="auto"/>
              </w:rPr>
            </w:pPr>
            <w:r>
              <w:rPr>
                <w:rFonts w:ascii="Arial" w:cs="Arial" w:eastAsia="Arial" w:hAnsi="Arial"/>
                <w:sz w:val="14"/>
                <w:szCs w:val="14"/>
                <w:b w:val="1"/>
                <w:bCs w:val="1"/>
                <w:color w:val="auto"/>
                <w:w w:val="92"/>
              </w:rPr>
              <w:t>May 3, 2020</w:t>
            </w: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(15,179)</w:t>
            </w:r>
          </w:p>
        </w:tc>
      </w:tr>
      <w:tr>
        <w:trPr>
          <w:trHeight w:val="45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7,274</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6,689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4,867</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(27,188)</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 &amp; other current assets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Software hosting implementation costs, net</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catalog costs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5,991</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(1,842)</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(6,330)</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5,126</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Noncash lease impacts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6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12,423</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(33,491)</w:t>
            </w:r>
          </w:p>
        </w:tc>
      </w:tr>
      <w:tr>
        <w:trPr>
          <w:trHeight w:val="196"/>
        </w:trPr>
        <w:tc>
          <w:tcPr>
            <w:tcW w:w="66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(2,033)</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Capital contributions towards build-to-suit stores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 from available-for-sale security</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disposals</w:t>
            </w:r>
          </w:p>
        </w:tc>
        <w:tc>
          <w:tcPr>
            <w:tcW w:w="6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6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(1,974)</w:t>
            </w:r>
          </w:p>
        </w:tc>
        <w:tc>
          <w:tcPr>
            <w:tcW w:w="1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(4,102)</w:t>
            </w:r>
          </w:p>
        </w:tc>
      </w:tr>
      <w:tr>
        <w:trPr>
          <w:trHeight w:val="196"/>
        </w:trPr>
        <w:tc>
          <w:tcPr>
            <w:tcW w:w="66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line of credit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Payments on line of credit</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(21,816)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delayed draw term loan</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Payments on delayed draw term loan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(30,625)</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on TRI long term debt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Payments on finance lease obligations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(615)</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of tax withholding on vested restricted shares</w:t>
            </w: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w:t>
            </w: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6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(31,616)</w:t>
            </w:r>
          </w:p>
        </w:tc>
        <w:tc>
          <w:tcPr>
            <w:tcW w:w="1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44,653</w:t>
            </w:r>
          </w:p>
        </w:tc>
      </w:tr>
      <w:tr>
        <w:trPr>
          <w:trHeight w:val="196"/>
        </w:trPr>
        <w:tc>
          <w:tcPr>
            <w:tcW w:w="6600" w:type="dxa"/>
            <w:vAlign w:val="bottom"/>
          </w:tcPr>
          <w:p>
            <w:pPr>
              <w:spacing w:after="0" w:line="196" w:lineRule="exact"/>
              <w:rPr>
                <w:sz w:val="20"/>
                <w:szCs w:val="20"/>
                <w:color w:val="auto"/>
              </w:rPr>
            </w:pPr>
            <w:r>
              <w:rPr>
                <w:rFonts w:ascii="Arial" w:cs="Arial" w:eastAsia="Arial" w:hAnsi="Arial"/>
                <w:sz w:val="18"/>
                <w:szCs w:val="18"/>
                <w:color w:val="auto"/>
              </w:rPr>
              <w:t>(Decrease) increase in cash, cash equivalents and restricted cash</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(21,167)</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7,060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6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47,221</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r>
      <w:tr>
        <w:trPr>
          <w:trHeight w:val="223"/>
        </w:trPr>
        <w:tc>
          <w:tcPr>
            <w:tcW w:w="66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Cash, cash equivalents and restricted cash at end of period</w:t>
            </w:r>
          </w:p>
        </w:tc>
        <w:tc>
          <w:tcPr>
            <w:tcW w:w="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26,054</w:t>
            </w:r>
          </w:p>
        </w:tc>
        <w:tc>
          <w:tcPr>
            <w:tcW w:w="1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9,300</w:t>
            </w:r>
          </w:p>
        </w:tc>
      </w:tr>
      <w:tr>
        <w:trPr>
          <w:trHeight w:val="183"/>
        </w:trPr>
        <w:tc>
          <w:tcPr>
            <w:tcW w:w="66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Interest paid</w:t>
            </w: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1,348</w:t>
            </w:r>
          </w:p>
        </w:tc>
        <w:tc>
          <w:tcPr>
            <w:tcW w:w="1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6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Unpaid liability to acquire property and equipment</w:t>
            </w:r>
          </w:p>
        </w:tc>
        <w:tc>
          <w:tcPr>
            <w:tcW w:w="10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NATURE OF OPERATIONS AND BASIS OF PRESENTATION</w:t>
      </w:r>
    </w:p>
    <w:p>
      <w:pPr>
        <w:spacing w:after="0" w:line="16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Nature of Operations</w:t>
      </w:r>
    </w:p>
    <w:p>
      <w:pPr>
        <w:spacing w:after="0" w:line="158" w:lineRule="exact"/>
        <w:rPr>
          <w:sz w:val="20"/>
          <w:szCs w:val="20"/>
          <w:color w:val="auto"/>
        </w:rPr>
      </w:pPr>
    </w:p>
    <w:p>
      <w:pPr>
        <w:ind w:right="380" w:firstLine="428"/>
        <w:spacing w:after="0" w:line="253" w:lineRule="auto"/>
        <w:rPr>
          <w:sz w:val="20"/>
          <w:szCs w:val="20"/>
          <w:color w:val="auto"/>
        </w:rPr>
      </w:pPr>
      <w:r>
        <w:rPr>
          <w:rFonts w:ascii="Arial" w:cs="Arial" w:eastAsia="Arial" w:hAnsi="Arial"/>
          <w:sz w:val="17"/>
          <w:szCs w:val="17"/>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brand, with the majority of products being exclusively developed and sold as Duluth Trading branded merchandise.</w:t>
      </w:r>
    </w:p>
    <w:p>
      <w:pPr>
        <w:spacing w:after="0" w:line="138" w:lineRule="exact"/>
        <w:rPr>
          <w:sz w:val="20"/>
          <w:szCs w:val="20"/>
          <w:color w:val="auto"/>
        </w:rPr>
      </w:pPr>
    </w:p>
    <w:p>
      <w:pPr>
        <w:ind w:right="280" w:firstLine="492"/>
        <w:spacing w:after="0" w:line="235" w:lineRule="auto"/>
        <w:rPr>
          <w:sz w:val="20"/>
          <w:szCs w:val="20"/>
          <w:color w:val="auto"/>
        </w:rPr>
      </w:pPr>
      <w:r>
        <w:rPr>
          <w:rFonts w:ascii="Arial" w:cs="Arial" w:eastAsia="Arial" w:hAnsi="Arial"/>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34" w:lineRule="exact"/>
        <w:rPr>
          <w:sz w:val="20"/>
          <w:szCs w:val="20"/>
          <w:color w:val="auto"/>
        </w:rPr>
      </w:pPr>
    </w:p>
    <w:p>
      <w:pPr>
        <w:jc w:val="both"/>
        <w:ind w:right="320" w:firstLine="428"/>
        <w:spacing w:after="0" w:line="246" w:lineRule="auto"/>
        <w:rPr>
          <w:sz w:val="20"/>
          <w:szCs w:val="20"/>
          <w:color w:val="auto"/>
        </w:rPr>
      </w:pPr>
      <w:r>
        <w:rPr>
          <w:rFonts w:ascii="Arial" w:cs="Arial" w:eastAsia="Arial" w:hAnsi="Arial"/>
          <w:sz w:val="17"/>
          <w:szCs w:val="17"/>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3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80" w:firstLine="428"/>
        <w:spacing w:after="0" w:line="235" w:lineRule="auto"/>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34" w:lineRule="exact"/>
        <w:rPr>
          <w:sz w:val="20"/>
          <w:szCs w:val="20"/>
          <w:color w:val="auto"/>
        </w:rPr>
      </w:pPr>
    </w:p>
    <w:p>
      <w:pPr>
        <w:ind w:firstLine="428"/>
        <w:spacing w:after="0" w:line="235" w:lineRule="auto"/>
        <w:rPr>
          <w:sz w:val="20"/>
          <w:szCs w:val="20"/>
          <w:color w:val="auto"/>
        </w:rPr>
      </w:pPr>
      <w:r>
        <w:rPr>
          <w:rFonts w:ascii="Arial" w:cs="Arial" w:eastAsia="Arial" w:hAnsi="Arial"/>
          <w:sz w:val="18"/>
          <w:szCs w:val="18"/>
          <w:color w:val="auto"/>
        </w:rPr>
        <w:t>The Company’s fiscal year ends on the Sunday nearest to January 31 of the following year. Fiscal 2021 is a 52-week period and ends on January 30, 2022. Fiscal 2020 was a 52-week period and ended on January 31, 2021. The three months of fiscal 2021 and fiscal 2020 represent the Company’s 13 week periods ended May 2, 2021 and May 3, 2020, respectively.</w:t>
      </w:r>
    </w:p>
    <w:p>
      <w:pPr>
        <w:spacing w:after="0" w:line="134" w:lineRule="exact"/>
        <w:rPr>
          <w:sz w:val="20"/>
          <w:szCs w:val="20"/>
          <w:color w:val="auto"/>
        </w:rPr>
      </w:pPr>
    </w:p>
    <w:p>
      <w:pPr>
        <w:ind w:right="40" w:firstLine="428"/>
        <w:spacing w:after="0" w:line="256" w:lineRule="auto"/>
        <w:rPr>
          <w:sz w:val="20"/>
          <w:szCs w:val="20"/>
          <w:color w:val="auto"/>
        </w:rPr>
      </w:pPr>
      <w:r>
        <w:rPr>
          <w:rFonts w:ascii="Arial" w:cs="Arial" w:eastAsia="Arial" w:hAnsi="Arial"/>
          <w:sz w:val="16"/>
          <w:szCs w:val="16"/>
          <w:color w:val="auto"/>
        </w:rPr>
        <w:t>The accompanying condensed consolidated financial statements as of and for the three months ended May 2, 2021 and May 3, 2020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months ended May 2, 2021 and May 3, 2020. These interim condensed consolidated financial statements should be read in conjunction with the consolidated financial statements and notes included in the Company’s annual report on Form 10-K for the fiscal year ended January 31, 2021.</w:t>
      </w:r>
    </w:p>
    <w:p>
      <w:pPr>
        <w:spacing w:after="0" w:line="13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right="140" w:firstLine="428"/>
        <w:spacing w:after="0" w:line="231" w:lineRule="auto"/>
        <w:rPr>
          <w:sz w:val="20"/>
          <w:szCs w:val="20"/>
          <w:color w:val="auto"/>
        </w:rPr>
      </w:pPr>
      <w:r>
        <w:rPr>
          <w:rFonts w:ascii="Arial" w:cs="Arial" w:eastAsia="Arial" w:hAnsi="Arial"/>
          <w:sz w:val="18"/>
          <w:szCs w:val="18"/>
          <w:color w:val="auto"/>
        </w:rPr>
        <w:t>In March 2020, a novel strain of coronavirus (“COVID -19”)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 These impacts are discussed within these notes to the condensed consolidated financial statements.</w:t>
      </w:r>
    </w:p>
    <w:p>
      <w:pPr>
        <w:spacing w:after="0" w:line="135" w:lineRule="exact"/>
        <w:rPr>
          <w:sz w:val="20"/>
          <w:szCs w:val="20"/>
          <w:color w:val="auto"/>
        </w:rPr>
      </w:pPr>
    </w:p>
    <w:p>
      <w:pPr>
        <w:jc w:val="both"/>
        <w:ind w:right="140" w:firstLine="428"/>
        <w:spacing w:after="0" w:line="235" w:lineRule="auto"/>
        <w:rPr>
          <w:sz w:val="20"/>
          <w:szCs w:val="20"/>
          <w:color w:val="auto"/>
        </w:rPr>
      </w:pPr>
      <w:r>
        <w:rPr>
          <w:rFonts w:ascii="Arial" w:cs="Arial" w:eastAsia="Arial" w:hAnsi="Arial"/>
          <w:sz w:val="18"/>
          <w:szCs w:val="18"/>
          <w:color w:val="auto"/>
        </w:rPr>
        <w:t>The ultimate impact of COVID-19 on our operational and financial performance still depends on future developments outside of our control. Given the uncertainty, we cannot reasonably estimate the continued impact on our business and whether that impact will be different than what we have already experienced.</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Impairment Analysis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2, 2021 and for the three months then ended, no triggering events or indicators of asset impairment were noted.</w:t>
      </w:r>
    </w:p>
    <w:p>
      <w:pPr>
        <w:spacing w:after="0" w:line="158" w:lineRule="exact"/>
        <w:rPr>
          <w:sz w:val="20"/>
          <w:szCs w:val="20"/>
          <w:color w:val="auto"/>
        </w:rPr>
      </w:pPr>
    </w:p>
    <w:p>
      <w:pPr>
        <w:ind w:right="100" w:firstLine="428"/>
        <w:spacing w:after="0" w:line="225" w:lineRule="auto"/>
        <w:rPr>
          <w:sz w:val="20"/>
          <w:szCs w:val="20"/>
          <w:color w:val="auto"/>
        </w:rPr>
      </w:pPr>
      <w:r>
        <w:rPr>
          <w:rFonts w:ascii="Arial" w:cs="Arial" w:eastAsia="Arial" w:hAnsi="Arial"/>
          <w:sz w:val="18"/>
          <w:szCs w:val="18"/>
          <w:color w:val="auto"/>
        </w:rPr>
        <w:t>At May 3, 2020, the Company determined that the effects of COVID-19 represented indicators of asset impairment, and as a result, performed interim impairment assessments for the Company’s intangible assets, long-lived assets and goodwill. Due to the nature of the Company’s intangible assets balance, the Company concluded that no indicators of impairment were present.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jc w:val="both"/>
        <w:ind w:right="140" w:firstLine="428"/>
        <w:spacing w:after="0" w:line="235" w:lineRule="auto"/>
        <w:rPr>
          <w:sz w:val="20"/>
          <w:szCs w:val="20"/>
          <w:color w:val="auto"/>
        </w:rPr>
      </w:pPr>
      <w:r>
        <w:rPr>
          <w:rFonts w:ascii="Arial" w:cs="Arial" w:eastAsia="Arial" w:hAnsi="Arial"/>
          <w:sz w:val="18"/>
          <w:szCs w:val="18"/>
          <w:color w:val="auto"/>
        </w:rPr>
        <w:t>Based on these assessments, the Company concluded that no impairment losses had been incurred. However, the Company cannot predict the future impact or duration of the negative effect of COVID-19 and as a result, cannot reasonably predict the probability or amount of impairment losses that may be incurred in future periods.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triggering events subsequent to the quarter ended May 3, 2020.</w:t>
      </w:r>
    </w:p>
    <w:p>
      <w:pPr>
        <w:spacing w:after="0" w:line="17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Inventory</w:t>
      </w:r>
    </w:p>
    <w:p>
      <w:pPr>
        <w:spacing w:after="0" w:line="15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and obsolete items was $1.8 million and $1.6 million as of May 2, 2021 and January 31, 2021, respectively</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Prepaid Expenses and Other Assets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May 2, 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Pending returns inventory, net</w:t>
            </w:r>
          </w:p>
        </w:tc>
        <w:tc>
          <w:tcPr>
            <w:tcW w:w="2960" w:type="dxa"/>
            <w:vAlign w:val="bottom"/>
            <w:gridSpan w:val="2"/>
          </w:tcPr>
          <w:p>
            <w:pPr>
              <w:jc w:val="right"/>
              <w:ind w:right="1387"/>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2,072</w:t>
            </w:r>
          </w:p>
        </w:tc>
        <w:tc>
          <w:tcPr>
            <w:tcW w:w="260" w:type="dxa"/>
            <w:vAlign w:val="bottom"/>
          </w:tcPr>
          <w:p>
            <w:pPr>
              <w:spacing w:after="0"/>
              <w:rPr>
                <w:sz w:val="17"/>
                <w:szCs w:val="17"/>
                <w:color w:val="auto"/>
              </w:rPr>
            </w:pPr>
          </w:p>
        </w:tc>
        <w:tc>
          <w:tcPr>
            <w:tcW w:w="34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2,490</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7,662</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6,564</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13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10,980</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10,203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Goodwill</w:t>
            </w:r>
          </w:p>
        </w:tc>
        <w:tc>
          <w:tcPr>
            <w:tcW w:w="2960" w:type="dxa"/>
            <w:vAlign w:val="bottom"/>
            <w:gridSpan w:val="2"/>
          </w:tcPr>
          <w:p>
            <w:pPr>
              <w:jc w:val="right"/>
              <w:ind w:right="1387"/>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Non-current software hosting implementation costs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2,493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assets, net</w:t>
            </w:r>
          </w:p>
        </w:tc>
        <w:tc>
          <w:tcPr>
            <w:tcW w:w="142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r>
      <w:tr>
        <w:trPr>
          <w:trHeight w:val="183"/>
        </w:trPr>
        <w:tc>
          <w:tcPr>
            <w:tcW w:w="5220" w:type="dxa"/>
            <w:vAlign w:val="bottom"/>
          </w:tcPr>
          <w:p>
            <w:pPr>
              <w:ind w:left="220"/>
              <w:spacing w:after="0" w:line="182" w:lineRule="exact"/>
              <w:rPr>
                <w:sz w:val="20"/>
                <w:szCs w:val="20"/>
                <w:color w:val="auto"/>
              </w:rPr>
            </w:pPr>
            <w:r>
              <w:rPr>
                <w:rFonts w:ascii="Arial" w:cs="Arial" w:eastAsia="Arial" w:hAnsi="Arial"/>
                <w:sz w:val="18"/>
                <w:szCs w:val="18"/>
                <w:color w:val="auto"/>
              </w:rPr>
              <w:t>Other assets, net</w:t>
            </w:r>
          </w:p>
        </w:tc>
        <w:tc>
          <w:tcPr>
            <w:tcW w:w="1420" w:type="dxa"/>
            <w:vAlign w:val="bottom"/>
          </w:tcPr>
          <w:p>
            <w:pPr>
              <w:spacing w:after="0"/>
              <w:rPr>
                <w:sz w:val="15"/>
                <w:szCs w:val="15"/>
                <w:color w:val="auto"/>
              </w:rPr>
            </w:pPr>
          </w:p>
        </w:tc>
        <w:tc>
          <w:tcPr>
            <w:tcW w:w="1540" w:type="dxa"/>
            <w:vAlign w:val="bottom"/>
            <w:tcBorders>
              <w:bottom w:val="single" w:sz="8" w:color="auto"/>
            </w:tcBorders>
          </w:tcPr>
          <w:p>
            <w:pPr>
              <w:jc w:val="right"/>
              <w:ind w:right="13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4,067</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3,961</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58" w:lineRule="exact"/>
        <w:rPr>
          <w:sz w:val="20"/>
          <w:szCs w:val="20"/>
          <w:color w:val="auto"/>
        </w:rPr>
      </w:pPr>
    </w:p>
    <w:p>
      <w:pPr>
        <w:ind w:right="280" w:firstLine="428"/>
        <w:spacing w:after="0" w:line="307" w:lineRule="auto"/>
        <w:rPr>
          <w:sz w:val="20"/>
          <w:szCs w:val="20"/>
          <w:color w:val="auto"/>
        </w:rPr>
      </w:pPr>
      <w:r>
        <w:rPr>
          <w:rFonts w:ascii="Arial" w:cs="Arial" w:eastAsia="Arial" w:hAnsi="Arial"/>
          <w:sz w:val="16"/>
          <w:szCs w:val="16"/>
          <w:color w:val="auto"/>
        </w:rPr>
        <w:t>The Company’s business is affected by the pattern of seasonality common to most apparel businesses. Historically, the Company has recognized a significant portion of its revenue and operating profit in the fourth fiscal quarter of each year as a result of increased sales during the holiday season.</w:t>
      </w:r>
    </w:p>
    <w:p>
      <w:pPr>
        <w:spacing w:after="0" w:line="9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158" w:lineRule="exact"/>
        <w:rPr>
          <w:sz w:val="20"/>
          <w:szCs w:val="20"/>
          <w:color w:val="auto"/>
        </w:rPr>
      </w:pPr>
    </w:p>
    <w:p>
      <w:pPr>
        <w:ind w:right="360" w:firstLine="428"/>
        <w:spacing w:after="0" w:line="235" w:lineRule="auto"/>
        <w:rPr>
          <w:sz w:val="20"/>
          <w:szCs w:val="20"/>
          <w:color w:val="auto"/>
        </w:rPr>
      </w:pPr>
      <w:r>
        <w:rPr>
          <w:rFonts w:ascii="Arial" w:cs="Arial" w:eastAsia="Arial" w:hAnsi="Arial"/>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61"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100" w:firstLine="428"/>
        <w:spacing w:after="0" w:line="246" w:lineRule="auto"/>
        <w:rPr>
          <w:sz w:val="20"/>
          <w:szCs w:val="20"/>
          <w:color w:val="auto"/>
        </w:rPr>
      </w:pPr>
      <w:r>
        <w:rPr>
          <w:rFonts w:ascii="Arial" w:cs="Arial" w:eastAsia="Arial" w:hAnsi="Arial"/>
          <w:sz w:val="18"/>
          <w:szCs w:val="18"/>
          <w:color w:val="auto"/>
        </w:rPr>
        <w:t>There have been no significant changes to the Company’s significant accounting policies as described in the Company’s Annual Report on Form 10-K for the year ended January 31, 2021.</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LEASES</w:t>
      </w:r>
    </w:p>
    <w:p>
      <w:pPr>
        <w:spacing w:after="0" w:line="162" w:lineRule="exact"/>
        <w:rPr>
          <w:sz w:val="20"/>
          <w:szCs w:val="20"/>
          <w:color w:val="auto"/>
        </w:rPr>
      </w:pPr>
    </w:p>
    <w:p>
      <w:pPr>
        <w:ind w:right="40" w:firstLine="492"/>
        <w:spacing w:after="0"/>
        <w:rPr>
          <w:sz w:val="20"/>
          <w:szCs w:val="20"/>
          <w:color w:val="auto"/>
        </w:rPr>
      </w:pPr>
      <w:r>
        <w:rPr>
          <w:rFonts w:ascii="Arial" w:cs="Arial" w:eastAsia="Arial" w:hAnsi="Arial"/>
          <w:sz w:val="17"/>
          <w:szCs w:val="17"/>
          <w:color w:val="auto"/>
        </w:rPr>
        <w:t xml:space="preserve">Based on the criteria set forth in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50" w:lineRule="exact"/>
        <w:rPr>
          <w:sz w:val="20"/>
          <w:szCs w:val="20"/>
          <w:color w:val="auto"/>
        </w:rPr>
      </w:pPr>
    </w:p>
    <w:p>
      <w:pPr>
        <w:ind w:right="420" w:firstLine="492"/>
        <w:spacing w:after="0" w:line="228" w:lineRule="auto"/>
        <w:rPr>
          <w:sz w:val="20"/>
          <w:szCs w:val="20"/>
          <w:color w:val="auto"/>
        </w:rPr>
      </w:pPr>
      <w:r>
        <w:rPr>
          <w:rFonts w:ascii="Arial" w:cs="Arial" w:eastAsia="Arial" w:hAnsi="Arial"/>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4" w:lineRule="exact"/>
        <w:rPr>
          <w:sz w:val="20"/>
          <w:szCs w:val="20"/>
          <w:color w:val="auto"/>
        </w:rPr>
      </w:pPr>
    </w:p>
    <w:p>
      <w:pPr>
        <w:ind w:right="560" w:firstLine="492"/>
        <w:spacing w:after="0" w:line="246" w:lineRule="auto"/>
        <w:rPr>
          <w:sz w:val="20"/>
          <w:szCs w:val="20"/>
          <w:color w:val="auto"/>
        </w:rPr>
      </w:pPr>
      <w:r>
        <w:rPr>
          <w:rFonts w:ascii="Arial" w:cs="Arial" w:eastAsia="Arial" w:hAnsi="Arial"/>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43" w:lineRule="exact"/>
        <w:rPr>
          <w:sz w:val="20"/>
          <w:szCs w:val="20"/>
          <w:color w:val="auto"/>
        </w:rPr>
      </w:pPr>
    </w:p>
    <w:p>
      <w:pPr>
        <w:ind w:right="200" w:firstLine="492"/>
        <w:spacing w:after="0" w:line="307" w:lineRule="auto"/>
        <w:rPr>
          <w:sz w:val="20"/>
          <w:szCs w:val="20"/>
          <w:color w:val="auto"/>
        </w:rPr>
      </w:pPr>
      <w:r>
        <w:rPr>
          <w:rFonts w:ascii="Arial" w:cs="Arial" w:eastAsia="Arial" w:hAnsi="Arial"/>
          <w:sz w:val="16"/>
          <w:szCs w:val="16"/>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96" w:lineRule="exact"/>
        <w:rPr>
          <w:sz w:val="20"/>
          <w:szCs w:val="20"/>
          <w:color w:val="auto"/>
        </w:rPr>
      </w:pPr>
    </w:p>
    <w:p>
      <w:pPr>
        <w:ind w:right="20" w:firstLine="492"/>
        <w:spacing w:after="0" w:line="227" w:lineRule="auto"/>
        <w:rPr>
          <w:sz w:val="20"/>
          <w:szCs w:val="20"/>
          <w:color w:val="auto"/>
        </w:rPr>
      </w:pPr>
      <w:r>
        <w:rPr>
          <w:rFonts w:ascii="Arial" w:cs="Arial" w:eastAsia="Arial" w:hAnsi="Arial"/>
          <w:sz w:val="18"/>
          <w:szCs w:val="18"/>
          <w:color w:val="auto"/>
        </w:rPr>
        <w:t>Due to the adverse impacts of COVID-19, the Company negotiated rent deferral and payback periods with a number of the Company’s store landlords for the months of April and May 2020. Based on the guidance set forth in the Financial Accounting Standards Board (“FASB”) issued Staff Q&amp;A “Topic 842 and Topic 840: Accounting for Lease Concessions Related to the Effects of the COVID-19 Pandemic” the Company has accounted for these deferrals as if no changes to the lease contract were made and will not elect to apply the lease modification guidance under ASC 842. As of May 2, 2021 the Company has deferred rent of approximately $0.4 million which was recorded within accrued expenses and other current liabilities and will be paid in accordance with the concession arrangements.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660" w:type="dxa"/>
            <w:vAlign w:val="bottom"/>
          </w:tcPr>
          <w:p>
            <w:pPr>
              <w:ind w:left="600"/>
              <w:spacing w:after="0"/>
              <w:rPr>
                <w:sz w:val="20"/>
                <w:szCs w:val="20"/>
                <w:color w:val="auto"/>
              </w:rPr>
            </w:pPr>
            <w:r>
              <w:rPr>
                <w:rFonts w:ascii="Arial" w:cs="Arial" w:eastAsia="Arial" w:hAnsi="Arial"/>
                <w:sz w:val="14"/>
                <w:szCs w:val="14"/>
                <w:b w:val="1"/>
                <w:bCs w:val="1"/>
                <w:color w:val="auto"/>
              </w:rPr>
              <w:t>Consolidated Statement</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660" w:type="dxa"/>
            <w:vAlign w:val="bottom"/>
          </w:tcPr>
          <w:p>
            <w:pPr>
              <w:ind w:left="900"/>
              <w:spacing w:after="0"/>
              <w:rPr>
                <w:sz w:val="20"/>
                <w:szCs w:val="20"/>
                <w:color w:val="auto"/>
              </w:rPr>
            </w:pPr>
            <w:r>
              <w:rPr>
                <w:rFonts w:ascii="Arial" w:cs="Arial" w:eastAsia="Arial" w:hAnsi="Arial"/>
                <w:sz w:val="14"/>
                <w:szCs w:val="14"/>
                <w:b w:val="1"/>
                <w:bCs w:val="1"/>
                <w:color w:val="auto"/>
              </w:rPr>
              <w:t>of Operations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May 2, 2021</w:t>
            </w:r>
          </w:p>
        </w:tc>
        <w:tc>
          <w:tcPr>
            <w:tcW w:w="560" w:type="dxa"/>
            <w:vAlign w:val="bottom"/>
          </w:tcPr>
          <w:p>
            <w:pPr>
              <w:spacing w:after="0"/>
              <w:rPr>
                <w:sz w:val="17"/>
                <w:szCs w:val="17"/>
                <w:color w:val="auto"/>
              </w:rPr>
            </w:pPr>
          </w:p>
        </w:tc>
        <w:tc>
          <w:tcPr>
            <w:tcW w:w="1380" w:type="dxa"/>
            <w:vAlign w:val="bottom"/>
          </w:tcPr>
          <w:p>
            <w:pPr>
              <w:jc w:val="right"/>
              <w:ind w:right="512"/>
              <w:spacing w:after="0"/>
              <w:rPr>
                <w:sz w:val="20"/>
                <w:szCs w:val="20"/>
                <w:color w:val="auto"/>
              </w:rPr>
            </w:pPr>
            <w:r>
              <w:rPr>
                <w:rFonts w:ascii="Arial" w:cs="Arial" w:eastAsia="Arial" w:hAnsi="Arial"/>
                <w:sz w:val="14"/>
                <w:szCs w:val="14"/>
                <w:b w:val="1"/>
                <w:bCs w:val="1"/>
                <w:color w:val="auto"/>
                <w:w w:val="97"/>
              </w:rPr>
              <w:t>May 3, 2020</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Finance lease expenses</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240" w:type="dxa"/>
            <w:vAlign w:val="bottom"/>
            <w:shd w:val="clear" w:color="auto" w:fill="CCEEFF"/>
          </w:tcPr>
          <w:p>
            <w:pPr>
              <w:ind w:left="140"/>
              <w:spacing w:after="0" w:line="161" w:lineRule="exact"/>
              <w:rPr>
                <w:sz w:val="20"/>
                <w:szCs w:val="20"/>
                <w:color w:val="auto"/>
              </w:rPr>
            </w:pPr>
            <w:r>
              <w:rPr>
                <w:rFonts w:ascii="Arial" w:cs="Arial" w:eastAsia="Arial" w:hAnsi="Arial"/>
                <w:sz w:val="18"/>
                <w:szCs w:val="18"/>
                <w:color w:val="auto"/>
              </w:rPr>
              <w:t>Amortization of right-of-use</w:t>
            </w:r>
          </w:p>
        </w:tc>
        <w:tc>
          <w:tcPr>
            <w:tcW w:w="2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assets</w:t>
            </w:r>
          </w:p>
        </w:tc>
        <w:tc>
          <w:tcPr>
            <w:tcW w:w="266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240" w:type="dxa"/>
            <w:vAlign w:val="bottom"/>
            <w:vMerge w:val="continue"/>
            <w:shd w:val="clear" w:color="auto" w:fill="CCEEFF"/>
          </w:tcPr>
          <w:p>
            <w:pPr>
              <w:spacing w:after="0"/>
              <w:rPr>
                <w:sz w:val="12"/>
                <w:szCs w:val="12"/>
                <w:color w:val="auto"/>
              </w:rPr>
            </w:pPr>
          </w:p>
        </w:tc>
        <w:tc>
          <w:tcPr>
            <w:tcW w:w="2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56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67"/>
        </w:trPr>
        <w:tc>
          <w:tcPr>
            <w:tcW w:w="4240" w:type="dxa"/>
            <w:vAlign w:val="bottom"/>
            <w:shd w:val="clear" w:color="auto" w:fill="CCEEFF"/>
          </w:tcPr>
          <w:p>
            <w:pPr>
              <w:spacing w:after="0"/>
              <w:rPr>
                <w:sz w:val="5"/>
                <w:szCs w:val="5"/>
                <w:color w:val="auto"/>
              </w:rPr>
            </w:pPr>
          </w:p>
        </w:tc>
        <w:tc>
          <w:tcPr>
            <w:tcW w:w="2660" w:type="dxa"/>
            <w:vAlign w:val="bottom"/>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on lease liabilities</w:t>
            </w:r>
          </w:p>
        </w:tc>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finance lease expense</w:t>
            </w: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42"/>
        </w:trPr>
        <w:tc>
          <w:tcPr>
            <w:tcW w:w="424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2660" w:type="dxa"/>
            <w:vAlign w:val="bottom"/>
          </w:tcPr>
          <w:p>
            <w:pPr>
              <w:spacing w:after="0"/>
              <w:rPr>
                <w:sz w:val="20"/>
                <w:szCs w:val="20"/>
                <w:color w:val="auto"/>
              </w:rPr>
            </w:pPr>
            <w:r>
              <w:rPr>
                <w:rFonts w:ascii="Arial" w:cs="Arial" w:eastAsia="Arial" w:hAnsi="Arial"/>
                <w:sz w:val="18"/>
                <w:szCs w:val="18"/>
                <w:color w:val="auto"/>
              </w:rPr>
              <w:t>Selling, general and</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3,951</w:t>
            </w:r>
          </w:p>
        </w:tc>
        <w:tc>
          <w:tcPr>
            <w:tcW w:w="240" w:type="dxa"/>
            <w:vAlign w:val="bottom"/>
          </w:tcPr>
          <w:p>
            <w:pPr>
              <w:spacing w:after="0"/>
              <w:rPr>
                <w:sz w:val="18"/>
                <w:szCs w:val="18"/>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161"/>
        </w:trPr>
        <w:tc>
          <w:tcPr>
            <w:tcW w:w="424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Amortization of build-to-suit</w:t>
            </w:r>
          </w:p>
        </w:tc>
        <w:tc>
          <w:tcPr>
            <w:tcW w:w="2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leases capital contribution</w:t>
            </w:r>
          </w:p>
        </w:tc>
        <w:tc>
          <w:tcPr>
            <w:tcW w:w="266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240" w:type="dxa"/>
            <w:vAlign w:val="bottom"/>
            <w:vMerge w:val="continue"/>
            <w:shd w:val="clear" w:color="auto" w:fill="CCEEFF"/>
          </w:tcPr>
          <w:p>
            <w:pPr>
              <w:spacing w:after="0"/>
              <w:rPr>
                <w:sz w:val="12"/>
                <w:szCs w:val="12"/>
                <w:color w:val="auto"/>
              </w:rPr>
            </w:pPr>
          </w:p>
        </w:tc>
        <w:tc>
          <w:tcPr>
            <w:tcW w:w="2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67"/>
        </w:trPr>
        <w:tc>
          <w:tcPr>
            <w:tcW w:w="4240" w:type="dxa"/>
            <w:vAlign w:val="bottom"/>
            <w:shd w:val="clear" w:color="auto" w:fill="CCEEFF"/>
          </w:tcPr>
          <w:p>
            <w:pPr>
              <w:spacing w:after="0"/>
              <w:rPr>
                <w:sz w:val="5"/>
                <w:szCs w:val="5"/>
                <w:color w:val="auto"/>
              </w:rPr>
            </w:pPr>
          </w:p>
        </w:tc>
        <w:tc>
          <w:tcPr>
            <w:tcW w:w="26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40" w:type="dxa"/>
            <w:vAlign w:val="bottom"/>
          </w:tcPr>
          <w:p>
            <w:pPr>
              <w:spacing w:after="0"/>
              <w:rPr>
                <w:sz w:val="20"/>
                <w:szCs w:val="20"/>
                <w:color w:val="auto"/>
              </w:rPr>
            </w:pPr>
            <w:r>
              <w:rPr>
                <w:rFonts w:ascii="Arial" w:cs="Arial" w:eastAsia="Arial" w:hAnsi="Arial"/>
                <w:sz w:val="18"/>
                <w:szCs w:val="18"/>
                <w:color w:val="auto"/>
              </w:rPr>
              <w:t>Variable lease expense</w:t>
            </w:r>
          </w:p>
        </w:tc>
        <w:tc>
          <w:tcPr>
            <w:tcW w:w="2660" w:type="dxa"/>
            <w:vAlign w:val="bottom"/>
          </w:tcPr>
          <w:p>
            <w:pPr>
              <w:spacing w:after="0"/>
              <w:rPr>
                <w:sz w:val="20"/>
                <w:szCs w:val="20"/>
                <w:color w:val="auto"/>
              </w:rPr>
            </w:pPr>
            <w:r>
              <w:rPr>
                <w:rFonts w:ascii="Arial" w:cs="Arial" w:eastAsia="Arial" w:hAnsi="Arial"/>
                <w:sz w:val="18"/>
                <w:szCs w:val="18"/>
                <w:color w:val="auto"/>
              </w:rPr>
              <w:t>Selling, general and</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4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administrative expenses</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lease expense</w:t>
            </w:r>
          </w:p>
        </w:tc>
        <w:tc>
          <w:tcPr>
            <w:tcW w:w="2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7,671</w:t>
            </w: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60" w:type="dxa"/>
            <w:vAlign w:val="bottom"/>
            <w:vMerge w:val="restart"/>
          </w:tcPr>
          <w:p>
            <w:pPr>
              <w:ind w:left="130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2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2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information related to leases were as follows:</w:t>
      </w:r>
    </w:p>
    <w:p>
      <w:pPr>
        <w:spacing w:after="0" w:line="271"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6350</wp:posOffset>
            </wp:positionV>
            <wp:extent cx="2682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May 2, 2021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May 3, 2020</w:t>
            </w:r>
          </w:p>
        </w:tc>
      </w:tr>
      <w:tr>
        <w:trPr>
          <w:trHeight w:val="196"/>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260" w:type="dxa"/>
            <w:vAlign w:val="bottom"/>
            <w:gridSpan w:val="2"/>
          </w:tcPr>
          <w:p>
            <w:pPr>
              <w:jc w:val="right"/>
              <w:ind w:right="130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260" w:type="dxa"/>
            <w:vAlign w:val="bottom"/>
            <w:gridSpan w:val="2"/>
            <w:shd w:val="clear" w:color="auto" w:fill="CCEEFF"/>
          </w:tcPr>
          <w:p>
            <w:pPr>
              <w:jc w:val="right"/>
              <w:ind w:right="13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260" w:type="dxa"/>
            <w:vAlign w:val="bottom"/>
            <w:gridSpan w:val="2"/>
          </w:tcPr>
          <w:p>
            <w:pPr>
              <w:jc w:val="right"/>
              <w:ind w:right="130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3,977</w:t>
            </w:r>
          </w:p>
        </w:tc>
        <w:tc>
          <w:tcPr>
            <w:tcW w:w="20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3,802</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the non-cancellable leases are as follows as of May 2,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40" w:type="dxa"/>
            <w:vAlign w:val="bottom"/>
          </w:tcPr>
          <w:p>
            <w:pPr>
              <w:spacing w:after="0"/>
              <w:rPr>
                <w:sz w:val="20"/>
                <w:szCs w:val="20"/>
                <w:color w:val="auto"/>
              </w:rPr>
            </w:pPr>
            <w:r>
              <w:rPr>
                <w:rFonts w:ascii="Arial" w:cs="Arial" w:eastAsia="Arial" w:hAnsi="Arial"/>
                <w:sz w:val="18"/>
                <w:szCs w:val="18"/>
                <w:b w:val="1"/>
                <w:bCs w:val="1"/>
                <w:color w:val="auto"/>
              </w:rPr>
              <w:t>Fiscal year</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196"/>
        </w:trPr>
        <w:tc>
          <w:tcPr>
            <w:tcW w:w="414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2021 (remainder of fiscal year)</w:t>
            </w:r>
          </w:p>
        </w:tc>
        <w:tc>
          <w:tcPr>
            <w:tcW w:w="326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2022</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15,749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2024</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62,742</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59,477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135,797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 Discount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(14,595)</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(22,732)</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Lease liability</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44,882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113,065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vMerge w:val="restart"/>
          </w:tcPr>
          <w:p>
            <w:pPr>
              <w:jc w:val="right"/>
              <w:ind w:right="101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ind w:left="440" w:right="8020" w:hanging="432"/>
        <w:spacing w:after="0" w:line="454" w:lineRule="auto"/>
        <w:tabs>
          <w:tab w:leader="none" w:pos="32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AND CREDIT AGREEMENT </w:t>
      </w:r>
      <w:r>
        <w:rPr>
          <w:rFonts w:ascii="Arial" w:cs="Arial" w:eastAsia="Arial" w:hAnsi="Arial"/>
          <w:sz w:val="18"/>
          <w:szCs w:val="18"/>
          <w:color w:val="auto"/>
        </w:rPr>
        <w:t>Debt consists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2, 2021</w:t>
            </w:r>
          </w:p>
        </w:tc>
        <w:tc>
          <w:tcPr>
            <w:tcW w:w="200" w:type="dxa"/>
            <w:vAlign w:val="bottom"/>
          </w:tcPr>
          <w:p>
            <w:pPr>
              <w:spacing w:after="0"/>
              <w:rPr>
                <w:sz w:val="14"/>
                <w:szCs w:val="14"/>
                <w:color w:val="auto"/>
              </w:rPr>
            </w:pPr>
          </w:p>
        </w:tc>
        <w:tc>
          <w:tcPr>
            <w:tcW w:w="1520" w:type="dxa"/>
            <w:vAlign w:val="bottom"/>
          </w:tcPr>
          <w:p>
            <w:pPr>
              <w:jc w:val="right"/>
              <w:ind w:right="25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7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TRI Senior Secured Note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24,352</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TRI Note</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27,719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27,852</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TRI long-term debt</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27,079</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27,229</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Duluth Line of credit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Duluth Delayed draw term loan</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48,250</w:t>
            </w:r>
          </w:p>
        </w:tc>
      </w:tr>
      <w:tr>
        <w:trPr>
          <w:trHeight w:val="196"/>
        </w:trPr>
        <w:tc>
          <w:tcPr>
            <w:tcW w:w="76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48,250</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Duluth long-term debt</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45,750</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58" w:lineRule="exact"/>
        <w:rPr>
          <w:sz w:val="20"/>
          <w:szCs w:val="20"/>
          <w:color w:val="auto"/>
        </w:rPr>
      </w:pPr>
    </w:p>
    <w:p>
      <w:pPr>
        <w:jc w:val="both"/>
        <w:ind w:right="460" w:firstLine="428"/>
        <w:spacing w:after="0" w:line="235"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34" w:lineRule="exact"/>
        <w:rPr>
          <w:sz w:val="20"/>
          <w:szCs w:val="20"/>
          <w:color w:val="auto"/>
        </w:rPr>
      </w:pPr>
    </w:p>
    <w:p>
      <w:pPr>
        <w:ind w:right="220" w:firstLine="428"/>
        <w:spacing w:after="0" w:line="246"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While the above notes are consolidated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is not the guarantor nor obligor of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ind w:right="40" w:firstLine="428"/>
        <w:spacing w:after="0" w:line="239" w:lineRule="auto"/>
        <w:rPr>
          <w:sz w:val="20"/>
          <w:szCs w:val="20"/>
          <w:color w:val="auto"/>
        </w:rPr>
      </w:pPr>
      <w:r>
        <w:rPr>
          <w:rFonts w:ascii="Arial" w:cs="Arial" w:eastAsia="Arial" w:hAnsi="Arial"/>
          <w:sz w:val="17"/>
          <w:szCs w:val="17"/>
          <w:color w:val="auto"/>
        </w:rPr>
        <w:t>On May 17, 2018, the Company entered into a credit agreement (the “Credit Agreement”) which provided for borrowing availability of up to $80.0 million in revolving credit (the “Revolver”), and borrowing availability of up to $50.0 million in a delayed draw term loan (“DDTL”), for a total credit facility of $130.0 million. The $80.0 million revolving credit facility was scheduled to mature on May 17, 2023. The $50.0 million DDTL was available to draw upon in differing amounts through May 17, 2020 and was scheduled to mature on May 17, 2023. Outstanding balances under the DDTL required quarterly principal payments with a final balloon payment at maturity. The Credit Agreement was secured by essentially all Company assets and required the Company to maintain compliance with certain financial and non-financial covenants, including a maximum rent adjusted leverage ratio and a minimum fixed charge coverage ratio as defined in the Credit Agreement.</w:t>
      </w:r>
    </w:p>
    <w:p>
      <w:pPr>
        <w:spacing w:after="0" w:line="149" w:lineRule="exact"/>
        <w:rPr>
          <w:sz w:val="20"/>
          <w:szCs w:val="20"/>
          <w:color w:val="auto"/>
        </w:rPr>
      </w:pPr>
    </w:p>
    <w:p>
      <w:pPr>
        <w:ind w:right="180" w:firstLine="428"/>
        <w:spacing w:after="0" w:line="225" w:lineRule="auto"/>
        <w:rPr>
          <w:sz w:val="20"/>
          <w:szCs w:val="20"/>
          <w:color w:val="auto"/>
        </w:rPr>
      </w:pPr>
      <w:r>
        <w:rPr>
          <w:rFonts w:ascii="Arial" w:cs="Arial" w:eastAsia="Arial" w:hAnsi="Arial"/>
          <w:sz w:val="18"/>
          <w:szCs w:val="18"/>
          <w:color w:val="auto"/>
        </w:rPr>
        <w:t>On April 30, 2020, the Credit Agreement was amended to include an incremental DDTL of $20.5 million (the “Incremental DDTL”) that was available to draw upon before March 31, 2021, and matured on April 29, 2021, for a total credit facility of $150.5 million. As of and for the three months ended May 2, 2021, no amount of the Incremental DDTL was funded. The loan covenants were also amended to allow for greater flexibility during the Company’s peak borrowing periods in fiscal 2020. The interest rate applicable to the Revolver or DDTL was a fixed rate for a one-, two-, three- or six-month interest period equal to LIBOR (with a 1% floor) for such interest period plus a margin of 225 to 300 basis points, based upon the Company’s rent adjusted leverage ratio (effective rate of 3.5% for the Revolver and the DDTL at May 2, 2021). The interest rate applicable to the Incremental DDTL was also a fixed rate over the aforementioned interest periods equal to LIBOR (with a 1% floor) for such interest period plus a margin of 275 to 350 basis points.</w:t>
      </w:r>
    </w:p>
    <w:p>
      <w:pPr>
        <w:spacing w:after="0" w:line="135" w:lineRule="exact"/>
        <w:rPr>
          <w:sz w:val="20"/>
          <w:szCs w:val="20"/>
          <w:color w:val="auto"/>
        </w:rPr>
      </w:pPr>
    </w:p>
    <w:p>
      <w:pPr>
        <w:ind w:right="140" w:firstLine="428"/>
        <w:spacing w:after="0" w:line="235" w:lineRule="auto"/>
        <w:rPr>
          <w:sz w:val="20"/>
          <w:szCs w:val="20"/>
          <w:color w:val="auto"/>
        </w:rPr>
      </w:pPr>
      <w:r>
        <w:rPr>
          <w:rFonts w:ascii="Arial" w:cs="Arial" w:eastAsia="Arial" w:hAnsi="Arial"/>
          <w:sz w:val="18"/>
          <w:szCs w:val="18"/>
          <w:color w:val="auto"/>
        </w:rPr>
        <w:t>As of May 2, 2021 and for the three months then ended, the Company was in compliance with all financial and non-financial covenants for all debts discussed above. Subsequent to the May 2, 2021 quarter end, the Company refinanced the above credit agreement. See Note 13 “Subsequent Events” for further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ind w:left="440" w:right="5720" w:hanging="432"/>
        <w:spacing w:after="0" w:line="534" w:lineRule="auto"/>
        <w:tabs>
          <w:tab w:leader="none" w:pos="31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2021</w:t>
            </w:r>
          </w:p>
        </w:tc>
        <w:tc>
          <w:tcPr>
            <w:tcW w:w="220" w:type="dxa"/>
            <w:vAlign w:val="bottom"/>
          </w:tcPr>
          <w:p>
            <w:pPr>
              <w:spacing w:after="0"/>
              <w:rPr>
                <w:sz w:val="14"/>
                <w:szCs w:val="14"/>
                <w:color w:val="auto"/>
              </w:rPr>
            </w:pP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5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2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9,944</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Product returns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Catalog costs</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r>
      <w:tr>
        <w:trPr>
          <w:trHeight w:val="183"/>
        </w:trPr>
        <w:tc>
          <w:tcPr>
            <w:tcW w:w="5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19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30,903</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37,686</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FAIR VALUE</w:t>
      </w:r>
    </w:p>
    <w:p>
      <w:pPr>
        <w:spacing w:after="0" w:line="162" w:lineRule="exact"/>
        <w:rPr>
          <w:sz w:val="20"/>
          <w:szCs w:val="20"/>
          <w:color w:val="auto"/>
        </w:rPr>
      </w:pPr>
    </w:p>
    <w:p>
      <w:pPr>
        <w:ind w:right="60" w:firstLine="440"/>
        <w:spacing w:after="0" w:line="242"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w:t>
      </w:r>
      <w:r>
        <w:rPr>
          <w:rFonts w:ascii="Arial" w:cs="Arial" w:eastAsia="Arial" w:hAnsi="Arial"/>
          <w:sz w:val="17"/>
          <w:szCs w:val="17"/>
          <w:i w:val="1"/>
          <w:iCs w:val="1"/>
          <w:color w:val="auto"/>
        </w:rPr>
        <w:t>,</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35"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69" w:lineRule="exact"/>
        <w:rPr>
          <w:sz w:val="20"/>
          <w:szCs w:val="20"/>
          <w:color w:val="auto"/>
        </w:rPr>
      </w:pPr>
    </w:p>
    <w:p>
      <w:pPr>
        <w:ind w:right="200" w:firstLine="440"/>
        <w:spacing w:after="0" w:line="228" w:lineRule="auto"/>
        <w:rPr>
          <w:sz w:val="20"/>
          <w:szCs w:val="20"/>
          <w:color w:val="auto"/>
        </w:rPr>
      </w:pPr>
      <w:r>
        <w:rPr>
          <w:rFonts w:ascii="Arial" w:cs="Arial" w:eastAsia="Arial" w:hAnsi="Arial"/>
          <w:sz w:val="18"/>
          <w:szCs w:val="18"/>
          <w:color w:val="auto"/>
        </w:rPr>
        <w:t>The fair value of the Company’s available-for-sale security was valued based on a discounted cash flow method (Level 3), which incorporates the U.S. Treasury yield curve, credit information and an estimate of future cash flows. During the three months ended May 2, 2021,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53"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May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6350</wp:posOffset>
            </wp:positionV>
            <wp:extent cx="4217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Cost or</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66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7"/>
                <w:szCs w:val="17"/>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Level 3 security:</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r>
      <w:tr>
        <w:trPr>
          <w:trHeight w:val="634"/>
        </w:trPr>
        <w:tc>
          <w:tcPr>
            <w:tcW w:w="4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 2021</w:t>
            </w: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1"/>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Cost or</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66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7"/>
                <w:szCs w:val="17"/>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Level 3 security:</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does not intend to sell the available-for-sale-security in the near term and does not believe that it will be required to sell the security.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securities on a quarterly basis to monitor its exposure to other-than-temporary impairment.</w:t>
      </w:r>
    </w:p>
    <w:p>
      <w:pPr>
        <w:spacing w:after="0" w:line="155" w:lineRule="exact"/>
        <w:rPr>
          <w:sz w:val="20"/>
          <w:szCs w:val="20"/>
          <w:color w:val="auto"/>
        </w:rPr>
      </w:pPr>
    </w:p>
    <w:p>
      <w:pPr>
        <w:ind w:right="340" w:firstLine="492"/>
        <w:spacing w:after="0" w:line="246" w:lineRule="auto"/>
        <w:rPr>
          <w:sz w:val="20"/>
          <w:szCs w:val="20"/>
          <w:color w:val="auto"/>
        </w:rPr>
      </w:pPr>
      <w:r>
        <w:rPr>
          <w:rFonts w:ascii="Arial" w:cs="Arial" w:eastAsia="Arial" w:hAnsi="Arial"/>
          <w:sz w:val="18"/>
          <w:szCs w:val="18"/>
          <w:color w:val="auto"/>
        </w:rPr>
        <w:t>No other-than-temporary impairment was recorded in the unaudited condensed consolidated statements of operations for the three months ended May 2, 2021 or May 3, 2020.</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future principal receipts related to the Company’s available-for-sale security by contractual maturity as of May 2,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Arial" w:cs="Arial" w:eastAsia="Arial" w:hAnsi="Arial"/>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6080" w:type="dxa"/>
            <w:vAlign w:val="bottom"/>
          </w:tcPr>
          <w:p>
            <w:pPr>
              <w:spacing w:after="0"/>
              <w:rPr>
                <w:sz w:val="16"/>
                <w:szCs w:val="16"/>
                <w:color w:val="auto"/>
              </w:rPr>
            </w:pPr>
          </w:p>
        </w:tc>
        <w:tc>
          <w:tcPr>
            <w:tcW w:w="1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7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ten years</w:t>
            </w: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r>
      <w:tr>
        <w:trPr>
          <w:trHeight w:val="196"/>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ind w:right="167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6,012</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6,346</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values and fair values of other financial instruments in the Consolidated Balance Sheets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May 2, 2021</w:t>
            </w:r>
          </w:p>
        </w:tc>
        <w:tc>
          <w:tcPr>
            <w:tcW w:w="1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8"/>
                <w:szCs w:val="18"/>
                <w:color w:val="auto"/>
              </w:rPr>
            </w:pPr>
          </w:p>
        </w:tc>
        <w:tc>
          <w:tcPr>
            <w:tcW w:w="940" w:type="dxa"/>
            <w:vAlign w:val="bottom"/>
          </w:tcPr>
          <w:p>
            <w:pPr>
              <w:jc w:val="center"/>
              <w:ind w:right="4"/>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 including short-term portion</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27,719</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28,697</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above long-term debt, including short-term portion is attributable to the consolidation of TRI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was also based on a discounted cash flow method (Level 3) based on credit information and an estimate of future cash flows.</w:t>
      </w:r>
    </w:p>
    <w:p>
      <w:pPr>
        <w:spacing w:after="0" w:line="142" w:lineRule="exact"/>
        <w:rPr>
          <w:sz w:val="20"/>
          <w:szCs w:val="20"/>
          <w:color w:val="auto"/>
        </w:rPr>
      </w:pPr>
    </w:p>
    <w:p>
      <w:pPr>
        <w:jc w:val="center"/>
        <w:ind w:left="420" w:right="400"/>
        <w:spacing w:after="0" w:line="246" w:lineRule="auto"/>
        <w:rPr>
          <w:sz w:val="20"/>
          <w:szCs w:val="20"/>
          <w:color w:val="auto"/>
        </w:rPr>
      </w:pPr>
      <w:r>
        <w:rPr>
          <w:rFonts w:ascii="Arial" w:cs="Arial" w:eastAsia="Arial" w:hAnsi="Arial"/>
          <w:sz w:val="18"/>
          <w:szCs w:val="18"/>
          <w:color w:val="auto"/>
        </w:rPr>
        <w:t>As of May 2, 2021 and January 31, 2021, the carrying value of the delayed draw term loan and line of credit both approximated their fair value.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VARIABLE INTEREST ENTITY</w:t>
      </w:r>
    </w:p>
    <w:p>
      <w:pPr>
        <w:spacing w:after="0" w:line="162" w:lineRule="exact"/>
        <w:rPr>
          <w:sz w:val="20"/>
          <w:szCs w:val="20"/>
          <w:color w:val="auto"/>
        </w:rPr>
      </w:pPr>
    </w:p>
    <w:p>
      <w:pPr>
        <w:ind w:right="340" w:firstLine="492"/>
        <w:spacing w:after="0" w:line="228" w:lineRule="auto"/>
        <w:rPr>
          <w:sz w:val="20"/>
          <w:szCs w:val="20"/>
          <w:color w:val="auto"/>
        </w:rPr>
      </w:pPr>
      <w:r>
        <w:rPr>
          <w:rFonts w:ascii="Arial" w:cs="Arial" w:eastAsia="Arial" w:hAnsi="Arial"/>
          <w:sz w:val="18"/>
          <w:szCs w:val="18"/>
          <w:color w:val="auto"/>
        </w:rPr>
        <w:t xml:space="preserve">Based upon the criteria set forth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May 2, 2021 and January 31, 2021.</w:t>
      </w:r>
    </w:p>
    <w:p>
      <w:pPr>
        <w:spacing w:after="0" w:line="151" w:lineRule="exact"/>
        <w:rPr>
          <w:sz w:val="20"/>
          <w:szCs w:val="20"/>
          <w:color w:val="auto"/>
        </w:rPr>
      </w:pPr>
    </w:p>
    <w:p>
      <w:pPr>
        <w:ind w:right="40" w:firstLine="428"/>
        <w:spacing w:after="0" w:line="227" w:lineRule="auto"/>
        <w:rPr>
          <w:sz w:val="20"/>
          <w:szCs w:val="20"/>
          <w:color w:val="auto"/>
        </w:rPr>
      </w:pPr>
      <w:r>
        <w:rPr>
          <w:rFonts w:ascii="Arial" w:cs="Arial" w:eastAsia="Arial" w:hAnsi="Arial"/>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condensed consolidated balance sheets include the following amounts as a result of the consolidation of TRI as of May 2, 2021 and January 31,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2, 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29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74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16"/>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24,800</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25,391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25,547</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27,229</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Noncontrolling interest in VIE</w:t>
            </w:r>
          </w:p>
        </w:tc>
        <w:tc>
          <w:tcPr>
            <w:tcW w:w="3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25,391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25,547</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(LOSS) PER SHARE</w:t>
      </w:r>
    </w:p>
    <w:p>
      <w:pPr>
        <w:spacing w:after="0" w:line="175" w:lineRule="exact"/>
        <w:rPr>
          <w:sz w:val="20"/>
          <w:szCs w:val="20"/>
          <w:color w:val="auto"/>
        </w:rPr>
      </w:pPr>
    </w:p>
    <w:p>
      <w:pPr>
        <w:ind w:firstLine="428"/>
        <w:spacing w:after="0" w:line="242" w:lineRule="auto"/>
        <w:rPr>
          <w:sz w:val="20"/>
          <w:szCs w:val="20"/>
          <w:color w:val="auto"/>
        </w:rPr>
      </w:pPr>
      <w:r>
        <w:rPr>
          <w:rFonts w:ascii="Arial" w:cs="Arial" w:eastAsia="Arial" w:hAnsi="Arial"/>
          <w:sz w:val="17"/>
          <w:szCs w:val="17"/>
          <w:color w:val="auto"/>
        </w:rPr>
        <w:t>Earnings (loss)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(loss) per share is based on the weighted average number of common shares outstanding for the period. Diluted earnings (loss)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(loss) per share unless considered anti-dilutive. The reconciliation of the numerator and denominator of the basic and diluted earnings (loss) per share calculation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w w:val="98"/>
              </w:rPr>
              <w:t>Three Months Ended</w:t>
            </w: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May 2, 2021</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May 3, 2020</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 attributable to</w:t>
            </w:r>
          </w:p>
        </w:tc>
        <w:tc>
          <w:tcPr>
            <w:tcW w:w="2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controlling interest</w:t>
            </w:r>
          </w:p>
        </w:tc>
        <w:tc>
          <w:tcPr>
            <w:tcW w:w="3700" w:type="dxa"/>
            <w:vAlign w:val="bottom"/>
            <w:gridSpan w:val="2"/>
            <w:shd w:val="clear" w:color="auto" w:fill="CCEEFF"/>
          </w:tcPr>
          <w:p>
            <w:pPr>
              <w:jc w:val="right"/>
              <w:ind w:right="14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Arial" w:cs="Arial" w:eastAsia="Arial" w:hAnsi="Arial"/>
                <w:sz w:val="18"/>
                <w:szCs w:val="18"/>
                <w:color w:val="auto"/>
              </w:rPr>
              <w:t>Denominator - weighted average shares</w:t>
            </w:r>
          </w:p>
        </w:tc>
        <w:tc>
          <w:tcPr>
            <w:tcW w:w="2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480" w:type="dxa"/>
            <w:vAlign w:val="bottom"/>
          </w:tcPr>
          <w:p>
            <w:pPr>
              <w:ind w:left="140"/>
              <w:spacing w:after="0"/>
              <w:rPr>
                <w:sz w:val="20"/>
                <w:szCs w:val="20"/>
                <w:color w:val="auto"/>
              </w:rPr>
            </w:pPr>
            <w:r>
              <w:rPr>
                <w:rFonts w:ascii="Arial" w:cs="Arial" w:eastAsia="Arial" w:hAnsi="Arial"/>
                <w:sz w:val="18"/>
                <w:szCs w:val="18"/>
                <w:color w:val="auto"/>
              </w:rPr>
              <w:t>(Class A and Class B)</w:t>
            </w:r>
          </w:p>
        </w:tc>
        <w:tc>
          <w:tcPr>
            <w:tcW w:w="2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32,372</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Dilutive shares</w:t>
            </w:r>
          </w:p>
        </w:tc>
        <w:tc>
          <w:tcPr>
            <w:tcW w:w="2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Diluted</w:t>
            </w:r>
          </w:p>
        </w:tc>
        <w:tc>
          <w:tcPr>
            <w:tcW w:w="2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32,720</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32,372</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Earnings (loss) per share (Class A and Class B)</w:t>
            </w:r>
          </w:p>
        </w:tc>
        <w:tc>
          <w:tcPr>
            <w:tcW w:w="2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700" w:type="dxa"/>
            <w:vAlign w:val="bottom"/>
            <w:gridSpan w:val="2"/>
            <w:shd w:val="clear" w:color="auto" w:fill="CCEEFF"/>
          </w:tcPr>
          <w:p>
            <w:pPr>
              <w:jc w:val="right"/>
              <w:ind w:right="14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43"/>
        </w:trPr>
        <w:tc>
          <w:tcPr>
            <w:tcW w:w="4480" w:type="dxa"/>
            <w:vAlign w:val="bottom"/>
          </w:tcPr>
          <w:p>
            <w:pPr>
              <w:ind w:left="120"/>
              <w:spacing w:after="0"/>
              <w:rPr>
                <w:sz w:val="20"/>
                <w:szCs w:val="20"/>
                <w:color w:val="auto"/>
              </w:rPr>
            </w:pPr>
            <w:r>
              <w:rPr>
                <w:rFonts w:ascii="Arial" w:cs="Arial" w:eastAsia="Arial" w:hAnsi="Arial"/>
                <w:sz w:val="18"/>
                <w:szCs w:val="18"/>
                <w:color w:val="auto"/>
              </w:rPr>
              <w:t>Diluted</w:t>
            </w:r>
          </w:p>
        </w:tc>
        <w:tc>
          <w:tcPr>
            <w:tcW w:w="3700" w:type="dxa"/>
            <w:vAlign w:val="bottom"/>
            <w:gridSpan w:val="2"/>
          </w:tcPr>
          <w:p>
            <w:pPr>
              <w:jc w:val="right"/>
              <w:ind w:right="14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378"/>
        </w:trPr>
        <w:tc>
          <w:tcPr>
            <w:tcW w:w="4480" w:type="dxa"/>
            <w:vAlign w:val="bottom"/>
          </w:tcPr>
          <w:p>
            <w:pPr>
              <w:spacing w:after="0"/>
              <w:rPr>
                <w:sz w:val="24"/>
                <w:szCs w:val="24"/>
                <w:color w:val="auto"/>
              </w:rPr>
            </w:pPr>
          </w:p>
        </w:tc>
        <w:tc>
          <w:tcPr>
            <w:tcW w:w="2100" w:type="dxa"/>
            <w:vAlign w:val="bottom"/>
          </w:tcPr>
          <w:p>
            <w:pPr>
              <w:jc w:val="right"/>
              <w:ind w:right="770"/>
              <w:spacing w:after="0"/>
              <w:rPr>
                <w:sz w:val="20"/>
                <w:szCs w:val="20"/>
                <w:color w:val="auto"/>
              </w:rPr>
            </w:pPr>
            <w:r>
              <w:rPr>
                <w:rFonts w:ascii="Arial" w:cs="Arial" w:eastAsia="Arial" w:hAnsi="Arial"/>
                <w:sz w:val="18"/>
                <w:szCs w:val="18"/>
                <w:color w:val="auto"/>
              </w:rPr>
              <w:t>17</w:t>
            </w: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4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right="740" w:firstLine="492"/>
        <w:spacing w:after="0" w:line="246" w:lineRule="auto"/>
        <w:rPr>
          <w:sz w:val="20"/>
          <w:szCs w:val="20"/>
          <w:color w:val="auto"/>
        </w:rPr>
      </w:pPr>
      <w:r>
        <w:rPr>
          <w:rFonts w:ascii="Arial" w:cs="Arial" w:eastAsia="Arial" w:hAnsi="Arial"/>
          <w:sz w:val="18"/>
          <w:szCs w:val="18"/>
          <w:color w:val="auto"/>
        </w:rPr>
        <w:t>The Computation of diluted loss per share for the three months ended May 3, 2020 excluded 0.1 million shares of unvested restricted stock respectively, because their inclusion would be anti-dilutive due to a net loss.</w:t>
      </w:r>
    </w:p>
    <w:p>
      <w:pPr>
        <w:spacing w:after="0" w:line="3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175" w:lineRule="exact"/>
        <w:rPr>
          <w:sz w:val="20"/>
          <w:szCs w:val="20"/>
          <w:color w:val="auto"/>
        </w:rPr>
      </w:pPr>
    </w:p>
    <w:p>
      <w:pPr>
        <w:ind w:right="320" w:firstLine="428"/>
        <w:spacing w:after="0" w:line="274" w:lineRule="auto"/>
        <w:rPr>
          <w:sz w:val="20"/>
          <w:szCs w:val="20"/>
          <w:color w:val="auto"/>
        </w:rPr>
      </w:pPr>
      <w:r>
        <w:rPr>
          <w:rFonts w:ascii="Arial" w:cs="Arial" w:eastAsia="Arial" w:hAnsi="Arial"/>
          <w:sz w:val="17"/>
          <w:szCs w:val="17"/>
          <w:color w:val="auto"/>
        </w:rPr>
        <w:t xml:space="preserve">The Company accounts for its stock-based compensation plan in accordance with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requires the Company to measure all share-based payments at grant date fair value and recognize the cost over the requisite service period of the award.</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stock compensation expense associated with restricted stock recognized by the Company was $0.4 million for the three months ended May 2,</w:t>
      </w:r>
    </w:p>
    <w:p>
      <w:pPr>
        <w:spacing w:after="0" w:line="21" w:lineRule="exact"/>
        <w:rPr>
          <w:sz w:val="20"/>
          <w:szCs w:val="20"/>
          <w:color w:val="auto"/>
        </w:rPr>
      </w:pPr>
    </w:p>
    <w:p>
      <w:pPr>
        <w:ind w:right="520"/>
        <w:spacing w:after="0" w:line="233" w:lineRule="auto"/>
        <w:rPr>
          <w:sz w:val="20"/>
          <w:szCs w:val="20"/>
          <w:color w:val="auto"/>
        </w:rPr>
      </w:pPr>
      <w:r>
        <w:rPr>
          <w:rFonts w:ascii="Arial" w:cs="Arial" w:eastAsia="Arial" w:hAnsi="Arial"/>
          <w:sz w:val="18"/>
          <w:szCs w:val="18"/>
          <w:color w:val="auto"/>
        </w:rPr>
        <w:t>2021 and May 3, 2020. The Company’s total stock compensation expense (benefit) is included in selling, general and administrative expenses on the Condensed Consolidated Statements of Operations.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activity in the Company’s unvested restricted stock during the three months ended May 2, 2021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fair value</w:t>
            </w:r>
          </w:p>
        </w:tc>
      </w:tr>
      <w:tr>
        <w:trPr>
          <w:trHeight w:val="214"/>
        </w:trPr>
        <w:tc>
          <w:tcPr>
            <w:tcW w:w="8380" w:type="dxa"/>
            <w:vAlign w:val="bottom"/>
          </w:tcPr>
          <w:p>
            <w:pPr>
              <w:spacing w:after="0"/>
              <w:rPr>
                <w:sz w:val="18"/>
                <w:szCs w:val="18"/>
                <w:color w:val="auto"/>
              </w:rPr>
            </w:pP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8"/>
                <w:szCs w:val="18"/>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338,239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90,914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29"/>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(68,502)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May 2, 2021</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360,056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10.79</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40" w:firstLine="428"/>
        <w:spacing w:after="0" w:line="246" w:lineRule="auto"/>
        <w:rPr>
          <w:sz w:val="20"/>
          <w:szCs w:val="20"/>
          <w:color w:val="auto"/>
        </w:rPr>
      </w:pPr>
      <w:r>
        <w:rPr>
          <w:rFonts w:ascii="Arial" w:cs="Arial" w:eastAsia="Arial" w:hAnsi="Arial"/>
          <w:sz w:val="18"/>
          <w:szCs w:val="18"/>
          <w:color w:val="auto"/>
        </w:rPr>
        <w:t>At May 2, 2021, the Company had unrecognized compensation expense of $3.2 million related to the restricted stock awards, which is expected to be recognized over a weighted average period of 2.9 years.</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PROPERTY AND EQUIPMENT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May 2, 2021</w:t>
            </w:r>
          </w:p>
        </w:tc>
        <w:tc>
          <w:tcPr>
            <w:tcW w:w="220" w:type="dxa"/>
            <w:vAlign w:val="bottom"/>
          </w:tcPr>
          <w:p>
            <w:pPr>
              <w:spacing w:after="0"/>
              <w:rPr>
                <w:sz w:val="14"/>
                <w:szCs w:val="14"/>
                <w:color w:val="auto"/>
              </w:rPr>
            </w:pPr>
          </w:p>
        </w:tc>
        <w:tc>
          <w:tcPr>
            <w:tcW w:w="1560" w:type="dxa"/>
            <w:vAlign w:val="bottom"/>
          </w:tcPr>
          <w:p>
            <w:pPr>
              <w:jc w:val="right"/>
              <w:ind w:right="271"/>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7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46,979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47,451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35,344</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Vehicles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52,624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52,614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34,003</w:t>
            </w:r>
          </w:p>
        </w:tc>
      </w:tr>
      <w:tr>
        <w:trPr>
          <w:trHeight w:val="196"/>
        </w:trPr>
        <w:tc>
          <w:tcPr>
            <w:tcW w:w="7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197,880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198,605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(81,615)</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(75,958)</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116,265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122,647</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r>
      <w:tr>
        <w:trPr>
          <w:trHeight w:val="183"/>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119,783</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124,237</w:t>
            </w:r>
          </w:p>
        </w:tc>
      </w:tr>
      <w:tr>
        <w:trPr>
          <w:trHeight w:val="20"/>
        </w:trPr>
        <w:tc>
          <w:tcPr>
            <w:tcW w:w="7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REVENUE</w:t>
      </w:r>
    </w:p>
    <w:p>
      <w:pPr>
        <w:spacing w:after="0" w:line="162" w:lineRule="exact"/>
        <w:rPr>
          <w:sz w:val="20"/>
          <w:szCs w:val="20"/>
          <w:color w:val="auto"/>
        </w:rPr>
      </w:pPr>
    </w:p>
    <w:p>
      <w:pPr>
        <w:jc w:val="both"/>
        <w:ind w:right="660" w:firstLine="570"/>
        <w:spacing w:after="0" w:line="225" w:lineRule="auto"/>
        <w:rPr>
          <w:sz w:val="20"/>
          <w:szCs w:val="20"/>
          <w:color w:val="auto"/>
        </w:rPr>
      </w:pPr>
      <w:r>
        <w:rPr>
          <w:rFonts w:ascii="Arial" w:cs="Arial" w:eastAsia="Arial" w:hAnsi="Arial"/>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1"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Sales disaggregated based upon sales channel is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bottom w:val="single" w:sz="8" w:color="auto"/>
            </w:tcBorders>
          </w:tcPr>
          <w:p>
            <w:pPr>
              <w:spacing w:after="0"/>
              <w:rPr>
                <w:sz w:val="14"/>
                <w:szCs w:val="14"/>
                <w:color w:val="auto"/>
              </w:rPr>
            </w:pPr>
          </w:p>
        </w:tc>
      </w:tr>
      <w:tr>
        <w:trPr>
          <w:trHeight w:val="209"/>
        </w:trPr>
        <w:tc>
          <w:tcPr>
            <w:tcW w:w="68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2, 2021</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May 3, 2020</w:t>
            </w:r>
          </w:p>
        </w:tc>
      </w:tr>
      <w:tr>
        <w:trPr>
          <w:trHeight w:val="210"/>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Direct-to-consumer</w:t>
            </w:r>
          </w:p>
        </w:tc>
        <w:tc>
          <w:tcPr>
            <w:tcW w:w="1420" w:type="dxa"/>
            <w:vAlign w:val="bottom"/>
            <w:shd w:val="clear" w:color="auto" w:fill="CCEEFF"/>
          </w:tcPr>
          <w:p>
            <w:pPr>
              <w:jc w:val="right"/>
              <w:ind w:right="12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88,366</w:t>
            </w:r>
          </w:p>
        </w:tc>
        <w:tc>
          <w:tcPr>
            <w:tcW w:w="8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86,530</w:t>
            </w:r>
          </w:p>
        </w:tc>
      </w:tr>
      <w:tr>
        <w:trPr>
          <w:trHeight w:val="229"/>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Stores</w:t>
            </w: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45,053</w:t>
            </w: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23,387</w:t>
            </w:r>
          </w:p>
        </w:tc>
      </w:tr>
      <w:tr>
        <w:trPr>
          <w:trHeight w:val="196"/>
        </w:trPr>
        <w:tc>
          <w:tcPr>
            <w:tcW w:w="68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133,419</w:t>
            </w: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109,917</w:t>
            </w:r>
          </w:p>
        </w:tc>
      </w:tr>
      <w:tr>
        <w:trPr>
          <w:trHeight w:val="20"/>
        </w:trPr>
        <w:tc>
          <w:tcPr>
            <w:tcW w:w="6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58" w:lineRule="exact"/>
        <w:rPr>
          <w:sz w:val="20"/>
          <w:szCs w:val="20"/>
          <w:color w:val="auto"/>
        </w:rPr>
      </w:pPr>
    </w:p>
    <w:p>
      <w:pPr>
        <w:ind w:right="160" w:firstLine="492"/>
        <w:spacing w:after="0" w:line="242" w:lineRule="auto"/>
        <w:rPr>
          <w:sz w:val="20"/>
          <w:szCs w:val="20"/>
          <w:color w:val="auto"/>
        </w:rPr>
      </w:pPr>
      <w:r>
        <w:rPr>
          <w:rFonts w:ascii="Arial" w:cs="Arial" w:eastAsia="Arial" w:hAnsi="Arial"/>
          <w:sz w:val="17"/>
          <w:szCs w:val="17"/>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assets and liabilities on the Company’s consolidated balance sheets are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May 2, 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8,432</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9,788</w:t>
            </w:r>
          </w:p>
        </w:tc>
      </w:tr>
    </w:tbl>
    <w:p>
      <w:pPr>
        <w:spacing w:after="0" w:line="336" w:lineRule="exact"/>
        <w:rPr>
          <w:sz w:val="20"/>
          <w:szCs w:val="20"/>
          <w:color w:val="auto"/>
        </w:rPr>
      </w:pPr>
    </w:p>
    <w:p>
      <w:pPr>
        <w:ind w:right="120" w:firstLine="570"/>
        <w:spacing w:after="0" w:line="231" w:lineRule="auto"/>
        <w:rPr>
          <w:sz w:val="20"/>
          <w:szCs w:val="20"/>
          <w:color w:val="auto"/>
        </w:rPr>
      </w:pPr>
      <w:r>
        <w:rPr>
          <w:rFonts w:ascii="Arial" w:cs="Arial" w:eastAsia="Arial" w:hAnsi="Arial"/>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nine months ended: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2, 2021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May 3, 2020</w:t>
            </w:r>
          </w:p>
        </w:tc>
      </w:tr>
      <w:tr>
        <w:trPr>
          <w:trHeight w:val="210"/>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1480" w:type="dxa"/>
            <w:vAlign w:val="bottom"/>
            <w:shd w:val="clear" w:color="auto" w:fill="CCEEFF"/>
          </w:tcPr>
          <w:p>
            <w:pPr>
              <w:jc w:val="right"/>
              <w:ind w:right="13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Gift cards sold</w:t>
            </w:r>
          </w:p>
        </w:tc>
        <w:tc>
          <w:tcPr>
            <w:tcW w:w="1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Gift cards redeemed</w:t>
            </w:r>
          </w:p>
        </w:tc>
        <w:tc>
          <w:tcPr>
            <w:tcW w:w="14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Gift card breakage</w:t>
            </w:r>
          </w:p>
        </w:tc>
        <w:tc>
          <w:tcPr>
            <w:tcW w:w="14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end of period</w:t>
            </w:r>
          </w:p>
        </w:tc>
        <w:tc>
          <w:tcPr>
            <w:tcW w:w="1480" w:type="dxa"/>
            <w:vAlign w:val="bottom"/>
            <w:tcBorders>
              <w:top w:val="single" w:sz="8" w:color="auto"/>
              <w:bottom w:val="single" w:sz="8" w:color="auto"/>
            </w:tcBorders>
            <w:shd w:val="clear" w:color="auto" w:fill="CCEEFF"/>
          </w:tcPr>
          <w:p>
            <w:pPr>
              <w:jc w:val="right"/>
              <w:ind w:right="13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7,733</w:t>
            </w:r>
          </w:p>
        </w:tc>
      </w:tr>
      <w:tr>
        <w:trPr>
          <w:trHeight w:val="20"/>
        </w:trPr>
        <w:tc>
          <w:tcPr>
            <w:tcW w:w="6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jc w:val="both"/>
        <w:ind w:right="20" w:firstLine="428"/>
        <w:spacing w:after="0" w:line="253" w:lineRule="auto"/>
        <w:rPr>
          <w:sz w:val="20"/>
          <w:szCs w:val="20"/>
          <w:color w:val="auto"/>
        </w:rPr>
      </w:pPr>
      <w:r>
        <w:rPr>
          <w:rFonts w:ascii="Arial" w:cs="Arial" w:eastAsia="Arial" w:hAnsi="Arial"/>
          <w:sz w:val="16"/>
          <w:szCs w:val="16"/>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16% for the three months ended May 2, 2021, which was impacted by changes to certain discrete items during the quarter.</w:t>
      </w:r>
    </w:p>
    <w:p>
      <w:pPr>
        <w:spacing w:after="0" w:line="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Excluding these non-recurring discrete items, the effective tax rate related to controlling interest was 25% for both the three months ended May 2, 2021 and May 3, 2020. The income from TRI was excluded from the calculation of the Company’s effective tax rate, as TRI is a limited liability company and not subject to income taxes.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RECENT ACCOUNTING PRONOUNCEMENTS</w:t>
      </w:r>
    </w:p>
    <w:p>
      <w:pPr>
        <w:spacing w:after="0" w:line="162" w:lineRule="exact"/>
        <w:rPr>
          <w:sz w:val="20"/>
          <w:szCs w:val="20"/>
          <w:color w:val="auto"/>
        </w:rPr>
      </w:pPr>
    </w:p>
    <w:p>
      <w:pPr>
        <w:ind w:right="40" w:firstLine="648"/>
        <w:spacing w:after="0" w:line="237"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(“ASU 2016-13”), which amends the impairment model by requiring entities to use a forward-looking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Derivatives and Hedging (Topic 815, and Leases (Topic 842),” </w:t>
      </w:r>
      <w:r>
        <w:rPr>
          <w:rFonts w:ascii="Arial" w:cs="Arial" w:eastAsia="Arial" w:hAnsi="Arial"/>
          <w:sz w:val="17"/>
          <w:szCs w:val="17"/>
          <w:color w:val="auto"/>
        </w:rPr>
        <w:t>(ASU 2019-10”), which provides framework to stagger effective dates for future major</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expects to adopt ASU 2016-13 on January 30, 2023, the first day of the Company’s first quarter for the fiscal year ending January 28, 2024, the Company’s fiscal year 2023. The Company is evaluating the level of impact adopting ASU 2016-13 will have on the Company’s consolidated financial statements.</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6"/>
          <w:szCs w:val="16"/>
          <w:color w:val="auto"/>
        </w:rPr>
        <w:t>On May 14, 2021, the Company terminated the aforementioned Credit Agreement, dated as of May 17, 2018, as amended, and entered into a new credit agreement (the “New Credit Agreement”). The New Credit Agreement matures on May 14, 2026 and provides for borrowings of up to $150.0 million that are available under a revolving senior credit facility, with a $5.0 million sublimit for issuance of standby letters of credit, as well as a $10.0 million sublimit for swing line loans. At the Company’s option, the interest rate applicable to the Revolver will be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New Credit Agreement is secured by essentially all Company assets and requires the Company to maintain compliance with certain financial and non-financial covenants, including a maximum rent adjusted leverage ratio and a minimum fixed charge coverage ratio as defined in the New Credit Agreement.</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87" w:right="4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right="2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31, 2021 (“2020 Form 10-K”).</w:t>
      </w:r>
    </w:p>
    <w:p>
      <w:pPr>
        <w:spacing w:after="0" w:line="156" w:lineRule="exact"/>
        <w:rPr>
          <w:sz w:val="20"/>
          <w:szCs w:val="20"/>
          <w:color w:val="auto"/>
        </w:rPr>
      </w:pPr>
    </w:p>
    <w:p>
      <w:pPr>
        <w:ind w:right="280" w:firstLine="428"/>
        <w:spacing w:after="0" w:line="290" w:lineRule="auto"/>
        <w:rPr>
          <w:sz w:val="20"/>
          <w:szCs w:val="20"/>
          <w:color w:val="auto"/>
        </w:rPr>
      </w:pPr>
      <w:r>
        <w:rPr>
          <w:rFonts w:ascii="Arial" w:cs="Arial" w:eastAsia="Arial" w:hAnsi="Arial"/>
          <w:sz w:val="13"/>
          <w:szCs w:val="13"/>
          <w:i w:val="1"/>
          <w:iCs w:val="1"/>
          <w:color w:val="auto"/>
        </w:rPr>
        <w:t>The Company’s fiscal year ends on the Sunday nearest to January 31 of the following year. Fiscal 2021 is a 52-week period and ends on January 30, 2022. Fiscal 2020 was a 52-week period and ended on January 31, 2021. The three months of fiscal 2021 and fiscal 2020 represent our 13 week periods ended May 2, 2021 and May 3, 2020, respectively.</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28"/>
        <w:spacing w:after="0" w:line="249"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are forward-looking statements. All forward-looking statements are subject to risks and uncertainties, including the risks and uncertainties described under Part I, Item 1A “Risk Factors,” in our 2020 Form 10-K, Part II, and other SEC filings, which factors are incorporated by reference herein. These risks and uncertainties include, but are not limited to, the following: the prolonged effects of the COVID-19 on store traffic and disruptions to our distribution network, supply chains and operations; our ability to maintain and enhance a strong brand and sub-brand image; effectively adapting to new challenges associated with our expansion into new geographic markets; generating adequate cash from our existing stores to support our growth;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in global market constraints;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disclosed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28" w:lineRule="exact"/>
        <w:rPr>
          <w:sz w:val="20"/>
          <w:szCs w:val="20"/>
          <w:color w:val="auto"/>
        </w:rPr>
      </w:pPr>
    </w:p>
    <w:p>
      <w:pPr>
        <w:ind w:right="1180" w:firstLine="428"/>
        <w:spacing w:after="0" w:line="430" w:lineRule="auto"/>
        <w:rPr>
          <w:sz w:val="20"/>
          <w:szCs w:val="20"/>
          <w:color w:val="auto"/>
        </w:rPr>
      </w:pPr>
      <w:r>
        <w:rPr>
          <w:rFonts w:ascii="Arial" w:cs="Arial" w:eastAsia="Arial" w:hAnsi="Arial"/>
          <w:sz w:val="18"/>
          <w:szCs w:val="18"/>
          <w:color w:val="auto"/>
        </w:rPr>
        <w:t xml:space="preserve">We undertake no obligation to update or revise these forward-looking statements, except as required under the federal securities laws.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160" w:firstLine="428"/>
        <w:spacing w:after="0" w:line="253" w:lineRule="auto"/>
        <w:rPr>
          <w:sz w:val="20"/>
          <w:szCs w:val="20"/>
          <w:color w:val="auto"/>
        </w:rPr>
      </w:pPr>
      <w:r>
        <w:rPr>
          <w:rFonts w:ascii="Arial" w:cs="Arial" w:eastAsia="Arial" w:hAnsi="Arial"/>
          <w:sz w:val="17"/>
          <w:szCs w:val="17"/>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May 2, 2021, we operated 61 retail stores and three outlet stores.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offer a comprehensive line of innovative, durable and functional products, such as our Longtail 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shirts, Buck Naked</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underwear, Fire Hose</w:t>
      </w:r>
      <w:r>
        <w:rPr>
          <w:rFonts w:ascii="Arial" w:cs="Arial" w:eastAsia="Arial" w:hAnsi="Arial"/>
          <w:sz w:val="20"/>
          <w:szCs w:val="20"/>
          <w:color w:val="auto"/>
          <w:vertAlign w:val="superscript"/>
        </w:rPr>
        <w:t>®</w:t>
      </w:r>
    </w:p>
    <w:p>
      <w:pPr>
        <w:spacing w:after="0" w:line="15" w:lineRule="exact"/>
        <w:rPr>
          <w:sz w:val="20"/>
          <w:szCs w:val="20"/>
          <w:color w:val="auto"/>
        </w:rPr>
      </w:pPr>
    </w:p>
    <w:p>
      <w:pPr>
        <w:ind w:right="220"/>
        <w:spacing w:after="0" w:line="205" w:lineRule="auto"/>
        <w:rPr>
          <w:sz w:val="20"/>
          <w:szCs w:val="20"/>
          <w:color w:val="auto"/>
        </w:rPr>
      </w:pPr>
      <w:r>
        <w:rPr>
          <w:rFonts w:ascii="Arial" w:cs="Arial" w:eastAsia="Arial" w:hAnsi="Arial"/>
          <w:sz w:val="18"/>
          <w:szCs w:val="18"/>
          <w:color w:val="auto"/>
        </w:rPr>
        <w:t>work pants, and No-Yank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firstLine="428"/>
        <w:spacing w:after="0" w:line="231" w:lineRule="auto"/>
        <w:rPr>
          <w:sz w:val="20"/>
          <w:szCs w:val="20"/>
          <w:color w:val="auto"/>
        </w:rPr>
      </w:pPr>
      <w:r>
        <w:rPr>
          <w:rFonts w:ascii="Arial" w:cs="Arial" w:eastAsia="Arial" w:hAnsi="Arial"/>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sales in fiscal 2021 first quarter increased by 21.4% over the prior year first quarter to $133.4 million;</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income of $0.5 million in fiscal 2021 first quarter compared to the prior year first quarter net loss of $(15.2) million;</w:t>
      </w:r>
    </w:p>
    <w:p>
      <w:pPr>
        <w:spacing w:after="0" w:line="77" w:lineRule="exact"/>
        <w:rPr>
          <w:sz w:val="20"/>
          <w:szCs w:val="20"/>
          <w:color w:val="auto"/>
        </w:rPr>
      </w:pPr>
    </w:p>
    <w:p>
      <w:pPr>
        <w:ind w:left="880" w:right="140"/>
        <w:spacing w:after="0" w:line="261" w:lineRule="auto"/>
        <w:rPr>
          <w:sz w:val="20"/>
          <w:szCs w:val="20"/>
          <w:color w:val="auto"/>
        </w:rPr>
      </w:pPr>
      <w:r>
        <w:rPr>
          <w:rFonts w:ascii="Arial" w:cs="Arial" w:eastAsia="Arial" w:hAnsi="Arial"/>
          <w:sz w:val="18"/>
          <w:szCs w:val="18"/>
          <w:color w:val="auto"/>
        </w:rPr>
        <w:t>Adjusted EBITDA increased to $10.1 million in fiscal 2021 first quarter compared to the prior year first quarter Adjusted EBITDA of $(11.6) million;</w:t>
      </w:r>
    </w:p>
    <w:p>
      <w:pPr>
        <w:spacing w:after="0" w:line="130" w:lineRule="exact"/>
        <w:rPr>
          <w:sz w:val="20"/>
          <w:szCs w:val="20"/>
          <w:color w:val="auto"/>
        </w:rPr>
      </w:pPr>
    </w:p>
    <w:p>
      <w:pPr>
        <w:ind w:right="40" w:firstLine="402"/>
        <w:spacing w:after="0" w:line="235" w:lineRule="auto"/>
        <w:rPr>
          <w:sz w:val="20"/>
          <w:szCs w:val="20"/>
          <w:color w:val="auto"/>
        </w:rPr>
      </w:pPr>
      <w:r>
        <w:rPr>
          <w:rFonts w:ascii="Arial" w:cs="Arial" w:eastAsia="Arial" w:hAnsi="Arial"/>
          <w:sz w:val="18"/>
          <w:szCs w:val="18"/>
          <w:color w:val="auto"/>
        </w:rPr>
        <w:t>See “Reconciliation of Net Income (Loss) to EBITDA and EBITDA to Adjusted EBITDA” section for a reconciliation of our net income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34" w:lineRule="exact"/>
        <w:rPr>
          <w:sz w:val="20"/>
          <w:szCs w:val="20"/>
          <w:color w:val="auto"/>
        </w:rPr>
      </w:pPr>
    </w:p>
    <w:p>
      <w:pPr>
        <w:ind w:right="320" w:firstLine="428"/>
        <w:spacing w:after="0" w:line="235" w:lineRule="auto"/>
        <w:rPr>
          <w:sz w:val="20"/>
          <w:szCs w:val="20"/>
          <w:color w:val="auto"/>
        </w:rPr>
      </w:pPr>
      <w:r>
        <w:rPr>
          <w:rFonts w:ascii="Arial" w:cs="Arial" w:eastAsia="Arial" w:hAnsi="Arial"/>
          <w:sz w:val="18"/>
          <w:szCs w:val="18"/>
          <w:color w:val="auto"/>
        </w:rPr>
        <w:t>With an emphasis on profitable growth we are pursuing several strategies, including evolving into a portfolio of distinct brands within the Duluth Trading ecosystem, growing sales in existing store and non-store markets, strengthening the core Men’s Duluth sub-brand and growing our Women’s Duluth sub-brand.</w:t>
      </w:r>
    </w:p>
    <w:p>
      <w:pPr>
        <w:spacing w:after="0" w:line="134" w:lineRule="exact"/>
        <w:rPr>
          <w:sz w:val="20"/>
          <w:szCs w:val="20"/>
          <w:color w:val="auto"/>
        </w:rPr>
      </w:pPr>
    </w:p>
    <w:p>
      <w:pPr>
        <w:jc w:val="both"/>
        <w:ind w:right="80" w:firstLine="428"/>
        <w:spacing w:after="0" w:line="235" w:lineRule="auto"/>
        <w:rPr>
          <w:sz w:val="20"/>
          <w:szCs w:val="20"/>
          <w:color w:val="auto"/>
        </w:rPr>
      </w:pPr>
      <w:r>
        <w:rPr>
          <w:rFonts w:ascii="Arial" w:cs="Arial" w:eastAsia="Arial" w:hAnsi="Arial"/>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right="100" w:firstLine="492"/>
        <w:spacing w:after="0" w:line="235" w:lineRule="auto"/>
        <w:rPr>
          <w:sz w:val="20"/>
          <w:szCs w:val="20"/>
          <w:color w:val="auto"/>
        </w:rPr>
      </w:pPr>
      <w:r>
        <w:rPr>
          <w:rFonts w:ascii="Arial" w:cs="Arial" w:eastAsia="Arial" w:hAnsi="Arial"/>
          <w:sz w:val="18"/>
          <w:szCs w:val="18"/>
          <w:color w:val="auto"/>
        </w:rPr>
        <w:t>In March 2020, a novel strain of coronavirus (“COVID-19”)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w:t>
      </w:r>
    </w:p>
    <w:p>
      <w:pPr>
        <w:spacing w:after="0" w:line="134" w:lineRule="exact"/>
        <w:rPr>
          <w:sz w:val="20"/>
          <w:szCs w:val="20"/>
          <w:color w:val="auto"/>
        </w:rPr>
      </w:pPr>
    </w:p>
    <w:p>
      <w:pPr>
        <w:ind w:right="60" w:firstLine="492"/>
        <w:spacing w:after="0" w:line="246" w:lineRule="auto"/>
        <w:rPr>
          <w:sz w:val="20"/>
          <w:szCs w:val="20"/>
          <w:color w:val="auto"/>
        </w:rPr>
      </w:pPr>
      <w:r>
        <w:rPr>
          <w:rFonts w:ascii="Arial" w:cs="Arial" w:eastAsia="Arial" w:hAnsi="Arial"/>
          <w:sz w:val="17"/>
          <w:szCs w:val="17"/>
          <w:color w:val="auto"/>
        </w:rPr>
        <w:t>The ultimate impact of COVID-19 on our operational and financial performance still depends on future developments outside of our control, including the duration and spread of the pandemic and related actions taken by federal, state and local government officials, and international governments to prevent disease spread. Given the uncertainty, we cannot reasonably estimate store traffic patterns and the prolonged impact on overall consumer demand. We continue to actively evaluate all federal, state and local regulations to ensure compliance with store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assessing the performance of our business, we consider a variety of financial and operating measures that affect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71" w:lineRule="exact"/>
        <w:rPr>
          <w:sz w:val="20"/>
          <w:szCs w:val="20"/>
          <w:color w:val="auto"/>
        </w:rPr>
      </w:pPr>
    </w:p>
    <w:p>
      <w:pPr>
        <w:jc w:val="both"/>
        <w:ind w:right="380" w:firstLine="428"/>
        <w:spacing w:after="0" w:line="235"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 We also use net sales as one of the key financial metrics in determining our annual bonus compensation for our employees.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firstLine="428"/>
        <w:spacing w:after="0" w:line="234" w:lineRule="auto"/>
        <w:rPr>
          <w:sz w:val="20"/>
          <w:szCs w:val="20"/>
          <w:color w:val="auto"/>
        </w:rPr>
      </w:pPr>
      <w:r>
        <w:rPr>
          <w:rFonts w:ascii="Arial" w:cs="Arial" w:eastAsia="Arial" w:hAnsi="Arial"/>
          <w:sz w:val="17"/>
          <w:szCs w:val="17"/>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sales through our direct-to-consumer sales channel relative to our total net sales, shipping and handling revenue has had a significant impact on our gross profit and gross profit margin. Historically, this revenue has partially offset shipping and handling expense included in selling, general and administrative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20" w:firstLine="428"/>
        <w:spacing w:after="0" w:line="227"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8" w:lineRule="exact"/>
        <w:rPr>
          <w:sz w:val="20"/>
          <w:szCs w:val="20"/>
          <w:color w:val="auto"/>
        </w:rPr>
      </w:pPr>
    </w:p>
    <w:p>
      <w:pPr>
        <w:ind w:firstLine="428"/>
        <w:spacing w:after="0" w:line="231" w:lineRule="auto"/>
        <w:rPr>
          <w:sz w:val="20"/>
          <w:szCs w:val="20"/>
          <w:color w:val="auto"/>
        </w:rPr>
      </w:pPr>
      <w:r>
        <w:rPr>
          <w:rFonts w:ascii="Arial" w:cs="Arial" w:eastAsia="Arial" w:hAnsi="Arial"/>
          <w:sz w:val="18"/>
          <w:szCs w:val="18"/>
          <w:color w:val="auto"/>
        </w:rPr>
        <w:t>Our historical sales growth has been accompanied by increased selling, general and administrative expenses. The most significant components of these increases are advertising, marketing, rent/occupancy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ind w:right="120" w:firstLine="428"/>
        <w:spacing w:after="0" w:line="246" w:lineRule="auto"/>
        <w:rPr>
          <w:sz w:val="20"/>
          <w:szCs w:val="20"/>
          <w:color w:val="auto"/>
        </w:rPr>
      </w:pPr>
      <w:r>
        <w:rPr>
          <w:rFonts w:ascii="Arial" w:cs="Arial" w:eastAsia="Arial" w:hAnsi="Arial"/>
          <w:sz w:val="17"/>
          <w:szCs w:val="17"/>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40" w:firstLine="428"/>
        <w:spacing w:after="0" w:line="231" w:lineRule="auto"/>
        <w:rPr>
          <w:sz w:val="20"/>
          <w:szCs w:val="20"/>
          <w:color w:val="auto"/>
        </w:rPr>
      </w:pPr>
      <w:r>
        <w:rPr>
          <w:rFonts w:ascii="Arial" w:cs="Arial" w:eastAsia="Arial" w:hAnsi="Arial"/>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This non-GAAP measure may not be comparable to similarly titled measures used by other companies.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unaudited consolidated results of operations for the periods indicated, both in dollars and as a percentage of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May 2, 2021</w:t>
            </w: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5"/>
              </w:rPr>
              <w:t>May 3, 2020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133,419</w:t>
            </w:r>
          </w:p>
        </w:tc>
        <w:tc>
          <w:tcPr>
            <w:tcW w:w="74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900" w:type="dxa"/>
            <w:vAlign w:val="bottom"/>
          </w:tcPr>
          <w:p>
            <w:pPr>
              <w:spacing w:after="0"/>
              <w:rPr>
                <w:sz w:val="20"/>
                <w:szCs w:val="20"/>
                <w:color w:val="auto"/>
              </w:rPr>
            </w:pPr>
            <w:r>
              <w:rPr>
                <w:rFonts w:ascii="Arial" w:cs="Arial" w:eastAsia="Arial" w:hAnsi="Arial"/>
                <w:sz w:val="18"/>
                <w:szCs w:val="18"/>
                <w:color w:val="auto"/>
              </w:rPr>
              <w:t>Cost of goods sold (excluding depreciation</w:t>
            </w: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and amortization)</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66,876</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57,585</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66,543</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64,648</w:t>
            </w: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71,306</w:t>
            </w:r>
          </w:p>
        </w:tc>
        <w:tc>
          <w:tcPr>
            <w:tcW w:w="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(20,265)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(15,179)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9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 (loss) attributable to controlling interest</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w:t>
            </w:r>
          </w:p>
        </w:tc>
        <w:tc>
          <w:tcPr>
            <w:tcW w:w="1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(15,135)</w:t>
            </w:r>
          </w:p>
        </w:tc>
        <w:tc>
          <w:tcPr>
            <w:tcW w:w="3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9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Percentage of Net sales:</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(excluding depreciation</w:t>
            </w:r>
          </w:p>
        </w:tc>
        <w:tc>
          <w:tcPr>
            <w:tcW w:w="3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8"/>
                <w:szCs w:val="18"/>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controlling interest</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320" w:type="dxa"/>
            <w:vAlign w:val="bottom"/>
            <w:tcBorders>
              <w:top w:val="single" w:sz="8" w:color="CCEEFF"/>
              <w:bottom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4900"/>
        <w:spacing w:after="0" w:line="432" w:lineRule="auto"/>
        <w:rPr>
          <w:sz w:val="20"/>
          <w:szCs w:val="20"/>
          <w:color w:val="auto"/>
        </w:rPr>
      </w:pPr>
      <w:r>
        <w:rPr>
          <w:rFonts w:ascii="Arial" w:cs="Arial" w:eastAsia="Arial" w:hAnsi="Arial"/>
          <w:sz w:val="18"/>
          <w:szCs w:val="18"/>
          <w:b w:val="1"/>
          <w:bCs w:val="1"/>
          <w:color w:val="auto"/>
        </w:rPr>
        <w:t xml:space="preserve">Three Months Ended May 2, 2021 Compared to Three Months Ended May 3, 2020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560" w:firstLine="428"/>
        <w:spacing w:after="0" w:line="246" w:lineRule="auto"/>
        <w:rPr>
          <w:sz w:val="20"/>
          <w:szCs w:val="20"/>
          <w:color w:val="auto"/>
        </w:rPr>
      </w:pPr>
      <w:r>
        <w:rPr>
          <w:rFonts w:ascii="Arial" w:cs="Arial" w:eastAsia="Arial" w:hAnsi="Arial"/>
          <w:sz w:val="18"/>
          <w:szCs w:val="18"/>
          <w:color w:val="auto"/>
        </w:rPr>
        <w:t>Net sales increased $23.5 million, or 21.4%, to $133.4 million in the three months ended May 2, 2021 compared to $109.9 million in the three months ended May 3, 2020. The increase was due to increases in both non-store and store market sales.</w:t>
      </w:r>
    </w:p>
    <w:p>
      <w:pPr>
        <w:spacing w:after="0" w:line="129" w:lineRule="exact"/>
        <w:rPr>
          <w:sz w:val="20"/>
          <w:szCs w:val="20"/>
          <w:color w:val="auto"/>
        </w:rPr>
      </w:pPr>
    </w:p>
    <w:p>
      <w:pPr>
        <w:ind w:firstLine="428"/>
        <w:spacing w:after="0" w:line="246" w:lineRule="auto"/>
        <w:rPr>
          <w:sz w:val="20"/>
          <w:szCs w:val="20"/>
          <w:color w:val="auto"/>
        </w:rPr>
      </w:pPr>
      <w:r>
        <w:rPr>
          <w:rFonts w:ascii="Arial" w:cs="Arial" w:eastAsia="Arial" w:hAnsi="Arial"/>
          <w:sz w:val="17"/>
          <w:szCs w:val="17"/>
          <w:color w:val="auto"/>
        </w:rPr>
        <w:t>Store market sales increased $22.5 million, or 33.3%, to $89.9 million in the three months ended May 2, 2021 compared to $67.4 million in the three months ended May 3, 2020. The year-over-year sales difference was driven by temporary store closures in fiscal 2020 beginning on March 20, 2020 through May 3, 2020, as well as growth in online sales from both existing customers and new buyers. Non-store market sales increased $0.8 million, or 2%, to $42.0 million in the three months ended May 2, 2021 compared to $41.2 million in the three months ended May 3, 2020.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Gross profit increased $14.2 million, or 27.2%, to $66.5 million in the three months ended May 2, 2021 compared to $52.3 million in the three months ended May 3, 2020. As a percentage of net sales, gross margin increased to 49.9% of net sales in the three months ended May 2, 2021, compared to 47.6% of net sales in the three months ended May 3, 2020. The increase in gross margin rate was driven a higher mix of full price sales as well as improved gross margin rates on both full price and clearance items.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20" w:firstLine="428"/>
        <w:spacing w:after="0" w:line="231" w:lineRule="auto"/>
        <w:rPr>
          <w:sz w:val="20"/>
          <w:szCs w:val="20"/>
          <w:color w:val="auto"/>
        </w:rPr>
      </w:pPr>
      <w:r>
        <w:rPr>
          <w:rFonts w:ascii="Arial" w:cs="Arial" w:eastAsia="Arial" w:hAnsi="Arial"/>
          <w:sz w:val="18"/>
          <w:szCs w:val="18"/>
          <w:color w:val="auto"/>
        </w:rPr>
        <w:t>Selling, general and administrative expenses decreased $6.7 million, or 9.3%, to $64.6 million in the three months ended May 2, 2021 compared to $71.3 million in the three months ended May 3, 2020. Selling, general and administrative expenses as a percentage of net sales decreased to 48.5% in the three months ended May 2, 2021, compared to 64.9% in the three months ended May 3, 2020. The positive leverage was primarily due to shifting to a more efficient digital marketing approach as customer purchasing patterns migrated to online.</w:t>
      </w:r>
    </w:p>
    <w:p>
      <w:pPr>
        <w:spacing w:after="0" w:line="135" w:lineRule="exact"/>
        <w:rPr>
          <w:sz w:val="20"/>
          <w:szCs w:val="20"/>
          <w:color w:val="auto"/>
        </w:rPr>
      </w:pPr>
    </w:p>
    <w:p>
      <w:pPr>
        <w:ind w:right="60" w:firstLine="428"/>
        <w:spacing w:after="0" w:line="253" w:lineRule="auto"/>
        <w:rPr>
          <w:sz w:val="20"/>
          <w:szCs w:val="20"/>
          <w:color w:val="auto"/>
        </w:rPr>
      </w:pPr>
      <w:r>
        <w:rPr>
          <w:rFonts w:ascii="Arial" w:cs="Arial" w:eastAsia="Arial" w:hAnsi="Arial"/>
          <w:sz w:val="17"/>
          <w:szCs w:val="17"/>
          <w:color w:val="auto"/>
        </w:rPr>
        <w:t>The decrease in selling, general and administrative expense was primarily due to decreased traditional advertising, reduced digital prospecting spend, the elimination of third-party logistics, and $1.6 million of non-recurring COVID-19 related expenses during the first quarter of the prior fiscal year. The decrease was partially offset by increased wages due to Company retail locations being open for the full fiscal quarter.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60" w:firstLine="428"/>
        <w:spacing w:after="0" w:line="231" w:lineRule="auto"/>
        <w:rPr>
          <w:sz w:val="20"/>
          <w:szCs w:val="20"/>
          <w:color w:val="auto"/>
        </w:rPr>
      </w:pPr>
      <w:r>
        <w:rPr>
          <w:rFonts w:ascii="Arial" w:cs="Arial" w:eastAsia="Arial" w:hAnsi="Arial"/>
          <w:sz w:val="18"/>
          <w:szCs w:val="18"/>
          <w:color w:val="auto"/>
        </w:rPr>
        <w:t>Income tax expense was $0.1 million in the three months ended May 2, 2021, compared to an income tax benefit of $5.1 million in the three months ended May 3, 2020. The effective tax rate related to controlling interest was 16% for the three months ended May 2, 2021, which was impacted by changes to certain discrete items during the quarter. Excluding these non-recurring discrete items, the effective tax rate related to controlling interest was 25% for both the three months ended May 2, 2021 and May 3,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Controlling Interest</w:t>
      </w:r>
    </w:p>
    <w:p>
      <w:pPr>
        <w:spacing w:after="0" w:line="171" w:lineRule="exact"/>
        <w:rPr>
          <w:sz w:val="20"/>
          <w:szCs w:val="20"/>
          <w:color w:val="auto"/>
        </w:rPr>
      </w:pPr>
    </w:p>
    <w:p>
      <w:pPr>
        <w:ind w:right="180" w:firstLine="428"/>
        <w:spacing w:after="0" w:line="246" w:lineRule="auto"/>
        <w:rPr>
          <w:sz w:val="20"/>
          <w:szCs w:val="20"/>
          <w:color w:val="auto"/>
        </w:rPr>
      </w:pPr>
      <w:r>
        <w:rPr>
          <w:rFonts w:ascii="Arial" w:cs="Arial" w:eastAsia="Arial" w:hAnsi="Arial"/>
          <w:sz w:val="18"/>
          <w:szCs w:val="18"/>
          <w:color w:val="auto"/>
        </w:rPr>
        <w:t>Net income attributable to controlling interest was $0.5 million, in the three months ended May 2, 2021 compared to a net loss of $(15.1) million in the three months ended May 3, 2020, due to the factors discussed above.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(Loss) to EBITDA and EBITDA to Adjusted EBITDA</w:t>
      </w:r>
    </w:p>
    <w:p>
      <w:pPr>
        <w:spacing w:after="0" w:line="162" w:lineRule="exact"/>
        <w:rPr>
          <w:sz w:val="20"/>
          <w:szCs w:val="20"/>
          <w:color w:val="auto"/>
        </w:rPr>
      </w:pPr>
    </w:p>
    <w:p>
      <w:pPr>
        <w:jc w:val="both"/>
        <w:ind w:right="100" w:firstLine="428"/>
        <w:spacing w:after="0" w:line="235" w:lineRule="auto"/>
        <w:rPr>
          <w:sz w:val="20"/>
          <w:szCs w:val="20"/>
          <w:color w:val="auto"/>
        </w:rPr>
      </w:pPr>
      <w:r>
        <w:rPr>
          <w:rFonts w:ascii="Arial" w:cs="Arial" w:eastAsia="Arial" w:hAnsi="Arial"/>
          <w:sz w:val="18"/>
          <w:szCs w:val="18"/>
          <w:color w:val="auto"/>
        </w:rPr>
        <w:t>The following table presents reconciliations of net income (loss)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4"/>
                <w:szCs w:val="14"/>
                <w:color w:val="auto"/>
              </w:rPr>
            </w:pPr>
          </w:p>
        </w:tc>
      </w:tr>
      <w:tr>
        <w:trPr>
          <w:trHeight w:val="196"/>
        </w:trPr>
        <w:tc>
          <w:tcPr>
            <w:tcW w:w="66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2, 2021</w:t>
            </w: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May 3, 2020</w:t>
            </w:r>
          </w:p>
        </w:tc>
      </w:tr>
      <w:tr>
        <w:trPr>
          <w:trHeight w:val="196"/>
        </w:trPr>
        <w:tc>
          <w:tcPr>
            <w:tcW w:w="66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20" w:type="dxa"/>
            <w:vAlign w:val="bottom"/>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w:t>
            </w: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7,274</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6,689</w:t>
            </w: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internal-use software hosting</w:t>
            </w:r>
          </w:p>
        </w:tc>
        <w:tc>
          <w:tcPr>
            <w:tcW w:w="1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6680" w:type="dxa"/>
            <w:vAlign w:val="bottom"/>
          </w:tcPr>
          <w:p>
            <w:pPr>
              <w:ind w:left="240"/>
              <w:spacing w:after="0"/>
              <w:rPr>
                <w:sz w:val="20"/>
                <w:szCs w:val="20"/>
                <w:color w:val="auto"/>
              </w:rPr>
            </w:pPr>
            <w:r>
              <w:rPr>
                <w:rFonts w:ascii="Arial" w:cs="Arial" w:eastAsia="Arial" w:hAnsi="Arial"/>
                <w:sz w:val="18"/>
                <w:szCs w:val="18"/>
                <w:color w:val="auto"/>
              </w:rPr>
              <w:t>subscription implementation costs</w:t>
            </w:r>
          </w:p>
        </w:tc>
        <w:tc>
          <w:tcPr>
            <w:tcW w:w="1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42"/>
        </w:trPr>
        <w:tc>
          <w:tcPr>
            <w:tcW w:w="6680" w:type="dxa"/>
            <w:vAlign w:val="bottom"/>
          </w:tcPr>
          <w:p>
            <w:pPr>
              <w:ind w:left="120"/>
              <w:spacing w:after="0"/>
              <w:rPr>
                <w:sz w:val="20"/>
                <w:szCs w:val="20"/>
                <w:color w:val="auto"/>
              </w:rPr>
            </w:pPr>
            <w:r>
              <w:rPr>
                <w:rFonts w:ascii="Arial" w:cs="Arial" w:eastAsia="Arial" w:hAnsi="Arial"/>
                <w:sz w:val="18"/>
                <w:szCs w:val="18"/>
                <w:color w:val="auto"/>
              </w:rPr>
              <w:t>Amortization of build-to-suit operating leases</w:t>
            </w:r>
          </w:p>
        </w:tc>
        <w:tc>
          <w:tcPr>
            <w:tcW w:w="1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7"/>
        </w:trPr>
        <w:tc>
          <w:tcPr>
            <w:tcW w:w="6680" w:type="dxa"/>
            <w:vAlign w:val="bottom"/>
          </w:tcPr>
          <w:p>
            <w:pPr>
              <w:ind w:left="120"/>
              <w:spacing w:after="0"/>
              <w:rPr>
                <w:sz w:val="20"/>
                <w:szCs w:val="20"/>
                <w:color w:val="auto"/>
              </w:rPr>
            </w:pPr>
            <w:r>
              <w:rPr>
                <w:rFonts w:ascii="Arial" w:cs="Arial" w:eastAsia="Arial" w:hAnsi="Arial"/>
                <w:sz w:val="18"/>
                <w:szCs w:val="18"/>
                <w:color w:val="auto"/>
              </w:rPr>
              <w:t>capital contribution</w:t>
            </w:r>
          </w:p>
        </w:tc>
        <w:tc>
          <w:tcPr>
            <w:tcW w:w="1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15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r>
      <w:tr>
        <w:trPr>
          <w:trHeight w:val="196"/>
        </w:trPr>
        <w:tc>
          <w:tcPr>
            <w:tcW w:w="6680" w:type="dxa"/>
            <w:vAlign w:val="bottom"/>
          </w:tcPr>
          <w:p>
            <w:pPr>
              <w:spacing w:after="0" w:line="196" w:lineRule="exact"/>
              <w:rPr>
                <w:sz w:val="20"/>
                <w:szCs w:val="20"/>
                <w:color w:val="auto"/>
              </w:rPr>
            </w:pPr>
            <w:r>
              <w:rPr>
                <w:rFonts w:ascii="Arial" w:cs="Arial" w:eastAsia="Arial" w:hAnsi="Arial"/>
                <w:sz w:val="18"/>
                <w:szCs w:val="18"/>
                <w:color w:val="auto"/>
              </w:rPr>
              <w:t>EBITDA</w:t>
            </w:r>
          </w:p>
        </w:tc>
        <w:tc>
          <w:tcPr>
            <w:tcW w:w="1520" w:type="dxa"/>
            <w:vAlign w:val="bottom"/>
          </w:tcPr>
          <w:p>
            <w:pPr>
              <w:jc w:val="right"/>
              <w:ind w:right="136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9,753</w:t>
            </w:r>
          </w:p>
        </w:tc>
        <w:tc>
          <w:tcPr>
            <w:tcW w:w="240" w:type="dxa"/>
            <w:vAlign w:val="bottom"/>
          </w:tcPr>
          <w:p>
            <w:pPr>
              <w:spacing w:after="0"/>
              <w:rPr>
                <w:sz w:val="17"/>
                <w:szCs w:val="17"/>
                <w:color w:val="auto"/>
              </w:rPr>
            </w:pPr>
          </w:p>
        </w:tc>
        <w:tc>
          <w:tcPr>
            <w:tcW w:w="620" w:type="dxa"/>
            <w:vAlign w:val="bottom"/>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(12,027)</w:t>
            </w: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based compensation</w:t>
            </w:r>
          </w:p>
        </w:tc>
        <w:tc>
          <w:tcPr>
            <w:tcW w:w="15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183"/>
        </w:trPr>
        <w:tc>
          <w:tcPr>
            <w:tcW w:w="668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520" w:type="dxa"/>
            <w:vAlign w:val="bottom"/>
            <w:tcBorders>
              <w:bottom w:val="single" w:sz="8" w:color="auto"/>
            </w:tcBorders>
          </w:tcPr>
          <w:p>
            <w:pPr>
              <w:jc w:val="right"/>
              <w:ind w:right="13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10,124</w:t>
            </w: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ind w:right="43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(11,564)</w:t>
            </w:r>
          </w:p>
        </w:tc>
      </w:tr>
      <w:tr>
        <w:trPr>
          <w:trHeight w:val="20"/>
        </w:trPr>
        <w:tc>
          <w:tcPr>
            <w:tcW w:w="6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428"/>
        <w:spacing w:after="0" w:line="253" w:lineRule="auto"/>
        <w:rPr>
          <w:sz w:val="20"/>
          <w:szCs w:val="20"/>
          <w:color w:val="auto"/>
        </w:rPr>
      </w:pPr>
      <w:r>
        <w:rPr>
          <w:rFonts w:ascii="Arial" w:cs="Arial" w:eastAsia="Arial" w:hAnsi="Arial"/>
          <w:sz w:val="16"/>
          <w:szCs w:val="16"/>
          <w:color w:val="auto"/>
        </w:rPr>
        <w:t>As a result of the factors discussed above in the “Results of Operations” section, Adjusted EBITDA increased $20.7 million to $10.1 million in the three months ended May 2, 2021 compared to $(11.6) million in the three months ended May 3, 2020. As a percentage of net sales, Adjusted EBITDA increased to 7.6% of net sales in the three months ended May 2, 2021 compared to (10.5)% of net sales in the three months ended May 3,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140" w:firstLine="428"/>
        <w:spacing w:after="0" w:line="231" w:lineRule="auto"/>
        <w:rPr>
          <w:sz w:val="20"/>
          <w:szCs w:val="20"/>
          <w:color w:val="auto"/>
        </w:rPr>
      </w:pPr>
      <w:r>
        <w:rPr>
          <w:rFonts w:ascii="Arial" w:cs="Arial" w:eastAsia="Arial" w:hAnsi="Arial"/>
          <w:sz w:val="18"/>
          <w:szCs w:val="18"/>
          <w:color w:val="auto"/>
        </w:rPr>
        <w:t>Our business relies on cash from operating activities and a credit facility as our primary sources of liquidity. Our primary cash needs have been for inventory, marketing and advertising, payroll, store leases, capital expenditures associated with infrastructure, information technology, and opening new stores. The most significant components of our working capital are cash, inventory, accounts payable and other current liabilities. At May 2, 2021, our net working capital was $73.5 million, including $26.1 million of cash and cash equivalents.</w:t>
      </w:r>
    </w:p>
    <w:p>
      <w:pPr>
        <w:spacing w:after="0" w:line="135" w:lineRule="exact"/>
        <w:rPr>
          <w:sz w:val="20"/>
          <w:szCs w:val="20"/>
          <w:color w:val="auto"/>
        </w:rPr>
      </w:pPr>
    </w:p>
    <w:p>
      <w:pPr>
        <w:ind w:right="100" w:firstLine="428"/>
        <w:spacing w:after="0" w:line="246" w:lineRule="auto"/>
        <w:rPr>
          <w:sz w:val="20"/>
          <w:szCs w:val="20"/>
          <w:color w:val="auto"/>
        </w:rPr>
      </w:pPr>
      <w:r>
        <w:rPr>
          <w:rFonts w:ascii="Arial" w:cs="Arial" w:eastAsia="Arial" w:hAnsi="Arial"/>
          <w:sz w:val="17"/>
          <w:szCs w:val="17"/>
          <w:color w:val="auto"/>
        </w:rPr>
        <w:t>We expect to spend approximately $15.0 million in fiscal 2021 on capital expenditures, inclusive of software hosting implementation costs. Capital expenditures includes a total of approximately $13.0 million related to investments in technology and $2.0 million for one planned new retail store. Due to the seasonality of our business, a significant amount of cash from operating activities is generated during the fourth quarter of our fiscal year. We also use cash in our investing activities for capital expenditures throughout all four quarters of our fiscal year.</w:t>
      </w:r>
    </w:p>
    <w:p>
      <w:pPr>
        <w:spacing w:after="0" w:line="130" w:lineRule="exact"/>
        <w:rPr>
          <w:sz w:val="20"/>
          <w:szCs w:val="20"/>
          <w:color w:val="auto"/>
        </w:rPr>
      </w:pPr>
    </w:p>
    <w:p>
      <w:pPr>
        <w:ind w:right="60" w:firstLine="428"/>
        <w:spacing w:after="0" w:line="246" w:lineRule="auto"/>
        <w:rPr>
          <w:sz w:val="20"/>
          <w:szCs w:val="20"/>
          <w:color w:val="auto"/>
        </w:rPr>
      </w:pPr>
      <w:r>
        <w:rPr>
          <w:rFonts w:ascii="Arial" w:cs="Arial" w:eastAsia="Arial" w:hAnsi="Arial"/>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Borders>
              <w:bottom w:val="single" w:sz="8" w:color="auto"/>
            </w:tcBorders>
          </w:tcPr>
          <w:p>
            <w:pPr>
              <w:spacing w:after="0"/>
              <w:rPr>
                <w:sz w:val="14"/>
                <w:szCs w:val="14"/>
                <w:color w:val="auto"/>
              </w:rPr>
            </w:pPr>
          </w:p>
        </w:tc>
      </w:tr>
      <w:tr>
        <w:trPr>
          <w:trHeight w:val="183"/>
        </w:trPr>
        <w:tc>
          <w:tcPr>
            <w:tcW w:w="7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May 2, 2021</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Pr>
          <w:p>
            <w:pPr>
              <w:jc w:val="right"/>
              <w:ind w:right="514"/>
              <w:spacing w:after="0"/>
              <w:rPr>
                <w:sz w:val="20"/>
                <w:szCs w:val="20"/>
                <w:color w:val="auto"/>
              </w:rPr>
            </w:pPr>
            <w:r>
              <w:rPr>
                <w:rFonts w:ascii="Arial" w:cs="Arial" w:eastAsia="Arial" w:hAnsi="Arial"/>
                <w:sz w:val="14"/>
                <w:szCs w:val="14"/>
                <w:b w:val="1"/>
                <w:bCs w:val="1"/>
                <w:color w:val="auto"/>
                <w:w w:val="97"/>
              </w:rPr>
              <w:t>May 3, 2020</w:t>
            </w:r>
          </w:p>
        </w:tc>
      </w:tr>
      <w:tr>
        <w:trPr>
          <w:trHeight w:val="250"/>
        </w:trPr>
        <w:tc>
          <w:tcPr>
            <w:tcW w:w="7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2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w:t>
            </w:r>
          </w:p>
        </w:tc>
        <w:tc>
          <w:tcPr>
            <w:tcW w:w="3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(33,491)</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(4,102)</w:t>
            </w:r>
          </w:p>
        </w:tc>
      </w:tr>
      <w:tr>
        <w:trPr>
          <w:trHeight w:val="22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(31,616)</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44,653</w:t>
            </w:r>
          </w:p>
        </w:tc>
      </w:tr>
      <w:tr>
        <w:trPr>
          <w:trHeight w:val="196"/>
        </w:trPr>
        <w:tc>
          <w:tcPr>
            <w:tcW w:w="7080" w:type="dxa"/>
            <w:vAlign w:val="bottom"/>
          </w:tcPr>
          <w:p>
            <w:pPr>
              <w:spacing w:after="0" w:line="196" w:lineRule="exact"/>
              <w:rPr>
                <w:sz w:val="20"/>
                <w:szCs w:val="20"/>
                <w:color w:val="auto"/>
              </w:rPr>
            </w:pPr>
            <w:r>
              <w:rPr>
                <w:rFonts w:ascii="Arial" w:cs="Arial" w:eastAsia="Arial" w:hAnsi="Arial"/>
                <w:sz w:val="18"/>
                <w:szCs w:val="18"/>
                <w:color w:val="auto"/>
              </w:rPr>
              <w:t>(Decrease) increase in cash, cash equivalents and restricted cash</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(21,167)</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58"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29" w:lineRule="exact"/>
        <w:rPr>
          <w:sz w:val="20"/>
          <w:szCs w:val="20"/>
          <w:color w:val="auto"/>
        </w:rPr>
      </w:pPr>
    </w:p>
    <w:p>
      <w:pPr>
        <w:ind w:right="100" w:firstLine="428"/>
        <w:spacing w:after="0" w:line="246" w:lineRule="auto"/>
        <w:rPr>
          <w:sz w:val="20"/>
          <w:szCs w:val="20"/>
          <w:color w:val="auto"/>
        </w:rPr>
      </w:pPr>
      <w:r>
        <w:rPr>
          <w:rFonts w:ascii="Arial" w:cs="Arial" w:eastAsia="Arial" w:hAnsi="Arial"/>
          <w:sz w:val="17"/>
          <w:szCs w:val="17"/>
          <w:color w:val="auto"/>
        </w:rPr>
        <w:t>For the three months ended May 2, 2021, net cash provided by operating activities was $12.4 million, which consisted of net income of $0.5 million, cash provided by operating assets and liabilities of $4.8 million, non-cash depreciation and amortization of $7.3 million, and stock based compensation of $0.4 million. The cash provided by operating assets and liabilities of $4.8 million primarily consisted of a $4.9 million decrease in inventory and a $6.5 million increase in trade accounts payable, partially offset by a $6.8 million decrease in accrued expenses.</w:t>
      </w:r>
    </w:p>
    <w:p>
      <w:pPr>
        <w:spacing w:after="0" w:line="144" w:lineRule="exact"/>
        <w:rPr>
          <w:sz w:val="20"/>
          <w:szCs w:val="20"/>
          <w:color w:val="auto"/>
        </w:rPr>
      </w:pPr>
    </w:p>
    <w:p>
      <w:pPr>
        <w:ind w:right="60" w:firstLine="428"/>
        <w:spacing w:after="0" w:line="239" w:lineRule="auto"/>
        <w:rPr>
          <w:sz w:val="20"/>
          <w:szCs w:val="20"/>
          <w:color w:val="auto"/>
        </w:rPr>
      </w:pPr>
      <w:r>
        <w:rPr>
          <w:rFonts w:ascii="Arial" w:cs="Arial" w:eastAsia="Arial" w:hAnsi="Arial"/>
          <w:sz w:val="17"/>
          <w:szCs w:val="17"/>
          <w:color w:val="auto"/>
        </w:rPr>
        <w:t>For the three months ended May 3, 2020, net cash used in operating activities was $33.5 million, which consisted of net loss of $15.2 million and cash used in operating assets and liabilities of $25.4 million, partially offset by non-cash depreciation and amortization of $6.7 million and stock based compensation of $0.5 million. The cash used in operating assets and liabilities of $25.4 million primarily consisted of a $27.2 million increase in inventory. The quarter-end inventory position, although primarily consisting of core non-seasonal products, reflected a higher balance than historical levels due to purchase commitments made prior to scaling back new store openings and a general slowdown in sales growth over the prior 18 months. Net cash used in operating activities was partially offset by a $5.1 million increase in accrued expenses and deferred rent obligations, a $3.4 million decrease of income taxes payable and a $1.0 million decrease in deferred catalog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58"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Investing activities consist primarily of capital expenditures for growth related to investments in infrastructure, information technology, and new store openings.</w:t>
      </w:r>
    </w:p>
    <w:p>
      <w:pPr>
        <w:spacing w:after="0" w:line="143" w:lineRule="exact"/>
        <w:rPr>
          <w:sz w:val="20"/>
          <w:szCs w:val="20"/>
          <w:color w:val="auto"/>
        </w:rPr>
      </w:pPr>
    </w:p>
    <w:p>
      <w:pPr>
        <w:ind w:right="240" w:firstLine="428"/>
        <w:spacing w:after="0" w:line="228" w:lineRule="auto"/>
        <w:rPr>
          <w:sz w:val="20"/>
          <w:szCs w:val="20"/>
          <w:color w:val="auto"/>
        </w:rPr>
      </w:pPr>
      <w:r>
        <w:rPr>
          <w:rFonts w:ascii="Arial" w:cs="Arial" w:eastAsia="Arial" w:hAnsi="Arial"/>
          <w:sz w:val="18"/>
          <w:szCs w:val="18"/>
          <w:color w:val="auto"/>
        </w:rPr>
        <w:t>For the three months ended May 2, 2021, net cash used in investing activities was $2.0 million and was primarily driven by capital expenditures of $2.0 million for new investments in information technology.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0" w:firstLine="428"/>
        <w:spacing w:after="0" w:line="246" w:lineRule="auto"/>
        <w:rPr>
          <w:sz w:val="20"/>
          <w:szCs w:val="20"/>
          <w:color w:val="auto"/>
        </w:rPr>
      </w:pPr>
      <w:r>
        <w:rPr>
          <w:rFonts w:ascii="Arial" w:cs="Arial" w:eastAsia="Arial" w:hAnsi="Arial"/>
          <w:sz w:val="18"/>
          <w:szCs w:val="18"/>
          <w:color w:val="auto"/>
        </w:rPr>
        <w:t>For the three months ended May 3, 2020, net cash used in investing activities was $4.1 million and was primarily driven by capital expenditures of $4.1 million for new retail stores, as well as investments in information technology.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71" w:lineRule="exact"/>
        <w:rPr>
          <w:sz w:val="20"/>
          <w:szCs w:val="20"/>
          <w:color w:val="auto"/>
        </w:rPr>
      </w:pPr>
    </w:p>
    <w:p>
      <w:pPr>
        <w:ind w:right="680" w:firstLine="428"/>
        <w:spacing w:after="0" w:line="246"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 as well as payments on finance lease obligations.</w:t>
      </w:r>
    </w:p>
    <w:p>
      <w:pPr>
        <w:spacing w:after="0" w:line="129" w:lineRule="exact"/>
        <w:rPr>
          <w:sz w:val="20"/>
          <w:szCs w:val="20"/>
          <w:color w:val="auto"/>
        </w:rPr>
      </w:pPr>
    </w:p>
    <w:p>
      <w:pPr>
        <w:ind w:right="180" w:firstLine="428"/>
        <w:spacing w:after="0" w:line="246" w:lineRule="auto"/>
        <w:rPr>
          <w:sz w:val="20"/>
          <w:szCs w:val="20"/>
          <w:color w:val="auto"/>
        </w:rPr>
      </w:pPr>
      <w:r>
        <w:rPr>
          <w:rFonts w:ascii="Arial" w:cs="Arial" w:eastAsia="Arial" w:hAnsi="Arial"/>
          <w:sz w:val="18"/>
          <w:szCs w:val="18"/>
          <w:color w:val="auto"/>
        </w:rPr>
        <w:t>For the three months ended May 2, 2021, net cash used in financing activities was $31.6 million, primarily consisting of payments of $30.6 million on long-term debt.</w:t>
      </w:r>
    </w:p>
    <w:p>
      <w:pPr>
        <w:spacing w:after="0" w:line="129" w:lineRule="exact"/>
        <w:rPr>
          <w:sz w:val="20"/>
          <w:szCs w:val="20"/>
          <w:color w:val="auto"/>
        </w:rPr>
      </w:pPr>
    </w:p>
    <w:p>
      <w:pPr>
        <w:ind w:right="440" w:firstLine="428"/>
        <w:spacing w:after="0" w:line="274" w:lineRule="auto"/>
        <w:rPr>
          <w:sz w:val="20"/>
          <w:szCs w:val="20"/>
          <w:color w:val="auto"/>
        </w:rPr>
      </w:pPr>
      <w:r>
        <w:rPr>
          <w:rFonts w:ascii="Arial" w:cs="Arial" w:eastAsia="Arial" w:hAnsi="Arial"/>
          <w:sz w:val="17"/>
          <w:szCs w:val="17"/>
          <w:color w:val="auto"/>
        </w:rPr>
        <w:t>For the three months ended May 3, 2020, net cash provided by financing activities was $44.7 million, primarily consisting of proceeds of $29.7 million, net from our term loan and proceeds of $15.7 million, net from our revolving line of credit to fund working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right="400" w:firstLine="428"/>
        <w:spacing w:after="0" w:line="246"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January 31,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62" w:lineRule="exact"/>
        <w:rPr>
          <w:sz w:val="20"/>
          <w:szCs w:val="20"/>
          <w:color w:val="auto"/>
        </w:rPr>
      </w:pPr>
    </w:p>
    <w:p>
      <w:pPr>
        <w:ind w:right="240" w:firstLine="428"/>
        <w:spacing w:after="0" w:line="261"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the date of this filing, there were no significant changes to any of the critical accounting policies and estimates described in our 2020 Form 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360" w:firstLine="428"/>
        <w:spacing w:after="0" w:line="246" w:lineRule="auto"/>
        <w:rPr>
          <w:sz w:val="20"/>
          <w:szCs w:val="20"/>
          <w:color w:val="auto"/>
        </w:rPr>
      </w:pPr>
      <w:r>
        <w:rPr>
          <w:rFonts w:ascii="Arial" w:cs="Arial" w:eastAsia="Arial" w:hAnsi="Arial"/>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There have been no significant changes in the market risks described in our 2020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28"/>
        <w:spacing w:after="0" w:line="228" w:lineRule="auto"/>
        <w:rPr>
          <w:sz w:val="20"/>
          <w:szCs w:val="20"/>
          <w:color w:val="auto"/>
        </w:rPr>
      </w:pPr>
      <w:r>
        <w:rPr>
          <w:rFonts w:ascii="Arial" w:cs="Arial" w:eastAsia="Arial" w:hAnsi="Arial"/>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ind w:right="220" w:firstLine="428"/>
        <w:spacing w:after="0" w:line="235" w:lineRule="auto"/>
        <w:rPr>
          <w:sz w:val="20"/>
          <w:szCs w:val="20"/>
          <w:color w:val="auto"/>
        </w:rPr>
      </w:pPr>
      <w:r>
        <w:rPr>
          <w:rFonts w:ascii="Arial" w:cs="Arial" w:eastAsia="Arial" w:hAnsi="Arial"/>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ind w:right="160" w:firstLine="428"/>
        <w:spacing w:after="0" w:line="231"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2020 Form 10-K, or other SEC filings. There have been no material changes to our risk factors as previously disclosed in our fiscal 2020 Annual Report on Form 10-K.</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sell any equity securities during the quarter ended May 2, 2021, which were not registered under the Securities Act.</w:t>
      </w:r>
    </w:p>
    <w:p>
      <w:pPr>
        <w:spacing w:after="0" w:line="171" w:lineRule="exact"/>
        <w:rPr>
          <w:sz w:val="20"/>
          <w:szCs w:val="20"/>
          <w:color w:val="auto"/>
        </w:rPr>
      </w:pPr>
    </w:p>
    <w:p>
      <w:pPr>
        <w:ind w:right="600" w:firstLine="492"/>
        <w:spacing w:after="0" w:line="246" w:lineRule="auto"/>
        <w:rPr>
          <w:sz w:val="20"/>
          <w:szCs w:val="20"/>
          <w:color w:val="auto"/>
        </w:rPr>
      </w:pPr>
      <w:r>
        <w:rPr>
          <w:rFonts w:ascii="Arial" w:cs="Arial" w:eastAsia="Arial" w:hAnsi="Arial"/>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May 2, 2021.</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Arial" w:cs="Arial" w:eastAsia="Arial" w:hAnsi="Arial"/>
                <w:sz w:val="14"/>
                <w:szCs w:val="14"/>
                <w:b w:val="1"/>
                <w:bCs w:val="1"/>
                <w:color w:val="auto"/>
                <w:w w:val="91"/>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 price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2"/>
              </w:rPr>
              <w:t>purchased under the</w:t>
            </w:r>
          </w:p>
        </w:tc>
      </w:tr>
      <w:tr>
        <w:trPr>
          <w:trHeight w:val="188"/>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 per share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or programs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plans or programs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 2021 - February 28, 2021</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gridSpan w:val="2"/>
          </w:tcPr>
          <w:p>
            <w:pPr>
              <w:spacing w:after="0"/>
              <w:rPr>
                <w:sz w:val="20"/>
                <w:szCs w:val="20"/>
                <w:color w:val="auto"/>
              </w:rPr>
            </w:pPr>
            <w:r>
              <w:rPr>
                <w:rFonts w:ascii="Arial" w:cs="Arial" w:eastAsia="Arial" w:hAnsi="Arial"/>
                <w:sz w:val="18"/>
                <w:szCs w:val="18"/>
                <w:color w:val="auto"/>
              </w:rPr>
              <w:t>March 1, 2021 - April 4, 2021</w:t>
            </w:r>
          </w:p>
        </w:tc>
        <w:tc>
          <w:tcPr>
            <w:tcW w:w="1300" w:type="dxa"/>
            <w:vAlign w:val="bottom"/>
          </w:tcPr>
          <w:p>
            <w:pPr>
              <w:jc w:val="right"/>
              <w:spacing w:after="0"/>
              <w:rPr>
                <w:sz w:val="20"/>
                <w:szCs w:val="20"/>
                <w:color w:val="auto"/>
              </w:rPr>
            </w:pPr>
            <w:r>
              <w:rPr>
                <w:rFonts w:ascii="Arial" w:cs="Arial" w:eastAsia="Arial" w:hAnsi="Arial"/>
                <w:sz w:val="18"/>
                <w:szCs w:val="18"/>
                <w:color w:val="auto"/>
              </w:rPr>
              <w:t>3,135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14.35</w:t>
            </w:r>
          </w:p>
        </w:tc>
        <w:tc>
          <w:tcPr>
            <w:tcW w:w="2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5, 2021 - May 2,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24"/>
        </w:trPr>
        <w:tc>
          <w:tcPr>
            <w:tcW w:w="3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24,527</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w:t>
            </w:r>
          </w:p>
        </w:tc>
      </w:tr>
      <w:tr>
        <w:trPr>
          <w:trHeight w:val="931"/>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5"/>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07"/>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gridSpan w:val="1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520" w:type="dxa"/>
            <w:vAlign w:val="bottom"/>
            <w:gridSpan w:val="10"/>
          </w:tcPr>
          <w:p>
            <w:pPr>
              <w:ind w:left="1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7"/>
        </w:trPr>
        <w:tc>
          <w:tcPr>
            <w:tcW w:w="11060" w:type="dxa"/>
            <w:vAlign w:val="bottom"/>
            <w:gridSpan w:val="13"/>
          </w:tcPr>
          <w:p>
            <w:pPr>
              <w:spacing w:after="0"/>
              <w:rPr>
                <w:sz w:val="20"/>
                <w:szCs w:val="20"/>
                <w:color w:val="auto"/>
              </w:rPr>
            </w:pPr>
            <w:r>
              <w:rPr>
                <w:rFonts w:ascii="Arial" w:cs="Arial" w:eastAsia="Arial" w:hAnsi="Arial"/>
                <w:sz w:val="18"/>
                <w:szCs w:val="18"/>
                <w:color w:val="auto"/>
              </w:rPr>
              <w:t>Exhibit No.</w:t>
            </w:r>
          </w:p>
        </w:tc>
        <w:tc>
          <w:tcPr>
            <w:tcW w:w="0" w:type="dxa"/>
            <w:vAlign w:val="bottom"/>
          </w:tcPr>
          <w:p>
            <w:pPr>
              <w:spacing w:after="0"/>
              <w:rPr>
                <w:sz w:val="1"/>
                <w:szCs w:val="1"/>
                <w:color w:val="auto"/>
              </w:rPr>
            </w:pP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580" w:type="dxa"/>
            <w:vAlign w:val="bottom"/>
          </w:tcPr>
          <w:p>
            <w:pPr>
              <w:spacing w:after="0"/>
              <w:rPr>
                <w:sz w:val="16"/>
                <w:szCs w:val="16"/>
                <w:color w:val="auto"/>
              </w:rPr>
            </w:pPr>
          </w:p>
        </w:tc>
        <w:tc>
          <w:tcPr>
            <w:tcW w:w="9300" w:type="dxa"/>
            <w:vAlign w:val="bottom"/>
            <w:tcBorders>
              <w:bottom w:val="single" w:sz="8" w:color="0000FF"/>
            </w:tcBorders>
            <w:gridSpan w:val="6"/>
          </w:tcPr>
          <w:p>
            <w:pPr>
              <w:spacing w:after="0" w:line="190"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Credit Agreement, dated as of May 14, 2021, among Duluth Holdings Inc., the Lenders party thereto, Bank of America, N.A., as</w:t>
              </w:r>
            </w:hyperlink>
          </w:p>
        </w:tc>
        <w:tc>
          <w:tcPr>
            <w:tcW w:w="4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780" w:type="dxa"/>
            <w:vAlign w:val="bottom"/>
            <w:gridSpan w:val="11"/>
          </w:tcPr>
          <w:p>
            <w:pPr>
              <w:spacing w:after="0" w:line="169"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Administrative Agent, Swingline Lender and L/C Issuer, BofA Securities, Inc., as a Joint Lead Arranger and Sole Bookrunner, and</w:t>
              </w:r>
            </w:hyperlink>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6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Keybanc Capital Markets Inc., as a Joint Lead Arranger, incorporated by reference to Exhibit 10.1 of the Company’s Current Report</w:t>
              </w:r>
            </w:hyperlink>
          </w:p>
        </w:tc>
        <w:tc>
          <w:tcPr>
            <w:tcW w:w="320" w:type="dxa"/>
            <w:vAlign w:val="bottom"/>
            <w:tcBorders>
              <w:bottom w:val="single" w:sz="8" w:color="0000FF"/>
            </w:tcBorders>
            <w:gridSpan w:val="2"/>
          </w:tcPr>
          <w:p>
            <w:pPr>
              <w:ind w:left="100"/>
              <w:spacing w:after="0" w:line="169"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on</w:t>
              </w:r>
            </w:hyperlink>
          </w:p>
        </w:tc>
        <w:tc>
          <w:tcPr>
            <w:tcW w:w="0" w:type="dxa"/>
            <w:vAlign w:val="bottom"/>
          </w:tcPr>
          <w:p>
            <w:pPr>
              <w:spacing w:after="0"/>
              <w:rPr>
                <w:sz w:val="1"/>
                <w:szCs w:val="1"/>
                <w:color w:val="auto"/>
              </w:rPr>
            </w:pPr>
          </w:p>
        </w:tc>
      </w:tr>
      <w:tr>
        <w:trPr>
          <w:trHeight w:val="169"/>
        </w:trPr>
        <w:tc>
          <w:tcPr>
            <w:tcW w:w="70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14"/>
                <w:szCs w:val="14"/>
                <w:color w:val="auto"/>
              </w:rPr>
            </w:pPr>
          </w:p>
        </w:tc>
        <w:tc>
          <w:tcPr>
            <w:tcW w:w="9780" w:type="dxa"/>
            <w:vAlign w:val="bottom"/>
            <w:gridSpan w:val="11"/>
          </w:tcPr>
          <w:p>
            <w:pPr>
              <w:spacing w:after="0" w:line="169" w:lineRule="exact"/>
              <w:rPr>
                <w:rFonts w:ascii="Arial" w:cs="Arial" w:eastAsia="Arial" w:hAnsi="Arial"/>
                <w:sz w:val="18"/>
                <w:szCs w:val="18"/>
                <w:color w:val="0000FF"/>
              </w:rPr>
            </w:pPr>
            <w:hyperlink r:id="rId45">
              <w:r>
                <w:rPr>
                  <w:rFonts w:ascii="Arial" w:cs="Arial" w:eastAsia="Arial" w:hAnsi="Arial"/>
                  <w:sz w:val="18"/>
                  <w:szCs w:val="18"/>
                  <w:color w:val="0000FF"/>
                </w:rPr>
                <w:t>Form 8-K dated May 14, 2021.</w:t>
              </w:r>
            </w:hyperlink>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Borders>
              <w:right w:val="single" w:sz="8" w:color="0000EE"/>
            </w:tcBorders>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780" w:type="dxa"/>
            <w:vAlign w:val="bottom"/>
            <w:gridSpan w:val="11"/>
          </w:tcPr>
          <w:p>
            <w:pPr>
              <w:spacing w:after="0" w:line="169" w:lineRule="exact"/>
              <w:rPr>
                <w:rFonts w:ascii="Arial" w:cs="Arial" w:eastAsia="Arial" w:hAnsi="Arial"/>
                <w:sz w:val="18"/>
                <w:szCs w:val="18"/>
                <w:color w:val="0000FF"/>
                <w:w w:val="95"/>
              </w:rPr>
            </w:pPr>
            <w:hyperlink r:id="rId46">
              <w:r>
                <w:rPr>
                  <w:rFonts w:ascii="Arial" w:cs="Arial" w:eastAsia="Arial" w:hAnsi="Arial"/>
                  <w:sz w:val="18"/>
                  <w:szCs w:val="18"/>
                  <w:color w:val="0000FF"/>
                  <w:w w:val="95"/>
                </w:rPr>
                <w:t>Security Agreement, dated as of May 14, 2021, by and between Duluth Holdings Inc. and Bank of America, N.A., incorporated by</w:t>
              </w:r>
            </w:hyperlink>
          </w:p>
        </w:tc>
        <w:tc>
          <w:tcPr>
            <w:tcW w:w="0" w:type="dxa"/>
            <w:vAlign w:val="bottom"/>
          </w:tcPr>
          <w:p>
            <w:pPr>
              <w:spacing w:after="0"/>
              <w:rPr>
                <w:sz w:val="1"/>
                <w:szCs w:val="1"/>
                <w:color w:val="auto"/>
              </w:rPr>
            </w:pPr>
          </w:p>
        </w:tc>
      </w:tr>
      <w:tr>
        <w:trPr>
          <w:trHeight w:val="169"/>
        </w:trPr>
        <w:tc>
          <w:tcPr>
            <w:tcW w:w="70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14"/>
                <w:szCs w:val="14"/>
                <w:color w:val="auto"/>
              </w:rPr>
            </w:pPr>
          </w:p>
        </w:tc>
        <w:tc>
          <w:tcPr>
            <w:tcW w:w="67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reference to Exhibit 10.2 of the Company’s Current Report on Form 8-K dated May 14,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2660" w:type="dxa"/>
            <w:vAlign w:val="bottom"/>
            <w:tcBorders>
              <w:top w:val="single" w:sz="8" w:color="0000FF"/>
            </w:tcBorders>
            <w:gridSpan w:val="5"/>
          </w:tcPr>
          <w:p>
            <w:pPr>
              <w:spacing w:after="0"/>
              <w:rPr>
                <w:sz w:val="14"/>
                <w:szCs w:val="14"/>
                <w:color w:val="auto"/>
              </w:rPr>
            </w:pPr>
          </w:p>
        </w:tc>
        <w:tc>
          <w:tcPr>
            <w:tcW w:w="18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698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Employment Agreement between Duluth Holdings Inc. and Samuel M. Sato dated May 3, 2021.</w:t>
              </w:r>
            </w:hyperlink>
          </w:p>
        </w:tc>
        <w:tc>
          <w:tcPr>
            <w:tcW w:w="28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Arial" w:cs="Arial" w:eastAsia="Arial" w:hAnsi="Arial"/>
                <w:sz w:val="17"/>
                <w:szCs w:val="17"/>
                <w:color w:val="auto"/>
              </w:rPr>
              <w:t>31.1</w:t>
            </w:r>
          </w:p>
        </w:tc>
        <w:tc>
          <w:tcPr>
            <w:tcW w:w="580" w:type="dxa"/>
            <w:vAlign w:val="bottom"/>
          </w:tcPr>
          <w:p>
            <w:pPr>
              <w:spacing w:after="0"/>
              <w:rPr>
                <w:sz w:val="14"/>
                <w:szCs w:val="14"/>
                <w:color w:val="auto"/>
              </w:rPr>
            </w:pPr>
          </w:p>
        </w:tc>
        <w:tc>
          <w:tcPr>
            <w:tcW w:w="9780" w:type="dxa"/>
            <w:vAlign w:val="bottom"/>
            <w:gridSpan w:val="11"/>
          </w:tcPr>
          <w:p>
            <w:pPr>
              <w:spacing w:after="0" w:line="155" w:lineRule="exact"/>
              <w:rPr>
                <w:rFonts w:ascii="Arial" w:cs="Arial" w:eastAsia="Arial" w:hAnsi="Arial"/>
                <w:sz w:val="16"/>
                <w:szCs w:val="16"/>
                <w:color w:val="0000FF"/>
              </w:rPr>
            </w:pPr>
            <w:hyperlink w:anchor="page49">
              <w:r>
                <w:rPr>
                  <w:rFonts w:ascii="Arial" w:cs="Arial" w:eastAsia="Arial" w:hAnsi="Arial"/>
                  <w:sz w:val="16"/>
                  <w:szCs w:val="16"/>
                  <w:color w:val="0000FF"/>
                </w:rPr>
                <w:t>Certification of Chief Executive Officer pursuant to Rule 13a-14(a) and Rule 15d-14(a) of the Securities and Exchange Act, as amended.</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31.2</w:t>
            </w:r>
          </w:p>
        </w:tc>
        <w:tc>
          <w:tcPr>
            <w:tcW w:w="580" w:type="dxa"/>
            <w:vAlign w:val="bottom"/>
          </w:tcPr>
          <w:p>
            <w:pPr>
              <w:spacing w:after="0" w:line="20" w:lineRule="exact"/>
              <w:rPr>
                <w:sz w:val="1"/>
                <w:szCs w:val="1"/>
                <w:color w:val="auto"/>
              </w:rPr>
            </w:pPr>
          </w:p>
        </w:tc>
        <w:tc>
          <w:tcPr>
            <w:tcW w:w="888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780" w:type="dxa"/>
            <w:vAlign w:val="bottom"/>
            <w:gridSpan w:val="11"/>
          </w:tcPr>
          <w:p>
            <w:pPr>
              <w:spacing w:after="0" w:line="155" w:lineRule="exact"/>
              <w:rPr>
                <w:rFonts w:ascii="Arial" w:cs="Arial" w:eastAsia="Arial" w:hAnsi="Arial"/>
                <w:sz w:val="16"/>
                <w:szCs w:val="16"/>
                <w:color w:val="0000FF"/>
                <w:w w:val="95"/>
              </w:rPr>
            </w:pPr>
            <w:hyperlink w:anchor="page50">
              <w:r>
                <w:rPr>
                  <w:rFonts w:ascii="Arial" w:cs="Arial" w:eastAsia="Arial" w:hAnsi="Arial"/>
                  <w:sz w:val="16"/>
                  <w:szCs w:val="16"/>
                  <w:color w:val="0000FF"/>
                  <w:w w:val="95"/>
                </w:rPr>
                <w:t>Certification of Chief Financial Officer pursuant to Rule 13a-14(a) and Rule 15d-14(a) of the Securities and Exchange Act of 1934, as amended.</w:t>
              </w:r>
            </w:hyperlink>
            <w:r>
              <w:rPr>
                <w:rFonts w:ascii="Arial" w:cs="Arial" w:eastAsia="Arial" w:hAnsi="Arial"/>
                <w:sz w:val="16"/>
                <w:szCs w:val="16"/>
                <w:color w:val="000000"/>
                <w:w w:val="95"/>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32.1</w:t>
            </w:r>
          </w:p>
        </w:tc>
        <w:tc>
          <w:tcPr>
            <w:tcW w:w="580" w:type="dxa"/>
            <w:vAlign w:val="bottom"/>
          </w:tcPr>
          <w:p>
            <w:pPr>
              <w:spacing w:after="0" w:line="20" w:lineRule="exact"/>
              <w:rPr>
                <w:sz w:val="1"/>
                <w:szCs w:val="1"/>
                <w:color w:val="auto"/>
              </w:rPr>
            </w:pPr>
          </w:p>
        </w:tc>
        <w:tc>
          <w:tcPr>
            <w:tcW w:w="9380" w:type="dxa"/>
            <w:vAlign w:val="bottom"/>
            <w:tcBorders>
              <w:right w:val="single" w:sz="8" w:color="0000EE"/>
            </w:tcBorders>
            <w:gridSpan w:val="7"/>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780" w:type="dxa"/>
            <w:vAlign w:val="bottom"/>
            <w:gridSpan w:val="11"/>
          </w:tcPr>
          <w:p>
            <w:pPr>
              <w:spacing w:after="0" w:line="155" w:lineRule="exact"/>
              <w:rPr>
                <w:rFonts w:ascii="Arial" w:cs="Arial" w:eastAsia="Arial" w:hAnsi="Arial"/>
                <w:sz w:val="16"/>
                <w:szCs w:val="16"/>
                <w:color w:val="0000FF"/>
                <w:w w:val="93"/>
              </w:rPr>
            </w:pPr>
            <w:hyperlink w:anchor="page51">
              <w:r>
                <w:rPr>
                  <w:rFonts w:ascii="Arial" w:cs="Arial" w:eastAsia="Arial" w:hAnsi="Arial"/>
                  <w:sz w:val="16"/>
                  <w:szCs w:val="16"/>
                  <w:color w:val="0000FF"/>
                  <w:w w:val="93"/>
                </w:rPr>
                <w:t>Certification of Chief Executive Officer pursuant to 18 U.S.C. Section 1350, as adopted pursuant to Section 906 of the Sarbanes-Oxley Act of 2002.</w:t>
              </w:r>
            </w:hyperlink>
            <w:r>
              <w:rPr>
                <w:rFonts w:ascii="Arial" w:cs="Arial" w:eastAsia="Arial" w:hAnsi="Arial"/>
                <w:sz w:val="16"/>
                <w:szCs w:val="16"/>
                <w:color w:val="000000"/>
                <w:w w:val="93"/>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32.2</w:t>
            </w:r>
          </w:p>
        </w:tc>
        <w:tc>
          <w:tcPr>
            <w:tcW w:w="580" w:type="dxa"/>
            <w:vAlign w:val="bottom"/>
          </w:tcPr>
          <w:p>
            <w:pPr>
              <w:spacing w:after="0" w:line="20" w:lineRule="exact"/>
              <w:rPr>
                <w:sz w:val="1"/>
                <w:szCs w:val="1"/>
                <w:color w:val="auto"/>
              </w:rPr>
            </w:pPr>
          </w:p>
        </w:tc>
        <w:tc>
          <w:tcPr>
            <w:tcW w:w="9620" w:type="dxa"/>
            <w:vAlign w:val="bottom"/>
            <w:tcBorders>
              <w:right w:val="single" w:sz="8" w:color="0000EE"/>
            </w:tcBorders>
            <w:gridSpan w:val="1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780" w:type="dxa"/>
            <w:vAlign w:val="bottom"/>
            <w:gridSpan w:val="11"/>
          </w:tcPr>
          <w:p>
            <w:pPr>
              <w:spacing w:after="0" w:line="155" w:lineRule="exact"/>
              <w:rPr>
                <w:rFonts w:ascii="Arial" w:cs="Arial" w:eastAsia="Arial" w:hAnsi="Arial"/>
                <w:sz w:val="16"/>
                <w:szCs w:val="16"/>
                <w:color w:val="0000FF"/>
                <w:w w:val="93"/>
              </w:rPr>
            </w:pPr>
            <w:hyperlink w:anchor="page52">
              <w:r>
                <w:rPr>
                  <w:rFonts w:ascii="Arial" w:cs="Arial" w:eastAsia="Arial" w:hAnsi="Arial"/>
                  <w:sz w:val="16"/>
                  <w:szCs w:val="16"/>
                  <w:color w:val="0000FF"/>
                  <w:w w:val="93"/>
                </w:rPr>
                <w:t>Certification of Chief Financial Officer pursuant to 18 U.S.C. Section 1350, as adopted pursuant to Section 906 of the Sarbanes-Oxley Act of 2002.</w:t>
              </w:r>
            </w:hyperlink>
            <w:r>
              <w:rPr>
                <w:rFonts w:ascii="Arial" w:cs="Arial" w:eastAsia="Arial" w:hAnsi="Arial"/>
                <w:sz w:val="16"/>
                <w:szCs w:val="16"/>
                <w:color w:val="000000"/>
                <w:w w:val="93"/>
              </w:rPr>
              <w:t>*</w:t>
            </w:r>
          </w:p>
        </w:tc>
        <w:tc>
          <w:tcPr>
            <w:tcW w:w="0" w:type="dxa"/>
            <w:vAlign w:val="bottom"/>
          </w:tcPr>
          <w:p>
            <w:pPr>
              <w:spacing w:after="0"/>
              <w:rPr>
                <w:sz w:val="1"/>
                <w:szCs w:val="1"/>
                <w:color w:val="auto"/>
              </w:rPr>
            </w:pPr>
          </w:p>
        </w:tc>
      </w:tr>
      <w:tr>
        <w:trPr>
          <w:trHeight w:val="182"/>
        </w:trPr>
        <w:tc>
          <w:tcPr>
            <w:tcW w:w="700" w:type="dxa"/>
            <w:vAlign w:val="bottom"/>
          </w:tcPr>
          <w:p>
            <w:pPr>
              <w:spacing w:after="0" w:line="182" w:lineRule="exact"/>
              <w:rPr>
                <w:sz w:val="20"/>
                <w:szCs w:val="20"/>
                <w:color w:val="auto"/>
              </w:rPr>
            </w:pPr>
            <w:r>
              <w:rPr>
                <w:rFonts w:ascii="Arial" w:cs="Arial" w:eastAsia="Arial" w:hAnsi="Arial"/>
                <w:sz w:val="18"/>
                <w:szCs w:val="18"/>
                <w:color w:val="auto"/>
              </w:rPr>
              <w:t>101.INS</w:t>
            </w:r>
          </w:p>
        </w:tc>
        <w:tc>
          <w:tcPr>
            <w:tcW w:w="580" w:type="dxa"/>
            <w:vAlign w:val="bottom"/>
          </w:tcPr>
          <w:p>
            <w:pPr>
              <w:spacing w:after="0"/>
              <w:rPr>
                <w:sz w:val="15"/>
                <w:szCs w:val="15"/>
                <w:color w:val="auto"/>
              </w:rPr>
            </w:pPr>
          </w:p>
        </w:tc>
        <w:tc>
          <w:tcPr>
            <w:tcW w:w="9620" w:type="dxa"/>
            <w:vAlign w:val="bottom"/>
            <w:tcBorders>
              <w:top w:val="single" w:sz="8" w:color="0000FF"/>
            </w:tcBorders>
            <w:gridSpan w:val="10"/>
          </w:tcPr>
          <w:p>
            <w:pPr>
              <w:spacing w:after="0" w:line="181" w:lineRule="exact"/>
              <w:rPr>
                <w:sz w:val="20"/>
                <w:szCs w:val="20"/>
                <w:color w:val="auto"/>
              </w:rPr>
            </w:pPr>
            <w:r>
              <w:rPr>
                <w:rFonts w:ascii="Arial" w:cs="Arial" w:eastAsia="Arial" w:hAnsi="Arial"/>
                <w:sz w:val="16"/>
                <w:szCs w:val="16"/>
                <w:color w:val="auto"/>
              </w:rPr>
              <w:t>XBRL Instance Document**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3"/>
              </w:rPr>
              <w:t>101.SCH</w:t>
            </w:r>
          </w:p>
        </w:tc>
        <w:tc>
          <w:tcPr>
            <w:tcW w:w="580" w:type="dxa"/>
            <w:vAlign w:val="bottom"/>
          </w:tcPr>
          <w:p>
            <w:pPr>
              <w:spacing w:after="0"/>
              <w:rPr>
                <w:sz w:val="16"/>
                <w:szCs w:val="16"/>
                <w:color w:val="auto"/>
              </w:rPr>
            </w:pPr>
          </w:p>
        </w:tc>
        <w:tc>
          <w:tcPr>
            <w:tcW w:w="9780" w:type="dxa"/>
            <w:vAlign w:val="bottom"/>
            <w:gridSpan w:val="11"/>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7"/>
              </w:rPr>
              <w:t>101.CAL</w:t>
            </w:r>
          </w:p>
        </w:tc>
        <w:tc>
          <w:tcPr>
            <w:tcW w:w="580" w:type="dxa"/>
            <w:vAlign w:val="bottom"/>
          </w:tcPr>
          <w:p>
            <w:pPr>
              <w:spacing w:after="0"/>
              <w:rPr>
                <w:sz w:val="16"/>
                <w:szCs w:val="16"/>
                <w:color w:val="auto"/>
              </w:rPr>
            </w:pPr>
          </w:p>
        </w:tc>
        <w:tc>
          <w:tcPr>
            <w:tcW w:w="9780" w:type="dxa"/>
            <w:vAlign w:val="bottom"/>
            <w:gridSpan w:val="11"/>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5"/>
              </w:rPr>
              <w:t>101.DEF</w:t>
            </w:r>
          </w:p>
        </w:tc>
        <w:tc>
          <w:tcPr>
            <w:tcW w:w="580" w:type="dxa"/>
            <w:vAlign w:val="bottom"/>
          </w:tcPr>
          <w:p>
            <w:pPr>
              <w:spacing w:after="0"/>
              <w:rPr>
                <w:sz w:val="16"/>
                <w:szCs w:val="16"/>
                <w:color w:val="auto"/>
              </w:rPr>
            </w:pPr>
          </w:p>
        </w:tc>
        <w:tc>
          <w:tcPr>
            <w:tcW w:w="9780" w:type="dxa"/>
            <w:vAlign w:val="bottom"/>
            <w:gridSpan w:val="11"/>
          </w:tcPr>
          <w:p>
            <w:pPr>
              <w:spacing w:after="0"/>
              <w:rPr>
                <w:sz w:val="20"/>
                <w:szCs w:val="20"/>
                <w:color w:val="auto"/>
              </w:rPr>
            </w:pPr>
            <w:r>
              <w:rPr>
                <w:rFonts w:ascii="Arial" w:cs="Arial" w:eastAsia="Arial" w:hAnsi="Arial"/>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8"/>
              </w:rPr>
              <w:t>101.LAB</w:t>
            </w:r>
          </w:p>
        </w:tc>
        <w:tc>
          <w:tcPr>
            <w:tcW w:w="580" w:type="dxa"/>
            <w:vAlign w:val="bottom"/>
          </w:tcPr>
          <w:p>
            <w:pPr>
              <w:spacing w:after="0"/>
              <w:rPr>
                <w:sz w:val="16"/>
                <w:szCs w:val="16"/>
                <w:color w:val="auto"/>
              </w:rPr>
            </w:pPr>
          </w:p>
        </w:tc>
        <w:tc>
          <w:tcPr>
            <w:tcW w:w="9780" w:type="dxa"/>
            <w:vAlign w:val="bottom"/>
            <w:gridSpan w:val="11"/>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05"/>
        </w:trPr>
        <w:tc>
          <w:tcPr>
            <w:tcW w:w="700" w:type="dxa"/>
            <w:vAlign w:val="bottom"/>
          </w:tcPr>
          <w:p>
            <w:pPr>
              <w:spacing w:after="0" w:line="205" w:lineRule="exact"/>
              <w:rPr>
                <w:sz w:val="20"/>
                <w:szCs w:val="20"/>
                <w:color w:val="auto"/>
              </w:rPr>
            </w:pPr>
            <w:r>
              <w:rPr>
                <w:rFonts w:ascii="Arial" w:cs="Arial" w:eastAsia="Arial" w:hAnsi="Arial"/>
                <w:sz w:val="18"/>
                <w:szCs w:val="18"/>
                <w:color w:val="auto"/>
                <w:w w:val="94"/>
              </w:rPr>
              <w:t>101.PRE</w:t>
            </w:r>
          </w:p>
        </w:tc>
        <w:tc>
          <w:tcPr>
            <w:tcW w:w="580" w:type="dxa"/>
            <w:vAlign w:val="bottom"/>
          </w:tcPr>
          <w:p>
            <w:pPr>
              <w:spacing w:after="0"/>
              <w:rPr>
                <w:sz w:val="17"/>
                <w:szCs w:val="17"/>
                <w:color w:val="auto"/>
              </w:rPr>
            </w:pPr>
          </w:p>
        </w:tc>
        <w:tc>
          <w:tcPr>
            <w:tcW w:w="9780" w:type="dxa"/>
            <w:vAlign w:val="bottom"/>
            <w:gridSpan w:val="11"/>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right="240" w:hanging="1272"/>
        <w:spacing w:after="0" w:line="233"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May 2, 2021 has been formatted in Inline XBRL (Inline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287"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05" w:lineRule="exact"/>
        <w:rPr>
          <w:sz w:val="20"/>
          <w:szCs w:val="20"/>
          <w:color w:val="auto"/>
        </w:rPr>
      </w:pPr>
    </w:p>
    <w:p>
      <w:pPr>
        <w:sectPr>
          <w:pgSz w:w="11900" w:h="16838" w:orient="portrait"/>
          <w:cols w:equalWidth="0" w:num="2">
            <w:col w:w="860" w:space="720"/>
            <w:col w:w="9480"/>
          </w:cols>
          <w:pgMar w:left="320" w:top="287" w:right="51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rPr>
          <w:sz w:val="20"/>
          <w:szCs w:val="20"/>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480"/>
          </w:cols>
          <w:pgMar w:left="320" w:top="287"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87" w:right="5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Date: June 4, 2021</w:t>
      </w:r>
    </w:p>
    <w:p>
      <w:pPr>
        <w:ind w:left="4540"/>
        <w:spacing w:after="0" w:line="238" w:lineRule="auto"/>
        <w:rPr>
          <w:sz w:val="20"/>
          <w:szCs w:val="20"/>
          <w:color w:val="auto"/>
        </w:rPr>
      </w:pPr>
      <w:r>
        <w:rPr>
          <w:rFonts w:ascii="Arial" w:cs="Arial" w:eastAsia="Arial" w:hAnsi="Arial"/>
          <w:sz w:val="18"/>
          <w:szCs w:val="18"/>
          <w:color w:val="auto"/>
        </w:rPr>
        <w:t>DULUTH HOLDINGS INC.</w:t>
      </w:r>
    </w:p>
    <w:p>
      <w:pPr>
        <w:ind w:left="4540"/>
        <w:spacing w:after="0"/>
        <w:rPr>
          <w:sz w:val="20"/>
          <w:szCs w:val="20"/>
          <w:color w:val="auto"/>
        </w:rPr>
      </w:pPr>
      <w:r>
        <w:rPr>
          <w:rFonts w:ascii="Arial" w:cs="Arial" w:eastAsia="Arial" w:hAnsi="Arial"/>
          <w:sz w:val="18"/>
          <w:szCs w:val="18"/>
          <w:color w:val="auto"/>
        </w:rPr>
        <w:t>(Registrant)</w:t>
      </w:r>
    </w:p>
    <w:p>
      <w:pPr>
        <w:spacing w:after="0" w:line="34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8890</wp:posOffset>
            </wp:positionV>
            <wp:extent cx="4071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line="237" w:lineRule="auto"/>
        <w:rPr>
          <w:sz w:val="20"/>
          <w:szCs w:val="20"/>
          <w:color w:val="auto"/>
        </w:rPr>
      </w:pPr>
      <w:r>
        <w:rPr>
          <w:rFonts w:ascii="Arial" w:cs="Arial" w:eastAsia="Arial" w:hAnsi="Arial"/>
          <w:sz w:val="18"/>
          <w:szCs w:val="18"/>
          <w:b w:val="1"/>
          <w:bCs w:val="1"/>
          <w:color w:val="auto"/>
        </w:rPr>
        <w:t>David Loretta</w:t>
      </w:r>
    </w:p>
    <w:p>
      <w:pPr>
        <w:ind w:left="4820"/>
        <w:spacing w:after="0" w:line="219" w:lineRule="auto"/>
        <w:rPr>
          <w:sz w:val="20"/>
          <w:szCs w:val="20"/>
          <w:color w:val="auto"/>
        </w:rPr>
      </w:pPr>
      <w:r>
        <w:rPr>
          <w:rFonts w:ascii="Arial" w:cs="Arial" w:eastAsia="Arial" w:hAnsi="Arial"/>
          <w:sz w:val="18"/>
          <w:szCs w:val="18"/>
          <w:b w:val="1"/>
          <w:bCs w:val="1"/>
          <w:i w:val="1"/>
          <w:iCs w:val="1"/>
          <w:color w:val="auto"/>
        </w:rPr>
        <w:t>Senior Vice President and Chief Financial Officer</w:t>
      </w:r>
    </w:p>
    <w:p>
      <w:pPr>
        <w:ind w:left="4820"/>
        <w:spacing w:after="0"/>
        <w:rPr>
          <w:sz w:val="20"/>
          <w:szCs w:val="20"/>
          <w:color w:val="auto"/>
        </w:rPr>
      </w:pPr>
      <w:r>
        <w:rPr>
          <w:rFonts w:ascii="Arial" w:cs="Arial" w:eastAsia="Arial" w:hAnsi="Arial"/>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8890</wp:posOffset>
            </wp:positionV>
            <wp:extent cx="4071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line="237" w:lineRule="auto"/>
        <w:rPr>
          <w:sz w:val="20"/>
          <w:szCs w:val="20"/>
          <w:color w:val="auto"/>
        </w:rPr>
      </w:pPr>
      <w:r>
        <w:rPr>
          <w:rFonts w:ascii="Arial" w:cs="Arial" w:eastAsia="Arial" w:hAnsi="Arial"/>
          <w:sz w:val="18"/>
          <w:szCs w:val="18"/>
          <w:b w:val="1"/>
          <w:bCs w:val="1"/>
          <w:color w:val="auto"/>
        </w:rPr>
        <w:t>Michael Murphy</w:t>
      </w:r>
    </w:p>
    <w:p>
      <w:pPr>
        <w:ind w:left="4820"/>
        <w:spacing w:after="0" w:line="219" w:lineRule="auto"/>
        <w:rPr>
          <w:sz w:val="20"/>
          <w:szCs w:val="20"/>
          <w:color w:val="auto"/>
        </w:rPr>
      </w:pPr>
      <w:r>
        <w:rPr>
          <w:rFonts w:ascii="Arial" w:cs="Arial" w:eastAsia="Arial" w:hAnsi="Arial"/>
          <w:sz w:val="18"/>
          <w:szCs w:val="18"/>
          <w:b w:val="1"/>
          <w:bCs w:val="1"/>
          <w:i w:val="1"/>
          <w:iCs w:val="1"/>
          <w:color w:val="auto"/>
        </w:rPr>
        <w:t>Vice President and Chief Accounting Officer</w:t>
      </w:r>
    </w:p>
    <w:p>
      <w:pPr>
        <w:ind w:left="4820"/>
        <w:spacing w:after="0"/>
        <w:rPr>
          <w:sz w:val="20"/>
          <w:szCs w:val="20"/>
          <w:color w:val="auto"/>
        </w:rPr>
      </w:pPr>
      <w:r>
        <w:rPr>
          <w:rFonts w:ascii="Arial" w:cs="Arial" w:eastAsia="Arial" w:hAnsi="Arial"/>
          <w:sz w:val="18"/>
          <w:szCs w:val="18"/>
          <w:b w:val="1"/>
          <w:bCs w:val="1"/>
          <w:i w:val="1"/>
          <w:iCs w:val="1"/>
          <w:color w:val="auto"/>
        </w:rPr>
        <w:t>(On behalf of the Registrant and as Principal Accounting Officer)</w:t>
      </w:r>
    </w:p>
    <w:p>
      <w:pPr>
        <w:spacing w:after="0" w:line="1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00"/>
          </w:cols>
          <w:pgMar w:left="320" w:top="287" w:right="87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13" w:lineRule="exact"/>
        <w:rPr>
          <w:sz w:val="20"/>
          <w:szCs w:val="20"/>
          <w:color w:val="auto"/>
        </w:rPr>
      </w:pPr>
    </w:p>
    <w:p>
      <w:pPr>
        <w:ind w:left="180" w:right="619" w:firstLine="648"/>
        <w:spacing w:after="0"/>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executed as of this 3rd day of May,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Samuel M. Sato (“</w:t>
      </w:r>
      <w:r>
        <w:rPr>
          <w:rFonts w:ascii="Arial" w:cs="Arial" w:eastAsia="Arial" w:hAnsi="Arial"/>
          <w:sz w:val="22"/>
          <w:szCs w:val="22"/>
          <w:u w:val="single" w:color="auto"/>
          <w:color w:val="auto"/>
        </w:rPr>
        <w:t>Executive</w:t>
      </w:r>
      <w:r>
        <w:rPr>
          <w:rFonts w:ascii="Arial" w:cs="Arial" w:eastAsia="Arial" w:hAnsi="Arial"/>
          <w:sz w:val="22"/>
          <w:szCs w:val="22"/>
          <w:color w:val="auto"/>
        </w:rPr>
        <w:t>”) and Duluth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left="180" w:right="219" w:firstLine="648"/>
        <w:spacing w:after="0"/>
        <w:rPr>
          <w:sz w:val="20"/>
          <w:szCs w:val="20"/>
          <w:color w:val="auto"/>
        </w:rPr>
      </w:pPr>
      <w:r>
        <w:rPr>
          <w:rFonts w:ascii="Arial" w:cs="Arial" w:eastAsia="Arial" w:hAnsi="Arial"/>
          <w:sz w:val="22"/>
          <w:szCs w:val="22"/>
          <w:color w:val="auto"/>
        </w:rPr>
        <w:t>WHEREAS, the Company desires to employ Executive as its President and Chief Executive Officer, and Executive desires to be employed by the Company in such capacity, on the terms and conditions set forth herein.</w:t>
      </w:r>
    </w:p>
    <w:p>
      <w:pPr>
        <w:spacing w:after="0" w:line="186" w:lineRule="exact"/>
        <w:rPr>
          <w:sz w:val="20"/>
          <w:szCs w:val="20"/>
          <w:color w:val="auto"/>
        </w:rPr>
      </w:pPr>
    </w:p>
    <w:p>
      <w:pPr>
        <w:jc w:val="both"/>
        <w:ind w:left="180" w:right="259" w:firstLine="648"/>
        <w:spacing w:after="0"/>
        <w:rPr>
          <w:sz w:val="20"/>
          <w:szCs w:val="20"/>
          <w:color w:val="auto"/>
        </w:rPr>
      </w:pPr>
      <w:r>
        <w:rPr>
          <w:rFonts w:ascii="Arial" w:cs="Arial" w:eastAsia="Arial" w:hAnsi="Arial"/>
          <w:sz w:val="22"/>
          <w:szCs w:val="22"/>
          <w:color w:val="auto"/>
        </w:rPr>
        <w:t>WHEREAS, as a result of Executive’s employment with the Company, Executive will have access to and be entrusted with valuable information about the Company’s business and customers, including trade secrets and confidential information; and</w:t>
      </w:r>
    </w:p>
    <w:p>
      <w:pPr>
        <w:spacing w:after="0" w:line="186" w:lineRule="exact"/>
        <w:rPr>
          <w:sz w:val="20"/>
          <w:szCs w:val="20"/>
          <w:color w:val="auto"/>
        </w:rPr>
      </w:pPr>
    </w:p>
    <w:p>
      <w:pPr>
        <w:jc w:val="both"/>
        <w:ind w:left="180" w:right="539" w:firstLine="648"/>
        <w:spacing w:after="0"/>
        <w:rPr>
          <w:sz w:val="20"/>
          <w:szCs w:val="20"/>
          <w:color w:val="auto"/>
        </w:rPr>
      </w:pPr>
      <w:r>
        <w:rPr>
          <w:rFonts w:ascii="Arial" w:cs="Arial" w:eastAsia="Arial" w:hAnsi="Arial"/>
          <w:sz w:val="22"/>
          <w:szCs w:val="22"/>
          <w:color w:val="auto"/>
        </w:rPr>
        <w:t>WHEREAS, the Company and Executive (jointly, the “</w:t>
      </w:r>
      <w:r>
        <w:rPr>
          <w:rFonts w:ascii="Arial" w:cs="Arial" w:eastAsia="Arial" w:hAnsi="Arial"/>
          <w:sz w:val="22"/>
          <w:szCs w:val="22"/>
          <w:u w:val="single" w:color="auto"/>
          <w:color w:val="auto"/>
        </w:rPr>
        <w:t>Parties</w:t>
      </w:r>
      <w:r>
        <w:rPr>
          <w:rFonts w:ascii="Arial" w:cs="Arial" w:eastAsia="Arial" w:hAnsi="Arial"/>
          <w:sz w:val="22"/>
          <w:szCs w:val="22"/>
          <w:color w:val="auto"/>
        </w:rPr>
        <w:t>”)believe it is in their best interests to make provision for certain aspects of their relationship during and after the period in which Executive is employed by the Company.</w:t>
      </w:r>
    </w:p>
    <w:p>
      <w:pPr>
        <w:spacing w:after="0" w:line="186" w:lineRule="exact"/>
        <w:rPr>
          <w:sz w:val="20"/>
          <w:szCs w:val="20"/>
          <w:color w:val="auto"/>
        </w:rPr>
      </w:pPr>
    </w:p>
    <w:p>
      <w:pPr>
        <w:ind w:left="180" w:right="719" w:firstLine="648"/>
        <w:spacing w:after="0" w:line="297" w:lineRule="auto"/>
        <w:rPr>
          <w:sz w:val="20"/>
          <w:szCs w:val="20"/>
          <w:color w:val="auto"/>
        </w:rPr>
      </w:pPr>
      <w:r>
        <w:rPr>
          <w:rFonts w:ascii="Arial" w:cs="Arial" w:eastAsia="Arial" w:hAnsi="Arial"/>
          <w:sz w:val="19"/>
          <w:szCs w:val="19"/>
          <w:color w:val="auto"/>
        </w:rPr>
        <w:t>NOW, THEREFORE, in consideration of the promises and the mutual agreements and covenants contained herein, and for other good and valuable consideration, the receipt and sufficiency of which is hereby acknowledged by Parties, the Parties agree as follows:</w:t>
      </w:r>
    </w:p>
    <w:p>
      <w:pPr>
        <w:spacing w:after="0" w:line="128"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EMPLOYMENT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Position and Duties</w:t>
      </w:r>
    </w:p>
    <w:p>
      <w:pPr>
        <w:spacing w:after="0" w:line="8" w:lineRule="exact"/>
        <w:rPr>
          <w:sz w:val="20"/>
          <w:szCs w:val="20"/>
          <w:color w:val="auto"/>
        </w:rPr>
      </w:pPr>
    </w:p>
    <w:p>
      <w:pPr>
        <w:ind w:left="180" w:right="319" w:firstLine="652"/>
        <w:spacing w:after="0" w:line="266" w:lineRule="auto"/>
        <w:tabs>
          <w:tab w:leader="none" w:pos="936" w:val="left"/>
        </w:tabs>
        <w:numPr>
          <w:ilvl w:val="1"/>
          <w:numId w:val="12"/>
        </w:numPr>
        <w:rPr>
          <w:rFonts w:ascii="Arial" w:cs="Arial" w:eastAsia="Arial" w:hAnsi="Arial"/>
          <w:sz w:val="19"/>
          <w:szCs w:val="19"/>
          <w:color w:val="auto"/>
        </w:rPr>
      </w:pPr>
      <w:r>
        <w:rPr>
          <w:rFonts w:ascii="Arial" w:cs="Arial" w:eastAsia="Arial" w:hAnsi="Arial"/>
          <w:sz w:val="19"/>
          <w:szCs w:val="19"/>
          <w:color w:val="auto"/>
        </w:rPr>
        <w:t>Executive shall be employed in the positions of President and Chief Executive Officer of the Company and shall be subject to the authority of, and shall report to,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Executive’s duties and responsibilities shall include all those customarily attendant to the positions of President and Chief Executive Officer, and such other duties and responsibilities as may be assigned from time-to-time by the Board. Executive shall devote Executive’s entire business time, attention, energies, and best efforts exclusively to the business interests of the Company while employed by the Company, except as otherwise approved by the Board, to the extent that such activities do not impair Executive’s ability to perform Executive’s duties pursuant to this Agreement. With respect to outside board activities, Executive, with the Board’s written approval (which approval shall not be unreasonably withheld), may serve on the board, advisory board or committee of: (a) any non-profit, charitable or similar organization; and</w:t>
      </w:r>
    </w:p>
    <w:p>
      <w:pPr>
        <w:spacing w:after="0" w:line="9" w:lineRule="exact"/>
        <w:rPr>
          <w:rFonts w:ascii="Arial" w:cs="Arial" w:eastAsia="Arial" w:hAnsi="Arial"/>
          <w:sz w:val="19"/>
          <w:szCs w:val="19"/>
          <w:color w:val="auto"/>
        </w:rPr>
      </w:pPr>
    </w:p>
    <w:p>
      <w:pPr>
        <w:ind w:left="480" w:hanging="296"/>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following the second (2</w:t>
      </w:r>
      <w:r>
        <w:rPr>
          <w:rFonts w:ascii="Arial" w:cs="Arial" w:eastAsia="Arial" w:hAnsi="Arial"/>
          <w:sz w:val="10"/>
          <w:szCs w:val="10"/>
          <w:color w:val="auto"/>
        </w:rPr>
        <w:t>nd</w:t>
      </w:r>
      <w:r>
        <w:rPr>
          <w:rFonts w:ascii="Arial" w:cs="Arial" w:eastAsia="Arial" w:hAnsi="Arial"/>
          <w:sz w:val="20"/>
          <w:szCs w:val="20"/>
          <w:color w:val="auto"/>
        </w:rPr>
        <w:t>) anniversary of the Effective Date, one (1) for-profit organization.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 of Employment</w:t>
      </w:r>
    </w:p>
    <w:p>
      <w:pPr>
        <w:spacing w:after="0" w:line="8" w:lineRule="exact"/>
        <w:rPr>
          <w:sz w:val="20"/>
          <w:szCs w:val="20"/>
          <w:color w:val="auto"/>
        </w:rPr>
      </w:pPr>
    </w:p>
    <w:p>
      <w:pPr>
        <w:ind w:left="180" w:right="279" w:firstLine="652"/>
        <w:spacing w:after="0" w:line="243" w:lineRule="auto"/>
        <w:tabs>
          <w:tab w:leader="none" w:pos="990"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Company employs Executive, and Executive accepts employment by the Company, for the period commencing on the Effective Date. Executive’s employment shall continue until terminated by the Company or Executive, in accordance with and subject to the termination provisions set forth in Article III, below (the “</w:t>
      </w:r>
      <w:r>
        <w:rPr>
          <w:rFonts w:ascii="Arial" w:cs="Arial" w:eastAsia="Arial" w:hAnsi="Arial"/>
          <w:sz w:val="21"/>
          <w:szCs w:val="21"/>
          <w:u w:val="single" w:color="auto"/>
          <w:color w:val="auto"/>
        </w:rPr>
        <w:t>Employment Term</w:t>
      </w:r>
      <w:r>
        <w:rPr>
          <w:rFonts w:ascii="Arial" w:cs="Arial" w:eastAsia="Arial" w:hAnsi="Arial"/>
          <w:sz w:val="21"/>
          <w:szCs w:val="21"/>
          <w:color w:val="auto"/>
        </w:rPr>
        <w:t>”). Upon the termination of Executive’s employment for any reason, Executive will be deemed to have resigned all of Executive’s positions with the Company and on its Board. Although the foregoing resignations are effective without any further action by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342900</wp:posOffset>
            </wp:positionV>
            <wp:extent cx="552894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ind w:left="180" w:right="599"/>
        <w:spacing w:after="0" w:line="251" w:lineRule="auto"/>
        <w:rPr>
          <w:sz w:val="20"/>
          <w:szCs w:val="20"/>
          <w:color w:val="auto"/>
        </w:rPr>
      </w:pPr>
      <w:r>
        <w:rPr>
          <w:rFonts w:ascii="Arial" w:cs="Arial" w:eastAsia="Arial" w:hAnsi="Arial"/>
          <w:sz w:val="22"/>
          <w:szCs w:val="22"/>
          <w:color w:val="auto"/>
        </w:rPr>
        <w:t>Executive agrees to execute any documents reasonably requested by the Company to document such actions.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Board Service</w:t>
      </w:r>
    </w:p>
    <w:p>
      <w:pPr>
        <w:spacing w:after="0" w:line="8" w:lineRule="exact"/>
        <w:rPr>
          <w:sz w:val="20"/>
          <w:szCs w:val="20"/>
          <w:color w:val="auto"/>
        </w:rPr>
      </w:pPr>
    </w:p>
    <w:p>
      <w:pPr>
        <w:ind w:left="180" w:right="339" w:firstLine="652"/>
        <w:spacing w:after="0" w:line="275" w:lineRule="auto"/>
        <w:tabs>
          <w:tab w:leader="none" w:pos="990"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Executive will be appointed to the Board as of May 27, 2021 and will serve as a member of the Board until the earlier of the next annual meeting of the Company or the termination of Executive’s employment with the Company for any reason. Thereafter, for so long as Executive remains President and Chief Executive Officer of the Company, Executive will be nominated to serve as a member of the Board. Executive will be an employee director, and as such, Executive will not receive any additional compensation for serving as a member of the Board.</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AND OTHER BENEFITS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Base Salary</w:t>
      </w:r>
    </w:p>
    <w:p>
      <w:pPr>
        <w:spacing w:after="0" w:line="8" w:lineRule="exact"/>
        <w:rPr>
          <w:sz w:val="20"/>
          <w:szCs w:val="20"/>
          <w:color w:val="auto"/>
        </w:rPr>
      </w:pPr>
    </w:p>
    <w:p>
      <w:pPr>
        <w:ind w:left="180" w:right="219" w:firstLine="652"/>
        <w:spacing w:after="0" w:line="271" w:lineRule="auto"/>
        <w:tabs>
          <w:tab w:leader="none" w:pos="99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During the Employment Term, the Company shall pay Executive in substantially equal monthly or more frequent installments, an annual salary of Eight Hundred Thousand Dollars ($800,000) (“</w:t>
      </w:r>
      <w:r>
        <w:rPr>
          <w:rFonts w:ascii="Arial" w:cs="Arial" w:eastAsia="Arial" w:hAnsi="Arial"/>
          <w:sz w:val="19"/>
          <w:szCs w:val="19"/>
          <w:u w:val="single" w:color="auto"/>
          <w:color w:val="auto"/>
        </w:rPr>
        <w:t>Base Salary</w:t>
      </w:r>
      <w:r>
        <w:rPr>
          <w:rFonts w:ascii="Arial" w:cs="Arial" w:eastAsia="Arial" w:hAnsi="Arial"/>
          <w:sz w:val="19"/>
          <w:szCs w:val="19"/>
          <w:color w:val="auto"/>
        </w:rPr>
        <w:t>”), payable in accordance with the normal payroll practices and schedule of the Company. Executive’s Base Salary shall be reviewed annually and may be increased at any time and from time-to-time as the Board and/or Compensation Committee of the Board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as applicable, shall deem appropriate in its sole discretion. Base Salary shall not be reduced at any time during the Employment Term, except pursuant to across-the-board base salary reductions affecting all other senior executives of the Company. The term “Base Salary,” as utilized in this Agreement, shall refer to Base Salary as so increased or decreased. All amounts in this Agreement are stated prior to deductions for federal and state income and employment tax withholding.</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Incentive Compensation</w:t>
      </w:r>
    </w:p>
    <w:p>
      <w:pPr>
        <w:spacing w:after="0" w:line="8" w:lineRule="exact"/>
        <w:rPr>
          <w:sz w:val="20"/>
          <w:szCs w:val="20"/>
          <w:color w:val="auto"/>
        </w:rPr>
      </w:pPr>
    </w:p>
    <w:p>
      <w:pPr>
        <w:ind w:left="180" w:right="219" w:firstLine="652"/>
        <w:spacing w:after="0" w:line="271" w:lineRule="auto"/>
        <w:tabs>
          <w:tab w:leader="none" w:pos="99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During the Employment Term, Executive shall be eligible to participate in annual incentive bonus plans (the “</w:t>
      </w:r>
      <w:r>
        <w:rPr>
          <w:rFonts w:ascii="Arial" w:cs="Arial" w:eastAsia="Arial" w:hAnsi="Arial"/>
          <w:sz w:val="19"/>
          <w:szCs w:val="19"/>
          <w:u w:val="single" w:color="auto"/>
          <w:color w:val="auto"/>
        </w:rPr>
        <w:t>Bonus Plan</w:t>
      </w:r>
      <w:r>
        <w:rPr>
          <w:rFonts w:ascii="Arial" w:cs="Arial" w:eastAsia="Arial" w:hAnsi="Arial"/>
          <w:sz w:val="19"/>
          <w:szCs w:val="19"/>
          <w:color w:val="auto"/>
        </w:rPr>
        <w:t>”) offered by the Company to its senior executives from time-to-time. The performance metrics for the Bonus Plan and the extent to which such metrics are met, as well as any other material terms, including threshold and maximum levels for annual cash incentive bonuses, shall be determined in the sole discretion of the Board and/or Compensation Committee, as applicable. For fiscal year 2021, Executive’s bonus target shall be one hundred percent (100%) of Executive’s Base Salary and the maximum bonus award shall be up to one hundred fifty percent (150%) of Base Salary. The amount of the bonus for fiscal year 2021 shall be contingent upon the Company meeting certain pre-established financial thresholds as previously disclosed to Executive, and shall be prorated based on the Effective Date.</w:t>
      </w:r>
    </w:p>
    <w:p>
      <w:pPr>
        <w:spacing w:after="0" w:line="161" w:lineRule="exact"/>
        <w:rPr>
          <w:sz w:val="20"/>
          <w:szCs w:val="20"/>
          <w:color w:val="auto"/>
        </w:rPr>
      </w:pPr>
    </w:p>
    <w:p>
      <w:pPr>
        <w:ind w:left="180" w:right="199" w:firstLine="648"/>
        <w:spacing w:after="0" w:line="259" w:lineRule="auto"/>
        <w:rPr>
          <w:sz w:val="20"/>
          <w:szCs w:val="20"/>
          <w:color w:val="auto"/>
        </w:rPr>
      </w:pPr>
      <w:r>
        <w:rPr>
          <w:rFonts w:ascii="Arial" w:cs="Arial" w:eastAsia="Arial" w:hAnsi="Arial"/>
          <w:sz w:val="20"/>
          <w:szCs w:val="20"/>
          <w:u w:val="single" w:color="auto"/>
          <w:color w:val="auto"/>
        </w:rPr>
        <w:t>2.1 Equity. During the Employment Term, Executive will be eligible for annual grants of equity compensation awards offered to the Company’s management employees, in the sole discretion of the Board and/or Compensation Committee, as applicable. Executive will receive an initial restricted stock grant with a grant date fair value of One Million Seven Hundred Thousand Dollars ($1,700,000), subject to the terms of the Company’s Restricted Stock Agreement, which shall provide for one hundred percent (100%) vesting upon the third (3</w:t>
      </w:r>
      <w:r>
        <w:rPr>
          <w:rFonts w:ascii="Arial" w:cs="Arial" w:eastAsia="Arial" w:hAnsi="Arial"/>
          <w:sz w:val="10"/>
          <w:szCs w:val="10"/>
          <w:u w:val="single" w:color="auto"/>
          <w:color w:val="auto"/>
        </w:rPr>
        <w:t>rd</w:t>
      </w:r>
      <w:r>
        <w:rPr>
          <w:rFonts w:ascii="Arial" w:cs="Arial" w:eastAsia="Arial" w:hAnsi="Arial"/>
          <w:sz w:val="20"/>
          <w:szCs w:val="20"/>
          <w:u w:val="single" w:color="auto"/>
          <w:color w:val="auto"/>
        </w:rPr>
        <w:t>) anniversary of the grant date, provided Executive has been continuously employed through the vesting date. For fiscal year 2022, Executive’s annual grant will have a target grant date fair value equal to One Million Six Hundred Thousand Dollars ($1,600,000) and a maximum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-1275715</wp:posOffset>
            </wp:positionV>
            <wp:extent cx="34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4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3" w:name="page34"/>
    <w:bookmarkEnd w:id="33"/>
    <w:p>
      <w:pPr>
        <w:ind w:left="180" w:right="219"/>
        <w:spacing w:after="0" w:line="236" w:lineRule="auto"/>
        <w:rPr>
          <w:sz w:val="20"/>
          <w:szCs w:val="20"/>
          <w:color w:val="auto"/>
        </w:rPr>
      </w:pPr>
      <w:r>
        <w:rPr>
          <w:rFonts w:ascii="Arial" w:cs="Arial" w:eastAsia="Arial" w:hAnsi="Arial"/>
          <w:sz w:val="22"/>
          <w:szCs w:val="22"/>
          <w:u w:val="single" w:color="auto"/>
          <w:color w:val="auto"/>
        </w:rPr>
        <w:t>date fair value of Two Million Dollars ($2,000,000). A portion of the grant date fair value of Executive’s fiscal 2022 grant will be based on the results of Executive’s annual performance review, which will be conducted by the Board, and the remaining portion of Executive’s fiscal 2022 grant will be based on certain performance metrics, which may include Adjusted EBITDA, stock price and sales growth.</w:t>
      </w:r>
    </w:p>
    <w:p>
      <w:pPr>
        <w:spacing w:after="0" w:line="188" w:lineRule="exact"/>
        <w:rPr>
          <w:sz w:val="20"/>
          <w:szCs w:val="20"/>
          <w:color w:val="auto"/>
        </w:rPr>
      </w:pPr>
    </w:p>
    <w:p>
      <w:pPr>
        <w:ind w:left="840"/>
        <w:spacing w:after="0"/>
        <w:tabs>
          <w:tab w:leader="none" w:pos="1520" w:val="left"/>
        </w:tabs>
        <w:rPr>
          <w:sz w:val="20"/>
          <w:szCs w:val="20"/>
          <w:color w:val="auto"/>
        </w:rPr>
      </w:pPr>
      <w:r>
        <w:rPr>
          <w:rFonts w:ascii="Arial" w:cs="Arial" w:eastAsia="Arial" w:hAnsi="Arial"/>
          <w:sz w:val="22"/>
          <w:szCs w:val="22"/>
          <w:u w:val="single" w:color="auto"/>
          <w:color w:val="auto"/>
        </w:rPr>
        <w:t>2.2</w:t>
      </w:r>
      <w:r>
        <w:rPr>
          <w:sz w:val="20"/>
          <w:szCs w:val="20"/>
          <w:color w:val="auto"/>
        </w:rPr>
        <w:tab/>
      </w:r>
      <w:r>
        <w:rPr>
          <w:rFonts w:ascii="Arial" w:cs="Arial" w:eastAsia="Arial" w:hAnsi="Arial"/>
          <w:sz w:val="19"/>
          <w:szCs w:val="19"/>
          <w:u w:val="single" w:color="auto"/>
          <w:color w:val="auto"/>
        </w:rPr>
        <w:t>Other Benefits.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 General</w:t>
      </w:r>
    </w:p>
    <w:p>
      <w:pPr>
        <w:spacing w:after="0" w:line="8" w:lineRule="exact"/>
        <w:rPr>
          <w:sz w:val="20"/>
          <w:szCs w:val="20"/>
          <w:color w:val="auto"/>
        </w:rPr>
      </w:pPr>
    </w:p>
    <w:p>
      <w:pPr>
        <w:ind w:left="840" w:right="199" w:firstLine="640"/>
        <w:spacing w:after="0" w:line="242" w:lineRule="auto"/>
        <w:tabs>
          <w:tab w:leader="none" w:pos="1650" w:val="left"/>
        </w:tabs>
        <w:numPr>
          <w:ilvl w:val="0"/>
          <w:numId w:val="17"/>
        </w:numPr>
        <w:rPr>
          <w:rFonts w:ascii="Arial" w:cs="Arial" w:eastAsia="Arial" w:hAnsi="Arial"/>
          <w:sz w:val="21"/>
          <w:szCs w:val="21"/>
          <w:color w:val="auto"/>
        </w:rPr>
      </w:pPr>
      <w:r>
        <w:rPr>
          <w:rFonts w:ascii="Arial" w:cs="Arial" w:eastAsia="Arial" w:hAnsi="Arial"/>
          <w:sz w:val="21"/>
          <w:szCs w:val="21"/>
          <w:color w:val="auto"/>
        </w:rPr>
        <w:t>During the Employment Term and subject to any limitation on participation provided by applicable law: (i) Executive shall be entitled to participate in all applicable qualified and nonqualified retirement plans, practices, policies and programs of the Company, including without limitation the BeniComp Select Executive Medical Reimbursement Plan; and (ii) Executive and/or Executive’s family, as the case may be, shall be eligible for all applicable welfare benefit plans, practices, policies and programs provided by the Company, with respect to both (i) and (ii) above, to the same extent as other senior executives of the Company, other than severance plans, practices, policies and programs. Nothing herein shall be deemed to limit the Company’s ability to amend, terminate or otherwise change any of the referenced plans, practices, policies and programs at any time, and from time-to-time.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Paid Time Off</w:t>
      </w:r>
    </w:p>
    <w:p>
      <w:pPr>
        <w:spacing w:after="0" w:line="8" w:lineRule="exact"/>
        <w:rPr>
          <w:sz w:val="20"/>
          <w:szCs w:val="20"/>
          <w:color w:val="auto"/>
        </w:rPr>
      </w:pPr>
    </w:p>
    <w:p>
      <w:pPr>
        <w:ind w:left="840" w:right="279" w:firstLine="640"/>
        <w:spacing w:after="0" w:line="233" w:lineRule="auto"/>
        <w:tabs>
          <w:tab w:leader="none" w:pos="1650" w:val="left"/>
        </w:tabs>
        <w:numPr>
          <w:ilvl w:val="0"/>
          <w:numId w:val="18"/>
        </w:numPr>
        <w:rPr>
          <w:rFonts w:ascii="Arial" w:cs="Arial" w:eastAsia="Arial" w:hAnsi="Arial"/>
          <w:sz w:val="22"/>
          <w:szCs w:val="22"/>
          <w:color w:val="auto"/>
        </w:rPr>
      </w:pPr>
      <w:r>
        <w:rPr>
          <w:rFonts w:ascii="Arial" w:cs="Arial" w:eastAsia="Arial" w:hAnsi="Arial"/>
          <w:sz w:val="22"/>
          <w:szCs w:val="22"/>
          <w:color w:val="auto"/>
        </w:rPr>
        <w:t>During the Employment Term, Executive shall be entitled to 200 hours of Paid Time Off per calendar year (pro-rated for partial years), which shall accrue in accordance with, and be otherwise subject to the provisions of the Company’s policy, as in effect from time-to-time. As used herein, “</w:t>
      </w:r>
      <w:r>
        <w:rPr>
          <w:rFonts w:ascii="Arial" w:cs="Arial" w:eastAsia="Arial" w:hAnsi="Arial"/>
          <w:sz w:val="22"/>
          <w:szCs w:val="22"/>
          <w:u w:val="single" w:color="auto"/>
          <w:color w:val="auto"/>
        </w:rPr>
        <w:t>Paid Time Off</w:t>
      </w:r>
      <w:r>
        <w:rPr>
          <w:rFonts w:ascii="Arial" w:cs="Arial" w:eastAsia="Arial" w:hAnsi="Arial"/>
          <w:sz w:val="22"/>
          <w:szCs w:val="22"/>
          <w:color w:val="auto"/>
        </w:rPr>
        <w:t>” means sick days, personal days and vacation days.</w:t>
      </w:r>
    </w:p>
    <w:p>
      <w:pPr>
        <w:spacing w:after="0" w:line="185" w:lineRule="exact"/>
        <w:rPr>
          <w:sz w:val="20"/>
          <w:szCs w:val="20"/>
          <w:color w:val="auto"/>
        </w:rPr>
      </w:pPr>
    </w:p>
    <w:p>
      <w:pPr>
        <w:ind w:left="180" w:right="339" w:firstLine="648"/>
        <w:spacing w:after="0" w:line="282" w:lineRule="auto"/>
        <w:rPr>
          <w:sz w:val="20"/>
          <w:szCs w:val="20"/>
          <w:color w:val="auto"/>
        </w:rPr>
      </w:pPr>
      <w:r>
        <w:rPr>
          <w:rFonts w:ascii="Arial" w:cs="Arial" w:eastAsia="Arial" w:hAnsi="Arial"/>
          <w:sz w:val="19"/>
          <w:szCs w:val="19"/>
          <w:u w:val="single" w:color="auto"/>
          <w:color w:val="auto"/>
        </w:rPr>
        <w:t>2.3 Relocation. Executive shall relocate his primary residence to the greater Madison, Wisconsin area on or before May 1, 2022. The Company will reimburse the Executive up to Two Hundred Twenty-Five Thousand Dollars ($225,000) in accordance with the Company’s Senior Executive Relocation Policy. Executive shall be subject to that certain Relocation Repayment Agreement, dated April 22, 2021, which is incorporated herein by reference.</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Expense Reimbursement</w:t>
      </w:r>
    </w:p>
    <w:p>
      <w:pPr>
        <w:spacing w:after="0" w:line="8" w:lineRule="exact"/>
        <w:rPr>
          <w:sz w:val="20"/>
          <w:szCs w:val="20"/>
          <w:color w:val="auto"/>
        </w:rPr>
      </w:pPr>
    </w:p>
    <w:p>
      <w:pPr>
        <w:ind w:left="180" w:right="319" w:firstLine="652"/>
        <w:spacing w:after="0" w:line="270" w:lineRule="auto"/>
        <w:tabs>
          <w:tab w:leader="none" w:pos="99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Except to the extent addressed by Section 2.5, above, related to relocation expenses, the Company shall pay or reimburse Executive for all reasonable out-of-pocket expenses actually incurred by Executive in the course of performing Executive’s duties for the Company in accordance with the Company’s reimbursement policies for senior executives as in effect from time-to-time. Executive shall keep accurate records and receipts of such expenditures and shall submit such accounts and proof thereof as may from time-to-time be required in accordance with such expense account or reimbursement policies that the Company may establish for its senior executives generally. The Company’s obligation to pay or reimburse Executive for certain expenses will comply with the requirements set forth in Section 1.409A-3(i)(1)(iv) of the regulations (the “</w:t>
      </w:r>
      <w:r>
        <w:rPr>
          <w:rFonts w:ascii="Arial" w:cs="Arial" w:eastAsia="Arial" w:hAnsi="Arial"/>
          <w:sz w:val="19"/>
          <w:szCs w:val="19"/>
          <w:u w:val="single" w:color="auto"/>
          <w:color w:val="auto"/>
        </w:rPr>
        <w:t>409A Regulations</w:t>
      </w:r>
      <w:r>
        <w:rPr>
          <w:rFonts w:ascii="Arial" w:cs="Arial" w:eastAsia="Arial" w:hAnsi="Arial"/>
          <w:sz w:val="19"/>
          <w:szCs w:val="19"/>
          <w:color w:val="auto"/>
        </w:rPr>
        <w:t>”), promulgated under Section 409A of the Code, including the requirement that the amount of expenses eligible for reimbursement during any calendar year may not affect the expenses eligible for reimbursement in any other taxable year. Further, reimbursement of eligible expenses shall be made on or before the last day of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4" w:name="page35"/>
    <w:bookmarkEnd w:id="34"/>
    <w:p>
      <w:pPr>
        <w:ind w:left="180" w:right="879"/>
        <w:spacing w:after="0" w:line="251" w:lineRule="auto"/>
        <w:rPr>
          <w:sz w:val="20"/>
          <w:szCs w:val="20"/>
          <w:color w:val="auto"/>
        </w:rPr>
      </w:pPr>
      <w:r>
        <w:rPr>
          <w:rFonts w:ascii="Arial" w:cs="Arial" w:eastAsia="Arial" w:hAnsi="Arial"/>
          <w:sz w:val="22"/>
          <w:szCs w:val="22"/>
          <w:color w:val="auto"/>
        </w:rPr>
        <w:t>calendar year following the calendar year in which the expense was incurred, as required by Section 1.409A-3(i)(1)(iv) of the 409A Regulations.</w:t>
      </w:r>
    </w:p>
    <w:p>
      <w:pPr>
        <w:spacing w:after="0" w:line="167"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TERMINATION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Right to Terminate; Automatic Termination</w:t>
      </w:r>
    </w:p>
    <w:p>
      <w:pPr>
        <w:spacing w:after="0" w:line="8" w:lineRule="exact"/>
        <w:rPr>
          <w:sz w:val="20"/>
          <w:szCs w:val="20"/>
          <w:color w:val="auto"/>
        </w:rPr>
      </w:pPr>
    </w:p>
    <w:p>
      <w:pPr>
        <w:ind w:left="180" w:right="659" w:firstLine="652"/>
        <w:spacing w:after="0" w:line="236" w:lineRule="auto"/>
        <w:tabs>
          <w:tab w:leader="none" w:pos="990" w:val="left"/>
        </w:tabs>
        <w:numPr>
          <w:ilvl w:val="0"/>
          <w:numId w:val="20"/>
        </w:numPr>
        <w:rPr>
          <w:rFonts w:ascii="Arial" w:cs="Arial" w:eastAsia="Arial" w:hAnsi="Arial"/>
          <w:sz w:val="22"/>
          <w:szCs w:val="22"/>
          <w:color w:val="auto"/>
        </w:rPr>
      </w:pPr>
      <w:r>
        <w:rPr>
          <w:rFonts w:ascii="Arial" w:cs="Arial" w:eastAsia="Arial" w:hAnsi="Arial"/>
          <w:sz w:val="22"/>
          <w:szCs w:val="22"/>
          <w:color w:val="auto"/>
        </w:rPr>
        <w:t>During the Employment Term, Executive’s employment may terminate for any of the reasons set out in paragraphs (a) through (e) hereof.</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by Death or Disability</w:t>
      </w:r>
    </w:p>
    <w:p>
      <w:pPr>
        <w:spacing w:after="0" w:line="8" w:lineRule="exact"/>
        <w:rPr>
          <w:sz w:val="20"/>
          <w:szCs w:val="20"/>
          <w:color w:val="auto"/>
        </w:rPr>
      </w:pPr>
    </w:p>
    <w:p>
      <w:pPr>
        <w:ind w:left="840" w:right="199" w:firstLine="640"/>
        <w:spacing w:after="0" w:line="269" w:lineRule="auto"/>
        <w:tabs>
          <w:tab w:leader="none" w:pos="1650" w:val="left"/>
        </w:tabs>
        <w:numPr>
          <w:ilvl w:val="0"/>
          <w:numId w:val="21"/>
        </w:numPr>
        <w:rPr>
          <w:rFonts w:ascii="Arial" w:cs="Arial" w:eastAsia="Arial" w:hAnsi="Arial"/>
          <w:sz w:val="19"/>
          <w:szCs w:val="19"/>
          <w:color w:val="auto"/>
        </w:rPr>
      </w:pPr>
      <w:r>
        <w:rPr>
          <w:rFonts w:ascii="Arial" w:cs="Arial" w:eastAsia="Arial" w:hAnsi="Arial"/>
          <w:sz w:val="19"/>
          <w:szCs w:val="19"/>
          <w:color w:val="auto"/>
        </w:rPr>
        <w:t>Executive’s employment and the Company’s obligations under this Agreement, except as provided in Section 3.2(a), below, shall terminate automatically, effective immediately and without any notice being necessary, upon Executive’s death or a determination of Disability of Executive.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means the inability of Executive to engage in any substantial gainful activity by reason of any medically determinable physical or mental impairment which can be expected to result in death or can be expected to last for a continuous period of not less than 12 months, as determined by a physician selected by the Company and Executive. If the Company and Executive cannot agree on a physician, each party shall select a physician and the two physicians shall select a third who shall make the determination as to whether Executive has a condition that meets the definition of Disability. Executive shall cooperate with any reasonable efforts to make such determination. In the event Executive is unable to select a physician, such selection shall be made by Executive’s spouse, and if Executive’s spouse is unable to select a physician, such selection shall be made by Executive’s legal representative. Any such determination shall be conclusive and binding on the Parties. Any determination of Disability under this Section 3.1(a) is not intended to alter any benefits any person and/or beneficiary may be entitled to receive under any long-term disability insurance policy carried by either the Company or Executive with respect to Executive, which benefits shall be governed solely by the terms of any such insurance policy.</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For Cause</w:t>
      </w:r>
    </w:p>
    <w:p>
      <w:pPr>
        <w:spacing w:after="0" w:line="8" w:lineRule="exact"/>
        <w:rPr>
          <w:sz w:val="20"/>
          <w:szCs w:val="20"/>
          <w:color w:val="auto"/>
        </w:rPr>
      </w:pPr>
    </w:p>
    <w:p>
      <w:pPr>
        <w:ind w:left="840" w:right="239" w:firstLine="640"/>
        <w:spacing w:after="0" w:line="242" w:lineRule="auto"/>
        <w:tabs>
          <w:tab w:leader="none" w:pos="1646"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Company may terminate Executive’s employment and all of the Company’s obligations under this Agreement, except as provided in Section 3.2(b), below, at any time for Cause (as defined below) by giving written notice to Executive stating the basis for such termination, effective immediately upon giving such notice or at such other time thereafter as the Company may designate. “</w:t>
      </w:r>
      <w:r>
        <w:rPr>
          <w:rFonts w:ascii="Arial" w:cs="Arial" w:eastAsia="Arial" w:hAnsi="Arial"/>
          <w:sz w:val="21"/>
          <w:szCs w:val="21"/>
          <w:u w:val="single" w:color="auto"/>
          <w:color w:val="auto"/>
        </w:rPr>
        <w:t>Cause</w:t>
      </w:r>
      <w:r>
        <w:rPr>
          <w:rFonts w:ascii="Arial" w:cs="Arial" w:eastAsia="Arial" w:hAnsi="Arial"/>
          <w:sz w:val="21"/>
          <w:szCs w:val="21"/>
          <w:color w:val="auto"/>
        </w:rPr>
        <w:t>” shall mean any of the following: (i) Executive has materially breached this Agreement, any other agreement to which Executive and the Company are parties, or any Company policy, or has materially breached any other obligation or duty owed to the Company pursuant to law or the Company’s policies and procedures manual, including, but not limited to, Executive’s failure to relocate as provided for in Section 2.5, above or Executive’s substantial failure or willful refusal to perform Executive’s duties and responsibilities to the Company (other than as a result of Executive’s Death or Disability); (ii) Executive has committed an act of gross negligence, willful misconduct or any violation of law in the performance of Executive’s duties for the Company; (iii) Executive has taken any action substantially likely to result in material discredit to or material loss of business, reputation or goodwill of the Company; (iv) Executive has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5" w:name="page36"/>
    <w:bookmarkEnd w:id="35"/>
    <w:p>
      <w:pPr>
        <w:ind w:left="840" w:right="259"/>
        <w:spacing w:after="0" w:line="244" w:lineRule="auto"/>
        <w:rPr>
          <w:sz w:val="20"/>
          <w:szCs w:val="20"/>
          <w:color w:val="auto"/>
        </w:rPr>
      </w:pPr>
      <w:r>
        <w:rPr>
          <w:rFonts w:ascii="Arial" w:cs="Arial" w:eastAsia="Arial" w:hAnsi="Arial"/>
          <w:sz w:val="21"/>
          <w:szCs w:val="21"/>
          <w:color w:val="auto"/>
        </w:rPr>
        <w:t xml:space="preserve">failed to follow resolutions that have been approved by a majority of the Board concerning the operations or business of the Company; (v) Executive has been convicted of or plead </w:t>
      </w:r>
      <w:r>
        <w:rPr>
          <w:rFonts w:ascii="Arial" w:cs="Arial" w:eastAsia="Arial" w:hAnsi="Arial"/>
          <w:sz w:val="21"/>
          <w:szCs w:val="21"/>
          <w:i w:val="1"/>
          <w:iCs w:val="1"/>
          <w:color w:val="auto"/>
        </w:rPr>
        <w:t xml:space="preserve">nolo contendere </w:t>
      </w:r>
      <w:r>
        <w:rPr>
          <w:rFonts w:ascii="Arial" w:cs="Arial" w:eastAsia="Arial" w:hAnsi="Arial"/>
          <w:sz w:val="21"/>
          <w:szCs w:val="21"/>
          <w:color w:val="auto"/>
        </w:rPr>
        <w:t>to a felony or other crime, the circumstances of which substantially relate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to Executive’s employment duties with the Company;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upon indictment in any such case, the Executive may, at the Company’s sole discretion, be suspended without pay pending final resolution of the matter; (vi) Executive has misappropriated funds or property of the Company or engaged in any material act of dishonesty; or (vii) Executive has attempted to obtain a personal profit from any transaction in which the Company has an interest, and which constitutes a corporate opportunity of the Company, or which is adverse to the interests of the Company, unless the transaction was approved in writing by the Board after full disclosure of all details relating to such transaction.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by Resignation</w:t>
      </w:r>
    </w:p>
    <w:p>
      <w:pPr>
        <w:spacing w:after="0" w:line="8" w:lineRule="exact"/>
        <w:rPr>
          <w:sz w:val="20"/>
          <w:szCs w:val="20"/>
          <w:color w:val="auto"/>
        </w:rPr>
      </w:pPr>
    </w:p>
    <w:p>
      <w:pPr>
        <w:ind w:left="840" w:right="259" w:firstLine="640"/>
        <w:spacing w:after="0" w:line="232" w:lineRule="auto"/>
        <w:tabs>
          <w:tab w:leader="none" w:pos="165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Executive’s employment and the Company’s obligations under this Agreement shall terminate automatically, except as provided in Section 3.2(b), below, when Executive voluntarily terminates Executive’s employment with the Company other than with Good Reason (as described in Section 3.1(e), below), with forty-five (45) days’ prior notice, or at such other earlier time as may be mutually agreed between the Parties following the provision of such notice.</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Without Cause</w:t>
      </w:r>
    </w:p>
    <w:p>
      <w:pPr>
        <w:spacing w:after="0" w:line="8" w:lineRule="exact"/>
        <w:rPr>
          <w:sz w:val="20"/>
          <w:szCs w:val="20"/>
          <w:color w:val="auto"/>
        </w:rPr>
      </w:pPr>
    </w:p>
    <w:p>
      <w:pPr>
        <w:jc w:val="both"/>
        <w:ind w:left="840" w:right="399" w:firstLine="640"/>
        <w:spacing w:after="0" w:line="277" w:lineRule="auto"/>
        <w:tabs>
          <w:tab w:leader="none" w:pos="1646"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Company may terminate Executive’s employment and all of the Company’s obligations under this Agreement, except as provided in Section 3.2(c), below, at any time and for any reason. Such termination shall be effective immediately upon the Company providing notice to Executive that Executive is terminated without Cause, or such other time thereafter as the Company shall designate.</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By Executive With Good Reason</w:t>
      </w:r>
    </w:p>
    <w:p>
      <w:pPr>
        <w:spacing w:after="0" w:line="8" w:lineRule="exact"/>
        <w:rPr>
          <w:sz w:val="20"/>
          <w:szCs w:val="20"/>
          <w:color w:val="auto"/>
        </w:rPr>
      </w:pPr>
    </w:p>
    <w:p>
      <w:pPr>
        <w:ind w:left="840" w:right="339" w:firstLine="640"/>
        <w:spacing w:after="0" w:line="269" w:lineRule="auto"/>
        <w:tabs>
          <w:tab w:leader="none" w:pos="1650" w:val="left"/>
        </w:tabs>
        <w:numPr>
          <w:ilvl w:val="0"/>
          <w:numId w:val="25"/>
        </w:numPr>
        <w:rPr>
          <w:rFonts w:ascii="Arial" w:cs="Arial" w:eastAsia="Arial" w:hAnsi="Arial"/>
          <w:sz w:val="19"/>
          <w:szCs w:val="19"/>
          <w:color w:val="auto"/>
        </w:rPr>
      </w:pPr>
      <w:r>
        <w:rPr>
          <w:rFonts w:ascii="Arial" w:cs="Arial" w:eastAsia="Arial" w:hAnsi="Arial"/>
          <w:sz w:val="19"/>
          <w:szCs w:val="19"/>
          <w:color w:val="auto"/>
        </w:rPr>
        <w:t>Executive may terminate this Agreement with Good Reason, at which time Executive’s employment and all of the Company’s obligations under this Agreement shall terminate, except as provided in Section 3.2(c).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the occurrence of any of the following conditions without Executive’s written consent, provided that Executive shall provide notice to the Company of the existence of the condition within 90 days of the initial existence of such condition, the Company shall have 30 days from the date it receives the notice (the “</w:t>
      </w:r>
      <w:r>
        <w:rPr>
          <w:rFonts w:ascii="Arial" w:cs="Arial" w:eastAsia="Arial" w:hAnsi="Arial"/>
          <w:sz w:val="19"/>
          <w:szCs w:val="19"/>
          <w:u w:val="single" w:color="auto"/>
          <w:color w:val="auto"/>
        </w:rPr>
        <w:t>Cure Period</w:t>
      </w:r>
      <w:r>
        <w:rPr>
          <w:rFonts w:ascii="Arial" w:cs="Arial" w:eastAsia="Arial" w:hAnsi="Arial"/>
          <w:sz w:val="19"/>
          <w:szCs w:val="19"/>
          <w:color w:val="auto"/>
        </w:rPr>
        <w:t>”) within which to cure such condition, and Executive must terminate Executive’s employment within no more than 30 days after the expiration of the Cure Period if the Company does not cure the condition within the Cure Period: (i) a reduction in Executive’s title such that Executive is no longer President and Chief Executive Officer of the Company; (ii) a material reduction in Executive’s then current level of Base Salary, except with the consent of Executive; (iii) a material diminution in Executive’s duties or responsibilities; (iv) a breach by the Company of any material provision of this Agreement; or (v) the relocation of Executive’s office location more than twenty-five (25) miles from Belleville or Mt. Horeb, Wisconsin.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6" w:name="page37"/>
    <w:bookmarkEnd w:id="36"/>
    <w:p>
      <w:pPr>
        <w:ind w:left="180"/>
        <w:spacing w:after="0"/>
        <w:rPr>
          <w:sz w:val="20"/>
          <w:szCs w:val="20"/>
          <w:color w:val="auto"/>
        </w:rPr>
      </w:pPr>
      <w:r>
        <w:rPr>
          <w:rFonts w:ascii="Arial" w:cs="Arial" w:eastAsia="Arial" w:hAnsi="Arial"/>
          <w:sz w:val="22"/>
          <w:szCs w:val="22"/>
          <w:color w:val="auto"/>
        </w:rPr>
        <w:t>Obligations Upon Termination</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by Death or Disability</w:t>
      </w:r>
    </w:p>
    <w:p>
      <w:pPr>
        <w:spacing w:after="0" w:line="8" w:lineRule="exact"/>
        <w:rPr>
          <w:sz w:val="20"/>
          <w:szCs w:val="20"/>
          <w:color w:val="auto"/>
        </w:rPr>
      </w:pPr>
    </w:p>
    <w:p>
      <w:pPr>
        <w:ind w:left="840" w:right="259" w:firstLine="640"/>
        <w:spacing w:after="0" w:line="266" w:lineRule="auto"/>
        <w:tabs>
          <w:tab w:leader="none" w:pos="165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If Executive’s employment is terminated pursuant to Section 3.1(a), above, Executive or Executive’s estate shall have no further rights against the Company hereunder, except for the right to receive: (i) any unpaid Base Salary with respect to the period prior to the effective date of termination of employment; (ii) payment of any accrued but unused Paid Time Off, consistent with the Company’s policy related to carryovers of unused time and applicable law; (iii) all vested benefits to which Executive is entitled under any benefit plans set forth in Section 2.4(a) hereof in accordance with the terms of such plans through the date employment terminates; (iv) reimbursement of expenses to which Executive may be entitled under Section 2.6 hereof (clauses (i) through (iv) collectively, the</w:t>
      </w:r>
    </w:p>
    <w:p>
      <w:pPr>
        <w:spacing w:after="0" w:line="7" w:lineRule="exact"/>
        <w:rPr>
          <w:rFonts w:ascii="Arial" w:cs="Arial" w:eastAsia="Arial" w:hAnsi="Arial"/>
          <w:sz w:val="19"/>
          <w:szCs w:val="19"/>
          <w:color w:val="auto"/>
        </w:rPr>
      </w:pPr>
    </w:p>
    <w:p>
      <w:pPr>
        <w:ind w:left="840" w:right="239"/>
        <w:spacing w:after="0" w:line="270"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Accrued Obligations</w:t>
      </w:r>
      <w:r>
        <w:rPr>
          <w:rFonts w:ascii="Arial" w:cs="Arial" w:eastAsia="Arial" w:hAnsi="Arial"/>
          <w:sz w:val="19"/>
          <w:szCs w:val="19"/>
          <w:color w:val="auto"/>
        </w:rPr>
        <w:t>”); and (v) provided that Executive, or a representative of Executive’s estate, as the case may be, executes and delivers to the Company an irrevocable release of all employment-related claims against the Company as further described in Section 3.2(e), a pro-rated annual incentive bonus payment (based on the number of days worked in that fiscal year) for the fiscal year in which termination occurs based on actual performance-based bonus attainments for such fiscal year, payable in a lump sum. The pro-rated annual incentive bonus payment shall be made at such time as other participants in the plan receive their payment, or, if later, on the sixtieth (60th) day following the date of Executive’s termination of employment, provided that (i) and (ii) of Section 3.2(e) have been satisfied by such date. The treatment of Executive’s equity awards, if any, shall be governed by the applicable plans or grant agreements, except as explicitly provided to the contrary pursuant to this Agreement.</w:t>
      </w: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With Cause or Resignation Without Good Reason</w:t>
      </w:r>
    </w:p>
    <w:p>
      <w:pPr>
        <w:spacing w:after="0" w:line="8" w:lineRule="exact"/>
        <w:rPr>
          <w:sz w:val="20"/>
          <w:szCs w:val="20"/>
          <w:color w:val="auto"/>
        </w:rPr>
      </w:pPr>
    </w:p>
    <w:p>
      <w:pPr>
        <w:ind w:left="840" w:right="359" w:firstLine="640"/>
        <w:spacing w:after="0" w:line="275" w:lineRule="auto"/>
        <w:tabs>
          <w:tab w:leader="none" w:pos="165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If Executive’s employment is terminated pursuant to Section 3.1(b) or (c), above, Executive shall have no further rights against the Company hereunder, except for the right to receive the Accrued Obligations. The treatment of Executive’s incentive compensation provided under Section 2.2 hereof and the treatment of Executive’s equity awards, if any, shall be governed by the terms of the applicable plans or grant agreements, except as explicitly provided to the contrary pursuant to this Agreement.</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Without Cause or For Good Reason</w:t>
      </w:r>
    </w:p>
    <w:p>
      <w:pPr>
        <w:spacing w:after="0" w:line="8" w:lineRule="exact"/>
        <w:rPr>
          <w:sz w:val="20"/>
          <w:szCs w:val="20"/>
          <w:color w:val="auto"/>
        </w:rPr>
      </w:pPr>
    </w:p>
    <w:p>
      <w:pPr>
        <w:ind w:left="840" w:right="259" w:hanging="602"/>
        <w:spacing w:after="0" w:line="242" w:lineRule="auto"/>
        <w:tabs>
          <w:tab w:leader="none" w:pos="372" w:val="left"/>
        </w:tabs>
        <w:numPr>
          <w:ilvl w:val="0"/>
          <w:numId w:val="28"/>
        </w:numPr>
        <w:rPr>
          <w:rFonts w:ascii="Arial" w:cs="Arial" w:eastAsia="Arial" w:hAnsi="Arial"/>
          <w:sz w:val="21"/>
          <w:szCs w:val="21"/>
          <w:color w:val="auto"/>
        </w:rPr>
      </w:pPr>
      <w:r>
        <w:rPr>
          <w:rFonts w:ascii="Arial" w:cs="Arial" w:eastAsia="Arial" w:hAnsi="Arial"/>
          <w:sz w:val="21"/>
          <w:szCs w:val="21"/>
          <w:color w:val="auto"/>
        </w:rPr>
        <w:t>No Change in Control. If Executive’s employment is terminated pursuant to Section 3.1(d) or (e), above, and such termination does not occur within the period that begins thirty (30) days prior to a Change in Control (defined below) and ends two (2) years following a Change in Control (the “Change in Control Period”), Executive shall have no further rights against the Company hereunder, except for the right to receive: (i) the Accrued Obligations; and (ii) Severance Payments, as defined below, but only for so long as Executive complies with the requirements of Articles IV, V, VI, VII, VIII, IX and X, below. For purposes of this Agreement, “Severance Payments” means: (A) twelve (12) months of Base Salary continuation; (B) a pro-rated annual incentive bonus payment (based on the number of days worked in that fiscal year) for the fiscal year in which termination occurs based on actual performance-based bonus attainments for such fiscal year; and (C) to the extent it does not result in a tax or penalty on the Company, reimbursement for that portion of the premiums paid by Executive to obtain COBRA continuation health coverage that equals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7" w:name="page38"/>
    <w:bookmarkEnd w:id="37"/>
    <w:p>
      <w:pPr>
        <w:ind w:left="840" w:right="199"/>
        <w:spacing w:after="0" w:line="245" w:lineRule="auto"/>
        <w:rPr>
          <w:sz w:val="20"/>
          <w:szCs w:val="20"/>
          <w:color w:val="auto"/>
        </w:rPr>
      </w:pPr>
      <w:r>
        <w:rPr>
          <w:rFonts w:ascii="Arial" w:cs="Arial" w:eastAsia="Arial" w:hAnsi="Arial"/>
          <w:sz w:val="21"/>
          <w:szCs w:val="21"/>
          <w:color w:val="auto"/>
        </w:rPr>
        <w:t>the Company’s subsidy for health coverage for active employees with family coverage (if applicable) grossed up so that Executive will be made whole for such premiums on an after-tax basis (“COBRA Continuation Payments”) for twelve (12) months following the date employment terminates (provided that Executive has not obtained health coverage from any other source and is not eligible to receive health coverage from any other employer, in which event Executive shall promptly notify the Company of the alternative health coverage and shall no longer be entitled to reimbursement), at the times provided in Section 3.2(f), below. The treatment of Executive’s equity awards, if any, shall be governed by the terms of the applicable plans or grant agreements, except as explicitly provided to the contrary pursuant to this Agreement.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Without Cause or For Good Reason</w:t>
      </w:r>
    </w:p>
    <w:p>
      <w:pPr>
        <w:spacing w:after="0" w:line="8" w:lineRule="exact"/>
        <w:rPr>
          <w:sz w:val="20"/>
          <w:szCs w:val="20"/>
          <w:color w:val="auto"/>
        </w:rPr>
      </w:pPr>
    </w:p>
    <w:p>
      <w:pPr>
        <w:ind w:left="840" w:right="199" w:hanging="602"/>
        <w:spacing w:after="0" w:line="268" w:lineRule="auto"/>
        <w:tabs>
          <w:tab w:leader="none" w:pos="426" w:val="left"/>
        </w:tabs>
        <w:numPr>
          <w:ilvl w:val="0"/>
          <w:numId w:val="29"/>
        </w:numPr>
        <w:rPr>
          <w:rFonts w:ascii="Arial" w:cs="Arial" w:eastAsia="Arial" w:hAnsi="Arial"/>
          <w:sz w:val="19"/>
          <w:szCs w:val="19"/>
          <w:color w:val="auto"/>
        </w:rPr>
      </w:pPr>
      <w:r>
        <w:rPr>
          <w:rFonts w:ascii="Arial" w:cs="Arial" w:eastAsia="Arial" w:hAnsi="Arial"/>
          <w:sz w:val="19"/>
          <w:szCs w:val="19"/>
          <w:color w:val="auto"/>
        </w:rPr>
        <w:t>Change in Control. If Executive’s employment is terminated pursuant to Section 3.1(d) or (e), above, and such termination occurs during the Change in Control Period, Executive shall have no further rights against the Company hereunder, except for the right to receive: (i) the Accrued Obligations; and (ii) Change in Control Severance Payments, as defined below, but only for so long as Executive complies with the requirements of Articles IV, V, VI, VII, VIII, IX and X, below. For purposes of this Agreement, “Change in Control Severance Payments” means (A) a lump-sum payment of two and one-half (2.5) times the sum of (x) twelve (12) months of Base Salary and (y) Executive’s annual target bonus for the fiscal year in which termination occurs; and (B) COBRA Continuation Payments for eighteen (18) months following the date employment terminates (provided that Executive has not obtained health coverage from any other source and is not eligible to receive health coverage from any other employer, in which event Executive shall promptly notify the Company of the alternative health coverage and shall no longer be entitled to reimbursement), at the times provided in Section 3.2(f), below. The treatment of Executive’s equity awards, if any, shall be governed by the terms of the applicable plans or grant agreements, except as explicitly provided to the contrary pursuant to this Agreement. For purposes of this Agreement, “Change in Control” shall mean the first to occur of the following: (i) the sale, lease, exchange, encumbrance or other disposition (other than licenses that do not constitute an effective disposition of all or substantially all of the assets of the Company and its subsidiaries taken as a whole, and the grant of security interests in the ordinary course of business) by the Company of all or substantially all of the Company’s assets; or (ii) the merger or consolidation of the Company with or into any other entity, other than a merger or consolidation that would result in the Class A Common Stock of the Company outstanding immediately prior thereto continuing to represent (either by remaining outstanding or by being converted into voting securities of the surviving entity or its sole parent entity) more than fifty percent (50%) of the total voting power represented by the voting securities of the Company or such surviving entity or its sole parent entity outstanding immediately after such merger or consolidation. Notwithstanding the foregoing, a transaction shall not constitute a Change in Control unless the transaction also constitutes a change in the ownership or effective control of a corporation, or a change in the ownership of a substantial portion of the assets of a corporation within the meaning of Section 409A and the 409A Regulations.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8" w:name="page39"/>
    <w:bookmarkEnd w:id="38"/>
    <w:p>
      <w:pPr>
        <w:ind w:left="180"/>
        <w:spacing w:after="0"/>
        <w:rPr>
          <w:sz w:val="20"/>
          <w:szCs w:val="20"/>
          <w:color w:val="auto"/>
        </w:rPr>
      </w:pPr>
      <w:r>
        <w:rPr>
          <w:rFonts w:ascii="Arial" w:cs="Arial" w:eastAsia="Arial" w:hAnsi="Arial"/>
          <w:sz w:val="22"/>
          <w:szCs w:val="22"/>
          <w:color w:val="auto"/>
        </w:rPr>
        <w:t>Release Requirement</w:t>
      </w:r>
    </w:p>
    <w:p>
      <w:pPr>
        <w:spacing w:after="0" w:line="9" w:lineRule="exact"/>
        <w:rPr>
          <w:sz w:val="20"/>
          <w:szCs w:val="20"/>
          <w:color w:val="auto"/>
        </w:rPr>
      </w:pPr>
    </w:p>
    <w:p>
      <w:pPr>
        <w:ind w:left="840" w:right="199" w:firstLine="1288"/>
        <w:spacing w:after="0" w:line="271" w:lineRule="auto"/>
        <w:tabs>
          <w:tab w:leader="none" w:pos="2298" w:val="left"/>
        </w:tabs>
        <w:numPr>
          <w:ilvl w:val="0"/>
          <w:numId w:val="30"/>
        </w:numPr>
        <w:rPr>
          <w:rFonts w:ascii="Arial" w:cs="Arial" w:eastAsia="Arial" w:hAnsi="Arial"/>
          <w:sz w:val="19"/>
          <w:szCs w:val="19"/>
          <w:color w:val="auto"/>
        </w:rPr>
      </w:pPr>
      <w:r>
        <w:rPr>
          <w:rFonts w:ascii="Arial" w:cs="Arial" w:eastAsia="Arial" w:hAnsi="Arial"/>
          <w:sz w:val="19"/>
          <w:szCs w:val="19"/>
          <w:color w:val="auto"/>
        </w:rPr>
        <w:t>Notwithstanding the foregoing, the Company shall not pay to Executive, and Executive shall not have any right to receive, the Severance Payments or Change in Control Severance Payment unless, on or before the sixtieth (60th) day following the date of termination of employment: (i) Executive has executed and delivered to the Company a release of all employment-related claims against the Company, its affiliates, successor companies, and their past and current directors, officers, employees and agents, in a form provided to Executive by the Company (which shall preserve, to the extent applicable, any indemnity rights Executive may be entitled to pursuant to Company by-laws, statute or any director and officer liability insurance maintained by the Company); and (ii) the statutory revocation period for such release has expired.</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Timing of Payment of Severance Payments</w:t>
      </w:r>
    </w:p>
    <w:p>
      <w:pPr>
        <w:spacing w:after="0" w:line="8" w:lineRule="exact"/>
        <w:rPr>
          <w:sz w:val="20"/>
          <w:szCs w:val="20"/>
          <w:color w:val="auto"/>
        </w:rPr>
      </w:pPr>
    </w:p>
    <w:p>
      <w:pPr>
        <w:ind w:left="840" w:right="259" w:firstLine="648"/>
        <w:spacing w:after="0" w:line="266" w:lineRule="auto"/>
        <w:rPr>
          <w:sz w:val="20"/>
          <w:szCs w:val="20"/>
          <w:color w:val="auto"/>
        </w:rPr>
      </w:pPr>
      <w:r>
        <w:rPr>
          <w:rFonts w:ascii="Arial" w:cs="Arial" w:eastAsia="Arial" w:hAnsi="Arial"/>
          <w:sz w:val="19"/>
          <w:szCs w:val="19"/>
          <w:u w:val="single" w:color="auto"/>
          <w:color w:val="auto"/>
        </w:rPr>
        <w:t>/Change in Control Severance Payments</w:t>
      </w:r>
      <w:r>
        <w:rPr>
          <w:rFonts w:ascii="Arial" w:cs="Arial" w:eastAsia="Arial" w:hAnsi="Arial"/>
          <w:sz w:val="19"/>
          <w:szCs w:val="19"/>
          <w:color w:val="auto"/>
        </w:rPr>
        <w:t>. Base Salary continuation provided for in Section 3.2(c) shall commence on the sixtieth (60th) day following the date of termination of employment and shall be paid over a twelve (12) month period in accordance with the normal payroll practices and schedule of the Company. The pro-rated annual incentive bonus payment provided for in Section 3.2(c) shall be made at such time as other participants in the plan receive their payment, or, if later, on the sixtieth (60th) day following the date of Executive’s termination of employment, provided that Section 3.2(e) has been satisfied by such date. The lump-sum payment provided for in Section 3.2(d) shall be made on the sixtieth (60th) day following the date of termination of employment. The COBRA Continuation Payments provided for in Sections 3.2(c) and 3.2(d) shall be paid on a monthly basis after Executive has paid the applicable COBRA premium payment, provided that Section 3.2(e) has been satisfied by such date, over a 12-month or 18-month period, as applicable. Notwithstanding anything to the contrary contained in this Agreement, if: (i) Executive is a “specified employee” within the meaning of</w:t>
      </w:r>
    </w:p>
    <w:p>
      <w:pPr>
        <w:spacing w:after="0" w:line="12" w:lineRule="exact"/>
        <w:rPr>
          <w:sz w:val="20"/>
          <w:szCs w:val="20"/>
          <w:color w:val="auto"/>
        </w:rPr>
      </w:pPr>
    </w:p>
    <w:p>
      <w:pPr>
        <w:ind w:left="840" w:right="319"/>
        <w:spacing w:after="0" w:line="246" w:lineRule="exact"/>
        <w:rPr>
          <w:sz w:val="20"/>
          <w:szCs w:val="20"/>
          <w:color w:val="auto"/>
        </w:rPr>
      </w:pPr>
      <w:r>
        <w:rPr>
          <w:rFonts w:ascii="Arial" w:cs="Arial" w:eastAsia="Arial" w:hAnsi="Arial"/>
          <w:sz w:val="19"/>
          <w:szCs w:val="19"/>
          <w:color w:val="auto"/>
        </w:rPr>
        <w:t>Section 1.409A</w:t>
      </w:r>
      <w:r>
        <w:rPr>
          <w:rFonts w:ascii="MS PGothic" w:cs="MS PGothic" w:eastAsia="MS PGothic" w:hAnsi="MS PGothic"/>
          <w:sz w:val="19"/>
          <w:szCs w:val="19"/>
          <w:color w:val="auto"/>
        </w:rPr>
        <w:t>‑</w:t>
      </w:r>
      <w:r>
        <w:rPr>
          <w:rFonts w:ascii="Arial" w:cs="Arial" w:eastAsia="Arial" w:hAnsi="Arial"/>
          <w:sz w:val="19"/>
          <w:szCs w:val="19"/>
          <w:color w:val="auto"/>
        </w:rPr>
        <w:t>1(i) of the 409A Regulations; and (ii) the Severance Payments do not qualify for exemption from Section 409A under the short-term deferral exception to deferred compensation of Section 1.409A-1(b)(4) of the 409A Regulations, the separation pay plan exception to deferred compensation of Section 1.409A-1(b)(9) of the 409A Regulations, or any other exception under the 409A Regulations, that portion of the Severance Payments not exempt from Section 409A of the Code shall be made in accordance with the terms of this Agreement, but in no event earlier than the first to occur of: (A) the day after the six-month anniversary of Executive’s termination of employment; or (B) Executive’s death. Any payments delayed pursuant to the prior sentence shall be made in a lump sum, on the first business day after the six-month anniversary of Executive’s termination of employment along with interest thereon payable at the short-term applicable federal rate for monthly payments, as determined under Section 1274(d) of the Code, for the month in which Executive’s employment terminated. Each installment of the Severance Payments shall be deemed a separate payment for purposes of Section 409A and the 409A Regulations.</w:t>
      </w:r>
    </w:p>
    <w:p>
      <w:pPr>
        <w:spacing w:after="0" w:line="200" w:lineRule="exact"/>
        <w:rPr>
          <w:sz w:val="20"/>
          <w:szCs w:val="20"/>
          <w:color w:val="auto"/>
        </w:rPr>
      </w:pPr>
    </w:p>
    <w:p>
      <w:pPr>
        <w:spacing w:after="0" w:line="202" w:lineRule="exact"/>
        <w:rPr>
          <w:sz w:val="20"/>
          <w:szCs w:val="20"/>
          <w:color w:val="auto"/>
        </w:rPr>
      </w:pPr>
    </w:p>
    <w:p>
      <w:pPr>
        <w:ind w:left="180" w:right="659"/>
        <w:spacing w:after="0" w:line="239" w:lineRule="auto"/>
        <w:rPr>
          <w:sz w:val="20"/>
          <w:szCs w:val="20"/>
          <w:color w:val="auto"/>
        </w:rPr>
      </w:pPr>
      <w:r>
        <w:rPr>
          <w:rFonts w:ascii="Arial" w:cs="Arial" w:eastAsia="Arial" w:hAnsi="Arial"/>
          <w:sz w:val="22"/>
          <w:szCs w:val="22"/>
          <w:color w:val="auto"/>
        </w:rPr>
        <w:t>Treatment of Severance Payments/Change in Control Severance Payments for Tax and Benefit Purposes</w:t>
      </w:r>
    </w:p>
    <w:p>
      <w:pPr>
        <w:ind w:left="840" w:right="439" w:firstLine="640"/>
        <w:spacing w:after="0" w:line="245" w:lineRule="auto"/>
        <w:tabs>
          <w:tab w:leader="none" w:pos="1646"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Severance Payments and Change in Control Severance Payments shall be treated as ordinary income and shall be reduced by any applicable income or employment taxes which are required to be withheld under applicable law, and all amounts are stated before any such deduction. Furthermore, the Severance Payments and Change in Control Severance Payments shall not be included as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9" w:name="page40"/>
    <w:bookmarkEnd w:id="39"/>
    <w:p>
      <w:pPr>
        <w:ind w:left="840" w:right="519"/>
        <w:spacing w:after="0" w:line="251" w:lineRule="auto"/>
        <w:rPr>
          <w:sz w:val="20"/>
          <w:szCs w:val="20"/>
          <w:color w:val="auto"/>
        </w:rPr>
      </w:pPr>
      <w:r>
        <w:rPr>
          <w:rFonts w:ascii="Arial" w:cs="Arial" w:eastAsia="Arial" w:hAnsi="Arial"/>
          <w:sz w:val="22"/>
          <w:szCs w:val="22"/>
          <w:color w:val="auto"/>
        </w:rPr>
        <w:t>compensation for purposes of any qualified or nonqualified retirement or welfare benefit plan, program or policy of the Company.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Parachute Payments</w:t>
      </w:r>
    </w:p>
    <w:p>
      <w:pPr>
        <w:spacing w:after="0" w:line="8" w:lineRule="exact"/>
        <w:rPr>
          <w:sz w:val="20"/>
          <w:szCs w:val="20"/>
          <w:color w:val="auto"/>
        </w:rPr>
      </w:pPr>
    </w:p>
    <w:p>
      <w:pPr>
        <w:ind w:left="840" w:right="219" w:firstLine="640"/>
        <w:spacing w:after="0" w:line="268" w:lineRule="auto"/>
        <w:tabs>
          <w:tab w:leader="none" w:pos="1650" w:val="left"/>
        </w:tabs>
        <w:numPr>
          <w:ilvl w:val="0"/>
          <w:numId w:val="32"/>
        </w:numPr>
        <w:rPr>
          <w:rFonts w:ascii="Arial" w:cs="Arial" w:eastAsia="Arial" w:hAnsi="Arial"/>
          <w:sz w:val="19"/>
          <w:szCs w:val="19"/>
          <w:color w:val="auto"/>
        </w:rPr>
      </w:pPr>
      <w:r>
        <w:rPr>
          <w:rFonts w:ascii="Arial" w:cs="Arial" w:eastAsia="Arial" w:hAnsi="Arial"/>
          <w:sz w:val="19"/>
          <w:szCs w:val="19"/>
          <w:color w:val="auto"/>
        </w:rPr>
        <w:t>Notwithstanding anything contained in this Agreement to the contrary, the Company, based on the advice of its legal or tax counsel, shall compute whether there would be any “excess parachute payments” payable to Executive, within the meaning of Section 280G of the Code, taking into account the total ‘‘parachute payments,” within the meaning of Section 280G of the Code, payable to Executive by the Company under this Agreement and any other plan, agreement or otherwise. If there would be any excess parachute payments, the Company, based on the advice of its legal or tax counsel, shall compute the net after-tax proceeds related to such parachute payments, taking into account the excise tax imposed by Section 4999 of the Code, as if: (i) such parachute payments were reduced, but not below zero, such that the total parachute payments payable to Executive would not exceed three (3) times the “base amount” as defined in Section 280G of the Code, less One Dollar ($1.00); or (ii) the full amount of such parachute payments were not reduced. If reducing the amount of such parachute payments otherwise payable would result in a greater after-tax amount to Executive, such reduced amount shall be paid to Executive and the remainder shall be forfeited. If not reducing such parachute payments otherwise payable would result in a greater after-tax amount to Executive, then such parachute payments shall not be reduced. If such parachute payments are reduced pursuant to the foregoing, they will be reduced in the following order: first, by reducing any cash severance payments, then by reducing any fringe or other severance benefits, and finally by reducing any payments or benefits otherwise payable with respect to, or measured by, the Company’s common stock (including without limitation by eliminating accelerated vesting, in each case starting with the installment or tranche last eligible to become vested absent the occurrence of a change in control). Notwithstanding the foregoing, to the extent the Parties agree that any of the foregoing amounts are not parachute payments, such amounts shall not be reduced. To the extent the Parties cannot agree as to whether any of the payments are in fact parachute payments, the Parties will designate, by mutual agreement, an unrelated third-party with tax expertise to make the determination. Notwithstanding any provision of this Section 3.2(d) to the contrary, no amount shall be subject to reduction pursuant to this Section 3.2(d) to the extent the reduction would result in a violation of any applicable law.</w:t>
      </w:r>
    </w:p>
    <w:p>
      <w:pPr>
        <w:spacing w:after="0" w:line="16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CONFIDENTIALITY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Confidentiality Obligations</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840" w:right="439" w:firstLine="640"/>
        <w:spacing w:after="0" w:line="297" w:lineRule="auto"/>
        <w:tabs>
          <w:tab w:leader="none" w:pos="2187" w:val="left"/>
        </w:tabs>
        <w:numPr>
          <w:ilvl w:val="0"/>
          <w:numId w:val="3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During Employment. Executive will not, during Executive’s employment with the Company, directly or indirectly use or disclose any Confidential Information or Trade Secrets except in the interest and for the benefit of the Company.</w:t>
      </w:r>
    </w:p>
    <w:p>
      <w:pPr>
        <w:spacing w:after="0" w:line="133" w:lineRule="exact"/>
        <w:rPr>
          <w:rFonts w:ascii="Arial" w:cs="Arial" w:eastAsia="Arial" w:hAnsi="Arial"/>
          <w:sz w:val="19"/>
          <w:szCs w:val="19"/>
          <w:u w:val="single" w:color="auto"/>
          <w:color w:val="auto"/>
        </w:rPr>
      </w:pPr>
    </w:p>
    <w:p>
      <w:pPr>
        <w:ind w:left="840" w:right="319" w:firstLine="640"/>
        <w:spacing w:after="0"/>
        <w:tabs>
          <w:tab w:leader="none" w:pos="2199" w:val="left"/>
        </w:tabs>
        <w:numPr>
          <w:ilvl w:val="0"/>
          <w:numId w:val="3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 xml:space="preserve">Trade Secrets Post-Employment. After the end, for any reason, of Executive’s employment with the Company, Executive will not directly or indirectly use or </w:t>
      </w:r>
      <w:r>
        <w:rPr>
          <w:rFonts w:ascii="Arial" w:cs="Arial" w:eastAsia="Arial" w:hAnsi="Arial"/>
          <w:sz w:val="22"/>
          <w:szCs w:val="22"/>
          <w:color w:val="auto"/>
        </w:rPr>
        <w:t>disclose any Trade Secrets.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-339090</wp:posOffset>
            </wp:positionV>
            <wp:extent cx="34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-30480</wp:posOffset>
            </wp:positionV>
            <wp:extent cx="16256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625600" cy="8255"/>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0" w:name="page41"/>
    <w:bookmarkEnd w:id="40"/>
    <w:p>
      <w:pPr>
        <w:ind w:left="2180" w:hanging="700"/>
        <w:spacing w:after="0"/>
        <w:tabs>
          <w:tab w:leader="none" w:pos="2180" w:val="left"/>
        </w:tabs>
        <w:numPr>
          <w:ilvl w:val="1"/>
          <w:numId w:val="34"/>
        </w:numPr>
        <w:rPr>
          <w:rFonts w:ascii="Arial" w:cs="Arial" w:eastAsia="Arial" w:hAnsi="Arial"/>
          <w:sz w:val="21"/>
          <w:szCs w:val="21"/>
          <w:color w:val="auto"/>
        </w:rPr>
      </w:pPr>
      <w:r>
        <w:rPr>
          <w:rFonts w:ascii="Arial" w:cs="Arial" w:eastAsia="Arial" w:hAnsi="Arial"/>
          <w:sz w:val="21"/>
          <w:szCs w:val="21"/>
          <w:color w:val="auto"/>
        </w:rPr>
        <w:t>Confidential Information Post-Employment. For a period of twenty-four</w:t>
      </w:r>
    </w:p>
    <w:p>
      <w:pPr>
        <w:spacing w:after="0" w:line="20" w:lineRule="exact"/>
        <w:rPr>
          <w:rFonts w:ascii="Arial" w:cs="Arial" w:eastAsia="Arial" w:hAnsi="Arial"/>
          <w:sz w:val="21"/>
          <w:szCs w:val="21"/>
          <w:color w:val="auto"/>
        </w:rPr>
      </w:pPr>
    </w:p>
    <w:p>
      <w:pPr>
        <w:jc w:val="both"/>
        <w:ind w:left="840" w:right="979" w:hanging="8"/>
        <w:spacing w:after="0" w:line="234" w:lineRule="auto"/>
        <w:tabs>
          <w:tab w:leader="none" w:pos="1254" w:val="left"/>
        </w:tabs>
        <w:numPr>
          <w:ilvl w:val="0"/>
          <w:numId w:val="35"/>
        </w:numPr>
        <w:rPr>
          <w:rFonts w:ascii="Arial" w:cs="Arial" w:eastAsia="Arial" w:hAnsi="Arial"/>
          <w:sz w:val="22"/>
          <w:szCs w:val="22"/>
          <w:color w:val="auto"/>
        </w:rPr>
      </w:pPr>
      <w:r>
        <w:rPr>
          <w:rFonts w:ascii="Arial" w:cs="Arial" w:eastAsia="Arial" w:hAnsi="Arial"/>
          <w:sz w:val="22"/>
          <w:szCs w:val="22"/>
          <w:color w:val="auto"/>
        </w:rPr>
        <w:t>months following the end, for any reason, of Executive’s employment with the Company, Executive will not directly or indirectly use or disclose any Confidential Information.</w:t>
      </w:r>
    </w:p>
    <w:p>
      <w:pPr>
        <w:spacing w:after="0" w:line="187" w:lineRule="exact"/>
        <w:rPr>
          <w:rFonts w:ascii="Arial" w:cs="Arial" w:eastAsia="Arial" w:hAnsi="Arial"/>
          <w:sz w:val="22"/>
          <w:szCs w:val="22"/>
          <w:color w:val="auto"/>
        </w:rPr>
      </w:pPr>
    </w:p>
    <w:p>
      <w:pPr>
        <w:jc w:val="both"/>
        <w:ind w:left="840" w:right="399" w:firstLine="640"/>
        <w:spacing w:after="0"/>
        <w:tabs>
          <w:tab w:leader="none" w:pos="2199"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Third Party Information. Executive further agrees not to use or disclose at any time information received by the Company from others except in accordance with the Company’s contractual or other legal obligations.</w:t>
      </w:r>
    </w:p>
    <w:p>
      <w:pPr>
        <w:spacing w:after="0" w:line="186" w:lineRule="exact"/>
        <w:rPr>
          <w:sz w:val="20"/>
          <w:szCs w:val="20"/>
          <w:color w:val="auto"/>
        </w:rPr>
      </w:pPr>
    </w:p>
    <w:p>
      <w:pPr>
        <w:ind w:left="840"/>
        <w:spacing w:after="0"/>
        <w:tabs>
          <w:tab w:leader="none" w:pos="1520" w:val="left"/>
        </w:tabs>
        <w:rPr>
          <w:sz w:val="20"/>
          <w:szCs w:val="20"/>
          <w:color w:val="auto"/>
        </w:rPr>
      </w:pPr>
      <w:r>
        <w:rPr>
          <w:rFonts w:ascii="Arial" w:cs="Arial" w:eastAsia="Arial" w:hAnsi="Arial"/>
          <w:sz w:val="22"/>
          <w:szCs w:val="22"/>
          <w:u w:val="single" w:color="auto"/>
          <w:color w:val="auto"/>
        </w:rPr>
        <w:t>4.4</w:t>
      </w:r>
      <w:r>
        <w:rPr>
          <w:sz w:val="20"/>
          <w:szCs w:val="20"/>
          <w:color w:val="auto"/>
        </w:rPr>
        <w:tab/>
      </w:r>
      <w:r>
        <w:rPr>
          <w:rFonts w:ascii="Arial" w:cs="Arial" w:eastAsia="Arial" w:hAnsi="Arial"/>
          <w:sz w:val="21"/>
          <w:szCs w:val="21"/>
          <w:u w:val="single" w:color="auto"/>
          <w:color w:val="auto"/>
        </w:rPr>
        <w:t>Definitions.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Trade Secret</w:t>
      </w:r>
    </w:p>
    <w:p>
      <w:pPr>
        <w:spacing w:after="0" w:line="8" w:lineRule="exact"/>
        <w:rPr>
          <w:sz w:val="20"/>
          <w:szCs w:val="20"/>
          <w:color w:val="auto"/>
        </w:rPr>
      </w:pPr>
    </w:p>
    <w:p>
      <w:pPr>
        <w:ind w:left="180" w:right="1079" w:firstLine="1296"/>
        <w:spacing w:after="0" w:line="333" w:lineRule="auto"/>
        <w:rPr>
          <w:sz w:val="20"/>
          <w:szCs w:val="20"/>
          <w:color w:val="auto"/>
        </w:rPr>
      </w:pPr>
      <w:r>
        <w:rPr>
          <w:rFonts w:ascii="Arial" w:cs="Arial" w:eastAsia="Arial" w:hAnsi="Arial"/>
          <w:sz w:val="22"/>
          <w:szCs w:val="22"/>
          <w:color w:val="auto"/>
        </w:rPr>
        <w:t>. The term “</w:t>
      </w:r>
      <w:r>
        <w:rPr>
          <w:rFonts w:ascii="Arial" w:cs="Arial" w:eastAsia="Arial" w:hAnsi="Arial"/>
          <w:sz w:val="22"/>
          <w:szCs w:val="22"/>
          <w:u w:val="single" w:color="auto"/>
          <w:color w:val="auto"/>
        </w:rPr>
        <w:t>Trade Secret</w:t>
      </w:r>
      <w:r>
        <w:rPr>
          <w:rFonts w:ascii="Arial" w:cs="Arial" w:eastAsia="Arial" w:hAnsi="Arial"/>
          <w:sz w:val="22"/>
          <w:szCs w:val="22"/>
          <w:color w:val="auto"/>
        </w:rPr>
        <w:t>” has that meaning set forth under applicable law. Confidential Information</w:t>
      </w:r>
    </w:p>
    <w:p>
      <w:pPr>
        <w:ind w:left="840" w:right="259" w:firstLine="640"/>
        <w:spacing w:after="0" w:line="266" w:lineRule="auto"/>
        <w:tabs>
          <w:tab w:leader="none" w:pos="1646"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non-Trade Secret information of, about or related to the Company or provided to the Company by its customers and suppliers that is not known generally to the public or the Company’s competitors. Confidential Information includes, but is not limited to: (i) strategic plans, budgets, forecasts, financial information, inventions, product designs and specifications, material specifications, materials sourcing information, product costs, information about products under development, research and development information, production processes, equipment design and layout, customer lists, information about orders from and transactions with customers, sales and marketing information, strategies and plans, pricing information; and</w:t>
      </w:r>
    </w:p>
    <w:p>
      <w:pPr>
        <w:spacing w:after="0" w:line="7" w:lineRule="exact"/>
        <w:rPr>
          <w:rFonts w:ascii="Arial" w:cs="Arial" w:eastAsia="Arial" w:hAnsi="Arial"/>
          <w:sz w:val="19"/>
          <w:szCs w:val="19"/>
          <w:color w:val="auto"/>
        </w:rPr>
      </w:pPr>
    </w:p>
    <w:p>
      <w:pPr>
        <w:ind w:left="840" w:right="839" w:hanging="8"/>
        <w:spacing w:after="0" w:line="236" w:lineRule="auto"/>
        <w:tabs>
          <w:tab w:leader="none" w:pos="1158"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information which is marked or otherwise designated or treated as confidential or proprietary by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Exclusions</w:t>
      </w:r>
    </w:p>
    <w:p>
      <w:pPr>
        <w:spacing w:after="0" w:line="8" w:lineRule="exact"/>
        <w:rPr>
          <w:sz w:val="20"/>
          <w:szCs w:val="20"/>
          <w:color w:val="auto"/>
        </w:rPr>
      </w:pPr>
    </w:p>
    <w:p>
      <w:pPr>
        <w:ind w:left="840" w:right="259" w:firstLine="640"/>
        <w:spacing w:after="0" w:line="243" w:lineRule="auto"/>
        <w:tabs>
          <w:tab w:leader="none" w:pos="1650" w:val="left"/>
        </w:tabs>
        <w:numPr>
          <w:ilvl w:val="0"/>
          <w:numId w:val="37"/>
        </w:numPr>
        <w:rPr>
          <w:rFonts w:ascii="Arial" w:cs="Arial" w:eastAsia="Arial" w:hAnsi="Arial"/>
          <w:sz w:val="21"/>
          <w:szCs w:val="21"/>
          <w:color w:val="auto"/>
        </w:rPr>
      </w:pPr>
      <w:r>
        <w:rPr>
          <w:rFonts w:ascii="Arial" w:cs="Arial" w:eastAsia="Arial" w:hAnsi="Arial"/>
          <w:sz w:val="21"/>
          <w:szCs w:val="21"/>
          <w:color w:val="auto"/>
        </w:rPr>
        <w:t>Notwithstanding the foregoing, the terms “Confidential Information” and “Trade Secret” do not include, and the obligations set forth in this Agreement do not apply to, any information which: (i) can be demonstrated by Executive to have been known by Executive prior to Executive’s employment by the Company; (ii) is or becomes generally available to the public through no act or omission of Executive; (iii) is obtained by Executive in good faith from a third party who discloses such information to Executive on a non-confidential basis without violating any obligation of confidentiality or secrecy relating to the information disclosed; or (iv) is independently developed by Executive outside the scope of Executive’s employment without use of Confidential Information or Trade Secrets of the Company.</w:t>
      </w:r>
    </w:p>
    <w:p>
      <w:pPr>
        <w:spacing w:after="0" w:line="183" w:lineRule="exact"/>
        <w:rPr>
          <w:sz w:val="20"/>
          <w:szCs w:val="20"/>
          <w:color w:val="auto"/>
        </w:rPr>
      </w:pPr>
    </w:p>
    <w:p>
      <w:pPr>
        <w:ind w:left="180" w:right="279" w:firstLine="648"/>
        <w:spacing w:after="0" w:line="273" w:lineRule="auto"/>
        <w:rPr>
          <w:sz w:val="20"/>
          <w:szCs w:val="20"/>
          <w:color w:val="auto"/>
        </w:rPr>
      </w:pPr>
      <w:r>
        <w:rPr>
          <w:rFonts w:ascii="Arial" w:cs="Arial" w:eastAsia="Arial" w:hAnsi="Arial"/>
          <w:sz w:val="19"/>
          <w:szCs w:val="19"/>
          <w:color w:val="auto"/>
        </w:rPr>
        <w:t>4.5 Trade Secret Law. Nothing in this Agreement shall limit or supersede any common law, statutory or other protections of trade secrets where such protections provide the Company with greater rights or protections for a longer duration than provided in this Agreement. With respect to the disclosure of a Trade Secret and in accordance with 18 U.S.C. § 1833, Executive shall not be held criminally or civilly liable under any federal or state trade secret law for the disclosure of a Trade Secret that (a) is made in confidence to a federal, state, or local government official, either directly or indirectly, or to an attorney, provided that, the information is disclosed solely for the purpose of reporting or investigating a suspected violation of law; or (b) is made in a complaint or other document filed in a lawsuit or other proceeding filed under seal so that it is not disclosed to the public. Executive is further notified that if</w:t>
      </w:r>
    </w:p>
    <w:p>
      <w:pPr>
        <w:spacing w:after="0" w:line="16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1" w:name="page42"/>
    <w:bookmarkEnd w:id="41"/>
    <w:p>
      <w:pPr>
        <w:ind w:left="180" w:right="279"/>
        <w:spacing w:after="0" w:line="249" w:lineRule="auto"/>
        <w:rPr>
          <w:sz w:val="20"/>
          <w:szCs w:val="20"/>
          <w:color w:val="auto"/>
        </w:rPr>
      </w:pPr>
      <w:r>
        <w:rPr>
          <w:rFonts w:ascii="Arial" w:cs="Arial" w:eastAsia="Arial" w:hAnsi="Arial"/>
          <w:sz w:val="21"/>
          <w:szCs w:val="21"/>
          <w:color w:val="auto"/>
        </w:rPr>
        <w:t>Executive files a lawsuit for retaliation by the Company for reporting a suspected violation of law, Executive may disclose the Company’s Trade Secrets to Executive’s attorney and use the Trade Secret information in the court proceeding, provided that, Executive files any document containing the Trade Secret under seal so that it is not disclosed to the public, and does not disclose the Trade Secret, except pursuant to court order.</w:t>
      </w:r>
    </w:p>
    <w:p>
      <w:pPr>
        <w:spacing w:after="0" w:line="173"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NON-COMPETITION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Restrictions on Competition During Employment</w:t>
      </w:r>
    </w:p>
    <w:p>
      <w:pPr>
        <w:spacing w:after="0" w:line="8" w:lineRule="exact"/>
        <w:rPr>
          <w:sz w:val="20"/>
          <w:szCs w:val="20"/>
          <w:color w:val="auto"/>
        </w:rPr>
      </w:pPr>
    </w:p>
    <w:p>
      <w:pPr>
        <w:ind w:left="180" w:right="459" w:firstLine="652"/>
        <w:spacing w:after="0" w:line="287" w:lineRule="auto"/>
        <w:tabs>
          <w:tab w:leader="none" w:pos="990" w:val="left"/>
        </w:tabs>
        <w:numPr>
          <w:ilvl w:val="0"/>
          <w:numId w:val="38"/>
        </w:numPr>
        <w:rPr>
          <w:rFonts w:ascii="Arial" w:cs="Arial" w:eastAsia="Arial" w:hAnsi="Arial"/>
          <w:sz w:val="19"/>
          <w:szCs w:val="19"/>
          <w:color w:val="auto"/>
        </w:rPr>
      </w:pPr>
      <w:r>
        <w:rPr>
          <w:rFonts w:ascii="Arial" w:cs="Arial" w:eastAsia="Arial" w:hAnsi="Arial"/>
          <w:sz w:val="19"/>
          <w:szCs w:val="19"/>
          <w:color w:val="auto"/>
        </w:rPr>
        <w:t>During the term of Executive’s employment with the Company, Executive shall not directly or indirectly compete against the Company, or directly or indirectly divert or attempt to divert business from the Company anywhere the Company does or is taking steps to do business.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Post-Employment Restricted Services Obligation</w:t>
      </w:r>
    </w:p>
    <w:p>
      <w:pPr>
        <w:spacing w:after="0" w:line="8" w:lineRule="exact"/>
        <w:rPr>
          <w:sz w:val="20"/>
          <w:szCs w:val="20"/>
          <w:color w:val="auto"/>
        </w:rPr>
      </w:pPr>
    </w:p>
    <w:p>
      <w:pPr>
        <w:ind w:left="180" w:right="519" w:firstLine="652"/>
        <w:spacing w:after="0" w:line="234" w:lineRule="auto"/>
        <w:tabs>
          <w:tab w:leader="none" w:pos="990" w:val="left"/>
        </w:tabs>
        <w:numPr>
          <w:ilvl w:val="0"/>
          <w:numId w:val="39"/>
        </w:numPr>
        <w:rPr>
          <w:rFonts w:ascii="Arial" w:cs="Arial" w:eastAsia="Arial" w:hAnsi="Arial"/>
          <w:sz w:val="22"/>
          <w:szCs w:val="22"/>
          <w:color w:val="auto"/>
        </w:rPr>
      </w:pPr>
      <w:r>
        <w:rPr>
          <w:rFonts w:ascii="Arial" w:cs="Arial" w:eastAsia="Arial" w:hAnsi="Arial"/>
          <w:sz w:val="22"/>
          <w:szCs w:val="22"/>
          <w:color w:val="auto"/>
        </w:rPr>
        <w:t>For a period of two (2) years following the end, for whatever reason, of Executive’s employment with the Company, Executive agrees not to directly or indirectly provide Restricted Services to any Competitor in the Territory.</w:t>
      </w:r>
    </w:p>
    <w:p>
      <w:pPr>
        <w:spacing w:after="0" w:line="187" w:lineRule="exact"/>
        <w:rPr>
          <w:sz w:val="20"/>
          <w:szCs w:val="20"/>
          <w:color w:val="auto"/>
        </w:rPr>
      </w:pPr>
    </w:p>
    <w:p>
      <w:pPr>
        <w:ind w:left="840"/>
        <w:spacing w:after="0"/>
        <w:tabs>
          <w:tab w:leader="none" w:pos="1520" w:val="left"/>
        </w:tabs>
        <w:rPr>
          <w:sz w:val="20"/>
          <w:szCs w:val="20"/>
          <w:color w:val="auto"/>
        </w:rPr>
      </w:pPr>
      <w:r>
        <w:rPr>
          <w:rFonts w:ascii="Arial" w:cs="Arial" w:eastAsia="Arial" w:hAnsi="Arial"/>
          <w:sz w:val="22"/>
          <w:szCs w:val="22"/>
          <w:u w:val="single" w:color="auto"/>
          <w:color w:val="auto"/>
        </w:rPr>
        <w:t>5.1</w:t>
      </w:r>
      <w:r>
        <w:rPr>
          <w:sz w:val="20"/>
          <w:szCs w:val="20"/>
          <w:color w:val="auto"/>
        </w:rPr>
        <w:tab/>
      </w:r>
      <w:r>
        <w:rPr>
          <w:rFonts w:ascii="Arial" w:cs="Arial" w:eastAsia="Arial" w:hAnsi="Arial"/>
          <w:sz w:val="21"/>
          <w:szCs w:val="21"/>
          <w:u w:val="single" w:color="auto"/>
          <w:color w:val="auto"/>
        </w:rPr>
        <w:t>Definitions.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Restricted Services</w:t>
      </w:r>
    </w:p>
    <w:p>
      <w:pPr>
        <w:spacing w:after="0" w:line="8" w:lineRule="exact"/>
        <w:rPr>
          <w:sz w:val="20"/>
          <w:szCs w:val="20"/>
          <w:color w:val="auto"/>
        </w:rPr>
      </w:pPr>
    </w:p>
    <w:p>
      <w:pPr>
        <w:ind w:left="840" w:right="599" w:firstLine="640"/>
        <w:spacing w:after="0" w:line="233" w:lineRule="auto"/>
        <w:tabs>
          <w:tab w:leader="none" w:pos="1646"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Restricted Services</w:t>
      </w:r>
      <w:r>
        <w:rPr>
          <w:rFonts w:ascii="Arial" w:cs="Arial" w:eastAsia="Arial" w:hAnsi="Arial"/>
          <w:sz w:val="22"/>
          <w:szCs w:val="22"/>
          <w:color w:val="auto"/>
        </w:rPr>
        <w:t>” means employment duties and functions of the type provided by Executive to the Company during the twelve (12) month period immediately prior to the end, for whatever reason, of Executive’s employment with the Company.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Competitor</w:t>
      </w:r>
    </w:p>
    <w:p>
      <w:pPr>
        <w:spacing w:after="0" w:line="8" w:lineRule="exact"/>
        <w:rPr>
          <w:sz w:val="20"/>
          <w:szCs w:val="20"/>
          <w:color w:val="auto"/>
        </w:rPr>
      </w:pPr>
    </w:p>
    <w:p>
      <w:pPr>
        <w:ind w:left="840" w:right="239" w:firstLine="640"/>
        <w:spacing w:after="0" w:line="266" w:lineRule="auto"/>
        <w:tabs>
          <w:tab w:leader="none" w:pos="1646"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Competitor</w:t>
      </w:r>
      <w:r>
        <w:rPr>
          <w:rFonts w:ascii="Arial" w:cs="Arial" w:eastAsia="Arial" w:hAnsi="Arial"/>
          <w:sz w:val="19"/>
          <w:szCs w:val="19"/>
          <w:color w:val="auto"/>
        </w:rPr>
        <w:t>” means Carhartt, Inc., L.L. Bean, Inc., Cabela’s Inc., Columbia Sportswear Company, Lands’ End, Inc., Under Armour, Inc., VF Corporation, and any and all of their respective affiliates and successors. In addition, the term “Competitor” shall mean any corporation, partnership, association, or other person or entity that engages in any business which, at any time during the eighteen (18) month period immediately prior to the end, for whatever reason, of Executive’s employment with the Company, and regardless of business format (including, but not limited to, department stores, specialty stores, discount stores, direct marketing, or electronic commerce): (i) marketed, manufactured, or sold men’s or women’s casual wear, work wear, base layer or accessories of the type marketed, manufactured or sold by the Company during the eighteen</w:t>
      </w:r>
    </w:p>
    <w:p>
      <w:pPr>
        <w:spacing w:after="0" w:line="8" w:lineRule="exact"/>
        <w:rPr>
          <w:rFonts w:ascii="Arial" w:cs="Arial" w:eastAsia="Arial" w:hAnsi="Arial"/>
          <w:sz w:val="19"/>
          <w:szCs w:val="19"/>
          <w:color w:val="auto"/>
        </w:rPr>
      </w:pPr>
    </w:p>
    <w:p>
      <w:pPr>
        <w:ind w:left="840" w:right="919" w:hanging="8"/>
        <w:spacing w:after="0" w:line="308" w:lineRule="auto"/>
        <w:tabs>
          <w:tab w:leader="none" w:pos="1254" w:val="left"/>
        </w:tabs>
        <w:numPr>
          <w:ilvl w:val="0"/>
          <w:numId w:val="41"/>
        </w:numPr>
        <w:rPr>
          <w:rFonts w:ascii="Arial" w:cs="Arial" w:eastAsia="Arial" w:hAnsi="Arial"/>
          <w:sz w:val="19"/>
          <w:szCs w:val="19"/>
          <w:color w:val="auto"/>
        </w:rPr>
      </w:pPr>
      <w:r>
        <w:rPr>
          <w:rFonts w:ascii="Arial" w:cs="Arial" w:eastAsia="Arial" w:hAnsi="Arial"/>
          <w:sz w:val="19"/>
          <w:szCs w:val="19"/>
          <w:color w:val="auto"/>
        </w:rPr>
        <w:t>month period immediately prior to the end of Executive’s employment with the Company and (ii) had combined annual revenues in excess of $100 million.</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Territory</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 The term “</w:t>
      </w:r>
      <w:r>
        <w:rPr>
          <w:rFonts w:ascii="Arial" w:cs="Arial" w:eastAsia="Arial" w:hAnsi="Arial"/>
          <w:sz w:val="21"/>
          <w:szCs w:val="21"/>
          <w:u w:val="single" w:color="auto"/>
          <w:color w:val="auto"/>
        </w:rPr>
        <w:t>Territory</w:t>
      </w:r>
      <w:r>
        <w:rPr>
          <w:rFonts w:ascii="Arial" w:cs="Arial" w:eastAsia="Arial" w:hAnsi="Arial"/>
          <w:sz w:val="21"/>
          <w:szCs w:val="21"/>
          <w:color w:val="auto"/>
        </w:rPr>
        <w:t>” shall mean the United States of America and Canada.</w:t>
      </w:r>
    </w:p>
    <w:p>
      <w:pPr>
        <w:spacing w:after="0" w:line="19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BUSINESS IDEA RIGHTS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Assignment</w:t>
      </w:r>
    </w:p>
    <w:p>
      <w:pPr>
        <w:spacing w:after="0" w:line="8" w:lineRule="exact"/>
        <w:rPr>
          <w:sz w:val="20"/>
          <w:szCs w:val="20"/>
          <w:color w:val="auto"/>
        </w:rPr>
      </w:pPr>
    </w:p>
    <w:p>
      <w:pPr>
        <w:ind w:left="180" w:right="699" w:firstLine="652"/>
        <w:spacing w:after="0" w:line="236" w:lineRule="auto"/>
        <w:tabs>
          <w:tab w:leader="none" w:pos="986"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Company will own, and Executive hereby assigns to the Company and agrees to assign to the Company, all rights in all Business Ideas which Executive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2" w:name="page43"/>
    <w:bookmarkEnd w:id="42"/>
    <w:p>
      <w:pPr>
        <w:ind w:left="180" w:right="479"/>
        <w:spacing w:after="0" w:line="252" w:lineRule="auto"/>
        <w:rPr>
          <w:sz w:val="20"/>
          <w:szCs w:val="20"/>
          <w:color w:val="auto"/>
        </w:rPr>
      </w:pPr>
      <w:r>
        <w:rPr>
          <w:rFonts w:ascii="Arial" w:cs="Arial" w:eastAsia="Arial" w:hAnsi="Arial"/>
          <w:sz w:val="21"/>
          <w:szCs w:val="21"/>
          <w:color w:val="auto"/>
        </w:rPr>
        <w:t>originates or develops whether alone or working with others while Executive is employed by the Company. All Business Ideas which are or form the basis for copyrightable works are hereby assigned to the Company and/or shall be assigned to the Company or shall be considered “works for hire” as that term is defined by United States Copyright Law.</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Definition of Business Ideas</w:t>
      </w:r>
    </w:p>
    <w:p>
      <w:pPr>
        <w:spacing w:after="0" w:line="8" w:lineRule="exact"/>
        <w:rPr>
          <w:sz w:val="20"/>
          <w:szCs w:val="20"/>
          <w:color w:val="auto"/>
        </w:rPr>
      </w:pPr>
    </w:p>
    <w:p>
      <w:pPr>
        <w:ind w:left="180" w:right="379" w:firstLine="652"/>
        <w:spacing w:after="0" w:line="266" w:lineRule="auto"/>
        <w:tabs>
          <w:tab w:leader="none" w:pos="986"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Business Ideas</w:t>
      </w:r>
      <w:r>
        <w:rPr>
          <w:rFonts w:ascii="Arial" w:cs="Arial" w:eastAsia="Arial" w:hAnsi="Arial"/>
          <w:sz w:val="19"/>
          <w:szCs w:val="19"/>
          <w:color w:val="auto"/>
        </w:rPr>
        <w:t>” means all ideas, designs, modifications, formulations, specifications, concepts, know-how, trade secrets, discoveries, inventions, data, software, developments and copyrightable works, whether or not patentable or registrable, which Executive originates or develops, either alone or jointly with others while Executive is employed by the Company and which are: (i) related to any business known to Executive to be engaged in or contemplated by the Company; (ii) originated or developed during Executive’s working hours; or</w:t>
      </w:r>
    </w:p>
    <w:p>
      <w:pPr>
        <w:spacing w:after="0" w:line="5" w:lineRule="exact"/>
        <w:rPr>
          <w:rFonts w:ascii="Arial" w:cs="Arial" w:eastAsia="Arial" w:hAnsi="Arial"/>
          <w:sz w:val="19"/>
          <w:szCs w:val="19"/>
          <w:color w:val="auto"/>
        </w:rPr>
      </w:pPr>
    </w:p>
    <w:p>
      <w:pPr>
        <w:ind w:left="180" w:right="799" w:firstLine="4"/>
        <w:spacing w:after="0" w:line="236" w:lineRule="auto"/>
        <w:tabs>
          <w:tab w:leader="none" w:pos="558" w:val="left"/>
        </w:tabs>
        <w:numPr>
          <w:ilvl w:val="0"/>
          <w:numId w:val="43"/>
        </w:numPr>
        <w:rPr>
          <w:rFonts w:ascii="Arial" w:cs="Arial" w:eastAsia="Arial" w:hAnsi="Arial"/>
          <w:sz w:val="22"/>
          <w:szCs w:val="22"/>
          <w:color w:val="auto"/>
        </w:rPr>
      </w:pPr>
      <w:r>
        <w:rPr>
          <w:rFonts w:ascii="Arial" w:cs="Arial" w:eastAsia="Arial" w:hAnsi="Arial"/>
          <w:sz w:val="22"/>
          <w:szCs w:val="22"/>
          <w:color w:val="auto"/>
        </w:rPr>
        <w:t>originated or developed in whole or in part using materials, labor, facilities or equipment furnished by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Disclosure</w:t>
      </w:r>
    </w:p>
    <w:p>
      <w:pPr>
        <w:spacing w:after="0" w:line="8" w:lineRule="exact"/>
        <w:rPr>
          <w:sz w:val="20"/>
          <w:szCs w:val="20"/>
          <w:color w:val="auto"/>
        </w:rPr>
      </w:pPr>
    </w:p>
    <w:p>
      <w:pPr>
        <w:ind w:left="180" w:right="339" w:firstLine="652"/>
        <w:spacing w:after="0" w:line="236" w:lineRule="auto"/>
        <w:tabs>
          <w:tab w:leader="none" w:pos="986" w:val="left"/>
        </w:tabs>
        <w:numPr>
          <w:ilvl w:val="0"/>
          <w:numId w:val="44"/>
        </w:numPr>
        <w:rPr>
          <w:rFonts w:ascii="Arial" w:cs="Arial" w:eastAsia="Arial" w:hAnsi="Arial"/>
          <w:sz w:val="22"/>
          <w:szCs w:val="22"/>
          <w:color w:val="auto"/>
        </w:rPr>
      </w:pPr>
      <w:r>
        <w:rPr>
          <w:rFonts w:ascii="Arial" w:cs="Arial" w:eastAsia="Arial" w:hAnsi="Arial"/>
          <w:sz w:val="22"/>
          <w:szCs w:val="22"/>
          <w:color w:val="auto"/>
        </w:rPr>
        <w:t>While employed by the Company, Executive will promptly disclose all Business Ideas to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Execution of Documentation</w:t>
      </w:r>
    </w:p>
    <w:p>
      <w:pPr>
        <w:spacing w:after="0" w:line="8" w:lineRule="exact"/>
        <w:rPr>
          <w:sz w:val="20"/>
          <w:szCs w:val="20"/>
          <w:color w:val="auto"/>
        </w:rPr>
      </w:pPr>
    </w:p>
    <w:p>
      <w:pPr>
        <w:jc w:val="both"/>
        <w:ind w:left="180" w:right="499" w:firstLine="652"/>
        <w:spacing w:after="0" w:line="234" w:lineRule="auto"/>
        <w:tabs>
          <w:tab w:leader="none" w:pos="990" w:val="left"/>
        </w:tabs>
        <w:numPr>
          <w:ilvl w:val="0"/>
          <w:numId w:val="45"/>
        </w:numPr>
        <w:rPr>
          <w:rFonts w:ascii="Arial" w:cs="Arial" w:eastAsia="Arial" w:hAnsi="Arial"/>
          <w:sz w:val="22"/>
          <w:szCs w:val="22"/>
          <w:color w:val="auto"/>
        </w:rPr>
      </w:pPr>
      <w:r>
        <w:rPr>
          <w:rFonts w:ascii="Arial" w:cs="Arial" w:eastAsia="Arial" w:hAnsi="Arial"/>
          <w:sz w:val="22"/>
          <w:szCs w:val="22"/>
          <w:color w:val="auto"/>
        </w:rPr>
        <w:t>Executive, at any time during or after the Employment Term, will promptly execute all documents which the Company may reasonably require to perfect its patent, copyright and other rights to such Business Ideas throughout the world.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NON-SOLICITATION OF RESTRICTED PERSONS</w:t>
      </w:r>
    </w:p>
    <w:p>
      <w:pPr>
        <w:spacing w:after="0" w:line="188" w:lineRule="exact"/>
        <w:rPr>
          <w:sz w:val="20"/>
          <w:szCs w:val="20"/>
          <w:color w:val="auto"/>
        </w:rPr>
      </w:pPr>
    </w:p>
    <w:p>
      <w:pPr>
        <w:ind w:left="180" w:right="359" w:firstLine="648"/>
        <w:spacing w:after="0" w:line="236" w:lineRule="auto"/>
        <w:rPr>
          <w:sz w:val="20"/>
          <w:szCs w:val="20"/>
          <w:color w:val="auto"/>
        </w:rPr>
      </w:pPr>
      <w:r>
        <w:rPr>
          <w:rFonts w:ascii="Arial" w:cs="Arial" w:eastAsia="Arial" w:hAnsi="Arial"/>
          <w:sz w:val="22"/>
          <w:szCs w:val="22"/>
          <w:color w:val="auto"/>
        </w:rPr>
        <w:t>7.1 Non-Solicitation of Restricted Persons. While Executive is employed by the Company, and for a period of two (2) years following the end, for whatever reason, of Executive’s employment with the Company, Executive shall not directly or indirectly solicit any Restricted Person to provide services to or on behalf of a person or entity in a manner reasonably likely to pose a competitive threat to the Company.</w:t>
      </w:r>
    </w:p>
    <w:p>
      <w:pPr>
        <w:spacing w:after="0" w:line="187" w:lineRule="exact"/>
        <w:rPr>
          <w:sz w:val="20"/>
          <w:szCs w:val="20"/>
          <w:color w:val="auto"/>
        </w:rPr>
      </w:pPr>
    </w:p>
    <w:p>
      <w:pPr>
        <w:ind w:left="180" w:right="379" w:firstLine="648"/>
        <w:spacing w:after="0" w:line="277" w:lineRule="auto"/>
        <w:rPr>
          <w:sz w:val="20"/>
          <w:szCs w:val="20"/>
          <w:color w:val="auto"/>
        </w:rPr>
      </w:pPr>
      <w:r>
        <w:rPr>
          <w:rFonts w:ascii="Arial" w:cs="Arial" w:eastAsia="Arial" w:hAnsi="Arial"/>
          <w:sz w:val="19"/>
          <w:szCs w:val="19"/>
          <w:color w:val="auto"/>
        </w:rPr>
        <w:t>7.2 Restricted Person. The term “Restricted Person” means an employee of the Company who (a) at the time of the solicitation, is a top-level employee of the Company, has special skills or knowledge important to the Company, or has skills that are difficult for the Company to replace and (b) is an employee with whom Executive had a working relationship or about whom Executive acquired or possessed specialized knowledge, in each case, in connection with Executive’s employment with the Company and during the eighteen (18) month period immediately prior to the end, for whatever reason, of Executive’s employment with the Company.</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DISCLOSURES AND ACKNOWLEDGMENTS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Confidential Information of Others</w:t>
      </w:r>
    </w:p>
    <w:p>
      <w:pPr>
        <w:spacing w:after="0" w:line="8" w:lineRule="exact"/>
        <w:rPr>
          <w:sz w:val="20"/>
          <w:szCs w:val="20"/>
          <w:color w:val="auto"/>
        </w:rPr>
      </w:pPr>
    </w:p>
    <w:p>
      <w:pPr>
        <w:ind w:left="180" w:right="439" w:firstLine="652"/>
        <w:spacing w:after="0" w:line="245" w:lineRule="auto"/>
        <w:tabs>
          <w:tab w:leader="none" w:pos="990" w:val="left"/>
        </w:tabs>
        <w:numPr>
          <w:ilvl w:val="0"/>
          <w:numId w:val="46"/>
        </w:numPr>
        <w:rPr>
          <w:rFonts w:ascii="Arial" w:cs="Arial" w:eastAsia="Arial" w:hAnsi="Arial"/>
          <w:sz w:val="21"/>
          <w:szCs w:val="21"/>
          <w:color w:val="auto"/>
        </w:rPr>
      </w:pPr>
      <w:r>
        <w:rPr>
          <w:rFonts w:ascii="Arial" w:cs="Arial" w:eastAsia="Arial" w:hAnsi="Arial"/>
          <w:sz w:val="21"/>
          <w:szCs w:val="21"/>
          <w:color w:val="auto"/>
        </w:rPr>
        <w:t>Executive warrants and represents to the Company that Executive is not subject to any employment, consulting or services agreement, or any restrictive covenants or agreements of any type, which would conflict or prohibit Executive from fully carrying out Executive’s duties as described under the terms of this Agreement. Further, Executive warrants and represents to the Company that Executive has not and will not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3" w:name="page44"/>
    <w:bookmarkEnd w:id="43"/>
    <w:p>
      <w:pPr>
        <w:ind w:left="180" w:right="219"/>
        <w:spacing w:after="0" w:line="251" w:lineRule="auto"/>
        <w:rPr>
          <w:sz w:val="20"/>
          <w:szCs w:val="20"/>
          <w:color w:val="auto"/>
        </w:rPr>
      </w:pPr>
      <w:r>
        <w:rPr>
          <w:rFonts w:ascii="Arial" w:cs="Arial" w:eastAsia="Arial" w:hAnsi="Arial"/>
          <w:sz w:val="22"/>
          <w:szCs w:val="22"/>
          <w:color w:val="auto"/>
        </w:rPr>
        <w:t>retain or use, for the benefit of the Company, any confidential information, records, trade secrets, or other property of a former employer.</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Scope of Restrictions</w:t>
      </w:r>
    </w:p>
    <w:p>
      <w:pPr>
        <w:spacing w:after="0" w:line="8" w:lineRule="exact"/>
        <w:rPr>
          <w:sz w:val="20"/>
          <w:szCs w:val="20"/>
          <w:color w:val="auto"/>
        </w:rPr>
      </w:pPr>
    </w:p>
    <w:p>
      <w:pPr>
        <w:ind w:left="180" w:right="339" w:firstLine="652"/>
        <w:spacing w:after="0" w:line="270" w:lineRule="auto"/>
        <w:tabs>
          <w:tab w:leader="none" w:pos="990" w:val="left"/>
        </w:tabs>
        <w:numPr>
          <w:ilvl w:val="0"/>
          <w:numId w:val="47"/>
        </w:numPr>
        <w:rPr>
          <w:rFonts w:ascii="Arial" w:cs="Arial" w:eastAsia="Arial" w:hAnsi="Arial"/>
          <w:sz w:val="19"/>
          <w:szCs w:val="19"/>
          <w:color w:val="auto"/>
        </w:rPr>
      </w:pPr>
      <w:r>
        <w:rPr>
          <w:rFonts w:ascii="Arial" w:cs="Arial" w:eastAsia="Arial" w:hAnsi="Arial"/>
          <w:sz w:val="19"/>
          <w:szCs w:val="19"/>
          <w:color w:val="auto"/>
        </w:rPr>
        <w:t>Executive acknowledges that during the course of Executive’s employment with the Company, Executive will gain knowledge of Confidential Information and Trade Secrets of the Company. Executive acknowledges that the Confidential Information and Trade Secrets of the Company are necessarily shared with Executive on a routine basis in the course of performing Executive’s job duties and that the Company has a legitimate protectable interest in such Confidential Information and Trade Secrets, and in the goodwill and business prospects associated therewith. Executive acknowledges that the Company does business in all states in the United States and in Canada. Accordingly, Executive acknowledges that the scope of the restrictions contained in this Agreement are appropriate, necessary and reasonable for the protection of the business, goodwill and property rights of the Company, and that the restrictions imposed will not prevent Executive from earning a living in the event of, and after, the end, for any reason, of Executive’s employment with the Company.</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Prospective Employers</w:t>
      </w:r>
    </w:p>
    <w:p>
      <w:pPr>
        <w:spacing w:after="0" w:line="8" w:lineRule="exact"/>
        <w:rPr>
          <w:sz w:val="20"/>
          <w:szCs w:val="20"/>
          <w:color w:val="auto"/>
        </w:rPr>
      </w:pPr>
    </w:p>
    <w:p>
      <w:pPr>
        <w:ind w:left="180" w:right="379" w:firstLine="652"/>
        <w:spacing w:after="0" w:line="243" w:lineRule="auto"/>
        <w:tabs>
          <w:tab w:leader="none" w:pos="936" w:val="left"/>
        </w:tabs>
        <w:numPr>
          <w:ilvl w:val="0"/>
          <w:numId w:val="48"/>
        </w:numPr>
        <w:rPr>
          <w:rFonts w:ascii="Arial" w:cs="Arial" w:eastAsia="Arial" w:hAnsi="Arial"/>
          <w:sz w:val="21"/>
          <w:szCs w:val="21"/>
          <w:color w:val="auto"/>
        </w:rPr>
      </w:pPr>
      <w:r>
        <w:rPr>
          <w:rFonts w:ascii="Arial" w:cs="Arial" w:eastAsia="Arial" w:hAnsi="Arial"/>
          <w:sz w:val="21"/>
          <w:szCs w:val="21"/>
          <w:color w:val="auto"/>
        </w:rPr>
        <w:t>Executive agrees, during the term of any restriction contained in Articles IV, V, VI, VII, VIII, IX and X of this Agreement, to disclose this Agreement to any entity which offers employment or engagement to Executive. Executive further agrees that, during the term of any restriction contained in Articles IV, V, VI, VII, VIII, IX and X, the Company may send a copy of this Agreement to, or otherwise make the provisions hereof known to, any person or entity with which Executive seeks to establish a business relationship, including, without limitation, potential employers, joint-venturers, or persons or entities to whom Executive seeks to provide consulting services as an independent contractor.</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Third Party Beneficiaries</w:t>
      </w:r>
    </w:p>
    <w:p>
      <w:pPr>
        <w:spacing w:after="0" w:line="8" w:lineRule="exact"/>
        <w:rPr>
          <w:sz w:val="20"/>
          <w:szCs w:val="20"/>
          <w:color w:val="auto"/>
        </w:rPr>
      </w:pPr>
    </w:p>
    <w:p>
      <w:pPr>
        <w:ind w:left="180" w:right="419" w:firstLine="652"/>
        <w:spacing w:after="0" w:line="280" w:lineRule="auto"/>
        <w:tabs>
          <w:tab w:leader="none" w:pos="978"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All of the Company’s affiliates, successors and assigns are third party beneficiaries with respect to Executive’s performance of Executive’s duties under this Agreement and the undertakings and covenants contained in this Agreement, and the Company and any such entity, enjoying the benefits thereof, may enforce this Agreement directly against Executive.</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Survival</w:t>
      </w:r>
    </w:p>
    <w:p>
      <w:pPr>
        <w:spacing w:after="0" w:line="8" w:lineRule="exact"/>
        <w:rPr>
          <w:sz w:val="20"/>
          <w:szCs w:val="20"/>
          <w:color w:val="auto"/>
        </w:rPr>
      </w:pPr>
    </w:p>
    <w:p>
      <w:pPr>
        <w:ind w:left="180" w:right="299" w:firstLine="652"/>
        <w:spacing w:after="0" w:line="236" w:lineRule="auto"/>
        <w:tabs>
          <w:tab w:leader="none" w:pos="986"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Covenants set forth in Articles IV, V, VI, VII, VIII, IX and X of this Agreement shall survive the termination of this Agreement.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Injunctive Relief</w:t>
      </w:r>
    </w:p>
    <w:p>
      <w:pPr>
        <w:spacing w:after="0" w:line="8" w:lineRule="exact"/>
        <w:rPr>
          <w:sz w:val="20"/>
          <w:szCs w:val="20"/>
          <w:color w:val="auto"/>
        </w:rPr>
      </w:pPr>
    </w:p>
    <w:p>
      <w:pPr>
        <w:ind w:left="180" w:right="199" w:firstLine="652"/>
        <w:spacing w:after="0" w:line="270" w:lineRule="auto"/>
        <w:tabs>
          <w:tab w:leader="none" w:pos="990" w:val="left"/>
        </w:tabs>
        <w:numPr>
          <w:ilvl w:val="0"/>
          <w:numId w:val="51"/>
        </w:numPr>
        <w:rPr>
          <w:rFonts w:ascii="Arial" w:cs="Arial" w:eastAsia="Arial" w:hAnsi="Arial"/>
          <w:sz w:val="19"/>
          <w:szCs w:val="19"/>
          <w:color w:val="auto"/>
        </w:rPr>
      </w:pPr>
      <w:r>
        <w:rPr>
          <w:rFonts w:ascii="Arial" w:cs="Arial" w:eastAsia="Arial" w:hAnsi="Arial"/>
          <w:sz w:val="19"/>
          <w:szCs w:val="19"/>
          <w:color w:val="auto"/>
        </w:rPr>
        <w:t>Executive acknowledges that the services to be rendered by Executive hereunder are of a special, unique, and extraordinary character and, in connection with such services, Executive will have access to Confidential Information and Trade Secrets that are vital to the Company’s business. Executive consents and agrees that, in the event of the breach or a threatened breach by Executive of any of the provisions of this Agreement, the Company would sustain irreparable harm and that damages at law would not be an adequate remedy for a violation of this Agreement, and, in addition to any other rights or remedies that the Company may have under this Agreement, common or statutory law or otherwise, the Company shall be entitled to specific performance and/or injunctive or other equitable relief from a court of competent jurisdiction enforcing this Agreement and/or restraining Executive from committing, threatening to commit, or continuing any violation of this Agreement (in each case without posting a bond or other security), including, but not limited to, restraining Executive from disclosing, using for any purpose, selling, transferring, or otherwise disposing of, in whole or in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4" w:name="page45"/>
    <w:bookmarkEnd w:id="44"/>
    <w:p>
      <w:pPr>
        <w:ind w:left="180" w:right="459"/>
        <w:spacing w:after="0" w:line="249" w:lineRule="auto"/>
        <w:rPr>
          <w:sz w:val="20"/>
          <w:szCs w:val="20"/>
          <w:color w:val="auto"/>
        </w:rPr>
      </w:pPr>
      <w:r>
        <w:rPr>
          <w:rFonts w:ascii="Arial" w:cs="Arial" w:eastAsia="Arial" w:hAnsi="Arial"/>
          <w:sz w:val="21"/>
          <w:szCs w:val="21"/>
          <w:color w:val="auto"/>
        </w:rPr>
        <w:t>part, any Confidential Information and/or Trade Secrets. Nothing contained herein shall be construed as prohibiting the Company from pursuing any other remedies available to it for any breach or threatened breach of any provision of this Agreement, including, but not limited to, the recovery of damages, costs, and fees, including the recovery of any prior Severance Payments or Change in Control Severance Payments made to Executive.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Consistency With Applicable Law</w:t>
      </w:r>
    </w:p>
    <w:p>
      <w:pPr>
        <w:spacing w:after="0" w:line="8" w:lineRule="exact"/>
        <w:rPr>
          <w:sz w:val="20"/>
          <w:szCs w:val="20"/>
          <w:color w:val="auto"/>
        </w:rPr>
      </w:pPr>
    </w:p>
    <w:p>
      <w:pPr>
        <w:ind w:left="180" w:right="339" w:firstLine="652"/>
        <w:spacing w:after="0" w:line="233" w:lineRule="auto"/>
        <w:tabs>
          <w:tab w:leader="none" w:pos="990" w:val="left"/>
        </w:tabs>
        <w:numPr>
          <w:ilvl w:val="0"/>
          <w:numId w:val="52"/>
        </w:numPr>
        <w:rPr>
          <w:rFonts w:ascii="Arial" w:cs="Arial" w:eastAsia="Arial" w:hAnsi="Arial"/>
          <w:sz w:val="22"/>
          <w:szCs w:val="22"/>
          <w:color w:val="auto"/>
        </w:rPr>
      </w:pPr>
      <w:r>
        <w:rPr>
          <w:rFonts w:ascii="Arial" w:cs="Arial" w:eastAsia="Arial" w:hAnsi="Arial"/>
          <w:sz w:val="22"/>
          <w:szCs w:val="22"/>
          <w:color w:val="auto"/>
        </w:rPr>
        <w:t>Executive acknowledges and agrees that nothing in this Agreement prohibits Executive from reporting possible violations of law to any governmental agency or entity or making other disclosures that are protected under the whistleblower provisions of federal, state or local laws or regulations. Moreover, nothing in this Agreement shall be deemed to require the Company’s prior approval of such communications.</w:t>
      </w:r>
    </w:p>
    <w:p>
      <w:pPr>
        <w:spacing w:after="0" w:line="179"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RETURN OF RECORDS</w:t>
      </w:r>
    </w:p>
    <w:p>
      <w:pPr>
        <w:spacing w:after="0" w:line="188" w:lineRule="exact"/>
        <w:rPr>
          <w:sz w:val="20"/>
          <w:szCs w:val="20"/>
          <w:color w:val="auto"/>
        </w:rPr>
      </w:pPr>
    </w:p>
    <w:p>
      <w:pPr>
        <w:ind w:left="180" w:right="259" w:firstLine="648"/>
        <w:spacing w:after="0" w:line="272" w:lineRule="auto"/>
        <w:rPr>
          <w:sz w:val="20"/>
          <w:szCs w:val="20"/>
          <w:color w:val="auto"/>
        </w:rPr>
      </w:pPr>
      <w:r>
        <w:rPr>
          <w:rFonts w:ascii="Arial" w:cs="Arial" w:eastAsia="Arial" w:hAnsi="Arial"/>
          <w:sz w:val="19"/>
          <w:szCs w:val="19"/>
          <w:color w:val="auto"/>
        </w:rPr>
        <w:t>Upon the end, for any reason, of Executive’s employment with the Company, or upon request by the Company at any time, Executive, within five (5) days after the termination of Executive’s employment or earlier upon the Company’s written request, shall return to the Company all documents, records, information, equipment (including computers, laptops, tablet computers, cell phones and other such equipment (“</w:t>
      </w:r>
      <w:r>
        <w:rPr>
          <w:rFonts w:ascii="Arial" w:cs="Arial" w:eastAsia="Arial" w:hAnsi="Arial"/>
          <w:sz w:val="19"/>
          <w:szCs w:val="19"/>
          <w:u w:val="single" w:color="auto"/>
          <w:color w:val="auto"/>
        </w:rPr>
        <w:t>Electronic Equipment</w:t>
      </w:r>
      <w:r>
        <w:rPr>
          <w:rFonts w:ascii="Arial" w:cs="Arial" w:eastAsia="Arial" w:hAnsi="Arial"/>
          <w:sz w:val="19"/>
          <w:szCs w:val="19"/>
          <w:color w:val="auto"/>
        </w:rPr>
        <w:t>”)) and materials belonging and/or relating to the Company (except Executive’s own personnel and wage and benefit materials relating solely to Executive and Executive’s personal Electronic Equipment which is not owned by the Company), all passwords and/or access codes related to such equipment and/or materials, and all copies of all such materials. Upon the end, for any reason, of Executive’s employment with the Company, or upon request of the Company at any time, Executive further agrees to destroy such records maintained by Executive on Executive’s personally-owned Electronic Equipment, which destruction the Company may reasonably confirm.</w:t>
      </w:r>
    </w:p>
    <w:p>
      <w:pPr>
        <w:spacing w:after="0" w:line="155"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NONDISPARAGEMENT</w:t>
      </w:r>
    </w:p>
    <w:p>
      <w:pPr>
        <w:spacing w:after="0" w:line="188" w:lineRule="exact"/>
        <w:rPr>
          <w:sz w:val="20"/>
          <w:szCs w:val="20"/>
          <w:color w:val="auto"/>
        </w:rPr>
      </w:pPr>
    </w:p>
    <w:p>
      <w:pPr>
        <w:ind w:left="180" w:right="459" w:firstLine="648"/>
        <w:spacing w:after="0" w:line="246" w:lineRule="auto"/>
        <w:rPr>
          <w:sz w:val="20"/>
          <w:szCs w:val="20"/>
          <w:color w:val="auto"/>
        </w:rPr>
      </w:pPr>
      <w:r>
        <w:rPr>
          <w:rFonts w:ascii="Arial" w:cs="Arial" w:eastAsia="Arial" w:hAnsi="Arial"/>
          <w:sz w:val="21"/>
          <w:szCs w:val="21"/>
          <w:color w:val="auto"/>
        </w:rPr>
        <w:t>Executive agrees that Executive will not, at any time (whether during or after the Employment Term), publish or communicate to any person or entity any Disparaging (as defined below) remarks, comments or statements concerning the Company and its respective present and former members, partners, directors, officers, shareholders, employees, agents, attorneys, successors and assigns, except as required by law, rule or regulation. “</w:t>
      </w:r>
      <w:r>
        <w:rPr>
          <w:rFonts w:ascii="Arial" w:cs="Arial" w:eastAsia="Arial" w:hAnsi="Arial"/>
          <w:sz w:val="21"/>
          <w:szCs w:val="21"/>
          <w:u w:val="single" w:color="auto"/>
          <w:color w:val="auto"/>
        </w:rPr>
        <w:t>Disparaging</w:t>
      </w:r>
      <w:r>
        <w:rPr>
          <w:rFonts w:ascii="Arial" w:cs="Arial" w:eastAsia="Arial" w:hAnsi="Arial"/>
          <w:sz w:val="21"/>
          <w:szCs w:val="21"/>
          <w:color w:val="auto"/>
        </w:rPr>
        <w:t>” remarks, comments or statements are those that impugn the character, honesty, integrity or morality or business acumen or abilities in connection with any aspect of the operation of business of the individual or entity being disparaged.</w:t>
      </w:r>
    </w:p>
    <w:p>
      <w:pPr>
        <w:spacing w:after="0" w:line="17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Notice</w:t>
      </w:r>
    </w:p>
    <w:p>
      <w:pPr>
        <w:spacing w:after="0" w:line="8" w:lineRule="exact"/>
        <w:rPr>
          <w:sz w:val="20"/>
          <w:szCs w:val="20"/>
          <w:color w:val="auto"/>
        </w:rPr>
      </w:pPr>
    </w:p>
    <w:p>
      <w:pPr>
        <w:ind w:left="180" w:right="399" w:firstLine="652"/>
        <w:spacing w:after="0" w:line="287" w:lineRule="auto"/>
        <w:tabs>
          <w:tab w:leader="none" w:pos="990"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Notices and all other communications provided for in this Agreement shall be in writing and shall be delivered personally or sent by registered or certified mail, return receipt requested, postage prepaid, or sent by electronic mail or prepaid overnight courier to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5" w:name="page46"/>
    <w:bookmarkEnd w:id="45"/>
    <w:p>
      <w:pPr>
        <w:ind w:left="180" w:right="239"/>
        <w:spacing w:after="0" w:line="251" w:lineRule="auto"/>
        <w:rPr>
          <w:sz w:val="20"/>
          <w:szCs w:val="20"/>
          <w:color w:val="auto"/>
        </w:rPr>
      </w:pPr>
      <w:r>
        <w:rPr>
          <w:rFonts w:ascii="Arial" w:cs="Arial" w:eastAsia="Arial" w:hAnsi="Arial"/>
          <w:sz w:val="22"/>
          <w:szCs w:val="22"/>
          <w:color w:val="auto"/>
        </w:rPr>
        <w:t>Parties at the addresses set forth below (or such other address as shall be specified by the Parties by like notice pursuant to this Section 11.1):</w:t>
      </w:r>
    </w:p>
    <w:p>
      <w:pPr>
        <w:sectPr>
          <w:pgSz w:w="11900" w:h="16838" w:orient="portrait"/>
          <w:cols w:equalWidth="0" w:num="1">
            <w:col w:w="9019"/>
          </w:cols>
          <w:pgMar w:left="1440" w:top="118" w:right="1440" w:bottom="1440" w:gutter="0" w:footer="0" w:header="0"/>
        </w:sectPr>
      </w:pP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To the Company: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Duluth Holdings, Inc.</w:t>
      </w:r>
    </w:p>
    <w:p>
      <w:pPr>
        <w:spacing w:after="0" w:line="238" w:lineRule="auto"/>
        <w:rPr>
          <w:sz w:val="20"/>
          <w:szCs w:val="20"/>
          <w:color w:val="auto"/>
        </w:rPr>
      </w:pPr>
      <w:r>
        <w:rPr>
          <w:rFonts w:ascii="Arial" w:cs="Arial" w:eastAsia="Arial" w:hAnsi="Arial"/>
          <w:sz w:val="22"/>
          <w:szCs w:val="22"/>
          <w:color w:val="auto"/>
        </w:rPr>
        <w:t>201 E. Front Street</w:t>
      </w:r>
    </w:p>
    <w:p>
      <w:pPr>
        <w:spacing w:after="0" w:line="230" w:lineRule="auto"/>
        <w:rPr>
          <w:sz w:val="20"/>
          <w:szCs w:val="20"/>
          <w:color w:val="auto"/>
        </w:rPr>
      </w:pPr>
      <w:r>
        <w:rPr>
          <w:rFonts w:ascii="Arial" w:cs="Arial" w:eastAsia="Arial" w:hAnsi="Arial"/>
          <w:sz w:val="22"/>
          <w:szCs w:val="22"/>
          <w:color w:val="auto"/>
        </w:rPr>
        <w:t>Mt. Horeb, WI 53572</w:t>
      </w:r>
    </w:p>
    <w:p>
      <w:pPr>
        <w:spacing w:after="0" w:line="231" w:lineRule="auto"/>
        <w:rPr>
          <w:sz w:val="20"/>
          <w:szCs w:val="20"/>
          <w:color w:val="auto"/>
        </w:rPr>
      </w:pPr>
      <w:r>
        <w:rPr>
          <w:rFonts w:ascii="Arial" w:cs="Arial" w:eastAsia="Arial" w:hAnsi="Arial"/>
          <w:sz w:val="22"/>
          <w:szCs w:val="22"/>
          <w:color w:val="auto"/>
        </w:rPr>
        <w:t>Attention: David S. Homolka</w:t>
      </w:r>
    </w:p>
    <w:p>
      <w:pPr>
        <w:spacing w:after="0"/>
        <w:rPr>
          <w:sz w:val="20"/>
          <w:szCs w:val="20"/>
          <w:color w:val="auto"/>
        </w:rPr>
      </w:pPr>
      <w:r>
        <w:rPr>
          <w:rFonts w:ascii="Arial" w:cs="Arial" w:eastAsia="Arial" w:hAnsi="Arial"/>
          <w:sz w:val="19"/>
          <w:szCs w:val="19"/>
          <w:color w:val="auto"/>
        </w:rPr>
        <w:t>Email: dhomolka@duluthtrading.com</w:t>
      </w:r>
    </w:p>
    <w:p>
      <w:pPr>
        <w:spacing w:after="0" w:line="200" w:lineRule="exact"/>
        <w:rPr>
          <w:sz w:val="20"/>
          <w:szCs w:val="20"/>
          <w:color w:val="auto"/>
        </w:rPr>
      </w:pPr>
    </w:p>
    <w:p>
      <w:pPr>
        <w:sectPr>
          <w:pgSz w:w="11900" w:h="16838" w:orient="portrait"/>
          <w:cols w:equalWidth="0" w:num="2">
            <w:col w:w="2980" w:space="440"/>
            <w:col w:w="5599"/>
          </w:cols>
          <w:pgMar w:left="1440" w:top="118" w:right="1440" w:bottom="1440" w:gutter="0" w:footer="0" w:header="0"/>
          <w:type w:val="continuous"/>
        </w:sectPr>
      </w:pPr>
    </w:p>
    <w:p>
      <w:pPr>
        <w:spacing w:after="0" w:line="23"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Godfrey &amp; Kahn, S.C.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833 E. Michigan St., Suite 1800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Milwaukee, WI 53202</w:t>
      </w:r>
    </w:p>
    <w:p>
      <w:pPr>
        <w:spacing w:after="0" w:line="230" w:lineRule="auto"/>
        <w:tabs>
          <w:tab w:leader="none" w:pos="1120" w:val="left"/>
        </w:tabs>
        <w:rPr>
          <w:sz w:val="20"/>
          <w:szCs w:val="20"/>
          <w:color w:val="auto"/>
        </w:rPr>
      </w:pPr>
      <w:r>
        <w:rPr>
          <w:rFonts w:ascii="Arial" w:cs="Arial" w:eastAsia="Arial" w:hAnsi="Arial"/>
          <w:sz w:val="22"/>
          <w:szCs w:val="22"/>
          <w:color w:val="auto"/>
        </w:rPr>
        <w:t>Attention:</w:t>
        <w:tab/>
        <w:t>John A. Dickens</w:t>
      </w:r>
    </w:p>
    <w:p>
      <w:pPr>
        <w:spacing w:after="0" w:line="231" w:lineRule="auto"/>
        <w:rPr>
          <w:sz w:val="20"/>
          <w:szCs w:val="20"/>
          <w:color w:val="auto"/>
        </w:rPr>
      </w:pPr>
      <w:r>
        <w:rPr>
          <w:rFonts w:ascii="Arial" w:cs="Arial" w:eastAsia="Arial" w:hAnsi="Arial"/>
          <w:sz w:val="22"/>
          <w:szCs w:val="22"/>
          <w:color w:val="auto"/>
        </w:rPr>
        <w:t>Fax: 1-414-273-5198</w:t>
      </w:r>
    </w:p>
    <w:p>
      <w:pPr>
        <w:spacing w:after="0"/>
        <w:tabs>
          <w:tab w:leader="none" w:pos="860" w:val="left"/>
        </w:tabs>
        <w:rPr>
          <w:sz w:val="20"/>
          <w:szCs w:val="20"/>
          <w:color w:val="auto"/>
        </w:rPr>
      </w:pPr>
      <w:r>
        <w:rPr>
          <w:rFonts w:ascii="Arial" w:cs="Arial" w:eastAsia="Arial" w:hAnsi="Arial"/>
          <w:sz w:val="19"/>
          <w:szCs w:val="19"/>
          <w:color w:val="auto"/>
        </w:rPr>
        <w:t>Email:</w:t>
        <w:tab/>
        <w:t>jadicken@gklaw.com</w:t>
      </w:r>
    </w:p>
    <w:p>
      <w:pPr>
        <w:spacing w:after="0" w:line="200" w:lineRule="exact"/>
        <w:rPr>
          <w:sz w:val="20"/>
          <w:szCs w:val="20"/>
          <w:color w:val="auto"/>
        </w:rPr>
      </w:pPr>
    </w:p>
    <w:p>
      <w:pPr>
        <w:sectPr>
          <w:pgSz w:w="11900" w:h="16838" w:orient="portrait"/>
          <w:cols w:equalWidth="0" w:num="2">
            <w:col w:w="2800" w:space="620"/>
            <w:col w:w="5599"/>
          </w:cols>
          <w:pgMar w:left="1440" w:top="118" w:right="1440" w:bottom="1440" w:gutter="0" w:footer="0" w:header="0"/>
          <w:type w:val="continuous"/>
        </w:sectPr>
      </w:pPr>
    </w:p>
    <w:p>
      <w:pPr>
        <w:spacing w:after="0" w:line="5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To Executive: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Samuel Sato</w:t>
      </w:r>
    </w:p>
    <w:p>
      <w:pPr>
        <w:ind w:left="660"/>
        <w:spacing w:after="0" w:line="238" w:lineRule="auto"/>
        <w:rPr>
          <w:sz w:val="20"/>
          <w:szCs w:val="20"/>
          <w:color w:val="auto"/>
        </w:rPr>
      </w:pPr>
      <w:r>
        <w:rPr>
          <w:rFonts w:ascii="Arial" w:cs="Arial" w:eastAsia="Arial" w:hAnsi="Arial"/>
          <w:sz w:val="22"/>
          <w:szCs w:val="22"/>
          <w:color w:val="auto"/>
        </w:rPr>
        <w:t>[personal address omitted]</w:t>
      </w:r>
    </w:p>
    <w:p>
      <w:pPr>
        <w:ind w:left="660"/>
        <w:spacing w:after="0"/>
        <w:rPr>
          <w:sz w:val="20"/>
          <w:szCs w:val="20"/>
          <w:color w:val="auto"/>
        </w:rPr>
      </w:pPr>
      <w:r>
        <w:rPr>
          <w:rFonts w:ascii="Arial" w:cs="Arial" w:eastAsia="Arial" w:hAnsi="Arial"/>
          <w:sz w:val="19"/>
          <w:szCs w:val="19"/>
          <w:color w:val="auto"/>
        </w:rPr>
        <w:t>Email: [personal email omitted]</w:t>
      </w:r>
    </w:p>
    <w:p>
      <w:pPr>
        <w:spacing w:after="0" w:line="200" w:lineRule="exact"/>
        <w:rPr>
          <w:sz w:val="20"/>
          <w:szCs w:val="20"/>
          <w:color w:val="auto"/>
        </w:rPr>
      </w:pPr>
    </w:p>
    <w:p>
      <w:pPr>
        <w:sectPr>
          <w:pgSz w:w="11900" w:h="16838" w:orient="portrait"/>
          <w:cols w:equalWidth="0" w:num="2">
            <w:col w:w="2040" w:space="720"/>
            <w:col w:w="6259"/>
          </w:cols>
          <w:pgMar w:left="1440" w:top="118" w:right="1440" w:bottom="1440" w:gutter="0" w:footer="0" w:header="0"/>
          <w:type w:val="continuous"/>
        </w:sectPr>
      </w:pPr>
    </w:p>
    <w:p>
      <w:pPr>
        <w:spacing w:after="0" w:line="23" w:lineRule="exact"/>
        <w:rPr>
          <w:sz w:val="20"/>
          <w:szCs w:val="20"/>
          <w:color w:val="auto"/>
        </w:rPr>
      </w:pPr>
    </w:p>
    <w:p>
      <w:pPr>
        <w:ind w:left="180" w:right="239"/>
        <w:spacing w:after="0" w:line="287" w:lineRule="auto"/>
        <w:rPr>
          <w:sz w:val="20"/>
          <w:szCs w:val="20"/>
          <w:color w:val="auto"/>
        </w:rPr>
      </w:pPr>
      <w:r>
        <w:rPr>
          <w:rFonts w:ascii="Arial" w:cs="Arial" w:eastAsia="Arial" w:hAnsi="Arial"/>
          <w:sz w:val="19"/>
          <w:szCs w:val="19"/>
          <w:color w:val="auto"/>
        </w:rPr>
        <w:t>Such notices and communications shall be deemed given upon personal delivery or receipt at the address or email account of the party stated above or at any other address specified by such party to the other party in writing, except that if delivery is refused or cannot be made for any reason, then such notice shall be deemed given on the third day after it is sent.</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Entire Agreement; Amendment; Waiver</w:t>
      </w:r>
    </w:p>
    <w:p>
      <w:pPr>
        <w:spacing w:after="0" w:line="8" w:lineRule="exact"/>
        <w:rPr>
          <w:sz w:val="20"/>
          <w:szCs w:val="20"/>
          <w:color w:val="auto"/>
        </w:rPr>
      </w:pPr>
    </w:p>
    <w:p>
      <w:pPr>
        <w:ind w:left="180" w:right="219" w:firstLine="652"/>
        <w:spacing w:after="0" w:line="270" w:lineRule="auto"/>
        <w:tabs>
          <w:tab w:leader="none" w:pos="986"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This Agreement (including any documents referred to herein) sets forth the entire understanding of the Parties hereto with respect to the subject matter contemplated hereby. Any and all previous agreements and understandings between or among the Parties regarding the subject matter hereof, whether written or oral, are superseded by this Agreement, including without limitation any employment offer letters. Notwithstanding the foregoing, nothing provided herein shall supersede the terms of any Restricted Stock Agreement, which shall remain in full force and effect pursuant to its terms and, in the event of a conflict between such agreement and the terms of this Agreement, the provision of the agreement which is both enforceable and most protective of the Company’s interests shall control. This Agreement shall not be amended or modified except by a written instrument duly executed by each of the Parties hereto. Any extension or waiver by any party of any provision hereto shall be valid only if set forth in an instrument in writing signed on behalf of such party.</w:t>
      </w: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Headings</w:t>
      </w:r>
    </w:p>
    <w:p>
      <w:pPr>
        <w:spacing w:after="0" w:line="8" w:lineRule="exact"/>
        <w:rPr>
          <w:sz w:val="20"/>
          <w:szCs w:val="20"/>
          <w:color w:val="auto"/>
        </w:rPr>
      </w:pPr>
    </w:p>
    <w:p>
      <w:pPr>
        <w:ind w:left="180" w:right="419" w:firstLine="652"/>
        <w:spacing w:after="0" w:line="308" w:lineRule="auto"/>
        <w:tabs>
          <w:tab w:leader="none" w:pos="986"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headings of sections and paragraphs of this Agreement are for convenience of reference only and shall not control or affect the meaning or construction of any of its provisions.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Attorneys’ Fees; Expenses</w:t>
      </w:r>
    </w:p>
    <w:p>
      <w:pPr>
        <w:spacing w:after="0" w:line="8" w:lineRule="exact"/>
        <w:rPr>
          <w:sz w:val="20"/>
          <w:szCs w:val="20"/>
          <w:color w:val="auto"/>
        </w:rPr>
      </w:pPr>
    </w:p>
    <w:p>
      <w:pPr>
        <w:ind w:left="180" w:right="219" w:firstLine="652"/>
        <w:spacing w:after="0" w:line="248" w:lineRule="auto"/>
        <w:tabs>
          <w:tab w:leader="none" w:pos="990" w:val="left"/>
        </w:tabs>
        <w:numPr>
          <w:ilvl w:val="0"/>
          <w:numId w:val="56"/>
        </w:numPr>
        <w:rPr>
          <w:rFonts w:ascii="Arial" w:cs="Arial" w:eastAsia="Arial" w:hAnsi="Arial"/>
          <w:sz w:val="21"/>
          <w:szCs w:val="21"/>
          <w:color w:val="auto"/>
        </w:rPr>
      </w:pPr>
      <w:r>
        <w:rPr>
          <w:rFonts w:ascii="Arial" w:cs="Arial" w:eastAsia="Arial" w:hAnsi="Arial"/>
          <w:sz w:val="21"/>
          <w:szCs w:val="21"/>
          <w:color w:val="auto"/>
        </w:rPr>
        <w:t>Except as provided in Section 2.4(c), above, each party hereto shall bear and pay all of the respective fees, expenses and disbursements of their agents, representatives, accountants and counsel incurred in connection with and related to this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46" w:name="page47"/>
    <w:bookmarkEnd w:id="46"/>
    <w:p>
      <w:pPr>
        <w:ind w:left="180"/>
        <w:spacing w:after="0"/>
        <w:rPr>
          <w:sz w:val="20"/>
          <w:szCs w:val="20"/>
          <w:color w:val="auto"/>
        </w:rPr>
      </w:pPr>
      <w:r>
        <w:rPr>
          <w:rFonts w:ascii="Arial" w:cs="Arial" w:eastAsia="Arial" w:hAnsi="Arial"/>
          <w:sz w:val="22"/>
          <w:szCs w:val="22"/>
          <w:color w:val="auto"/>
        </w:rPr>
        <w:t>Waiver of Breach</w:t>
      </w:r>
    </w:p>
    <w:p>
      <w:pPr>
        <w:spacing w:after="0" w:line="9" w:lineRule="exact"/>
        <w:rPr>
          <w:sz w:val="20"/>
          <w:szCs w:val="20"/>
          <w:color w:val="auto"/>
        </w:rPr>
      </w:pPr>
    </w:p>
    <w:p>
      <w:pPr>
        <w:ind w:left="180" w:right="679" w:firstLine="652"/>
        <w:spacing w:after="0" w:line="256" w:lineRule="auto"/>
        <w:tabs>
          <w:tab w:leader="none" w:pos="986"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waiver by either party of the breach of any provision of this Agreement shall not operate or be construed as a waiver of any subsequent breach by either party.</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Severability</w:t>
      </w:r>
    </w:p>
    <w:p>
      <w:pPr>
        <w:spacing w:after="0" w:line="8" w:lineRule="exact"/>
        <w:rPr>
          <w:sz w:val="20"/>
          <w:szCs w:val="20"/>
          <w:color w:val="auto"/>
        </w:rPr>
      </w:pPr>
    </w:p>
    <w:p>
      <w:pPr>
        <w:ind w:left="180" w:right="359" w:firstLine="652"/>
        <w:spacing w:after="0" w:line="232" w:lineRule="auto"/>
        <w:tabs>
          <w:tab w:leader="none" w:pos="99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If any court of competent jurisdiction determines that any provision of this Agreement is invalid or unenforceable, then such invalidity or unenforceability shall have no effect on the other provisions hereof, which shall remain valid, binding and enforceable and in full force and effect, and, to the extent allowed by law, such invalid or unenforceable provision shall be construed in a manner so as to give the maximum valid and enforceable effect to the intent of the Parties expressed therein.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Governing Law</w:t>
      </w:r>
    </w:p>
    <w:p>
      <w:pPr>
        <w:spacing w:after="0" w:line="8" w:lineRule="exact"/>
        <w:rPr>
          <w:sz w:val="20"/>
          <w:szCs w:val="20"/>
          <w:color w:val="auto"/>
        </w:rPr>
      </w:pPr>
    </w:p>
    <w:p>
      <w:pPr>
        <w:ind w:left="180" w:right="599" w:firstLine="652"/>
        <w:spacing w:after="0" w:line="236" w:lineRule="auto"/>
        <w:tabs>
          <w:tab w:leader="none" w:pos="98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This Agreement shall in all respects be construed according to the laws of the State of Wisconsin, without regard to its conflict of laws principles.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Future Cooperation</w:t>
      </w:r>
    </w:p>
    <w:p>
      <w:pPr>
        <w:spacing w:after="0" w:line="8" w:lineRule="exact"/>
        <w:rPr>
          <w:sz w:val="20"/>
          <w:szCs w:val="20"/>
          <w:color w:val="auto"/>
        </w:rPr>
      </w:pPr>
    </w:p>
    <w:p>
      <w:pPr>
        <w:ind w:left="180" w:right="239" w:firstLine="652"/>
        <w:spacing w:after="0" w:line="270" w:lineRule="auto"/>
        <w:tabs>
          <w:tab w:leader="none" w:pos="990" w:val="left"/>
        </w:tabs>
        <w:numPr>
          <w:ilvl w:val="0"/>
          <w:numId w:val="60"/>
        </w:numPr>
        <w:rPr>
          <w:rFonts w:ascii="Arial" w:cs="Arial" w:eastAsia="Arial" w:hAnsi="Arial"/>
          <w:sz w:val="19"/>
          <w:szCs w:val="19"/>
          <w:color w:val="auto"/>
        </w:rPr>
      </w:pPr>
      <w:r>
        <w:rPr>
          <w:rFonts w:ascii="Arial" w:cs="Arial" w:eastAsia="Arial" w:hAnsi="Arial"/>
          <w:sz w:val="19"/>
          <w:szCs w:val="19"/>
          <w:color w:val="auto"/>
        </w:rPr>
        <w:t>Executive agrees that, during Executive’s employment and following the termination of Executive’s employment for any reason, Executive will cooperate with requests by the Company to assist in the defense or prosecution of any lawsuits or claims in which the Company, or its officers, directors or employees may be or become involved and in connection with any internal investigation or administrative, regulatory or judicial proceeding, in each case which relates to matters occurring while Executive was employed by the Company, at such times and at such places as shall be mutually convenient for Executive and the Company, taking into account any employment commitments which Executive then has. Executive shall be compensated by the Company at a rate comparable to that which Executive earned while an employee of the Company or that which Executive is currently earning, whichever is greater; provided, however, that during such time as Executive is receiving Severance Payments or Change in Control Severance Payments pursuant to Sections 3.2(c) or 3.2(d) of this Agreement, such payments shall be the sole compensation provided to Executive for services reasonably requested under this Section 11.8.</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Compliance with Section 409A of the Code and the 409A Regulations</w:t>
      </w:r>
    </w:p>
    <w:p>
      <w:pPr>
        <w:spacing w:after="0" w:line="8" w:lineRule="exact"/>
        <w:rPr>
          <w:sz w:val="20"/>
          <w:szCs w:val="20"/>
          <w:color w:val="auto"/>
        </w:rPr>
      </w:pPr>
    </w:p>
    <w:p>
      <w:pPr>
        <w:ind w:left="180" w:right="259" w:firstLine="652"/>
        <w:spacing w:after="0" w:line="270" w:lineRule="auto"/>
        <w:tabs>
          <w:tab w:leader="none" w:pos="986"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This Agreement, and any ambiguity hereunder, shall be interpreted and administered so that any payments or benefits are either exempt from or avoid taxation under Section 409A of the Code, the 409A Regulations and any authority promulgated thereunder. Executive acknowledges that the Company has made no representations as to the treatment of the compensation and benefits provided hereunder and the Executive has been advised to obtain Executive’s own tax advice. Any term used in this Agreement which is defined in Code Section 409A or the 409A Regulations shall have the meaning set forth therein unless otherwise specifically defined herein. Any obligations under this Agreement that are subject to the requirements of Code Section 409A and arise in connection with Executive’s “termination of employment”, “termination” or other similar references shall only be triggered if the termination of employment or termination qualifies as a “separation from service” within the meaning of Section 1.409A-1(h) of the 409A Regulations. Each amount or benefit payable pursuant to this Agreement shall be deemed a separate payment for purposes of Section 409A and the 409A Regulations.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7" w:name="page48"/>
    <w:bookmarkEnd w:id="47"/>
    <w:p>
      <w:pPr>
        <w:ind w:left="180"/>
        <w:spacing w:after="0"/>
        <w:rPr>
          <w:sz w:val="20"/>
          <w:szCs w:val="20"/>
          <w:color w:val="auto"/>
        </w:rPr>
      </w:pPr>
      <w:r>
        <w:rPr>
          <w:rFonts w:ascii="Arial" w:cs="Arial" w:eastAsia="Arial" w:hAnsi="Arial"/>
          <w:sz w:val="22"/>
          <w:szCs w:val="22"/>
          <w:color w:val="auto"/>
        </w:rPr>
        <w:t>Successors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180" w:right="439"/>
        <w:spacing w:after="0" w:line="239" w:lineRule="auto"/>
        <w:rPr>
          <w:sz w:val="20"/>
          <w:szCs w:val="20"/>
          <w:color w:val="auto"/>
        </w:rPr>
      </w:pPr>
      <w:r>
        <w:rPr>
          <w:rFonts w:ascii="Arial" w:cs="Arial" w:eastAsia="Arial" w:hAnsi="Arial"/>
          <w:sz w:val="22"/>
          <w:szCs w:val="22"/>
          <w:color w:val="auto"/>
        </w:rPr>
        <w:t>This Agreement is personal to Executive and shall not be assignable by Executive otherwise than by will or the laws of descent and distribution</w:t>
      </w:r>
    </w:p>
    <w:p>
      <w:pPr>
        <w:ind w:left="840" w:right="579" w:firstLine="640"/>
        <w:spacing w:after="0" w:line="236" w:lineRule="auto"/>
        <w:tabs>
          <w:tab w:leader="none" w:pos="164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Executive’s legal representatives.</w:t>
      </w:r>
    </w:p>
    <w:p>
      <w:pPr>
        <w:spacing w:after="0" w:line="187" w:lineRule="exact"/>
        <w:rPr>
          <w:sz w:val="20"/>
          <w:szCs w:val="20"/>
          <w:color w:val="auto"/>
        </w:rPr>
      </w:pPr>
    </w:p>
    <w:p>
      <w:pPr>
        <w:ind w:left="840" w:right="219" w:firstLine="640"/>
        <w:spacing w:after="0" w:line="236" w:lineRule="auto"/>
        <w:tabs>
          <w:tab w:leader="none" w:pos="2187"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This Agreement shall be assignable by the Company without the written consent of Executive and shall inure to the benefit of and be binding upon the Company and its respective successors and assigns. Upon assignment of this Agreement by the Company, all references to the “Company” shall be deemed to refer to the party to which this Agreement is assigned.</w:t>
      </w:r>
    </w:p>
    <w:p>
      <w:pPr>
        <w:spacing w:after="0" w:line="187" w:lineRule="exact"/>
        <w:rPr>
          <w:sz w:val="20"/>
          <w:szCs w:val="20"/>
          <w:color w:val="auto"/>
        </w:rPr>
      </w:pPr>
    </w:p>
    <w:p>
      <w:pPr>
        <w:ind w:left="180" w:right="439" w:firstLine="648"/>
        <w:spacing w:after="0" w:line="282" w:lineRule="auto"/>
        <w:rPr>
          <w:sz w:val="20"/>
          <w:szCs w:val="20"/>
          <w:color w:val="auto"/>
        </w:rPr>
      </w:pPr>
      <w:r>
        <w:rPr>
          <w:rFonts w:ascii="Arial" w:cs="Arial" w:eastAsia="Arial" w:hAnsi="Arial"/>
          <w:sz w:val="19"/>
          <w:szCs w:val="19"/>
          <w:u w:val="single" w:color="auto"/>
          <w:color w:val="auto"/>
        </w:rPr>
        <w:t>11.3 Acknowledgement of Representation. Executive and the Company acknowledge that they have had the opportunity to be represented by counsel of their own choosing and, therefore, in the event of a dispute over the meaning of this Agreement or any provisions thereof, neither party shall be entitled to any presumption of correctness in favor of the interpretation advanced by such party or against the interpretation advanced by the other party.</w:t>
      </w:r>
    </w:p>
    <w:p>
      <w:pPr>
        <w:spacing w:after="0" w:line="147" w:lineRule="exact"/>
        <w:rPr>
          <w:sz w:val="20"/>
          <w:szCs w:val="20"/>
          <w:color w:val="auto"/>
        </w:rPr>
      </w:pPr>
    </w:p>
    <w:p>
      <w:pPr>
        <w:ind w:left="180" w:right="879" w:firstLine="648"/>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as of the date first written above.</w:t>
      </w:r>
    </w:p>
    <w:p>
      <w:pPr>
        <w:spacing w:after="0" w:line="175"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22" w:lineRule="exact"/>
        <w:rPr>
          <w:sz w:val="20"/>
          <w:szCs w:val="20"/>
          <w:color w:val="auto"/>
        </w:rPr>
      </w:pPr>
    </w:p>
    <w:p>
      <w:pPr>
        <w:ind w:left="4080"/>
        <w:spacing w:after="0"/>
        <w:rPr>
          <w:sz w:val="20"/>
          <w:szCs w:val="20"/>
          <w:color w:val="auto"/>
        </w:rPr>
      </w:pPr>
      <w:r>
        <w:rPr>
          <w:rFonts w:ascii="Arial" w:cs="Arial" w:eastAsia="Arial" w:hAnsi="Arial"/>
          <w:sz w:val="22"/>
          <w:szCs w:val="22"/>
          <w:u w:val="single" w:color="auto"/>
          <w:color w:val="auto"/>
        </w:rPr>
        <w:t>/s/ Samuel M.</w:t>
      </w:r>
    </w:p>
    <w:p>
      <w:pPr>
        <w:ind w:left="4080"/>
        <w:spacing w:after="0" w:line="238" w:lineRule="auto"/>
        <w:rPr>
          <w:sz w:val="20"/>
          <w:szCs w:val="20"/>
          <w:color w:val="auto"/>
        </w:rPr>
      </w:pPr>
      <w:r>
        <w:rPr>
          <w:rFonts w:ascii="Arial" w:cs="Arial" w:eastAsia="Arial" w:hAnsi="Arial"/>
          <w:sz w:val="22"/>
          <w:szCs w:val="22"/>
          <w:u w:val="single" w:color="auto"/>
          <w:color w:val="auto"/>
        </w:rPr>
        <w:t>Sato</w:t>
      </w:r>
    </w:p>
    <w:p>
      <w:pPr>
        <w:ind w:left="4080"/>
        <w:spacing w:after="0"/>
        <w:rPr>
          <w:sz w:val="20"/>
          <w:szCs w:val="20"/>
          <w:color w:val="auto"/>
        </w:rPr>
      </w:pPr>
      <w:r>
        <w:rPr>
          <w:rFonts w:ascii="Arial" w:cs="Arial" w:eastAsia="Arial" w:hAnsi="Arial"/>
          <w:sz w:val="22"/>
          <w:szCs w:val="22"/>
          <w:color w:val="auto"/>
        </w:rPr>
        <w:t>Samuel M. Sato</w:t>
      </w:r>
    </w:p>
    <w:p>
      <w:pPr>
        <w:spacing w:after="0" w:line="200" w:lineRule="exact"/>
        <w:rPr>
          <w:sz w:val="20"/>
          <w:szCs w:val="20"/>
          <w:color w:val="auto"/>
        </w:rPr>
      </w:pPr>
    </w:p>
    <w:p>
      <w:pPr>
        <w:spacing w:after="0" w:line="20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DULUTH HOLDINGS INC.:</w:t>
      </w: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Arial" w:cs="Arial" w:eastAsia="Arial" w:hAnsi="Arial"/>
          <w:sz w:val="19"/>
          <w:szCs w:val="19"/>
          <w:u w:val="single" w:color="auto"/>
          <w:color w:val="auto"/>
        </w:rPr>
        <w:t>/s/ Stephen L. Schlecht</w:t>
      </w:r>
      <w:r>
        <w:rPr>
          <w:rFonts w:ascii="Arial" w:cs="Arial" w:eastAsia="Arial" w:hAnsi="Arial"/>
          <w:sz w:val="19"/>
          <w:szCs w:val="19"/>
          <w:color w:val="auto"/>
        </w:rPr>
        <w:t>______________________</w:t>
      </w:r>
    </w:p>
    <w:p>
      <w:pPr>
        <w:spacing w:after="0" w:line="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Stephen L. Schlecht</w:t>
      </w:r>
    </w:p>
    <w:p>
      <w:pPr>
        <w:ind w:left="4080"/>
        <w:spacing w:after="0"/>
        <w:rPr>
          <w:sz w:val="20"/>
          <w:szCs w:val="20"/>
          <w:color w:val="auto"/>
        </w:rPr>
      </w:pPr>
      <w:r>
        <w:rPr>
          <w:rFonts w:ascii="Arial" w:cs="Arial" w:eastAsia="Arial" w:hAnsi="Arial"/>
          <w:sz w:val="22"/>
          <w:szCs w:val="22"/>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87"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2021</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602615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87"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120" w:hanging="324"/>
        <w:spacing w:after="0" w:line="263" w:lineRule="auto"/>
        <w:tabs>
          <w:tab w:leader="none" w:pos="102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2021</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6026150"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May 2, 2021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660" w:right="3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Sam Sato</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June 4, 2021</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02615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May 2, 2021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20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June 4, 2021</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02615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sectPr>
      <w:pgSz w:w="11900" w:h="16838" w:orient="portrait"/>
      <w:cols w:equalWidth="0" w:num="1">
        <w:col w:w="9440"/>
      </w:cols>
      <w:pgMar w:left="122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o"/>
      <w:numFmt w:val="bullet"/>
      <w:start w:val="1"/>
    </w:lvl>
  </w:abstractNum>
  <w:abstractNum w:abstractNumId="2">
    <w:nsid w:val="5577F8E1"/>
    <w:multiLevelType w:val="hybridMultilevel"/>
    <w:lvl w:ilvl="0">
      <w:lvlJc w:val="left"/>
      <w:lvlText w:val="%1."/>
      <w:numFmt w:val="upperLetter"/>
      <w:start w:val="1"/>
    </w:lvl>
  </w:abstractNum>
  <w:abstractNum w:abstractNumId="3">
    <w:nsid w:val="440BADFC"/>
    <w:multiLevelType w:val="hybridMultilevel"/>
    <w:lvl w:ilvl="0">
      <w:lvlJc w:val="left"/>
      <w:lvlText w:val="%1."/>
      <w:numFmt w:val="upperLetter"/>
      <w:start w:val="2"/>
    </w:lvl>
  </w:abstractNum>
  <w:abstractNum w:abstractNumId="4">
    <w:nsid w:val="5072367"/>
    <w:multiLevelType w:val="hybridMultilevel"/>
    <w:lvl w:ilvl="0">
      <w:lvlJc w:val="left"/>
      <w:lvlText w:val="%1."/>
      <w:numFmt w:val="upperLetter"/>
      <w:start w:val="3"/>
    </w:lvl>
  </w:abstractNum>
  <w:abstractNum w:abstractNumId="5">
    <w:nsid w:val="3804823E"/>
    <w:multiLevelType w:val="hybridMultilevel"/>
    <w:lvl w:ilvl="0">
      <w:lvlJc w:val="left"/>
      <w:lvlText w:val="%1."/>
      <w:numFmt w:val="upperLetter"/>
      <w:start w:val="5"/>
    </w:lvl>
  </w:abstractNum>
  <w:abstractNum w:abstractNumId="6">
    <w:nsid w:val="77465F01"/>
    <w:multiLevelType w:val="hybridMultilevel"/>
    <w:lvl w:ilvl="0">
      <w:lvlJc w:val="left"/>
      <w:lvlText w:val="%1."/>
      <w:numFmt w:val="upperLetter"/>
      <w:start w:val="9"/>
    </w:lvl>
  </w:abstractNum>
  <w:abstractNum w:abstractNumId="7">
    <w:nsid w:val="7724C67E"/>
    <w:multiLevelType w:val="hybridMultilevel"/>
    <w:lvl w:ilvl="0">
      <w:lvlJc w:val="left"/>
      <w:lvlText w:val="%1."/>
      <w:numFmt w:val="decimal"/>
      <w:start w:val="3"/>
    </w:lvl>
  </w:abstractNum>
  <w:abstractNum w:abstractNumId="8">
    <w:nsid w:val="5C482A97"/>
    <w:multiLevelType w:val="hybridMultilevel"/>
    <w:lvl w:ilvl="0">
      <w:lvlJc w:val="left"/>
      <w:lvlText w:val="%1."/>
      <w:numFmt w:val="decimal"/>
      <w:start w:val="4"/>
    </w:lvl>
  </w:abstractNum>
  <w:abstractNum w:abstractNumId="9">
    <w:nsid w:val="2463B9EA"/>
    <w:multiLevelType w:val="hybridMultilevel"/>
    <w:lvl w:ilvl="0">
      <w:lvlJc w:val="left"/>
      <w:lvlText w:val="%1."/>
      <w:numFmt w:val="decimal"/>
      <w:start w:val="11"/>
    </w:lvl>
  </w:abstractNum>
  <w:abstractNum w:abstractNumId="10">
    <w:nsid w:val="5E884ADC"/>
    <w:multiLevelType w:val="hybridMultilevel"/>
    <w:lvl w:ilvl="0">
      <w:lvlJc w:val="left"/>
      <w:lvlText w:val="%1"/>
      <w:numFmt w:val="decimal"/>
      <w:start w:val="104"/>
    </w:lvl>
  </w:abstractNum>
  <w:abstractNum w:abstractNumId="11">
    <w:nsid w:val="51EAD36B"/>
    <w:multiLevelType w:val="hybridMultilevel"/>
    <w:lvl w:ilvl="0">
      <w:lvlJc w:val="left"/>
      <w:lvlText w:val="(%1)"/>
      <w:numFmt w:val="lowerLetter"/>
      <w:start w:val="1"/>
    </w:lvl>
    <w:lvl w:ilvl="1">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lowerLetter"/>
      <w:start w:val="1"/>
    </w:lvl>
  </w:abstractNum>
  <w:abstractNum w:abstractNumId="33">
    <w:nsid w:val="3DC240FB"/>
    <w:multiLevelType w:val="hybridMultilevel"/>
    <w:lvl w:ilvl="0">
      <w:lvlJc w:val="left"/>
      <w:lvlText w:val="%1"/>
      <w:numFmt w:val="decimal"/>
      <w:start w:val="1"/>
    </w:lvl>
    <w:lvl w:ilvl="1">
      <w:lvlJc w:val="left"/>
      <w:lvlText w:val="(%2)"/>
      <w:numFmt w:val="lowerLetter"/>
      <w:start w:val="3"/>
    </w:lvl>
  </w:abstractNum>
  <w:abstractNum w:abstractNumId="34">
    <w:nsid w:val="1BA026FA"/>
    <w:multiLevelType w:val="hybridMultilevel"/>
    <w:lvl w:ilvl="0">
      <w:lvlJc w:val="left"/>
      <w:lvlText w:val="(%1)"/>
      <w:numFmt w:val="decimal"/>
      <w:start w:val="24"/>
    </w:lvl>
    <w:lvl w:ilvl="1">
      <w:lvlJc w:val="left"/>
      <w:lvlText w:val="(%2)"/>
      <w:numFmt w:val="lowerLetter"/>
      <w:start w:val="4"/>
    </w:lvl>
  </w:abstractNum>
  <w:abstractNum w:abstractNumId="35">
    <w:nsid w:val="79A1DEAA"/>
    <w:multiLevelType w:val="hybridMultilevel"/>
    <w:lvl w:ilvl="0">
      <w:lvlJc w:val="left"/>
      <w:lvlText w:val="(%1)"/>
      <w:numFmt w:val="lowerRoman"/>
      <w:start w:val="1"/>
    </w:lvl>
    <w:lvl w:ilvl="1">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1)"/>
      <w:numFmt w:val="decimal"/>
      <w:start w:val="17"/>
    </w:lvl>
    <w:lvl w:ilvl="1">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lowerRoman"/>
      <w:start w:val="2"/>
    </w:lvl>
    <w:lvl w:ilvl="1">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45" Type="http://schemas.openxmlformats.org/officeDocument/2006/relationships/hyperlink" Target="https://www.sec.gov/Archives/edgar/data/0001649744/000119312521166645/d157092dex101.htm" TargetMode="External"/><Relationship Id="rId46" Type="http://schemas.openxmlformats.org/officeDocument/2006/relationships/hyperlink" Target="https://www.sec.gov/Archives/edgar/data/0001649744/000119312521166645/d15709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2021-06-04T10:39:11Z</dcterms:created>
  <dcterms:modified xsi:type="dcterms:W3CDTF">2021-06-04T10:39:11Z</dcterms:modified>
</cp:coreProperties>
</file>