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3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560" w:right="640" w:hanging="435"/>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July 29,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560" w:right="620" w:hanging="435"/>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3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5180" w:type="dxa"/>
            <w:vAlign w:val="bottom"/>
          </w:tcPr>
          <w:p>
            <w:pPr>
              <w:jc w:val="center"/>
              <w:ind w:right="2701"/>
              <w:spacing w:after="0"/>
              <w:rPr>
                <w:sz w:val="20"/>
                <w:szCs w:val="20"/>
                <w:color w:val="auto"/>
              </w:rPr>
            </w:pPr>
            <w:r>
              <w:rPr>
                <w:rFonts w:ascii="Arial" w:cs="Arial" w:eastAsia="Arial" w:hAnsi="Arial"/>
                <w:sz w:val="18"/>
                <w:szCs w:val="18"/>
                <w:b w:val="1"/>
                <w:bCs w:val="1"/>
                <w:color w:val="auto"/>
                <w:w w:val="88"/>
              </w:rPr>
              <w:t>Wisconsin</w:t>
            </w:r>
          </w:p>
        </w:tc>
        <w:tc>
          <w:tcPr>
            <w:tcW w:w="150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5180" w:type="dxa"/>
            <w:vAlign w:val="bottom"/>
          </w:tcPr>
          <w:p>
            <w:pPr>
              <w:jc w:val="center"/>
              <w:ind w:right="2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80" w:type="dxa"/>
            <w:vAlign w:val="bottom"/>
          </w:tcPr>
          <w:p>
            <w:pPr>
              <w:jc w:val="center"/>
              <w:ind w:right="2701"/>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91"/>
              </w:rPr>
              <w:t>170 Countryside Drive</w:t>
            </w:r>
          </w:p>
        </w:tc>
        <w:tc>
          <w:tcPr>
            <w:tcW w:w="1500" w:type="dxa"/>
            <w:vAlign w:val="bottom"/>
          </w:tcPr>
          <w:p>
            <w:pPr>
              <w:spacing w:after="0"/>
              <w:rPr>
                <w:sz w:val="24"/>
                <w:szCs w:val="24"/>
                <w:color w:val="auto"/>
              </w:rPr>
            </w:pPr>
          </w:p>
        </w:tc>
      </w:tr>
      <w:tr>
        <w:trPr>
          <w:trHeight w:val="216"/>
        </w:trPr>
        <w:tc>
          <w:tcPr>
            <w:tcW w:w="5180" w:type="dxa"/>
            <w:vAlign w:val="bottom"/>
          </w:tcPr>
          <w:p>
            <w:pPr>
              <w:jc w:val="center"/>
              <w:ind w:right="2701"/>
              <w:spacing w:after="0"/>
              <w:rPr>
                <w:sz w:val="20"/>
                <w:szCs w:val="20"/>
                <w:color w:val="auto"/>
              </w:rPr>
            </w:pPr>
            <w:r>
              <w:rPr>
                <w:rFonts w:ascii="Arial" w:cs="Arial" w:eastAsia="Arial" w:hAnsi="Arial"/>
                <w:sz w:val="18"/>
                <w:szCs w:val="18"/>
                <w:b w:val="1"/>
                <w:bCs w:val="1"/>
                <w:color w:val="auto"/>
                <w:w w:val="90"/>
              </w:rPr>
              <w:t>P.O. Box 409</w:t>
            </w:r>
          </w:p>
        </w:tc>
        <w:tc>
          <w:tcPr>
            <w:tcW w:w="1500" w:type="dxa"/>
            <w:vAlign w:val="bottom"/>
          </w:tcPr>
          <w:p>
            <w:pPr>
              <w:jc w:val="right"/>
              <w:ind w:right="401"/>
              <w:spacing w:after="0"/>
              <w:rPr>
                <w:sz w:val="20"/>
                <w:szCs w:val="20"/>
                <w:color w:val="auto"/>
              </w:rPr>
            </w:pPr>
            <w:r>
              <w:rPr>
                <w:rFonts w:ascii="Arial" w:cs="Arial" w:eastAsia="Arial" w:hAnsi="Arial"/>
                <w:sz w:val="18"/>
                <w:szCs w:val="18"/>
                <w:b w:val="1"/>
                <w:bCs w:val="1"/>
                <w:color w:val="auto"/>
              </w:rPr>
              <w:t>53508</w:t>
            </w:r>
          </w:p>
        </w:tc>
      </w:tr>
      <w:tr>
        <w:trPr>
          <w:trHeight w:val="212"/>
        </w:trPr>
        <w:tc>
          <w:tcPr>
            <w:tcW w:w="5180" w:type="dxa"/>
            <w:vAlign w:val="bottom"/>
          </w:tcPr>
          <w:p>
            <w:pPr>
              <w:jc w:val="center"/>
              <w:ind w:right="2701"/>
              <w:spacing w:after="0"/>
              <w:rPr>
                <w:sz w:val="20"/>
                <w:szCs w:val="20"/>
                <w:color w:val="auto"/>
              </w:rPr>
            </w:pPr>
            <w:r>
              <w:rPr>
                <w:rFonts w:ascii="Arial" w:cs="Arial" w:eastAsia="Arial" w:hAnsi="Arial"/>
                <w:sz w:val="18"/>
                <w:szCs w:val="18"/>
                <w:b w:val="1"/>
                <w:bCs w:val="1"/>
                <w:color w:val="auto"/>
                <w:w w:val="87"/>
              </w:rPr>
              <w:t>Belleville, Wisconsin</w:t>
            </w:r>
          </w:p>
        </w:tc>
        <w:tc>
          <w:tcPr>
            <w:tcW w:w="1500" w:type="dxa"/>
            <w:vAlign w:val="bottom"/>
          </w:tcPr>
          <w:p>
            <w:pPr>
              <w:spacing w:after="0"/>
              <w:rPr>
                <w:sz w:val="18"/>
                <w:szCs w:val="18"/>
                <w:color w:val="auto"/>
              </w:rPr>
            </w:pPr>
          </w:p>
        </w:tc>
      </w:tr>
      <w:tr>
        <w:trPr>
          <w:trHeight w:val="186"/>
        </w:trPr>
        <w:tc>
          <w:tcPr>
            <w:tcW w:w="5180" w:type="dxa"/>
            <w:vAlign w:val="bottom"/>
          </w:tcPr>
          <w:p>
            <w:pPr>
              <w:jc w:val="center"/>
              <w:ind w:right="2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5180" w:type="dxa"/>
            <w:vAlign w:val="bottom"/>
          </w:tcPr>
          <w:p>
            <w:pPr>
              <w:jc w:val="right"/>
              <w:ind w:right="1141"/>
              <w:spacing w:after="0"/>
              <w:rPr>
                <w:sz w:val="20"/>
                <w:szCs w:val="20"/>
                <w:color w:val="auto"/>
              </w:rPr>
            </w:pPr>
            <w:r>
              <w:rPr>
                <w:rFonts w:ascii="Arial" w:cs="Arial" w:eastAsia="Arial" w:hAnsi="Arial"/>
                <w:sz w:val="14"/>
                <w:szCs w:val="14"/>
                <w:b w:val="1"/>
                <w:bCs w:val="1"/>
                <w:color w:val="auto"/>
              </w:rPr>
              <w:t>(608) 424-1544</w:t>
            </w:r>
          </w:p>
        </w:tc>
        <w:tc>
          <w:tcPr>
            <w:tcW w:w="1500" w:type="dxa"/>
            <w:vAlign w:val="bottom"/>
          </w:tcPr>
          <w:p>
            <w:pPr>
              <w:spacing w:after="0"/>
              <w:rPr>
                <w:sz w:val="24"/>
                <w:szCs w:val="24"/>
                <w:color w:val="auto"/>
              </w:rPr>
            </w:pPr>
          </w:p>
        </w:tc>
      </w:tr>
      <w:tr>
        <w:trPr>
          <w:trHeight w:val="166"/>
        </w:trPr>
        <w:tc>
          <w:tcPr>
            <w:tcW w:w="5180" w:type="dxa"/>
            <w:vAlign w:val="bottom"/>
          </w:tcPr>
          <w:p>
            <w:pPr>
              <w:jc w:val="center"/>
              <w:ind w:left="17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4"/>
                <w:szCs w:val="14"/>
                <w:color w:val="auto"/>
              </w:rPr>
            </w:pPr>
          </w:p>
        </w:tc>
      </w:tr>
      <w:tr>
        <w:trPr>
          <w:trHeight w:val="171"/>
        </w:trPr>
        <w:tc>
          <w:tcPr>
            <w:tcW w:w="5180" w:type="dxa"/>
            <w:vAlign w:val="bottom"/>
          </w:tcPr>
          <w:p>
            <w:pPr>
              <w:jc w:val="right"/>
              <w:ind w:right="41"/>
              <w:spacing w:after="0"/>
              <w:rPr>
                <w:sz w:val="20"/>
                <w:szCs w:val="20"/>
                <w:color w:val="auto"/>
              </w:rPr>
            </w:pPr>
            <w:r>
              <w:rPr>
                <w:rFonts w:ascii="Arial" w:cs="Arial" w:eastAsia="Arial" w:hAnsi="Arial"/>
                <w:sz w:val="14"/>
                <w:szCs w:val="14"/>
                <w:color w:val="auto"/>
              </w:rPr>
              <w:t>_________________________________________</w:t>
            </w:r>
          </w:p>
        </w:tc>
        <w:tc>
          <w:tcPr>
            <w:tcW w:w="1500" w:type="dxa"/>
            <w:vAlign w:val="bottom"/>
          </w:tcPr>
          <w:p>
            <w:pPr>
              <w:spacing w:after="0"/>
              <w:rPr>
                <w:sz w:val="14"/>
                <w:szCs w:val="14"/>
                <w:color w:val="auto"/>
              </w:rPr>
            </w:pPr>
          </w:p>
        </w:tc>
      </w:tr>
    </w:tbl>
    <w:p>
      <w:pPr>
        <w:ind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2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8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3"/>
                <w:szCs w:val="13"/>
                <w:color w:val="auto"/>
                <w:w w:val="94"/>
              </w:rPr>
              <w:t>(Do not check if smaller reporting company)</w:t>
            </w:r>
          </w:p>
        </w:tc>
        <w:tc>
          <w:tcPr>
            <w:tcW w:w="13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2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A common stock, no par value, as of September 4, 2018, was 3,364,200.</w:t>
      </w:r>
    </w:p>
    <w:p>
      <w:pPr>
        <w:spacing w:after="0" w:line="34"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September 4, 2018, was 29,224,207.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15" w:right="1239" w:bottom="1440" w:gutter="0" w:footer="0" w:header="0"/>
        </w:sectPr>
      </w:pPr>
    </w:p>
    <w:bookmarkStart w:id="1" w:name="page2"/>
    <w:bookmarkEnd w:id="1"/>
    <w:p>
      <w:pPr>
        <w:ind w:left="370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FOR QUARTER ENDED July 29, 2018</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00" w:type="dxa"/>
            <w:vAlign w:val="bottom"/>
            <w:gridSpan w:val="8"/>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Page</w:t>
            </w: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July 29, 2018 and January 28, 2018</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5040" w:type="dxa"/>
            <w:vAlign w:val="bottom"/>
            <w:tcBorders>
              <w:top w:val="single" w:sz="8" w:color="0000EE"/>
            </w:tcBorders>
            <w:gridSpan w:val="16"/>
          </w:tcPr>
          <w:p>
            <w:pPr>
              <w:spacing w:after="0"/>
              <w:rPr>
                <w:sz w:val="17"/>
                <w:szCs w:val="17"/>
                <w:color w:val="auto"/>
              </w:rPr>
            </w:pPr>
          </w:p>
        </w:tc>
        <w:tc>
          <w:tcPr>
            <w:tcW w:w="136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July</w:t>
              </w:r>
            </w:hyperlink>
          </w:p>
        </w:tc>
        <w:tc>
          <w:tcPr>
            <w:tcW w:w="74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29, 2018 and July 30, 2017 (Unaudited)</w:t>
              </w:r>
            </w:hyperlink>
          </w:p>
        </w:tc>
        <w:tc>
          <w:tcPr>
            <w:tcW w:w="44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for the three and six months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ended July 29, 2018 and July 30, 2017 (Unaudited)</w:t>
              </w:r>
            </w:hyperlink>
          </w:p>
        </w:tc>
        <w:tc>
          <w:tcPr>
            <w:tcW w:w="2940" w:type="dxa"/>
            <w:vAlign w:val="bottom"/>
            <w:tcBorders>
              <w:top w:val="single" w:sz="8" w:color="0000EE"/>
            </w:tcBorders>
            <w:gridSpan w:val="10"/>
          </w:tcPr>
          <w:p>
            <w:pPr>
              <w:spacing w:after="0"/>
              <w:rPr>
                <w:sz w:val="17"/>
                <w:szCs w:val="17"/>
                <w:color w:val="auto"/>
              </w:rPr>
            </w:pPr>
          </w:p>
        </w:tc>
        <w:tc>
          <w:tcPr>
            <w:tcW w:w="6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 of Shareholders’ Equity for the six months ended July 29,</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2018 (Unaudited)</w:t>
              </w:r>
            </w:hyperlink>
          </w:p>
        </w:tc>
        <w:tc>
          <w:tcPr>
            <w:tcW w:w="5480" w:type="dxa"/>
            <w:vAlign w:val="bottom"/>
            <w:tcBorders>
              <w:top w:val="single" w:sz="8" w:color="0000EE"/>
            </w:tcBorders>
            <w:gridSpan w:val="19"/>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 for the six months ended July 29, 2018</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and July 30, 2017 (Unaudited)</w:t>
              </w:r>
            </w:hyperlink>
          </w:p>
        </w:tc>
        <w:tc>
          <w:tcPr>
            <w:tcW w:w="4360" w:type="dxa"/>
            <w:vAlign w:val="bottom"/>
            <w:tcBorders>
              <w:top w:val="single" w:sz="8" w:color="0000EE"/>
            </w:tcBorders>
            <w:gridSpan w:val="13"/>
          </w:tcPr>
          <w:p>
            <w:pPr>
              <w:spacing w:after="0"/>
              <w:rPr>
                <w:sz w:val="17"/>
                <w:szCs w:val="17"/>
                <w:color w:val="auto"/>
              </w:rPr>
            </w:pPr>
          </w:p>
        </w:tc>
        <w:tc>
          <w:tcPr>
            <w:tcW w:w="7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720" w:type="dxa"/>
            <w:vAlign w:val="bottom"/>
            <w:gridSpan w:val="3"/>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720" w:type="dxa"/>
            <w:vAlign w:val="bottom"/>
            <w:gridSpan w:val="3"/>
          </w:tcPr>
          <w:p>
            <w:pPr>
              <w:spacing w:after="0"/>
              <w:rPr>
                <w:sz w:val="24"/>
                <w:szCs w:val="24"/>
                <w:color w:val="auto"/>
              </w:rPr>
            </w:pPr>
          </w:p>
        </w:tc>
        <w:tc>
          <w:tcPr>
            <w:tcW w:w="6460" w:type="dxa"/>
            <w:vAlign w:val="bottom"/>
            <w:tcBorders>
              <w:top w:val="single" w:sz="8" w:color="0000EE"/>
            </w:tcBorders>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8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720" w:type="dxa"/>
            <w:vAlign w:val="bottom"/>
            <w:gridSpan w:val="3"/>
          </w:tcPr>
          <w:p>
            <w:pPr>
              <w:spacing w:after="0"/>
              <w:rPr>
                <w:sz w:val="24"/>
                <w:szCs w:val="24"/>
                <w:color w:val="auto"/>
              </w:rPr>
            </w:pP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Part II—Other Information</w:t>
              </w:r>
            </w:hyperlink>
          </w:p>
        </w:tc>
        <w:tc>
          <w:tcPr>
            <w:tcW w:w="290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5940" w:type="dxa"/>
            <w:vAlign w:val="bottom"/>
            <w:gridSpan w:val="1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72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720" w:type="dxa"/>
            <w:vAlign w:val="bottom"/>
            <w:gridSpan w:val="3"/>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9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1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98"/>
        </w:trPr>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12"/>
          </w:tcPr>
          <w:p>
            <w:pPr>
              <w:ind w:left="33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21" w:right="11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January 28,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Cash</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$2,124 and $1,866,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Prepaid expenses &amp; other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270,438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Bank overdrafts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under build-to-suit leases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obligations, less current maturities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issued or outstanding as of July 29, 2018 and January 28, 2018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3,364 shares issued and outstanding as of July 29, 2018 and January 28, 2018</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w w:val="97"/>
              </w:rPr>
              <w:t>29,227 shares issued and 29,222 shares outstanding as of July 29, 2018 and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w w:val="98"/>
              </w:rPr>
              <w:t>29,101 shares issued and 29,098 shares outstanding as of January 28, 2018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5 and 3 shares as of July 29, 2018 and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28, 2018,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Capital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July 29, 2018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9"/>
              </w:rPr>
              <w:t>July 30, 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5"/>
                <w:szCs w:val="15"/>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July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210,860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169,913</w:t>
            </w: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48,413</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37,303</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92,680</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118,180</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52,344</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41,534</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108,541</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6,377</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5,686</w:t>
            </w: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Weighted average shares of</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31,828</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attributable</w:t>
            </w:r>
          </w:p>
        </w:tc>
        <w:tc>
          <w:tcPr>
            <w:tcW w:w="36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8"/>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32,414</w:t>
            </w: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32,318</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32,344</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per share attributable</w:t>
            </w:r>
          </w:p>
        </w:tc>
        <w:tc>
          <w:tcPr>
            <w:tcW w:w="36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9"/>
              </w:rPr>
              <w:t>July 29, 2018</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July 30, 2017</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9"/>
              </w:rPr>
              <w:t>July 29, 2018</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July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6,452</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4,353</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 noncontrolling interest</w:t>
            </w:r>
          </w:p>
        </w:tc>
        <w:tc>
          <w:tcPr>
            <w:tcW w:w="8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attributable</w:t>
            </w:r>
          </w:p>
        </w:tc>
        <w:tc>
          <w:tcPr>
            <w:tcW w:w="8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6,377</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4,284</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5,686</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8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Total</w:t>
            </w: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28,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139,349</w:t>
            </w:r>
          </w:p>
        </w:tc>
      </w:tr>
      <w:tr>
        <w:trPr>
          <w:trHeight w:val="229"/>
        </w:trPr>
        <w:tc>
          <w:tcPr>
            <w:tcW w:w="20" w:type="dxa"/>
            <w:vAlign w:val="bottom"/>
          </w:tcPr>
          <w:p>
            <w:pPr>
              <w:spacing w:after="0"/>
              <w:rPr>
                <w:sz w:val="19"/>
                <w:szCs w:val="19"/>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Cumulative effect from adoption of</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ASC 606 (Footnote 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138,701</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Balance at July 29, 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32,586</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53,122</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July 30, 2017</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5,769</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4,768</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to net cash used in operating activities:</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(12,879)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 &amp; other current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(12,168)</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(20,054)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other assets</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w:t>
            </w:r>
          </w:p>
        </w:tc>
      </w:tr>
      <w:tr>
        <w:trPr>
          <w:trHeight w:val="196"/>
        </w:trPr>
        <w:tc>
          <w:tcPr>
            <w:tcW w:w="20" w:type="dxa"/>
            <w:vAlign w:val="bottom"/>
          </w:tcPr>
          <w:p>
            <w:pPr>
              <w:spacing w:after="0"/>
              <w:rPr>
                <w:sz w:val="17"/>
                <w:szCs w:val="17"/>
                <w:color w:val="auto"/>
              </w:rPr>
            </w:pPr>
          </w:p>
        </w:tc>
        <w:tc>
          <w:tcPr>
            <w:tcW w:w="59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 term debt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Payments on long term debt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bank overdrafts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finance lease obligations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Capital contributions to variable interest entity</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Decrease in cash and restricted cash</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(21,597)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w:t>
            </w:r>
          </w:p>
        </w:tc>
      </w:tr>
      <w:tr>
        <w:trPr>
          <w:trHeight w:val="217"/>
        </w:trPr>
        <w:tc>
          <w:tcPr>
            <w:tcW w:w="5980" w:type="dxa"/>
            <w:vAlign w:val="bottom"/>
            <w:gridSpan w:val="2"/>
          </w:tcPr>
          <w:p>
            <w:pPr>
              <w:spacing w:after="0"/>
              <w:rPr>
                <w:sz w:val="20"/>
                <w:szCs w:val="20"/>
                <w:color w:val="auto"/>
              </w:rPr>
            </w:pPr>
            <w:r>
              <w:rPr>
                <w:rFonts w:ascii="Arial" w:cs="Arial" w:eastAsia="Arial" w:hAnsi="Arial"/>
                <w:sz w:val="18"/>
                <w:szCs w:val="18"/>
                <w:color w:val="auto"/>
              </w:rPr>
              <w:t>Cash and restricted cash at end of period</w:t>
            </w:r>
          </w:p>
        </w:tc>
        <w:tc>
          <w:tcPr>
            <w:tcW w:w="5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3,577</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03"/>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paid</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1,925</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2,452</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4,411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2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Duluth Holdings Inc. (“Duluth Trading” or the “Company”), a Wisconsin corporation, is a lifestyle brand of men’s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women’s casual wear, workwear and accessories sold exclusively through the Company’s own direct and retail channels. The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consisting of the Company’s website and catalogs, offers products nationwide. In 2010, the Company added retail to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omni-channel platform with the opening of its first store. Since then, Duluth Trading has expanded its retail presence, and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29, 2018, the Company operated 36 retail stores and three outlet stores. The Company’s products are marketed under the Duluth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Trading brand, with the majority of products being exclusively developed and sold as Duluth Trading branded merchandise.</w:t>
      </w:r>
    </w:p>
    <w:p>
      <w:pPr>
        <w:spacing w:after="0" w:line="195"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Schlecht Retail Ventures LLC (“SRV”) as a variable interest entity (see Note 6 “Variable Interest Entity”). All intercompany balances and transactions have been eliminated.</w:t>
      </w:r>
    </w:p>
    <w:p>
      <w:pPr>
        <w:spacing w:after="0" w:line="154" w:lineRule="exact"/>
        <w:rPr>
          <w:sz w:val="20"/>
          <w:szCs w:val="20"/>
          <w:color w:val="auto"/>
        </w:rPr>
      </w:pPr>
    </w:p>
    <w:p>
      <w:pPr>
        <w:ind w:right="120" w:firstLine="428"/>
        <w:spacing w:after="0" w:line="312" w:lineRule="auto"/>
        <w:rPr>
          <w:sz w:val="20"/>
          <w:szCs w:val="20"/>
          <w:color w:val="auto"/>
        </w:rPr>
      </w:pPr>
      <w:r>
        <w:rPr>
          <w:rFonts w:ascii="Arial" w:cs="Arial" w:eastAsia="Arial" w:hAnsi="Arial"/>
          <w:sz w:val="16"/>
          <w:szCs w:val="16"/>
          <w:color w:val="auto"/>
        </w:rPr>
        <w:t>The Company’s fiscal year ends on the Sunday nearest to January 31 of the following year. Fiscal 2018 is a 53-week period and ends on February 3, 2019. Fiscal 2017 was a 52-week period and ended on January 28, 2018. The three and six months of fiscal 2018 and fiscal 2017 represent the Company’s 13 and 26-week periods ended July 29, 2018 and July 30, 2017, respectively.</w:t>
      </w:r>
    </w:p>
    <w:p>
      <w:pPr>
        <w:spacing w:after="0" w:line="106" w:lineRule="exact"/>
        <w:rPr>
          <w:sz w:val="20"/>
          <w:szCs w:val="20"/>
          <w:color w:val="auto"/>
        </w:rPr>
      </w:pPr>
    </w:p>
    <w:p>
      <w:pPr>
        <w:ind w:right="40" w:firstLine="428"/>
        <w:spacing w:after="0" w:line="270" w:lineRule="auto"/>
        <w:rPr>
          <w:sz w:val="20"/>
          <w:szCs w:val="20"/>
          <w:color w:val="auto"/>
        </w:rPr>
      </w:pPr>
      <w:r>
        <w:rPr>
          <w:rFonts w:ascii="Arial" w:cs="Arial" w:eastAsia="Arial" w:hAnsi="Arial"/>
          <w:sz w:val="17"/>
          <w:szCs w:val="17"/>
          <w:color w:val="auto"/>
        </w:rPr>
        <w:t>The accompanying condensed consolidated financial statements as of and for the three and six months ended July 29, 2018 and July 30, 2017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July 29, 2018 and July 30, 2017. These interim condensed consolidated financial statements should be read in conjunction with the consolidated financial statements and notes included in the Company’s annual report on Form 10-K for the fiscal year ended January 28, 2018.</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20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Cash and Reconciliation of cash and restricted cash to the condensed statement of cash flows</w:t>
      </w:r>
    </w:p>
    <w:p>
      <w:pPr>
        <w:spacing w:after="0" w:line="185" w:lineRule="exact"/>
        <w:rPr>
          <w:sz w:val="20"/>
          <w:szCs w:val="20"/>
          <w:color w:val="auto"/>
        </w:rPr>
      </w:pPr>
    </w:p>
    <w:p>
      <w:pPr>
        <w:ind w:right="8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39" w:lineRule="exact"/>
        <w:rPr>
          <w:sz w:val="20"/>
          <w:szCs w:val="20"/>
          <w:color w:val="auto"/>
        </w:rPr>
      </w:pPr>
    </w:p>
    <w:p>
      <w:pPr>
        <w:ind w:right="140" w:firstLine="428"/>
        <w:spacing w:after="0" w:line="342" w:lineRule="auto"/>
        <w:rPr>
          <w:sz w:val="20"/>
          <w:szCs w:val="20"/>
          <w:color w:val="auto"/>
        </w:rPr>
      </w:pPr>
      <w:r>
        <w:rPr>
          <w:rFonts w:ascii="Arial" w:cs="Arial" w:eastAsia="Arial" w:hAnsi="Arial"/>
          <w:sz w:val="16"/>
          <w:szCs w:val="16"/>
          <w:color w:val="auto"/>
        </w:rPr>
        <w:t>The following table provides a reconciliation of cash and restricted cash reported within the Condensed Consolidated Balance Sheet that sum to the total of the same such amounts shown in the Condensed 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July 29, 2018</w:t>
            </w:r>
          </w:p>
        </w:tc>
        <w:tc>
          <w:tcPr>
            <w:tcW w:w="20" w:type="dxa"/>
            <w:vAlign w:val="bottom"/>
          </w:tcPr>
          <w:p>
            <w:pPr>
              <w:spacing w:after="0"/>
              <w:rPr>
                <w:sz w:val="14"/>
                <w:szCs w:val="14"/>
                <w:color w:val="auto"/>
              </w:rPr>
            </w:pPr>
          </w:p>
        </w:tc>
      </w:tr>
      <w:tr>
        <w:trPr>
          <w:trHeight w:val="196"/>
        </w:trPr>
        <w:tc>
          <w:tcPr>
            <w:tcW w:w="7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cash and restricted cash shown in the condensed consolidated statement of cash flows</w:t>
            </w:r>
          </w:p>
        </w:tc>
        <w:tc>
          <w:tcPr>
            <w:tcW w:w="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22"/>
                <w:szCs w:val="22"/>
                <w:color w:val="auto"/>
              </w:rPr>
            </w:pPr>
          </w:p>
        </w:tc>
      </w:tr>
      <w:tr>
        <w:trPr>
          <w:trHeight w:val="419"/>
        </w:trPr>
        <w:tc>
          <w:tcPr>
            <w:tcW w:w="7340" w:type="dxa"/>
            <w:vAlign w:val="bottom"/>
            <w:gridSpan w:val="2"/>
          </w:tcPr>
          <w:p>
            <w:pPr>
              <w:jc w:val="right"/>
              <w:ind w:right="239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Build-to-Suit Lease</w:t>
      </w:r>
    </w:p>
    <w:p>
      <w:pPr>
        <w:spacing w:after="0" w:line="185"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Similarly, the Company’s lease for its new headquarters is also treated as a build-to-suit lease transaction for accounting purposes during the construction period. For leases that the Company is deemed the owner of the property during the construction period, upon commencement of the construction project, the Company is required to capitalize the cash and non-cash assets contributed by the landlord for construction as property and equipment on the Company’s Condensed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53" w:lineRule="exact"/>
        <w:rPr>
          <w:sz w:val="20"/>
          <w:szCs w:val="20"/>
          <w:color w:val="auto"/>
        </w:rPr>
      </w:pPr>
    </w:p>
    <w:p>
      <w:pPr>
        <w:ind w:right="280" w:firstLine="428"/>
        <w:spacing w:after="0" w:line="276" w:lineRule="auto"/>
        <w:rPr>
          <w:sz w:val="20"/>
          <w:szCs w:val="20"/>
          <w:color w:val="auto"/>
        </w:rPr>
      </w:pPr>
      <w:r>
        <w:rPr>
          <w:rFonts w:ascii="Arial" w:cs="Arial" w:eastAsia="Arial" w:hAnsi="Arial"/>
          <w:sz w:val="17"/>
          <w:szCs w:val="17"/>
          <w:color w:val="auto"/>
        </w:rPr>
        <w:t>As of July 29, 2018, the Company capitalized $55.2 million in property and equipment and $0.6 million in accumulated depreciation and recorded a $40.5 million non-current liability related to build-to-suit transactions in which the Company is considered the owner for accounting purposes. As of January 28, 2018, the Company capitalized $36.5 million in property and equipment and $0.3 million in accumulated depreciation and recorded a $26.6 million non-current liability related to build-to-suit transactions in which the Company is considered the owner for accounting purposes.</w:t>
      </w:r>
    </w:p>
    <w:p>
      <w:pPr>
        <w:spacing w:after="0" w:line="1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85" w:lineRule="exact"/>
        <w:rPr>
          <w:sz w:val="20"/>
          <w:szCs w:val="20"/>
          <w:color w:val="auto"/>
        </w:rPr>
      </w:pPr>
    </w:p>
    <w:p>
      <w:pPr>
        <w:ind w:right="680" w:firstLine="428"/>
        <w:spacing w:after="0" w:line="308" w:lineRule="auto"/>
        <w:rPr>
          <w:sz w:val="20"/>
          <w:szCs w:val="20"/>
          <w:color w:val="auto"/>
        </w:rPr>
      </w:pPr>
      <w:r>
        <w:rPr>
          <w:rFonts w:ascii="Arial" w:cs="Arial" w:eastAsia="Arial" w:hAnsi="Arial"/>
          <w:sz w:val="17"/>
          <w:szCs w:val="17"/>
          <w:color w:val="auto"/>
        </w:rPr>
        <w:t>Except as disclosed below, there have been no significant changes to the Company’s significant accounting policies as described in the Company’s Annual Report on Form 10-K for the year ended January 28, 2018.</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right="20" w:firstLine="428"/>
        <w:spacing w:after="0" w:line="286" w:lineRule="auto"/>
        <w:rPr>
          <w:sz w:val="20"/>
          <w:szCs w:val="20"/>
          <w:color w:val="auto"/>
        </w:rPr>
      </w:pPr>
      <w:r>
        <w:rPr>
          <w:rFonts w:ascii="Arial" w:cs="Arial" w:eastAsia="Arial" w:hAnsi="Arial"/>
          <w:sz w:val="16"/>
          <w:szCs w:val="16"/>
          <w:color w:val="auto"/>
        </w:rPr>
        <w:t xml:space="preserve">On January 29, 2018, the Company adopted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(“ASC 606”), which supersedes the revenue recognition requirements in ASC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ASC 606 requires revenue recognition to depict the transfer of goods or services to customers in an amount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consideration to which the entity expects to be entitled in exchange for those goods or services. ASC 606 also requires disclosure of the nature, timing and uncertainty of revenue and cash flows arising from contracts with customers. The Company adopted ASC 606 utilizing the modified retrospective approach, with the cumulative effect of initially applying the new standard recognized in retained earnings. As such, the comparative prior period information has not been restated and continues to be reported under the accounting standards in effect for those periods. The adoption of ASC 606 had the following effect beginning with the Company’s January 29, 2018 financial statements: (1) revenues on direct sales are recognized upon shipment, which is when the customer obtains control of the product and reflects the consideration the Company expects to be entitled to in exchange for the product; (2) catalog costs are expensed upon receipt by customers; and (3) the estimated cost of inventory associated with sales returns reserve is presented within prepaid expense and other current assets rather than netted in product returns reserve within accrued expenses and other current liabilities on the condensed consolidated balance sheets. The adoption of ASC 606 did not have a material impact on the Company’s condensed consolidated financial statements.</w:t>
      </w:r>
    </w:p>
    <w:p>
      <w:pPr>
        <w:spacing w:after="0" w:line="131"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 xml:space="preserve">On January 29, 2018, the Company adopted ASU No. 2016-08,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(“ASC 230”), which requires companies to include cash and cash equivalents that have restrictions on withdrawal or use in total cash and cash equivalents on the statement of cash flows. As a result of the adoption of ASC 230, the Company no longer discloses changes in restricted cash on the statement of cash flows and discloses a reconciliation to the total cash and restricted cash balances on the condensed consolidated balance sheets (see item D above).</w:t>
      </w:r>
    </w:p>
    <w:p>
      <w:pPr>
        <w:spacing w:after="0" w:line="161" w:lineRule="exact"/>
        <w:rPr>
          <w:sz w:val="20"/>
          <w:szCs w:val="20"/>
          <w:color w:val="auto"/>
        </w:rPr>
      </w:pPr>
    </w:p>
    <w:p>
      <w:pPr>
        <w:ind w:right="240" w:firstLine="428"/>
        <w:spacing w:after="0" w:line="259" w:lineRule="auto"/>
        <w:rPr>
          <w:sz w:val="20"/>
          <w:szCs w:val="20"/>
          <w:color w:val="auto"/>
        </w:rPr>
      </w:pPr>
      <w:r>
        <w:rPr>
          <w:rFonts w:ascii="Arial" w:cs="Arial" w:eastAsia="Arial" w:hAnsi="Arial"/>
          <w:sz w:val="18"/>
          <w:szCs w:val="18"/>
          <w:color w:val="auto"/>
        </w:rPr>
        <w:t xml:space="preserve">On January 29, 2018, the Company adopted ASU No. 2016-01, </w:t>
      </w:r>
      <w:r>
        <w:rPr>
          <w:rFonts w:ascii="Arial" w:cs="Arial" w:eastAsia="Arial" w:hAnsi="Arial"/>
          <w:sz w:val="18"/>
          <w:szCs w:val="18"/>
          <w:i w:val="1"/>
          <w:iCs w:val="1"/>
          <w:color w:val="auto"/>
        </w:rPr>
        <w:t>Financial Instruments (Subtopic 825-10)</w:t>
      </w:r>
      <w:r>
        <w:rPr>
          <w:rFonts w:ascii="Arial" w:cs="Arial" w:eastAsia="Arial" w:hAnsi="Arial"/>
          <w:sz w:val="18"/>
          <w:szCs w:val="18"/>
          <w:color w:val="auto"/>
        </w:rPr>
        <w:t xml:space="preserve"> (“ASC 825-10”), which amends various aspects of the recognition, measurement, presentation, and disclosure for financial instruments. The most significant impact relates to the accounting for equity instruments. The adoption of ASC 825-10 did not have a material impact on the Company’s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Reclassifications</w:t>
      </w:r>
    </w:p>
    <w:p>
      <w:pPr>
        <w:spacing w:after="0" w:line="185" w:lineRule="exact"/>
        <w:rPr>
          <w:sz w:val="20"/>
          <w:szCs w:val="20"/>
          <w:color w:val="auto"/>
        </w:rPr>
      </w:pPr>
    </w:p>
    <w:p>
      <w:pPr>
        <w:ind w:right="20" w:firstLine="428"/>
        <w:spacing w:after="0" w:line="277" w:lineRule="auto"/>
        <w:rPr>
          <w:sz w:val="20"/>
          <w:szCs w:val="20"/>
          <w:color w:val="auto"/>
        </w:rPr>
      </w:pPr>
      <w:r>
        <w:rPr>
          <w:rFonts w:ascii="Arial" w:cs="Arial" w:eastAsia="Arial" w:hAnsi="Arial"/>
          <w:sz w:val="18"/>
          <w:szCs w:val="18"/>
          <w:color w:val="auto"/>
        </w:rPr>
        <w:t>As discussed above in the significant accounting policies section, with the adoption of ASC 230, the prior year cash flows from investing activities have been reclassified: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July 30, 2017</w:t>
            </w:r>
          </w:p>
        </w:tc>
      </w:tr>
      <w:tr>
        <w:trPr>
          <w:trHeight w:val="250"/>
        </w:trPr>
        <w:tc>
          <w:tcPr>
            <w:tcW w:w="7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920" w:type="dxa"/>
            <w:vAlign w:val="bottom"/>
          </w:tcPr>
          <w:p>
            <w:pPr>
              <w:ind w:left="100"/>
              <w:spacing w:after="0"/>
              <w:rPr>
                <w:sz w:val="20"/>
                <w:szCs w:val="20"/>
                <w:color w:val="auto"/>
              </w:rPr>
            </w:pPr>
            <w:r>
              <w:rPr>
                <w:rFonts w:ascii="Arial" w:cs="Arial" w:eastAsia="Arial" w:hAnsi="Arial"/>
                <w:sz w:val="18"/>
                <w:szCs w:val="18"/>
                <w:color w:val="auto"/>
              </w:rPr>
              <w:t>As previously reported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(27,651)</w:t>
            </w:r>
          </w:p>
        </w:tc>
      </w:tr>
      <w:tr>
        <w:trPr>
          <w:trHeight w:val="270"/>
        </w:trPr>
        <w:tc>
          <w:tcPr>
            <w:tcW w:w="20" w:type="dxa"/>
            <w:vAlign w:val="bottom"/>
          </w:tcPr>
          <w:p>
            <w:pPr>
              <w:spacing w:after="0"/>
              <w:rPr>
                <w:sz w:val="23"/>
                <w:szCs w:val="23"/>
                <w:color w:val="auto"/>
              </w:rPr>
            </w:pPr>
          </w:p>
        </w:tc>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Reclassification based on adoption of ASC 230</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44"/>
        </w:trPr>
        <w:tc>
          <w:tcPr>
            <w:tcW w:w="20" w:type="dxa"/>
            <w:vAlign w:val="bottom"/>
          </w:tcPr>
          <w:p>
            <w:pPr>
              <w:spacing w:after="0"/>
              <w:rPr>
                <w:sz w:val="21"/>
                <w:szCs w:val="21"/>
                <w:color w:val="auto"/>
              </w:rPr>
            </w:pPr>
          </w:p>
        </w:tc>
        <w:tc>
          <w:tcPr>
            <w:tcW w:w="7920" w:type="dxa"/>
            <w:vAlign w:val="bottom"/>
          </w:tcPr>
          <w:p>
            <w:pPr>
              <w:ind w:left="100"/>
              <w:spacing w:after="0"/>
              <w:rPr>
                <w:sz w:val="20"/>
                <w:szCs w:val="20"/>
                <w:color w:val="auto"/>
              </w:rPr>
            </w:pPr>
            <w:r>
              <w:rPr>
                <w:rFonts w:ascii="Arial" w:cs="Arial" w:eastAsia="Arial" w:hAnsi="Arial"/>
                <w:sz w:val="18"/>
                <w:szCs w:val="18"/>
                <w:color w:val="auto"/>
              </w:rPr>
              <w:t>As reclassified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189"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Effective January 29, 2018, the Company adopted ASC 606 using the modified retrospective method. The comparative information presented in the condensed consolidated financial statements is not restated and is reported under the accounting standards in effect for those periods presented. See Note 1 under “Significant Accounting Policies” for a discussion of the significant changes resulting from the adoption of ASC 606.</w:t>
      </w:r>
    </w:p>
    <w:p>
      <w:pPr>
        <w:spacing w:after="0" w:line="146" w:lineRule="exact"/>
        <w:rPr>
          <w:sz w:val="20"/>
          <w:szCs w:val="20"/>
          <w:color w:val="auto"/>
        </w:rPr>
      </w:pPr>
    </w:p>
    <w:p>
      <w:pPr>
        <w:ind w:right="80" w:firstLine="428"/>
        <w:spacing w:after="0" w:line="270" w:lineRule="auto"/>
        <w:rPr>
          <w:sz w:val="20"/>
          <w:szCs w:val="20"/>
          <w:color w:val="auto"/>
        </w:rPr>
      </w:pPr>
      <w:r>
        <w:rPr>
          <w:rFonts w:ascii="Arial" w:cs="Arial" w:eastAsia="Arial" w:hAnsi="Arial"/>
          <w:sz w:val="17"/>
          <w:szCs w:val="17"/>
          <w:color w:val="auto"/>
        </w:rPr>
        <w:t>The Company’s revenue primarily consists of the sale of apparel, footwear and hard goods. For the Company’s direct segment, revenues are recognized upon shipment, which is when the customer obtains control of the product and has the ability to direct the use of the product, including, among other options, the ability to redirect the product to a different shipping destination. For the Company’s retail segment, revenues are recognized at the point of sale. The Company provides the customer the right of return on the product and revenue is adjusted based on an estimate of the expected returns based on historical rates as well as events that may cause changes to historical rates. The Company considers the sale of products in either the direct or retail segment as a single performance obligation.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51" w:lineRule="exact"/>
        <w:rPr>
          <w:sz w:val="20"/>
          <w:szCs w:val="20"/>
          <w:color w:val="auto"/>
        </w:rPr>
      </w:pPr>
    </w:p>
    <w:p>
      <w:pPr>
        <w:ind w:right="20" w:firstLine="428"/>
        <w:spacing w:after="0" w:line="276" w:lineRule="auto"/>
        <w:rPr>
          <w:sz w:val="20"/>
          <w:szCs w:val="20"/>
          <w:color w:val="auto"/>
        </w:rPr>
      </w:pPr>
      <w:r>
        <w:rPr>
          <w:rFonts w:ascii="Arial" w:cs="Arial" w:eastAsia="Arial" w:hAnsi="Arial"/>
          <w:sz w:val="17"/>
          <w:szCs w:val="17"/>
          <w:color w:val="auto"/>
        </w:rPr>
        <w:t>The Company’s contract liabilities primarily consist of gift card liabilities and are recorded in accrued expenses and other current liabilities under deferred revenue (see Note 4 “Accrued Expenses and Other Current Liabilities”) on the Company’s condensed consolidated balance sheets. Upon the issuance of a gift card, a liability is established for its cash value. The gift card liability is relieved and revenues on gift cards are recorded at the time of redemption by the customer. Based on historical redemption patterns, gift cards are generally redeemed within one year and gift card breakage is not material.</w:t>
      </w:r>
    </w:p>
    <w:p>
      <w:pPr>
        <w:spacing w:after="0" w:line="132"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presents the impact of the adoption of ASC 606 on the Company’s condensed consolidated balance sheets as of January 29, 2018, the first day of fiscal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January 28,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Adjustments due to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January 29,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ASC 606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 &amp; 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catalog costs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139,349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jc w:val="both"/>
        <w:ind w:right="120" w:firstLine="428"/>
        <w:spacing w:after="0" w:line="264" w:lineRule="auto"/>
        <w:rPr>
          <w:sz w:val="20"/>
          <w:szCs w:val="20"/>
          <w:color w:val="auto"/>
        </w:rPr>
      </w:pPr>
      <w:r>
        <w:rPr>
          <w:rFonts w:ascii="Arial" w:cs="Arial" w:eastAsia="Arial" w:hAnsi="Arial"/>
          <w:sz w:val="18"/>
          <w:szCs w:val="18"/>
          <w:color w:val="auto"/>
        </w:rPr>
        <w:t>The following tables present the effects of the adoption of ASC 606 on the Company’s condensed consolidated balance sheets as of July 29, 2018 and the Company’s condensed consolidated statements of operations for the three and six months ended July 29,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2"/>
              </w:rPr>
              <w:t>July 29, 2018</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1"/>
              </w:rPr>
              <w:t>Adjustments due to</w:t>
            </w:r>
          </w:p>
        </w:tc>
        <w:tc>
          <w:tcPr>
            <w:tcW w:w="80" w:type="dxa"/>
            <w:vAlign w:val="bottom"/>
          </w:tcPr>
          <w:p>
            <w:pPr>
              <w:spacing w:after="0"/>
              <w:rPr>
                <w:sz w:val="17"/>
                <w:szCs w:val="17"/>
                <w:color w:val="auto"/>
              </w:rPr>
            </w:pPr>
          </w:p>
        </w:tc>
        <w:tc>
          <w:tcPr>
            <w:tcW w:w="15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Balances without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Borders>
              <w:bottom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4"/>
                <w:szCs w:val="14"/>
                <w:b w:val="1"/>
                <w:bCs w:val="1"/>
                <w:color w:val="auto"/>
                <w:w w:val="94"/>
              </w:rPr>
              <w:t>ASC 606</w:t>
            </w:r>
          </w:p>
        </w:tc>
        <w:tc>
          <w:tcPr>
            <w:tcW w:w="8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9"/>
              </w:rPr>
              <w:t>Adoption of ASC 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102,365</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Prepaid expenses &amp;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catalog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116,639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270,438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89"/>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42,779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125,145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270,438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4"/>
                <w:szCs w:val="14"/>
                <w:b w:val="1"/>
                <w:bCs w:val="1"/>
                <w:color w:val="auto"/>
              </w:rPr>
              <w:t>July 29, 2018</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Balances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87"/>
              </w:rPr>
              <w:t>Balances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As Reported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As Reported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due to ASC 606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ASC 606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due to ASC 606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110,871</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210,860</w:t>
            </w:r>
          </w:p>
        </w:tc>
        <w:tc>
          <w:tcPr>
            <w:tcW w:w="5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(1,614)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w w:val="96"/>
              </w:rPr>
              <w:t>Cost of goods sold (excluding depreciation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and 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48,341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92,680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118,180</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7"/>
              </w:rPr>
              <w:t>1,229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(1,938)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(1,434)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 noncontrolling interest</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line="182" w:lineRule="exact"/>
              <w:rPr>
                <w:sz w:val="20"/>
                <w:szCs w:val="20"/>
                <w:color w:val="auto"/>
              </w:rPr>
            </w:pPr>
            <w:r>
              <w:rPr>
                <w:rFonts w:ascii="Arial" w:cs="Arial" w:eastAsia="Arial" w:hAnsi="Arial"/>
                <w:sz w:val="18"/>
                <w:szCs w:val="18"/>
                <w:color w:val="auto"/>
              </w:rPr>
              <w:t>Net income attributable to controlling</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6,377</w:t>
            </w:r>
          </w:p>
        </w:tc>
        <w:tc>
          <w:tcPr>
            <w:tcW w:w="160" w:type="dxa"/>
            <w:vAlign w:val="bottom"/>
            <w:gridSpan w:val="2"/>
            <w:vMerge w:val="restart"/>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6,419</w:t>
            </w:r>
          </w:p>
        </w:tc>
        <w:tc>
          <w:tcPr>
            <w:tcW w:w="60" w:type="dxa"/>
            <w:vAlign w:val="bottom"/>
          </w:tcPr>
          <w:p>
            <w:pPr>
              <w:spacing w:after="0"/>
              <w:rPr>
                <w:sz w:val="15"/>
                <w:szCs w:val="15"/>
                <w:color w:val="auto"/>
              </w:rPr>
            </w:pPr>
          </w:p>
        </w:tc>
        <w:tc>
          <w:tcPr>
            <w:tcW w:w="1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5,686</w:t>
            </w:r>
          </w:p>
        </w:tc>
        <w:tc>
          <w:tcPr>
            <w:tcW w:w="540" w:type="dxa"/>
            <w:vAlign w:val="bottom"/>
            <w:gridSpan w:val="3"/>
            <w:vMerge w:val="restart"/>
          </w:tcPr>
          <w:p>
            <w:pPr>
              <w:jc w:val="right"/>
              <w:ind w:right="288"/>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(1,434)</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540" w:type="dxa"/>
            <w:vAlign w:val="bottom"/>
            <w:gridSpan w:val="3"/>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jc w:val="center"/>
        <w:ind w:left="440" w:right="6840" w:hanging="432"/>
        <w:spacing w:after="0" w:line="528" w:lineRule="auto"/>
        <w:tabs>
          <w:tab w:leader="none" w:pos="32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28, 2018</w:t>
            </w:r>
          </w:p>
        </w:tc>
      </w:tr>
      <w:tr>
        <w:trPr>
          <w:trHeight w:val="196"/>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SRV Mortgage Term A Note</w:t>
            </w:r>
          </w:p>
        </w:tc>
        <w:tc>
          <w:tcPr>
            <w:tcW w:w="2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SRV Mortgage Term B Note</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lease obligations</w:t>
            </w:r>
          </w:p>
        </w:tc>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SRV entered into a mortgage note (“SRV Term A Note”) with an original balance of $0.8 million. The SRV Term A Note was scheduled to mature in September 2017 and required monthly payments of $3,300 plus interest at 3.1%, with a final balloon payment due in September 2017. On July 20, 2017, SRV refinanced the SRV Term A Note, which extended the maturity date to September 2022, with a final balloon payment in September 2022, and changed the interest rate to 3.69%. The required monthly payments of $3,300 did not change.</w:t>
      </w:r>
    </w:p>
    <w:p>
      <w:pPr>
        <w:spacing w:after="0" w:line="148"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On July 20, 2017, SRV entered into a mortgage note (“SRV Term B Note”) with an original balance of $0.8 million. The SRV Term B Note matures in September 2022 and requires monthly payments of $3,300 plus interest at 3.69%, with a final balloon payment in September 2022.</w:t>
      </w:r>
    </w:p>
    <w:p>
      <w:pPr>
        <w:spacing w:after="0" w:line="154"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The SRV Term A Note and SRV Term B Note are guaranteed by the Company’s majority shareholder and collateralized by certain real property owned by SRV in Mt. Horeb, Wisconsin.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20" w:firstLine="428"/>
        <w:spacing w:after="0" w:line="270" w:lineRule="auto"/>
        <w:rPr>
          <w:sz w:val="20"/>
          <w:szCs w:val="20"/>
          <w:color w:val="auto"/>
        </w:rPr>
      </w:pPr>
      <w:r>
        <w:rPr>
          <w:rFonts w:ascii="Arial" w:cs="Arial" w:eastAsia="Arial" w:hAnsi="Arial"/>
          <w:sz w:val="17"/>
          <w:szCs w:val="17"/>
          <w:color w:val="auto"/>
        </w:rPr>
        <w:t>On September 29, 2017, the Company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the Company to maintain compliance with certain financial and non-financial covenants, including minimum tangible net worth and a minimum trailing twelve month EBITDA. In addition, the Amended and Restated Agreement did not contain borrowing base limits.</w:t>
      </w:r>
    </w:p>
    <w:p>
      <w:pPr>
        <w:spacing w:after="0" w:line="151" w:lineRule="exact"/>
        <w:rPr>
          <w:sz w:val="20"/>
          <w:szCs w:val="20"/>
          <w:color w:val="auto"/>
        </w:rPr>
      </w:pPr>
    </w:p>
    <w:p>
      <w:pPr>
        <w:ind w:right="20" w:firstLine="428"/>
        <w:spacing w:after="0" w:line="268" w:lineRule="auto"/>
        <w:rPr>
          <w:sz w:val="20"/>
          <w:szCs w:val="20"/>
          <w:color w:val="auto"/>
        </w:rPr>
      </w:pPr>
      <w:r>
        <w:rPr>
          <w:rFonts w:ascii="Arial" w:cs="Arial" w:eastAsia="Arial" w:hAnsi="Arial"/>
          <w:sz w:val="17"/>
          <w:szCs w:val="17"/>
          <w:color w:val="auto"/>
        </w:rPr>
        <w:t>Effective May 17, 2018, the Company terminated its Amended and Restated Agreement and entered into a new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outstanding balance of $27.5 million under the Amended and Restated Agreement was paid off with borrowings under the Credit Agreement.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(“bps”), based upon the Company’s rent adjusted leverage ratio, or (ii) a fixed rate for a one-, two-, three- or six-month interest period equal to LIBOR for such interest period plus a margin of 125 to 200 bps, based upon the Company’s rent adjusted leverage ratio (effective rate of 3.3% at July 29, 2018). In addition, outstanding balances under the DDTL require quarterly principal payments with a final balloon payment at maturity.</w:t>
      </w:r>
    </w:p>
    <w:p>
      <w:pPr>
        <w:spacing w:after="0" w:line="147" w:lineRule="exact"/>
        <w:rPr>
          <w:sz w:val="20"/>
          <w:szCs w:val="20"/>
          <w:color w:val="auto"/>
        </w:rPr>
      </w:pPr>
    </w:p>
    <w:p>
      <w:pPr>
        <w:ind w:right="280" w:firstLine="428"/>
        <w:spacing w:after="0" w:line="277" w:lineRule="auto"/>
        <w:rPr>
          <w:sz w:val="20"/>
          <w:szCs w:val="20"/>
          <w:color w:val="auto"/>
        </w:rPr>
      </w:pPr>
      <w:r>
        <w:rPr>
          <w:rFonts w:ascii="Arial" w:cs="Arial" w:eastAsia="Arial" w:hAnsi="Arial"/>
          <w:sz w:val="18"/>
          <w:szCs w:val="18"/>
          <w:color w:val="auto"/>
        </w:rPr>
        <w:t>As of July 29, 2018 and for the six months then ended, the Company was in compliance with all financial and non-financial covenants for all debts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ind w:left="440" w:right="4100" w:hanging="432"/>
        <w:spacing w:after="0" w:line="576" w:lineRule="auto"/>
        <w:tabs>
          <w:tab w:leader="none" w:pos="31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28, 2018</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w:t>
      </w:r>
    </w:p>
    <w:p>
      <w:pPr>
        <w:spacing w:after="0" w:line="189"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carrying value of the Company’s available-for-sale security was valued based on a discounted cash flow method (Level 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7"/>
              </w:rPr>
              <w:t>July 29, 2018</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January 28, 2018</w:t>
            </w:r>
          </w:p>
        </w:tc>
      </w:tr>
      <w:tr>
        <w:trPr>
          <w:trHeight w:val="225"/>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Unrealized</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Estimated</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Fair Value</w:t>
            </w:r>
          </w:p>
        </w:tc>
      </w:tr>
      <w:tr>
        <w:trPr>
          <w:trHeight w:val="182"/>
        </w:trPr>
        <w:tc>
          <w:tcPr>
            <w:tcW w:w="1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Level 3 security:</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161" w:lineRule="exact"/>
        <w:rPr>
          <w:sz w:val="20"/>
          <w:szCs w:val="20"/>
          <w:color w:val="auto"/>
        </w:rPr>
      </w:pPr>
    </w:p>
    <w:p>
      <w:pPr>
        <w:ind w:right="540" w:firstLine="428"/>
        <w:spacing w:after="0" w:line="277" w:lineRule="auto"/>
        <w:rPr>
          <w:sz w:val="20"/>
          <w:szCs w:val="20"/>
          <w:color w:val="auto"/>
        </w:rPr>
      </w:pPr>
      <w:r>
        <w:rPr>
          <w:rFonts w:ascii="Arial" w:cs="Arial" w:eastAsia="Arial" w:hAnsi="Arial"/>
          <w:sz w:val="18"/>
          <w:szCs w:val="18"/>
          <w:color w:val="auto"/>
        </w:rPr>
        <w:t>The following table presents future principal receipts related to the Company’s available-for-sale security by contractual maturity as of July 29, 2018. Cost and estimated fair value are equal.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87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2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r>
      <w:tr>
        <w:trPr>
          <w:trHeight w:val="217"/>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89" w:lineRule="exact"/>
        <w:rPr>
          <w:sz w:val="20"/>
          <w:szCs w:val="20"/>
          <w:color w:val="auto"/>
        </w:rPr>
      </w:pPr>
    </w:p>
    <w:p>
      <w:pPr>
        <w:jc w:val="both"/>
        <w:ind w:right="16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July 29, 2018 and January 28, 2018,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61"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The condensed consolidated balance sheets include the following amounts as a result of the consolidation of SRV as of July 29, 2018 and January 28,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29,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January 28, 2018</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9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80" w:firstLine="428"/>
        <w:spacing w:after="0" w:line="273" w:lineRule="auto"/>
        <w:rPr>
          <w:sz w:val="20"/>
          <w:szCs w:val="20"/>
          <w:color w:val="auto"/>
        </w:rPr>
      </w:pPr>
      <w:r>
        <w:rPr>
          <w:rFonts w:ascii="Arial" w:cs="Arial" w:eastAsia="Arial" w:hAnsi="Arial"/>
          <w:sz w:val="17"/>
          <w:szCs w:val="17"/>
          <w:color w:val="auto"/>
        </w:rPr>
        <w:t>On August 18, 2017, the Company entered into a lease agreement with TRI Holdings, LLC (“TRI”), the developer of the Company’s future headquarters in Mt. Horeb, Wisconsin. The Company expects to take occupancy of the future headquarters on November 1, 2018. The Company determined it had a variable interest in TRI, however, the Company does not consolidate TRI, as the Company is not the primary beneficiary. In conjunction with the lease, the Company invested $6.3 million in a trust (see Note 5 “Investment”) that loaned funds to TRI for the construction of the Company’s future headquarters. The Company does not consolidate the trust as the Company is not the primary beneficiary.</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PER SHARE</w:t>
      </w:r>
    </w:p>
    <w:p>
      <w:pPr>
        <w:spacing w:after="0" w:line="202" w:lineRule="exact"/>
        <w:rPr>
          <w:sz w:val="20"/>
          <w:szCs w:val="20"/>
          <w:color w:val="auto"/>
        </w:rPr>
      </w:pPr>
    </w:p>
    <w:p>
      <w:pPr>
        <w:jc w:val="both"/>
        <w:ind w:right="6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July 30, 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July 29, 2018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July 30, 2017</w:t>
            </w: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attributable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31,825</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32,414</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32,318</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32,344</w:t>
            </w:r>
          </w:p>
        </w:tc>
      </w:tr>
      <w:tr>
        <w:trPr>
          <w:trHeight w:val="244"/>
        </w:trPr>
        <w:tc>
          <w:tcPr>
            <w:tcW w:w="4300" w:type="dxa"/>
            <w:vAlign w:val="bottom"/>
            <w:gridSpan w:val="2"/>
          </w:tcPr>
          <w:p>
            <w:pPr>
              <w:spacing w:after="0"/>
              <w:rPr>
                <w:sz w:val="20"/>
                <w:szCs w:val="20"/>
                <w:color w:val="auto"/>
              </w:rPr>
            </w:pPr>
            <w:r>
              <w:rPr>
                <w:rFonts w:ascii="Arial" w:cs="Arial" w:eastAsia="Arial" w:hAnsi="Arial"/>
                <w:sz w:val="18"/>
                <w:szCs w:val="18"/>
                <w:color w:val="auto"/>
              </w:rPr>
              <w:t>Earnings per share (Class A and Class B)</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5"/>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3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20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Total stock compensation expense associated with restricted stock recognized by the Company was $0.5 million and $0.9 million for the three and six month ended July 29, 2018, respectively, and $0.3 million and $0.6 million for the three and six months ended July 30, 2017, respectively. The Company’s total stock compensation expense is included in selling, general and administrative expenses on the Condensed Consolidated Statements of Operations.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activity in the Company’s unvested restricted stock during the six months ended July 29, 2018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28, 2018</w:t>
            </w:r>
          </w:p>
        </w:tc>
        <w:tc>
          <w:tcPr>
            <w:tcW w:w="3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Granted</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126,404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(144,534)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29, 2018</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40" w:type="dxa"/>
            <w:vAlign w:val="bottom"/>
          </w:tcPr>
          <w:p>
            <w:pPr>
              <w:jc w:val="right"/>
              <w:ind w:right="2190"/>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36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00" w:firstLine="428"/>
        <w:spacing w:after="0" w:line="277" w:lineRule="auto"/>
        <w:rPr>
          <w:sz w:val="20"/>
          <w:szCs w:val="20"/>
          <w:color w:val="auto"/>
        </w:rPr>
      </w:pPr>
      <w:r>
        <w:rPr>
          <w:rFonts w:ascii="Arial" w:cs="Arial" w:eastAsia="Arial" w:hAnsi="Arial"/>
          <w:sz w:val="18"/>
          <w:szCs w:val="18"/>
          <w:color w:val="auto"/>
        </w:rPr>
        <w:t>At July 29, 2018, the Company had unrecognized compensation expense of $3.5 million related to the restricted stock awards, which is expected to be recognized over a weighted average period of 2.4 years.</w:t>
      </w:r>
    </w:p>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July 29, 2018</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28, 2018</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74,508</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35,197</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109,705</w:t>
            </w:r>
          </w:p>
        </w:tc>
      </w:tr>
    </w:tbl>
    <w:p>
      <w:pPr>
        <w:spacing w:after="0" w:line="4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8"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61"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Net sales outside of the United States were insignificant. Variable allocations of assets are not made for segment reporting. The Company does not have any assets outside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July 29, 2018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July 30, 2017</w:t>
            </w:r>
          </w:p>
        </w:tc>
      </w:tr>
      <w:tr>
        <w:trPr>
          <w:trHeight w:val="210"/>
        </w:trPr>
        <w:tc>
          <w:tcPr>
            <w:tcW w:w="2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Direct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60,833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57,667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121,442</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48,471</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210,860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169,913</w:t>
            </w: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Direct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r>
      <w:tr>
        <w:trPr>
          <w:trHeight w:val="210"/>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8,138</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business is presented in the following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July 30, 2017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July 29, 2018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July 30, 2017</w:t>
            </w: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Men's</w:t>
            </w:r>
          </w:p>
        </w:tc>
        <w:tc>
          <w:tcPr>
            <w:tcW w:w="1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75,434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59,872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143,354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118,506</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Women's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42,363</w:t>
            </w:r>
          </w:p>
        </w:tc>
      </w:tr>
      <w:tr>
        <w:trPr>
          <w:trHeight w:val="216"/>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Hard goods/other</w:t>
            </w:r>
          </w:p>
        </w:tc>
        <w:tc>
          <w:tcPr>
            <w:tcW w:w="1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w:t>
            </w: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sales</w:t>
            </w: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210,860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169,913</w:t>
            </w: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total assets is presented in the following table: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July 29, 2018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January 28, 2018</w:t>
            </w:r>
          </w:p>
        </w:tc>
        <w:tc>
          <w:tcPr>
            <w:tcW w:w="20" w:type="dxa"/>
            <w:vAlign w:val="bottom"/>
          </w:tcPr>
          <w:p>
            <w:pPr>
              <w:spacing w:after="0"/>
              <w:rPr>
                <w:sz w:val="14"/>
                <w:szCs w:val="14"/>
                <w:color w:val="auto"/>
              </w:rPr>
            </w:pPr>
          </w:p>
        </w:tc>
      </w:tr>
      <w:tr>
        <w:trPr>
          <w:trHeight w:val="183"/>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162,092</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2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2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20" w:type="dxa"/>
            <w:vAlign w:val="bottom"/>
          </w:tcPr>
          <w:p>
            <w:pPr>
              <w:spacing w:after="0"/>
              <w:rPr>
                <w:sz w:val="19"/>
                <w:szCs w:val="19"/>
                <w:color w:val="auto"/>
              </w:rPr>
            </w:pPr>
          </w:p>
        </w:tc>
      </w:tr>
      <w:tr>
        <w:trPr>
          <w:trHeight w:val="66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189"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26% for both the three and six months ended July 29, 2018 and 39% for both the three and six months ended July 30, 2017. The decrease in the Company’s effective tax rate was primarily due to U.S. tax reform, which was effective January 1, 2018. The income from SRV was excluded from the calculation of the Company’s effective tax rate, as SRV is a limited liability company and not subject to income taxes.</w:t>
      </w:r>
    </w:p>
    <w:p>
      <w:pPr>
        <w:spacing w:after="0" w:line="200" w:lineRule="exact"/>
        <w:rPr>
          <w:sz w:val="20"/>
          <w:szCs w:val="20"/>
          <w:color w:val="auto"/>
        </w:rPr>
      </w:pPr>
    </w:p>
    <w:p>
      <w:pPr>
        <w:spacing w:after="0" w:line="339" w:lineRule="exact"/>
        <w:rPr>
          <w:sz w:val="20"/>
          <w:szCs w:val="20"/>
          <w:color w:val="auto"/>
        </w:rPr>
      </w:pPr>
    </w:p>
    <w:p>
      <w:pPr>
        <w:ind w:left="440" w:right="5280" w:hanging="432"/>
        <w:spacing w:after="0" w:line="464" w:lineRule="auto"/>
        <w:tabs>
          <w:tab w:leader="none" w:pos="40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Leases</w:t>
      </w:r>
    </w:p>
    <w:p>
      <w:pPr>
        <w:ind w:right="100" w:firstLine="441"/>
        <w:spacing w:after="0" w:line="289"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that is similar to the current lease standard. The provisions of ASU 2016-02 are effective for public entities with fiscal years beginning after December 15, 2018, and interim periods within those years, with early adoption permitted. The Company will adopt ASU 2016-02 on February 4, 2019, the first day of the Company’s first quarter for the fiscal year ending February 2, 2020, the Company’s fiscal year 2019. The Company is currently evaluating the full effect that adoption of ASU 2016-02 will have on its financial condition, results of operations and disclosures. The Company conducts its retail operations through leased stores and therefore, upon adoption, the Company expects to have an increase in assets and liabilities on its consolidated financial statements, due to recording of right-to-use assets and the corresponding lease liabilities, which is expected to be material.</w:t>
      </w:r>
    </w:p>
    <w:p>
      <w:pPr>
        <w:spacing w:after="0" w:line="200" w:lineRule="exact"/>
        <w:rPr>
          <w:sz w:val="20"/>
          <w:szCs w:val="20"/>
          <w:color w:val="auto"/>
        </w:rPr>
      </w:pPr>
    </w:p>
    <w:p>
      <w:pPr>
        <w:spacing w:after="0" w:line="3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02" w:lineRule="exact"/>
        <w:rPr>
          <w:sz w:val="20"/>
          <w:szCs w:val="20"/>
          <w:color w:val="auto"/>
        </w:rPr>
      </w:pPr>
    </w:p>
    <w:p>
      <w:pPr>
        <w:ind w:right="400" w:firstLine="428"/>
        <w:spacing w:after="0" w:line="312" w:lineRule="auto"/>
        <w:rPr>
          <w:sz w:val="20"/>
          <w:szCs w:val="20"/>
          <w:color w:val="auto"/>
        </w:rPr>
      </w:pPr>
      <w:r>
        <w:rPr>
          <w:rFonts w:ascii="Arial" w:cs="Arial" w:eastAsia="Arial" w:hAnsi="Arial"/>
          <w:sz w:val="16"/>
          <w:szCs w:val="16"/>
          <w:color w:val="auto"/>
        </w:rPr>
        <w:t>Management of the Company evaluated its July 29, 2018 unaudited condensed consolidated financial statements for subsequent events through September 6, 2018, the date the financial statements were available to be issued. Management is not aware of any subsequent events which would require recognition or additional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0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28, 2018 (“2017 Form 10-K”).</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The three and six months of fiscal 2018 and fiscal 2017 represent our 13 and 26-week periods ended July 29, 2018 and July 30, 2017, respectively.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w:t>
      </w:r>
    </w:p>
    <w:p>
      <w:pPr>
        <w:spacing w:after="0"/>
        <w:rPr>
          <w:sz w:val="20"/>
          <w:szCs w:val="20"/>
          <w:color w:val="auto"/>
        </w:rPr>
      </w:pPr>
      <w:r>
        <w:rPr>
          <w:rFonts w:ascii="Arial" w:cs="Arial" w:eastAsia="Arial" w:hAnsi="Arial"/>
          <w:sz w:val="14"/>
          <w:szCs w:val="14"/>
          <w:i w:val="1"/>
          <w:iCs w:val="1"/>
          <w:color w:val="auto"/>
        </w:rPr>
        <w:t>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40" w:firstLine="428"/>
        <w:spacing w:after="0" w:line="267"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2017 Form 10-K,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66" w:lineRule="exact"/>
        <w:rPr>
          <w:sz w:val="20"/>
          <w:szCs w:val="20"/>
          <w:color w:val="auto"/>
        </w:rPr>
      </w:pPr>
    </w:p>
    <w:p>
      <w:pPr>
        <w:ind w:right="68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80" w:firstLine="428"/>
        <w:spacing w:after="0" w:line="271" w:lineRule="auto"/>
        <w:rPr>
          <w:sz w:val="20"/>
          <w:szCs w:val="20"/>
          <w:color w:val="auto"/>
        </w:rPr>
      </w:pPr>
      <w:r>
        <w:rPr>
          <w:rFonts w:ascii="Arial" w:cs="Arial" w:eastAsia="Arial" w:hAnsi="Arial"/>
          <w:sz w:val="17"/>
          <w:szCs w:val="17"/>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55.0% and 60.3% of our consolidated net sales for the three and six months ended July 29, 2018, respectively, and 66.9% and 71.5% of our consolidated net sales for the three and six months ended July 30, 2017, respectively. In 2010, we added retail to our omni-channel platform with the opening of our first store. Since then, we have expanded our retail presence, and as of July 29, 2018, we operated 36 retail stores and three outlet stores. Net sales for our retail segment represented 45.0% and 39.7% of our consolidated net sales for the three and six months ended July 29, 2018 and 33.1% and 28.5% of consolidated net sales for the three and six months ended July 30, 2017, respectively.</w:t>
      </w:r>
    </w:p>
    <w:p>
      <w:pPr>
        <w:spacing w:after="0" w:line="152"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8"/>
          <w:szCs w:val="18"/>
          <w:color w:val="auto"/>
        </w:rPr>
        <w:t xml:space="preserve"> shirts, Buck Naked</w:t>
      </w:r>
      <w:r>
        <w:rPr>
          <w:rFonts w:ascii="Arial" w:cs="Arial" w:eastAsia="Arial" w:hAnsi="Arial"/>
          <w:sz w:val="7"/>
          <w:szCs w:val="7"/>
          <w:color w:val="auto"/>
        </w:rPr>
        <w:t>TM</w:t>
      </w:r>
      <w:r>
        <w:rPr>
          <w:rFonts w:ascii="Arial" w:cs="Arial" w:eastAsia="Arial" w:hAnsi="Arial"/>
          <w:sz w:val="18"/>
          <w:szCs w:val="18"/>
          <w:color w:val="auto"/>
        </w:rPr>
        <w:t xml:space="preserve"> underwear, Fire Hose</w:t>
      </w:r>
      <w:r>
        <w:rPr>
          <w:rFonts w:ascii="Arial" w:cs="Arial" w:eastAsia="Arial" w:hAnsi="Arial"/>
          <w:sz w:val="7"/>
          <w:szCs w:val="7"/>
          <w:color w:val="auto"/>
        </w:rPr>
        <w:t>®</w:t>
      </w:r>
      <w:r>
        <w:rPr>
          <w:rFonts w:ascii="Arial" w:cs="Arial" w:eastAsia="Arial" w:hAnsi="Arial"/>
          <w:sz w:val="18"/>
          <w:szCs w:val="18"/>
          <w:color w:val="auto"/>
        </w:rPr>
        <w:t xml:space="preserve"> work pants, and No-Yank</w:t>
      </w:r>
      <w:r>
        <w:rPr>
          <w:rFonts w:ascii="Arial" w:cs="Arial" w:eastAsia="Arial" w:hAnsi="Arial"/>
          <w:sz w:val="7"/>
          <w:szCs w:val="7"/>
          <w:color w:val="auto"/>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46"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1" w:lineRule="exact"/>
        <w:rPr>
          <w:sz w:val="20"/>
          <w:szCs w:val="20"/>
          <w:color w:val="auto"/>
        </w:rPr>
      </w:pPr>
    </w:p>
    <w:p>
      <w:pPr>
        <w:ind w:left="860" w:hanging="420"/>
        <w:spacing w:after="0"/>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34 consecutive quarters through July 29, 2018;</w:t>
      </w:r>
    </w:p>
    <w:p>
      <w:pPr>
        <w:spacing w:after="0" w:line="96" w:lineRule="exact"/>
        <w:rPr>
          <w:rFonts w:ascii="Arial" w:cs="Arial" w:eastAsia="Arial" w:hAnsi="Arial"/>
          <w:sz w:val="29"/>
          <w:szCs w:val="29"/>
          <w:color w:val="auto"/>
          <w:vertAlign w:val="superscript"/>
        </w:rPr>
      </w:pPr>
    </w:p>
    <w:p>
      <w:pPr>
        <w:ind w:left="860" w:right="180" w:hanging="420"/>
        <w:spacing w:after="0" w:line="207"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in fiscal 2018 second quarter increased by 28.3% over the prior year second quarter to $110.7 million and net sales in the first six months of fiscal 2018 increased by 24.1% over the first six months of the prior year to $210.9 million;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860" w:right="160" w:hanging="420"/>
        <w:spacing w:after="0" w:line="212"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income in fiscal 2018 second quarter increased by 48.9% over the prior year second quarter to $6.4 million and net income in the first six months of fiscal 2018 increased by 22.6% over the first six months of the prior year to $5.7 million;</w:t>
      </w:r>
    </w:p>
    <w:p>
      <w:pPr>
        <w:spacing w:after="0" w:line="82" w:lineRule="exact"/>
        <w:rPr>
          <w:rFonts w:ascii="Arial" w:cs="Arial" w:eastAsia="Arial" w:hAnsi="Arial"/>
          <w:sz w:val="29"/>
          <w:szCs w:val="29"/>
          <w:color w:val="auto"/>
          <w:vertAlign w:val="superscript"/>
        </w:rPr>
      </w:pPr>
    </w:p>
    <w:p>
      <w:pPr>
        <w:ind w:left="860" w:right="20" w:hanging="420"/>
        <w:spacing w:after="0" w:line="212"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Adjusted EBITDA in fiscal 2018 second quarter increased by 38.6% over the prior year second quarter to $13.1 million and adjusted EBITDA in the first six months of fiscal 2018 increased by 29.6% over the first six months of the prior year to $15.7 million;</w:t>
      </w:r>
    </w:p>
    <w:p>
      <w:pPr>
        <w:spacing w:after="0" w:line="82" w:lineRule="exact"/>
        <w:rPr>
          <w:rFonts w:ascii="Arial" w:cs="Arial" w:eastAsia="Arial" w:hAnsi="Arial"/>
          <w:sz w:val="29"/>
          <w:szCs w:val="29"/>
          <w:color w:val="auto"/>
          <w:vertAlign w:val="superscript"/>
        </w:rPr>
      </w:pPr>
    </w:p>
    <w:p>
      <w:pPr>
        <w:ind w:left="860" w:hanging="420"/>
        <w:spacing w:after="0" w:line="198"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We opened six new stores in fiscal 2018 second quarter and eight new stores in the first six months of fiscal 2018, adding approximately 132,000 of gross square footage in fiscal 2018; and</w:t>
      </w:r>
    </w:p>
    <w:p>
      <w:pPr>
        <w:ind w:left="860" w:hanging="420"/>
        <w:spacing w:after="0" w:line="231" w:lineRule="auto"/>
        <w:tabs>
          <w:tab w:leader="none" w:pos="8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Our retail stores have achieved and are expected to continue to achieve an average payback of less than two years.</w:t>
      </w:r>
    </w:p>
    <w:p>
      <w:pPr>
        <w:spacing w:after="0" w:line="175"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We are pursuing several strategies to continue our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80" w:firstLine="428"/>
        <w:spacing w:after="0" w:line="31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shipment of the product and retail sales are recognized at the point of sale. We also use net sales as one of the key financial metrics in determining our annual bonus compensation for our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 We also use Adjusted EBITDA as one of the key financial metrics in determining our annual bonus compensation for our employees.</w:t>
      </w:r>
    </w:p>
    <w:p>
      <w:pPr>
        <w:spacing w:after="0" w:line="166"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4"/>
              </w:rPr>
              <w:t>July 29, 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7"/>
              </w:rPr>
              <w:t>July 30, 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7"/>
              </w:rPr>
              <w:t>July 29, 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July 30, 2017</w:t>
            </w:r>
          </w:p>
        </w:tc>
      </w:tr>
      <w:tr>
        <w:trPr>
          <w:trHeight w:val="196"/>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60,833</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57,667</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127,045</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121,442</w:t>
            </w:r>
          </w:p>
        </w:tc>
        <w:tc>
          <w:tcPr>
            <w:tcW w:w="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48,471</w:t>
            </w:r>
          </w:p>
        </w:tc>
        <w:tc>
          <w:tcPr>
            <w:tcW w:w="2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169,913</w:t>
            </w:r>
          </w:p>
        </w:tc>
        <w:tc>
          <w:tcPr>
            <w:tcW w:w="220" w:type="dxa"/>
            <w:vAlign w:val="bottom"/>
            <w:shd w:val="clear" w:color="auto" w:fill="CCEEFF"/>
          </w:tcPr>
          <w:p>
            <w:pPr>
              <w:spacing w:after="0"/>
              <w:rPr>
                <w:sz w:val="18"/>
                <w:szCs w:val="18"/>
                <w:color w:val="auto"/>
              </w:rPr>
            </w:pPr>
          </w:p>
        </w:tc>
      </w:tr>
      <w:tr>
        <w:trPr>
          <w:trHeight w:val="242"/>
        </w:trPr>
        <w:tc>
          <w:tcPr>
            <w:tcW w:w="368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48,413</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37,303</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92,680</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72,347</w:t>
            </w:r>
          </w:p>
        </w:tc>
        <w:tc>
          <w:tcPr>
            <w:tcW w:w="22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89,428</w:t>
            </w:r>
          </w:p>
        </w:tc>
        <w:tc>
          <w:tcPr>
            <w:tcW w:w="2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7,702</w:t>
            </w: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4,768</w:t>
            </w:r>
          </w:p>
        </w:tc>
        <w:tc>
          <w:tcPr>
            <w:tcW w:w="2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3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0"/>
                <w:szCs w:val="20"/>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3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 net sales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60.3 %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71.5 %</w:t>
            </w: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sales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42"/>
        </w:trPr>
        <w:tc>
          <w:tcPr>
            <w:tcW w:w="2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amortization</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42.6 %</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52.6 %</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3680" w:type="dxa"/>
            <w:vAlign w:val="bottom"/>
            <w:gridSpan w:val="2"/>
          </w:tcPr>
          <w:p>
            <w:pPr>
              <w:spacing w:after="0"/>
              <w:rPr>
                <w:sz w:val="20"/>
                <w:szCs w:val="20"/>
                <w:color w:val="auto"/>
              </w:rPr>
            </w:pPr>
            <w:r>
              <w:rPr>
                <w:rFonts w:ascii="Arial" w:cs="Arial" w:eastAsia="Arial" w:hAnsi="Arial"/>
                <w:sz w:val="18"/>
                <w:szCs w:val="18"/>
                <w:color w:val="auto"/>
              </w:rPr>
              <w:t>Less: Net income attributable to</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7"/>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spacing w:after="0" w:line="362" w:lineRule="exact"/>
        <w:rPr>
          <w:sz w:val="20"/>
          <w:szCs w:val="20"/>
          <w:color w:val="auto"/>
        </w:rPr>
      </w:pPr>
    </w:p>
    <w:p>
      <w:pPr>
        <w:ind w:right="3140"/>
        <w:spacing w:after="0" w:line="464" w:lineRule="auto"/>
        <w:rPr>
          <w:sz w:val="20"/>
          <w:szCs w:val="20"/>
          <w:color w:val="auto"/>
        </w:rPr>
      </w:pPr>
      <w:r>
        <w:rPr>
          <w:rFonts w:ascii="Arial" w:cs="Arial" w:eastAsia="Arial" w:hAnsi="Arial"/>
          <w:sz w:val="18"/>
          <w:szCs w:val="18"/>
          <w:b w:val="1"/>
          <w:bCs w:val="1"/>
          <w:color w:val="auto"/>
        </w:rPr>
        <w:t xml:space="preserve">Three Months Ended July 29, 2018 Compared to Three Months Ended July 30, 2017 </w:t>
      </w:r>
      <w:r>
        <w:rPr>
          <w:rFonts w:ascii="Arial" w:cs="Arial" w:eastAsia="Arial" w:hAnsi="Arial"/>
          <w:sz w:val="18"/>
          <w:szCs w:val="18"/>
          <w:b w:val="1"/>
          <w:bCs w:val="1"/>
          <w:i w:val="1"/>
          <w:iCs w:val="1"/>
          <w:color w:val="auto"/>
        </w:rPr>
        <w:t>Net Sales</w:t>
      </w:r>
    </w:p>
    <w:p>
      <w:pPr>
        <w:ind w:left="440"/>
        <w:spacing w:after="0"/>
        <w:rPr>
          <w:sz w:val="20"/>
          <w:szCs w:val="20"/>
          <w:color w:val="auto"/>
        </w:rPr>
      </w:pPr>
      <w:r>
        <w:rPr>
          <w:rFonts w:ascii="Arial" w:cs="Arial" w:eastAsia="Arial" w:hAnsi="Arial"/>
          <w:sz w:val="17"/>
          <w:szCs w:val="17"/>
          <w:color w:val="auto"/>
        </w:rPr>
        <w:t>Net sales increased $24.5 million, or 28.3%, to $110.7 million in the three months ended July 29, 2018 compared to $86.2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in the three months ended July 30, 2017, driven by gains in both direct and retail segments of $3.2 million, or 5.5%,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$21.3 million, or 74.4%, respectively, with gains across virtually all product categories and in both men’s and women’s business.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website visits increased 15% in the three months ended July 29, 2018 compared to the three months ended July 30, 2017.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retail net sales was primarily due to having 16 more stores during the three months ended July 29, 2018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July 30,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Gross profit increased $13.3 million, or 27.2%, to $62.2 million in the three months ended July 29, 2018 compared to $48.9 million in the three months ended July 30, 2017. As a percentage of net sales, gross margin decreased 50 basis points to 56.2% of net sales in the three months ended July 29, 2018, compared to 56.7% of net sales in the three months ended July 30, 2017. The decrease in gross margin rate was primarily attributable to a decline in shipping revenues and an increase in freight cost, partially offset by a slight increase in product margin.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80" w:firstLine="428"/>
        <w:spacing w:after="0" w:line="297" w:lineRule="auto"/>
        <w:rPr>
          <w:sz w:val="20"/>
          <w:szCs w:val="20"/>
          <w:color w:val="auto"/>
        </w:rPr>
      </w:pPr>
      <w:r>
        <w:rPr>
          <w:rFonts w:ascii="Arial" w:cs="Arial" w:eastAsia="Arial" w:hAnsi="Arial"/>
          <w:sz w:val="16"/>
          <w:szCs w:val="16"/>
          <w:color w:val="auto"/>
        </w:rPr>
        <w:t>Selling, general and administrative expenses increased $10.8 million, or 26.0%, to $52.3 million in the three months ended July 29, 2018 compared to $41.5 million in the three months ended July 30, 2017. Selling, general and administrative expenses as a percentage of net sales decreased 90 basis points to 47.3% in the three months ended July 29, 2018, compared to 48.2% in the three months ended July 30, 2017. The increase in selling, general and administrative expenses was attributable to an increase of $0.9 million in advertising and marketing costs, $4.1 million in selling expenses and $5.8 million in general and administrative expenses.</w:t>
      </w:r>
    </w:p>
    <w:p>
      <w:pPr>
        <w:spacing w:after="0" w:line="118" w:lineRule="exact"/>
        <w:rPr>
          <w:sz w:val="20"/>
          <w:szCs w:val="20"/>
          <w:color w:val="auto"/>
        </w:rPr>
      </w:pPr>
    </w:p>
    <w:p>
      <w:pPr>
        <w:ind w:right="140" w:firstLine="428"/>
        <w:spacing w:after="0" w:line="276" w:lineRule="auto"/>
        <w:rPr>
          <w:sz w:val="20"/>
          <w:szCs w:val="20"/>
          <w:color w:val="auto"/>
        </w:rPr>
      </w:pPr>
      <w:r>
        <w:rPr>
          <w:rFonts w:ascii="Arial" w:cs="Arial" w:eastAsia="Arial" w:hAnsi="Arial"/>
          <w:sz w:val="17"/>
          <w:szCs w:val="17"/>
          <w:color w:val="auto"/>
        </w:rPr>
        <w:t>As a percentage of net sales, advertising and marketing costs decreased 310 basis points to 14.3% in the three months ended July 29, 2018, compared to 17.4% in the three months ended July 30, 2017. The 310 basis point decrease in advertising and marketing costs as a percentage of net sales was primarily attributable to a decrease of 150 basis points in catalog costs due to a planned decrease in catalog spend as a percentage of net sales, coupled with advertising leverage gained from a higher mix of retail sales as compared to the three months ended July 30, 2017.</w:t>
      </w:r>
    </w:p>
    <w:p>
      <w:pPr>
        <w:spacing w:after="0" w:line="132" w:lineRule="exact"/>
        <w:rPr>
          <w:sz w:val="20"/>
          <w:szCs w:val="20"/>
          <w:color w:val="auto"/>
        </w:rPr>
      </w:pPr>
    </w:p>
    <w:p>
      <w:pPr>
        <w:ind w:right="200" w:firstLine="428"/>
        <w:spacing w:after="0" w:line="312" w:lineRule="auto"/>
        <w:rPr>
          <w:sz w:val="20"/>
          <w:szCs w:val="20"/>
          <w:color w:val="auto"/>
        </w:rPr>
      </w:pPr>
      <w:r>
        <w:rPr>
          <w:rFonts w:ascii="Arial" w:cs="Arial" w:eastAsia="Arial" w:hAnsi="Arial"/>
          <w:sz w:val="16"/>
          <w:szCs w:val="16"/>
          <w:color w:val="auto"/>
        </w:rPr>
        <w:t>As a percentage of net sales, selling expenses increased 60 basis points to 14.7% in the three months ended July 29, 2018, compared to 14.1% in the three months ended July 30, 2017, primarily due to an increase in customer service due to our growth in retail, partially offset by a decrease in shipping expenses due to leverage from an increase in the proportion of retail net sales.</w:t>
      </w:r>
    </w:p>
    <w:p>
      <w:pPr>
        <w:spacing w:after="0" w:line="120" w:lineRule="exact"/>
        <w:rPr>
          <w:sz w:val="20"/>
          <w:szCs w:val="20"/>
          <w:color w:val="auto"/>
        </w:rPr>
      </w:pPr>
    </w:p>
    <w:p>
      <w:pPr>
        <w:ind w:right="420" w:firstLine="428"/>
        <w:spacing w:after="0" w:line="286" w:lineRule="auto"/>
        <w:rPr>
          <w:sz w:val="20"/>
          <w:szCs w:val="20"/>
          <w:color w:val="auto"/>
        </w:rPr>
      </w:pPr>
      <w:r>
        <w:rPr>
          <w:rFonts w:ascii="Arial" w:cs="Arial" w:eastAsia="Arial" w:hAnsi="Arial"/>
          <w:sz w:val="17"/>
          <w:szCs w:val="17"/>
          <w:color w:val="auto"/>
        </w:rPr>
        <w:t>As a percentage of net sales, general and administrative expenses increased 160 basis points to 18.3% in the three months ended July 29, 2018, compared to 16.7% in the three months ended July 30, 2017. The 160 basis point increase was primarily attributable to an increase in depreciation and occupancy cost due to growth of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Income</w:t>
      </w:r>
    </w:p>
    <w:p>
      <w:pPr>
        <w:spacing w:after="0" w:line="185" w:lineRule="exact"/>
        <w:rPr>
          <w:sz w:val="20"/>
          <w:szCs w:val="20"/>
          <w:color w:val="auto"/>
        </w:rPr>
      </w:pPr>
    </w:p>
    <w:p>
      <w:pPr>
        <w:ind w:right="260" w:firstLine="428"/>
        <w:spacing w:after="0" w:line="312" w:lineRule="auto"/>
        <w:rPr>
          <w:sz w:val="20"/>
          <w:szCs w:val="20"/>
          <w:color w:val="auto"/>
        </w:rPr>
      </w:pPr>
      <w:r>
        <w:rPr>
          <w:rFonts w:ascii="Arial" w:cs="Arial" w:eastAsia="Arial" w:hAnsi="Arial"/>
          <w:sz w:val="16"/>
          <w:szCs w:val="16"/>
          <w:i w:val="1"/>
          <w:iCs w:val="1"/>
          <w:color w:val="auto"/>
        </w:rPr>
        <w:t>Corporate expenses are included in our direct segment and the majority of advertising costs are included in our direct segment, with the exception of retail-specific advertising. As such, our direct segment is generally burdened with higher overhead and advertising expenses. In addition, for our build to suit leases, a portion of the lease expense is included in interest expense.</w:t>
      </w:r>
    </w:p>
    <w:p>
      <w:pPr>
        <w:spacing w:after="0" w:line="120" w:lineRule="exact"/>
        <w:rPr>
          <w:sz w:val="20"/>
          <w:szCs w:val="20"/>
          <w:color w:val="auto"/>
        </w:rPr>
      </w:pPr>
    </w:p>
    <w:p>
      <w:pPr>
        <w:ind w:right="40" w:firstLine="428"/>
        <w:spacing w:after="0" w:line="290" w:lineRule="auto"/>
        <w:rPr>
          <w:sz w:val="20"/>
          <w:szCs w:val="20"/>
          <w:color w:val="auto"/>
        </w:rPr>
      </w:pPr>
      <w:r>
        <w:rPr>
          <w:rFonts w:ascii="Arial" w:cs="Arial" w:eastAsia="Arial" w:hAnsi="Arial"/>
          <w:sz w:val="16"/>
          <w:szCs w:val="16"/>
          <w:color w:val="auto"/>
        </w:rPr>
        <w:t>Direct segment operating income was $1.1 million in the three months ended July 29, 2018 compared to income of $3.1 million in the three months ended July 30, 2017. Direct segment operating income as a percentage of direct net sales decreased 360 basis points to 1.8% in the three months ended July 29, 2018 compared to 5.4% in the three months ended July 30, 2017. The 360 basis point decline was primarily due to a decline of 60 basis points in direct gross margins, based on the factors discussed above in gross profit, coupled with an increase in selling expenses of 110 basis points due to increased distribution costs, an increase of 310 basis points in general and administrative expenses due to an increase in personnel costs and consulting fees and outside services to support the growth of our direct business, partially offset by a decline of 110 basis points in advertising and marketing. The decrease of 110 basis points in advertising and marketing costs was primarily due to a decrease in catalog costs as discussed above.</w:t>
      </w:r>
    </w:p>
    <w:p>
      <w:pPr>
        <w:spacing w:after="0" w:line="126"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Retail segment operating income increased $4.5 million to $8.8 million in the three months ended July 29, 2018 compared to $4.3 million in the three months ended July 30, 2017. Retail segment operating income as a percentage of retail net sales increased 280 basis points to 17.7% in the three months ended July 29, 2018 compared to 14.9% in the three months ended July 30, 2017. The 280 basis point increase was due to an increase of 20 basis point in retail gross margins, based on the factors discussed above in gross profit, in addition to a decrease of 260 basis points in selling, general and administrative expenses due to leverage gained from higher retail net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20" w:firstLine="428"/>
        <w:spacing w:after="0" w:line="264" w:lineRule="auto"/>
        <w:rPr>
          <w:sz w:val="20"/>
          <w:szCs w:val="20"/>
          <w:color w:val="auto"/>
        </w:rPr>
      </w:pPr>
      <w:r>
        <w:rPr>
          <w:rFonts w:ascii="Arial" w:cs="Arial" w:eastAsia="Arial" w:hAnsi="Arial"/>
          <w:sz w:val="18"/>
          <w:szCs w:val="18"/>
          <w:color w:val="auto"/>
        </w:rPr>
        <w:t>Interest expense was $1.2 million in the three months ended July 29, 2018, compared to $0.4 million in the three months ended July 30, 2017. The increase in interest expense was primarily attributable to an increase in our build-to-suit retail stores, coupled with a higher outstanding debt balance during the quarter as compared to the prior 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ind w:right="200" w:firstLine="428"/>
        <w:spacing w:after="0" w:line="259" w:lineRule="auto"/>
        <w:rPr>
          <w:sz w:val="20"/>
          <w:szCs w:val="20"/>
          <w:color w:val="auto"/>
        </w:rPr>
      </w:pPr>
      <w:r>
        <w:rPr>
          <w:rFonts w:ascii="Arial" w:cs="Arial" w:eastAsia="Arial" w:hAnsi="Arial"/>
          <w:sz w:val="18"/>
          <w:szCs w:val="18"/>
          <w:color w:val="auto"/>
        </w:rPr>
        <w:t>Income tax expense was $2.2 million in the three months ended July 29, 2018, compared to $2.7 million in the three months ended July 30, 2017. Our effective tax rate related to controlling interest was 26% and 39% for the three months ended July 29, 2018 and July 30, 2017, respectively. The decrease in our effective tax rate was primarily due to the U.S. tax reform, which was effective January 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Net income increased $2.1 million, or 48.9% to $6.4 million, in the three months ended July 29, 2018 compared to $4.3 million in the three months ended July 30, 2017, primarily due to the factors discussed above.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July 29, 2018 Compared to Six Months Ended July 30,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00" w:firstLine="428"/>
        <w:spacing w:after="0" w:line="255" w:lineRule="auto"/>
        <w:rPr>
          <w:sz w:val="20"/>
          <w:szCs w:val="20"/>
          <w:color w:val="auto"/>
        </w:rPr>
      </w:pPr>
      <w:r>
        <w:rPr>
          <w:rFonts w:ascii="Arial" w:cs="Arial" w:eastAsia="Arial" w:hAnsi="Arial"/>
          <w:sz w:val="18"/>
          <w:szCs w:val="18"/>
          <w:color w:val="auto"/>
        </w:rPr>
        <w:t>Net sales increased $41.0 million, or 24.1%, to $210.9 million in the six months ended July 29, 2018 compared to $169.9 million in the six months ended July 30, 2017, driven by gains in both direct and retail segments of $5.6 million, or 4.6%, and $35.3 million, or 72.9%, respectively, with gains across virtually all product categories and in both men’s and women’s business. Our website visits increased 15% in the six months ended July 29, 2018 compared to the six months ended July 30, 2017. The increase in retail net sales was primarily attributable to the same factors discussed above for the three months ended July 29, 2018 compared to the three months ended July 30, 2017.</w:t>
      </w:r>
    </w:p>
    <w:p>
      <w:pPr>
        <w:spacing w:after="0" w:line="153" w:lineRule="exact"/>
        <w:rPr>
          <w:sz w:val="20"/>
          <w:szCs w:val="20"/>
          <w:color w:val="auto"/>
        </w:rPr>
      </w:pPr>
    </w:p>
    <w:p>
      <w:pPr>
        <w:ind w:right="60" w:firstLine="428"/>
        <w:spacing w:after="0" w:line="276" w:lineRule="auto"/>
        <w:rPr>
          <w:sz w:val="20"/>
          <w:szCs w:val="20"/>
          <w:color w:val="auto"/>
        </w:rPr>
      </w:pPr>
      <w:r>
        <w:rPr>
          <w:rFonts w:ascii="Arial" w:cs="Arial" w:eastAsia="Arial" w:hAnsi="Arial"/>
          <w:sz w:val="17"/>
          <w:szCs w:val="17"/>
          <w:color w:val="auto"/>
        </w:rPr>
        <w:t>Gross profit increased $20.6 million, or 21.1%, to $118.2 million in the six months ended July 29, 2018 compared to $97.6 million in the six months ended July 30, 2017. As a percentage of net sales, gross margin decreased 140 basis points to 56.0% of net sales in the six months ended July 29, 2018, compared to 57.4% of net sales in the six months ended July 30, 2017. The decrease in gross margin rate was primarily attributable to the continued decline in shipping revenue and a slight decrease in product margin due to an increase in clearance sales from the first quarter of fiscal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00" w:firstLine="428"/>
        <w:spacing w:after="0" w:line="297" w:lineRule="auto"/>
        <w:rPr>
          <w:sz w:val="20"/>
          <w:szCs w:val="20"/>
          <w:color w:val="auto"/>
        </w:rPr>
      </w:pPr>
      <w:r>
        <w:rPr>
          <w:rFonts w:ascii="Arial" w:cs="Arial" w:eastAsia="Arial" w:hAnsi="Arial"/>
          <w:sz w:val="16"/>
          <w:szCs w:val="16"/>
          <w:color w:val="auto"/>
        </w:rPr>
        <w:t>Selling, general and administrative expenses increased $19.1 million, or 21.4%, to $108.5 million in the six months ended July 29, 2018 compared to $89.4 million in the six months ended July 30, 2017. Selling, general and administrative expenses as a percentage of net sales decreased 110 basis points to 51.5% in the six months ended July 29, 2018, compared to 52.6% in the six months ended July 30, 2017. The increase in selling, general and administrative expenses was attributable to an increase of $1.4 million in advertising and marketing costs, $8.0 million in selling expenses and $9.7 million in general and administrative expenses.</w:t>
      </w:r>
    </w:p>
    <w:p>
      <w:pPr>
        <w:spacing w:after="0" w:line="118"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As a percentage of net sales, advertising and marketing costs decreased 340 basis points to 17.8% in the six months ended July 29, 2018, compared to 21.2% in the six months ended July 30, 2017. The 340 basis point decrease in advertising and marketing costs as a percentage of net sales was primarily attributable to a decrease of 230 basis points in catalog costs due to the adoption of the new revenue standard which provides for catalog costs expensed upon customer receipt and a planned decrease in catalog spend as a percentage of net sales, coupled with advertising leverage gained from a higher mix of retail sales as compared to the six months ended July 30, 2017.</w:t>
      </w:r>
    </w:p>
    <w:p>
      <w:pPr>
        <w:spacing w:after="0" w:line="166" w:lineRule="exact"/>
        <w:rPr>
          <w:sz w:val="20"/>
          <w:szCs w:val="20"/>
          <w:color w:val="auto"/>
        </w:rPr>
      </w:pPr>
    </w:p>
    <w:p>
      <w:pPr>
        <w:ind w:right="300" w:firstLine="428"/>
        <w:spacing w:after="0" w:line="259" w:lineRule="auto"/>
        <w:rPr>
          <w:sz w:val="20"/>
          <w:szCs w:val="20"/>
          <w:color w:val="auto"/>
        </w:rPr>
      </w:pPr>
      <w:r>
        <w:rPr>
          <w:rFonts w:ascii="Arial" w:cs="Arial" w:eastAsia="Arial" w:hAnsi="Arial"/>
          <w:sz w:val="18"/>
          <w:szCs w:val="18"/>
          <w:color w:val="auto"/>
        </w:rPr>
        <w:t>As a percentage of net sales, selling expenses increased 100 basis points to 15.3% in the six months ended July 29, 2018, compared to 14.3% in the six months ended July 30, 2017, primarily due to an increase in customer service due to our growth in retail, partially offset by a decrease in shipping expenses attributable to the leverage gained from an increase in the proportion of retail net sales.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both"/>
        <w:ind w:right="120" w:firstLine="428"/>
        <w:spacing w:after="0" w:line="264" w:lineRule="auto"/>
        <w:rPr>
          <w:sz w:val="20"/>
          <w:szCs w:val="20"/>
          <w:color w:val="auto"/>
        </w:rPr>
      </w:pPr>
      <w:r>
        <w:rPr>
          <w:rFonts w:ascii="Arial" w:cs="Arial" w:eastAsia="Arial" w:hAnsi="Arial"/>
          <w:sz w:val="18"/>
          <w:szCs w:val="18"/>
          <w:color w:val="auto"/>
        </w:rPr>
        <w:t>As a percentage of net sales, general and administrative expenses increased 130 basis points to 18.4% in the six months ended July 29, 2018, compared to 17.1% in the six months ended July 30, 2017. The 130 basis point increase was primarily attributable to an increase in depreciation and occupancy cost due to growth of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(Loss) Income</w:t>
      </w:r>
    </w:p>
    <w:p>
      <w:pPr>
        <w:spacing w:after="0" w:line="185" w:lineRule="exact"/>
        <w:rPr>
          <w:sz w:val="20"/>
          <w:szCs w:val="20"/>
          <w:color w:val="auto"/>
        </w:rPr>
      </w:pPr>
    </w:p>
    <w:p>
      <w:pPr>
        <w:ind w:right="260" w:firstLine="428"/>
        <w:spacing w:after="0" w:line="312" w:lineRule="auto"/>
        <w:rPr>
          <w:sz w:val="20"/>
          <w:szCs w:val="20"/>
          <w:color w:val="auto"/>
        </w:rPr>
      </w:pPr>
      <w:r>
        <w:rPr>
          <w:rFonts w:ascii="Arial" w:cs="Arial" w:eastAsia="Arial" w:hAnsi="Arial"/>
          <w:sz w:val="16"/>
          <w:szCs w:val="16"/>
          <w:i w:val="1"/>
          <w:iCs w:val="1"/>
          <w:color w:val="auto"/>
        </w:rPr>
        <w:t>Corporate expenses are included in our direct segment and the majority of advertising costs are included in our direct segment, with the exception of retail-specific advertising. As such, our direct segment is generally burdened with higher overhead and advertising expenses. In addition, for our build to suit leases, a portion of the lease expense is included in interest expense.</w:t>
      </w:r>
    </w:p>
    <w:p>
      <w:pPr>
        <w:spacing w:after="0" w:line="120" w:lineRule="exact"/>
        <w:rPr>
          <w:sz w:val="20"/>
          <w:szCs w:val="20"/>
          <w:color w:val="auto"/>
        </w:rPr>
      </w:pPr>
    </w:p>
    <w:p>
      <w:pPr>
        <w:ind w:right="40" w:firstLine="428"/>
        <w:spacing w:after="0" w:line="293" w:lineRule="auto"/>
        <w:rPr>
          <w:sz w:val="20"/>
          <w:szCs w:val="20"/>
          <w:color w:val="auto"/>
        </w:rPr>
      </w:pPr>
      <w:r>
        <w:rPr>
          <w:rFonts w:ascii="Arial" w:cs="Arial" w:eastAsia="Arial" w:hAnsi="Arial"/>
          <w:sz w:val="16"/>
          <w:szCs w:val="16"/>
          <w:color w:val="auto"/>
        </w:rPr>
        <w:t>Direct segment operating loss of $1.0 million in the six months ended July 29, 2018 compared to operating income of $3.0 million in the six months ended July 30, 2017. Direct segment operating (loss) income as a percentage of direct net sales decreased 320 basis points to (0.8)% in the six months ended July 29, 2018 compared to 2.4% in the six months ended July 30, 2017. The 320 basis point decline was primarily due to a decline of 150 basis points in direct gross margins, based on the factors discussed above in gross profit, coupled with an increase in selling, general and administrative expenses of 180 basis points was primarily attributable to the same factors discussed above for the three months ended July 29, 2018 compared to the three months ended July 30, 2017.</w:t>
      </w:r>
    </w:p>
    <w:p>
      <w:pPr>
        <w:spacing w:after="0" w:line="124" w:lineRule="exact"/>
        <w:rPr>
          <w:sz w:val="20"/>
          <w:szCs w:val="20"/>
          <w:color w:val="auto"/>
        </w:rPr>
      </w:pPr>
    </w:p>
    <w:p>
      <w:pPr>
        <w:ind w:right="100" w:firstLine="428"/>
        <w:spacing w:after="0" w:line="293" w:lineRule="auto"/>
        <w:rPr>
          <w:sz w:val="20"/>
          <w:szCs w:val="20"/>
          <w:color w:val="auto"/>
        </w:rPr>
      </w:pPr>
      <w:r>
        <w:rPr>
          <w:rFonts w:ascii="Arial" w:cs="Arial" w:eastAsia="Arial" w:hAnsi="Arial"/>
          <w:sz w:val="16"/>
          <w:szCs w:val="16"/>
          <w:color w:val="auto"/>
        </w:rPr>
        <w:t>Retail segment operating income increased $5.4 million to $10.6 million in the six months ended July 29, 2018 compared to $5.2 million in six months ended July 30, 2017. Retail segment operating income as a percentage of retail net sales increased 200 basis points to 12.7% in the six months ended July 29, 2018 compared to 10.7% in the six months ended July 30, 2017. The 200 basis point increase was primarily due to a decline of 60 basis points in retail gross margins, based on the factors discussed above in gross profit, coupled with a decrease in selling, general and administrative expenses of 260 basis points was primarily attributable to the same factors discussed above for the three months ended July 29, 2018 compared to the three months ended July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right="300" w:firstLine="428"/>
        <w:spacing w:after="0" w:line="264" w:lineRule="auto"/>
        <w:rPr>
          <w:sz w:val="20"/>
          <w:szCs w:val="20"/>
          <w:color w:val="auto"/>
        </w:rPr>
      </w:pPr>
      <w:r>
        <w:rPr>
          <w:rFonts w:ascii="Arial" w:cs="Arial" w:eastAsia="Arial" w:hAnsi="Arial"/>
          <w:sz w:val="18"/>
          <w:szCs w:val="18"/>
          <w:color w:val="auto"/>
        </w:rPr>
        <w:t>Interest expense was $2.1 million in the six months ended July 29, 2018, compared to $0.5 million in the six months ended July 30, 2017. The increase in interest expense was primarily attributable to an increase in our build-to-suit retail stores, coupled with a higher outstanding debt balance during the quarter as compared to the prior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ind w:right="140" w:firstLine="428"/>
        <w:spacing w:after="0" w:line="264" w:lineRule="auto"/>
        <w:rPr>
          <w:sz w:val="20"/>
          <w:szCs w:val="20"/>
          <w:color w:val="auto"/>
        </w:rPr>
      </w:pPr>
      <w:r>
        <w:rPr>
          <w:rFonts w:ascii="Arial" w:cs="Arial" w:eastAsia="Arial" w:hAnsi="Arial"/>
          <w:sz w:val="18"/>
          <w:szCs w:val="18"/>
          <w:color w:val="auto"/>
        </w:rPr>
        <w:t>Income tax expense was $2.0 million in the six months ended July 29, 2018, compared to income tax expense of $2.9 million in the six months ended July 30, 2017. Our effective tax rate related to controlling interest was 26% and 39%, for the six months ended July 29, 2018 and July 30,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140" w:firstLine="428"/>
        <w:spacing w:after="0" w:line="277" w:lineRule="auto"/>
        <w:rPr>
          <w:sz w:val="20"/>
          <w:szCs w:val="20"/>
          <w:color w:val="auto"/>
        </w:rPr>
      </w:pPr>
      <w:r>
        <w:rPr>
          <w:rFonts w:ascii="Arial" w:cs="Arial" w:eastAsia="Arial" w:hAnsi="Arial"/>
          <w:sz w:val="18"/>
          <w:szCs w:val="18"/>
          <w:color w:val="auto"/>
        </w:rPr>
        <w:t>Net income increased $1.0 million, or 22.6% to $5.7 million, in the six months ended July 29, 2018 compared to a net income of $4.6 million in the six months ended July 30, 2017,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202"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July 29, 2018</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July 29, 2018</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July 30, 2017</w:t>
            </w:r>
          </w:p>
        </w:tc>
        <w:tc>
          <w:tcPr>
            <w:tcW w:w="20" w:type="dxa"/>
            <w:vAlign w:val="bottom"/>
          </w:tcPr>
          <w:p>
            <w:pPr>
              <w:spacing w:after="0"/>
              <w:rPr>
                <w:sz w:val="15"/>
                <w:szCs w:val="15"/>
                <w:color w:val="auto"/>
              </w:rPr>
            </w:pPr>
          </w:p>
        </w:tc>
      </w:tr>
      <w:tr>
        <w:trPr>
          <w:trHeight w:val="25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Non-cash stock based compensation</w:t>
            </w: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100" w:firstLine="428"/>
        <w:spacing w:after="0" w:line="259"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$3.7 million, or 38.6%, to $13.1 million in the three months ended July 29, 2018 compared to $9.5 million in the three months ended July 30, 2017. As a percentage of net sales, Adjusted EBITDA increased 80 basis points to 11.8% of net sales in the three months ended July 29, 2018 compared to 11.0% of net sales in the three months ended July 30, 2017.</w:t>
      </w:r>
    </w:p>
    <w:p>
      <w:pPr>
        <w:spacing w:after="0" w:line="146" w:lineRule="exact"/>
        <w:rPr>
          <w:sz w:val="20"/>
          <w:szCs w:val="20"/>
          <w:color w:val="auto"/>
        </w:rPr>
      </w:pPr>
    </w:p>
    <w:p>
      <w:pPr>
        <w:ind w:right="100" w:firstLine="428"/>
        <w:spacing w:after="0" w:line="259"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$3.6 million, or 29.6%, to $15.7 million in the six months ended July 29, 2018 compared to $12.1 million in the six months ended July 30, 2017. As a percentage of net sales, Adjusted EBITDA increased 40 basis points to 7.5% of net sales in the six months ended July 29, 2018 compared to 7.1% of net sales in the six months ended July 30, 2017.</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60" w:firstLine="428"/>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Effective May 17, 2018, we entered into a new credit facility which provides for borrowing of up to $80.0 million on a revolving line of credit and an additional $50.0 million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51" w:lineRule="exact"/>
        <w:rPr>
          <w:sz w:val="20"/>
          <w:szCs w:val="20"/>
          <w:color w:val="auto"/>
        </w:rPr>
      </w:pPr>
    </w:p>
    <w:p>
      <w:pPr>
        <w:ind w:right="60" w:firstLine="428"/>
        <w:spacing w:after="0" w:line="271" w:lineRule="auto"/>
        <w:rPr>
          <w:sz w:val="20"/>
          <w:szCs w:val="20"/>
          <w:color w:val="auto"/>
        </w:rPr>
      </w:pPr>
      <w:r>
        <w:rPr>
          <w:rFonts w:ascii="Arial" w:cs="Arial" w:eastAsia="Arial" w:hAnsi="Arial"/>
          <w:sz w:val="17"/>
          <w:szCs w:val="17"/>
          <w:color w:val="auto"/>
        </w:rPr>
        <w:t>We expect to spend approximately $45.0 million to $55.0 million in fiscal 2018 on capital expenditures, net of proceeds from finance lease obligations, including a total of approximately $27.0 million to $32.0 million for new retail store expansion and remodels. We expect capital expenditures of approximately $2.0 million and starting inventory of $0.5 million to open a new store. At July 29, 2018, our net working capital was $73.9 million, including $2.4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38" w:lineRule="exact"/>
        <w:rPr>
          <w:sz w:val="20"/>
          <w:szCs w:val="20"/>
          <w:color w:val="auto"/>
        </w:rPr>
      </w:pPr>
    </w:p>
    <w:p>
      <w:pPr>
        <w:ind w:right="260" w:firstLine="428"/>
        <w:spacing w:after="0" w:line="264" w:lineRule="auto"/>
        <w:rPr>
          <w:sz w:val="20"/>
          <w:szCs w:val="20"/>
          <w:color w:val="auto"/>
        </w:rPr>
      </w:pPr>
      <w:r>
        <w:rPr>
          <w:rFonts w:ascii="Arial" w:cs="Arial" w:eastAsia="Arial" w:hAnsi="Arial"/>
          <w:sz w:val="18"/>
          <w:szCs w:val="18"/>
          <w:color w:val="auto"/>
        </w:rPr>
        <w:t>We believe that our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29, 2018</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July 30, 2017</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92"/>
              </w:rPr>
              <w:t>(12,168)</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center"/>
              <w:ind w:left="714"/>
              <w:spacing w:after="0"/>
              <w:rPr>
                <w:sz w:val="20"/>
                <w:szCs w:val="20"/>
                <w:color w:val="auto"/>
              </w:rPr>
            </w:pPr>
            <w:r>
              <w:rPr>
                <w:rFonts w:ascii="Arial" w:cs="Arial" w:eastAsia="Arial" w:hAnsi="Arial"/>
                <w:sz w:val="18"/>
                <w:szCs w:val="18"/>
                <w:color w:val="auto"/>
                <w:w w:val="92"/>
              </w:rPr>
              <w:t>(26,617)</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8"/>
                <w:szCs w:val="18"/>
                <w:color w:val="auto"/>
                <w:w w:val="87"/>
              </w:rPr>
              <w:t>17,188</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 and restricted cash</w:t>
            </w:r>
          </w:p>
        </w:tc>
        <w:tc>
          <w:tcPr>
            <w:tcW w:w="13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center"/>
              <w:ind w:left="714"/>
              <w:spacing w:after="0"/>
              <w:rPr>
                <w:sz w:val="20"/>
                <w:szCs w:val="20"/>
                <w:color w:val="auto"/>
              </w:rPr>
            </w:pPr>
            <w:r>
              <w:rPr>
                <w:rFonts w:ascii="Arial" w:cs="Arial" w:eastAsia="Arial" w:hAnsi="Arial"/>
                <w:sz w:val="18"/>
                <w:szCs w:val="18"/>
                <w:color w:val="auto"/>
                <w:w w:val="92"/>
              </w:rPr>
              <w:t>(21,597)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8" w:lineRule="exact"/>
        <w:rPr>
          <w:sz w:val="20"/>
          <w:szCs w:val="20"/>
          <w:color w:val="auto"/>
        </w:rPr>
      </w:pPr>
    </w:p>
    <w:p>
      <w:pPr>
        <w:ind w:left="60" w:right="320" w:firstLine="383"/>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30"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While our cash flows from operations for the six months ended July 29, 2018 is negative, primarily driven by the seasonal nature of our business, we expect cash flows from operations for the full year fiscal 2018 to be positive from normal operating performance and seasonal reductions in working capital during the fourth quarter of our fiscal year, which is consistent with previous full fiscal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firstLine="428"/>
        <w:spacing w:after="0" w:line="291" w:lineRule="auto"/>
        <w:rPr>
          <w:sz w:val="20"/>
          <w:szCs w:val="20"/>
          <w:color w:val="auto"/>
        </w:rPr>
      </w:pPr>
      <w:r>
        <w:rPr>
          <w:rFonts w:ascii="Arial" w:cs="Arial" w:eastAsia="Arial" w:hAnsi="Arial"/>
          <w:sz w:val="16"/>
          <w:szCs w:val="16"/>
          <w:color w:val="auto"/>
        </w:rPr>
        <w:t>For the six months ended July 29, 2018, net cash used in operating activities was $12.6 million, which consisted of net income of $5.8 million, non-cash depreciation and amortization of $5.1 million and stock based compensation of $0.9 million, offset by cash used in operating assets and liabilities of $24.0 million. The cash used in operating assets and liabilities of $24.0 million primarily consisted of a $12.1 million increase in inventory, primarily due to our sales increase and building up of inventory for the opening of new retail stores during fiscal 2018 and our peak season, a $2.3 million increase in prepaid expenses and other current assets due to an increase in estimated expected inventory returns, a $5.5 million decrease in income tax payable primarily due to timing of payments, and a $3.3 million decrease in accrued expenses and deferred rent obligations.</w:t>
      </w:r>
    </w:p>
    <w:p>
      <w:pPr>
        <w:spacing w:after="0" w:line="127"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For the six months ended July 30, 2017, net cash used in operating activities was $12.2 million, which consisted of net income of $4.8 million, non-cash depreciation and amortization of $3.3 million and stock based compensation of $0.6 million, offset by cash used in operating assets and liabilities of $20.4 million. The cash used in operating assets and liabilities of $20.4 million primarily consisted of a $12.9 million increase in inventory, primarily due to sales increase and building up of inventory for the opening of new retail stores during fiscal 2017 and our peak season, a $7.5 million decrease in accrued expenses and deferred rent obligations and a $4.9 million decrease in income taxes payable primarily due to timing of payments, which was partially offset by an increase in trade accounts payable of $6.6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10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ind w:right="280" w:firstLine="428"/>
        <w:spacing w:after="0" w:line="264" w:lineRule="auto"/>
        <w:rPr>
          <w:sz w:val="20"/>
          <w:szCs w:val="20"/>
          <w:color w:val="auto"/>
        </w:rPr>
      </w:pPr>
      <w:r>
        <w:rPr>
          <w:rFonts w:ascii="Arial" w:cs="Arial" w:eastAsia="Arial" w:hAnsi="Arial"/>
          <w:sz w:val="18"/>
          <w:szCs w:val="18"/>
          <w:color w:val="auto"/>
        </w:rPr>
        <w:t>For the six months ended July 29, 2018, net cash used in investing activities was $27.3 million and was primarily driven by capital expenditures of $26.8 million for new retail stores and retail store build-out, as well as investments in information technology.</w:t>
      </w:r>
    </w:p>
    <w:p>
      <w:pPr>
        <w:spacing w:after="0" w:line="141"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For the six months ended July 30, 2017, net cash used in investing activities was $26.6 million and was primarily driven by capital expenditures of $20.1 million for the opening of seven new retail stores and investments in information technology and $6.5 million increase in other assets primarily related to funds advanced to the Company’s developer in connection with building our headquarters (see Note 6 “Variable Interest Entities,” of Notes to Condensed Consolidated Financial Statements included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jc w:val="both"/>
        <w:ind w:right="220"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holders of the noncontrolling interest in our variable interest entity Schlecht Retail Ventures LLC (“SRV”), proceeds from finance lease obligations and capital contributions to SRV.</w:t>
      </w:r>
    </w:p>
    <w:p>
      <w:pPr>
        <w:spacing w:after="0" w:line="141" w:lineRule="exact"/>
        <w:rPr>
          <w:sz w:val="20"/>
          <w:szCs w:val="20"/>
          <w:color w:val="auto"/>
        </w:rPr>
      </w:pPr>
    </w:p>
    <w:p>
      <w:pPr>
        <w:jc w:val="both"/>
        <w:ind w:right="260" w:firstLine="428"/>
        <w:spacing w:after="0" w:line="264" w:lineRule="auto"/>
        <w:rPr>
          <w:sz w:val="20"/>
          <w:szCs w:val="20"/>
          <w:color w:val="auto"/>
        </w:rPr>
      </w:pPr>
      <w:r>
        <w:rPr>
          <w:rFonts w:ascii="Arial" w:cs="Arial" w:eastAsia="Arial" w:hAnsi="Arial"/>
          <w:sz w:val="18"/>
          <w:szCs w:val="18"/>
          <w:color w:val="auto"/>
        </w:rPr>
        <w:t>For the six months ended July 29, 2018, net cash provided by financing activities was $36.4 million, primarily consisting of proceeds of $35.0 million, net from our revolving line of credit to fund working capital and capital expenditures and $1.0 million from finance lease obligations in connection with our build-to-suit lease transactions.</w:t>
      </w:r>
    </w:p>
    <w:p>
      <w:pPr>
        <w:spacing w:after="0" w:line="154"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For the six months ended July 30, 2017, net cash provided by financing activities was $17.2 million, primarily consisting of proceeds of $11.9 million, net from our revolving line of credit, $0.8 million from long-term debt, $2.3 million in change in bank overdraft, $1.3 million from our finance lease obligations in connection with our build-to-suit lease transactions and $0.8 million for capital contributions to SRV.</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20" w:firstLine="428"/>
        <w:spacing w:after="0" w:line="270" w:lineRule="auto"/>
        <w:rPr>
          <w:sz w:val="20"/>
          <w:szCs w:val="20"/>
          <w:color w:val="auto"/>
        </w:rPr>
      </w:pPr>
      <w:r>
        <w:rPr>
          <w:rFonts w:ascii="Arial" w:cs="Arial" w:eastAsia="Arial" w:hAnsi="Arial"/>
          <w:sz w:val="17"/>
          <w:szCs w:val="17"/>
          <w:color w:val="auto"/>
        </w:rPr>
        <w:t>On September 29, 2017, we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the Company to maintain compliance with certain financial and non-financial covenants, including minimum tangible net worth and a minimum trailing twelve month EBITDA. In addition, the Amended and Restated Agreement did not contain borrowing base limits.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Effective May 17, 2018, we entered into a new credit agreement and subsequently terminated our Amended and Restated Agreement. The outstanding balance of $27.5 million under the Amended and Restated Agreement was paid off with borrowings under the new credit agreement. The new credit agreement is secured by essentially all Company assets and requires that we maintain compliance with certain financial and non-financial covenants, including a trailing twelve month maximum rent adjusted leverage ratio and minimum fixed charge coverage ratio. See Note 3 “Debt and Line of Credit,” included in this Quarterly Report on Form 10-Q for further information.</w:t>
      </w:r>
    </w:p>
    <w:p>
      <w:pPr>
        <w:spacing w:after="0" w:line="153" w:lineRule="exact"/>
        <w:rPr>
          <w:sz w:val="20"/>
          <w:szCs w:val="20"/>
          <w:color w:val="auto"/>
        </w:rPr>
      </w:pPr>
    </w:p>
    <w:p>
      <w:pPr>
        <w:ind w:right="280" w:firstLine="428"/>
        <w:spacing w:after="0" w:line="308" w:lineRule="auto"/>
        <w:rPr>
          <w:sz w:val="20"/>
          <w:szCs w:val="20"/>
          <w:color w:val="auto"/>
        </w:rPr>
      </w:pPr>
      <w:r>
        <w:rPr>
          <w:rFonts w:ascii="Arial" w:cs="Arial" w:eastAsia="Arial" w:hAnsi="Arial"/>
          <w:sz w:val="17"/>
          <w:szCs w:val="17"/>
          <w:color w:val="auto"/>
        </w:rPr>
        <w:t>As of July 29, 2018 and for the six months then ended, the Company was in compliance with all financial and non-financial covenants for all debts discussed above and expects to be in compliance for the remainder of fiscal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28,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8"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2017 Form 10-K, except as discussed below.</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185"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On January 29, 2018, we adopted authoritative guidance related to revenue recognition from contracts with customers using the modified retrospective (cumulative-effect) approach. As such, the comparative prior period information has not been restated and continues to be reported under the accounting standards in effect for those periods. Beginning with the first quarter of fiscal 2018, our financial results reflect adoption of the standard.</w:t>
      </w:r>
    </w:p>
    <w:p>
      <w:pPr>
        <w:spacing w:after="0" w:line="146" w:lineRule="exact"/>
        <w:rPr>
          <w:sz w:val="20"/>
          <w:szCs w:val="20"/>
          <w:color w:val="auto"/>
        </w:rPr>
      </w:pPr>
    </w:p>
    <w:p>
      <w:pPr>
        <w:ind w:right="300" w:firstLine="428"/>
        <w:spacing w:after="0" w:line="259" w:lineRule="auto"/>
        <w:rPr>
          <w:sz w:val="20"/>
          <w:szCs w:val="20"/>
          <w:color w:val="auto"/>
        </w:rPr>
      </w:pPr>
      <w:r>
        <w:rPr>
          <w:rFonts w:ascii="Arial" w:cs="Arial" w:eastAsia="Arial" w:hAnsi="Arial"/>
          <w:sz w:val="18"/>
          <w:szCs w:val="18"/>
          <w:color w:val="auto"/>
        </w:rPr>
        <w:t>On January 29, 2018, we adopted authoritative guidance related to restricted cash, which requires companies to include restricted cash in total cash and cash equivalents on the statement of cash flows. As a result, we no longer disclose the changes in restricted cash on the statement of cash flows and disclose a reconciliation to the total cash and restricted cash balances on the condensed consolidated balance sheets.</w:t>
      </w:r>
    </w:p>
    <w:p>
      <w:pPr>
        <w:spacing w:after="0" w:line="160" w:lineRule="exact"/>
        <w:rPr>
          <w:sz w:val="20"/>
          <w:szCs w:val="20"/>
          <w:color w:val="auto"/>
        </w:rPr>
      </w:pPr>
    </w:p>
    <w:p>
      <w:pPr>
        <w:ind w:right="120" w:firstLine="428"/>
        <w:spacing w:after="0" w:line="312" w:lineRule="auto"/>
        <w:rPr>
          <w:sz w:val="20"/>
          <w:szCs w:val="20"/>
          <w:color w:val="auto"/>
        </w:rPr>
      </w:pPr>
      <w:r>
        <w:rPr>
          <w:rFonts w:ascii="Arial" w:cs="Arial" w:eastAsia="Arial" w:hAnsi="Arial"/>
          <w:sz w:val="16"/>
          <w:szCs w:val="16"/>
          <w:color w:val="auto"/>
        </w:rPr>
        <w:t>On January 29, 2018, we adopted authoritative guidance related to financial instruments, which amends various aspects of the recognition, measurement, presentation, and disclosure for financial instruments. The most significant impact relates to the accounting for equity instruments. The adoption did not have a material impact on our condensed consolidated financial statements.</w:t>
      </w:r>
    </w:p>
    <w:p>
      <w:pPr>
        <w:spacing w:after="0" w:line="106" w:lineRule="exact"/>
        <w:rPr>
          <w:sz w:val="20"/>
          <w:szCs w:val="20"/>
          <w:color w:val="auto"/>
        </w:rPr>
      </w:pPr>
    </w:p>
    <w:p>
      <w:pPr>
        <w:jc w:val="both"/>
        <w:ind w:right="500" w:firstLine="428"/>
        <w:spacing w:after="0" w:line="264" w:lineRule="auto"/>
        <w:rPr>
          <w:sz w:val="20"/>
          <w:szCs w:val="20"/>
          <w:color w:val="auto"/>
        </w:rPr>
      </w:pPr>
      <w:r>
        <w:rPr>
          <w:rFonts w:ascii="Arial" w:cs="Arial" w:eastAsia="Arial" w:hAnsi="Arial"/>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200" w:lineRule="exact"/>
        <w:rPr>
          <w:sz w:val="20"/>
          <w:szCs w:val="20"/>
          <w:color w:val="auto"/>
        </w:rPr>
      </w:pPr>
    </w:p>
    <w:p>
      <w:pPr>
        <w:spacing w:after="0" w:line="2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There have been no significant changes in the market risks described in our 2017 Form 10-K. See Note 3 “Debt and Line of Credit,” of Notes to Condensed Consolidated Financial Statements included in Part 1, Item 1, of this quarterly report on Form 10-Q, for disclosure on our interest rate related to our line of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6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right="32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0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2017 Form 10-K. There have been no material changes to our risk factors as previously disclosed in our Annual Report on Form 10-K, except as discussed below.</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customers would have to pay for our products and could have an adverse effect on our business, financial condition and results of operations.</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An increasing number of states have considered or adopted laws that attempt to impose tax collection obligations on out-of-state companies. Additionally, the Supreme Court of the United States recently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sell any equity securities during the quarter ended July 29, 2018, which were not registered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11"/>
          </w:tcPr>
          <w:p>
            <w:pPr>
              <w:ind w:left="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1200" w:type="dxa"/>
            <w:vAlign w:val="bottom"/>
          </w:tcPr>
          <w:p>
            <w:pPr>
              <w:ind w:left="120"/>
              <w:spacing w:after="0"/>
              <w:rPr>
                <w:sz w:val="20"/>
                <w:szCs w:val="20"/>
                <w:color w:val="auto"/>
              </w:rPr>
            </w:pPr>
            <w:r>
              <w:rPr>
                <w:rFonts w:ascii="Arial" w:cs="Arial" w:eastAsia="Arial" w:hAnsi="Arial"/>
                <w:sz w:val="18"/>
                <w:szCs w:val="18"/>
                <w:color w:val="auto"/>
              </w:rPr>
              <w:t>Exhibit</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No.</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120"/>
              <w:spacing w:after="0" w:line="157" w:lineRule="exact"/>
              <w:rPr>
                <w:sz w:val="20"/>
                <w:szCs w:val="20"/>
                <w:color w:val="auto"/>
              </w:rPr>
            </w:pPr>
            <w:r>
              <w:rPr>
                <w:rFonts w:ascii="Arial" w:cs="Arial" w:eastAsia="Arial" w:hAnsi="Arial"/>
                <w:sz w:val="18"/>
                <w:szCs w:val="18"/>
                <w:color w:val="auto"/>
              </w:rPr>
              <w:t>10.1</w:t>
            </w:r>
          </w:p>
        </w:tc>
        <w:tc>
          <w:tcPr>
            <w:tcW w:w="7760" w:type="dxa"/>
            <w:vAlign w:val="bottom"/>
            <w:tcBorders>
              <w:bottom w:val="single" w:sz="8" w:color="0000EE"/>
            </w:tcBorders>
            <w:gridSpan w:val="8"/>
          </w:tcPr>
          <w:p>
            <w:pPr>
              <w:spacing w:after="0" w:line="157" w:lineRule="exact"/>
              <w:rPr>
                <w:rFonts w:ascii="Arial" w:cs="Arial" w:eastAsia="Arial" w:hAnsi="Arial"/>
                <w:sz w:val="16"/>
                <w:szCs w:val="16"/>
                <w:color w:val="0000EE"/>
                <w:w w:val="92"/>
              </w:rPr>
            </w:pPr>
            <w:hyperlink r:id="rId45">
              <w:r>
                <w:rPr>
                  <w:rFonts w:ascii="Arial" w:cs="Arial" w:eastAsia="Arial" w:hAnsi="Arial"/>
                  <w:sz w:val="16"/>
                  <w:szCs w:val="16"/>
                  <w:color w:val="0000EE"/>
                  <w:w w:val="92"/>
                </w:rPr>
                <w:t>Credit Agreement, dated as of May 17, 2018, among Duluth Holdings Inc., as the borrower, BMO Harris Bank N.A., as</w:t>
              </w:r>
            </w:hyperlink>
          </w:p>
        </w:tc>
        <w:tc>
          <w:tcPr>
            <w:tcW w:w="6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824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45">
              <w:r>
                <w:rPr>
                  <w:rFonts w:ascii="Arial" w:cs="Arial" w:eastAsia="Arial" w:hAnsi="Arial"/>
                  <w:sz w:val="16"/>
                  <w:szCs w:val="16"/>
                  <w:color w:val="0000EE"/>
                  <w:w w:val="92"/>
                </w:rPr>
                <w:t>Administrative Agent, Swingline Lender and L/C Issuer, the Other Lenders Party Thereto, and BMO Capital Markets Corp., as</w:t>
              </w:r>
            </w:hyperlink>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8400" w:type="dxa"/>
            <w:vAlign w:val="bottom"/>
            <w:gridSpan w:val="15"/>
          </w:tcPr>
          <w:p>
            <w:pPr>
              <w:spacing w:after="0" w:line="183" w:lineRule="exact"/>
              <w:rPr>
                <w:rFonts w:ascii="Arial" w:cs="Arial" w:eastAsia="Arial" w:hAnsi="Arial"/>
                <w:sz w:val="16"/>
                <w:szCs w:val="16"/>
                <w:color w:val="0000EE"/>
                <w:w w:val="97"/>
              </w:rPr>
            </w:pPr>
            <w:hyperlink r:id="rId45">
              <w:r>
                <w:rPr>
                  <w:rFonts w:ascii="Arial" w:cs="Arial" w:eastAsia="Arial" w:hAnsi="Arial"/>
                  <w:sz w:val="16"/>
                  <w:szCs w:val="16"/>
                  <w:color w:val="0000EE"/>
                  <w:w w:val="97"/>
                </w:rPr>
                <w:t>Sole Lead Arranger and Sole Book Runner, incorporated by reference to Exhibit 10.1 of the Company’s Current Report on</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10.2</w:t>
            </w:r>
          </w:p>
        </w:tc>
        <w:tc>
          <w:tcPr>
            <w:tcW w:w="20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2"/>
              </w:rPr>
            </w:pPr>
            <w:hyperlink r:id="rId45">
              <w:r>
                <w:rPr>
                  <w:rFonts w:ascii="Arial" w:cs="Arial" w:eastAsia="Arial" w:hAnsi="Arial"/>
                  <w:sz w:val="16"/>
                  <w:szCs w:val="16"/>
                  <w:color w:val="0000EE"/>
                  <w:w w:val="92"/>
                </w:rPr>
                <w:t>Form 8-K dated May 17, 2018.</w:t>
              </w:r>
            </w:hyperlink>
          </w:p>
        </w:tc>
        <w:tc>
          <w:tcPr>
            <w:tcW w:w="5920" w:type="dxa"/>
            <w:vAlign w:val="bottom"/>
            <w:tcBorders>
              <w:top w:val="single" w:sz="8" w:color="0000EE"/>
            </w:tcBorders>
            <w:gridSpan w:val="6"/>
          </w:tcPr>
          <w:p>
            <w:pPr>
              <w:spacing w:after="0"/>
              <w:rPr>
                <w:sz w:val="15"/>
                <w:szCs w:val="15"/>
                <w:color w:val="auto"/>
              </w:rPr>
            </w:pPr>
          </w:p>
        </w:tc>
        <w:tc>
          <w:tcPr>
            <w:tcW w:w="4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820" w:type="dxa"/>
            <w:vAlign w:val="bottom"/>
            <w:tcBorders>
              <w:bottom w:val="single" w:sz="8" w:color="0000EE"/>
            </w:tcBorders>
            <w:gridSpan w:val="9"/>
          </w:tcPr>
          <w:p>
            <w:pPr>
              <w:spacing w:after="0" w:line="169" w:lineRule="exact"/>
              <w:rPr>
                <w:rFonts w:ascii="Arial" w:cs="Arial" w:eastAsia="Arial" w:hAnsi="Arial"/>
                <w:sz w:val="16"/>
                <w:szCs w:val="16"/>
                <w:color w:val="0000EE"/>
                <w:w w:val="92"/>
              </w:rPr>
            </w:pPr>
            <w:hyperlink r:id="rId46">
              <w:r>
                <w:rPr>
                  <w:rFonts w:ascii="Arial" w:cs="Arial" w:eastAsia="Arial" w:hAnsi="Arial"/>
                  <w:sz w:val="16"/>
                  <w:szCs w:val="16"/>
                  <w:color w:val="0000EE"/>
                  <w:w w:val="92"/>
                </w:rPr>
                <w:t>General Security Agreement, dated of May 17, 2018, by and between Duluth Holdings Inc. and BMO Harris Bank N.A.,</w:t>
              </w:r>
            </w:hyperlink>
          </w:p>
        </w:tc>
        <w:tc>
          <w:tcPr>
            <w:tcW w:w="5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10.3</w:t>
            </w:r>
          </w:p>
        </w:tc>
        <w:tc>
          <w:tcPr>
            <w:tcW w:w="714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46">
              <w:r>
                <w:rPr>
                  <w:rFonts w:ascii="Arial" w:cs="Arial" w:eastAsia="Arial" w:hAnsi="Arial"/>
                  <w:sz w:val="16"/>
                  <w:szCs w:val="16"/>
                  <w:color w:val="0000EE"/>
                  <w:w w:val="92"/>
                </w:rPr>
                <w:t>incorporated by reference to Exhibit 10.2 of the Company’s Current Report on Form 8-K dated May 17, 2018.</w:t>
              </w:r>
            </w:hyperlink>
          </w:p>
        </w:tc>
        <w:tc>
          <w:tcPr>
            <w:tcW w:w="1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400" w:type="dxa"/>
            <w:vAlign w:val="bottom"/>
            <w:gridSpan w:val="15"/>
          </w:tcPr>
          <w:p>
            <w:pPr>
              <w:spacing w:after="0" w:line="169" w:lineRule="exact"/>
              <w:rPr>
                <w:rFonts w:ascii="Arial" w:cs="Arial" w:eastAsia="Arial" w:hAnsi="Arial"/>
                <w:sz w:val="16"/>
                <w:szCs w:val="16"/>
                <w:color w:val="0000EE"/>
                <w:w w:val="96"/>
              </w:rPr>
            </w:pPr>
            <w:hyperlink r:id="rId47">
              <w:r>
                <w:rPr>
                  <w:rFonts w:ascii="Arial" w:cs="Arial" w:eastAsia="Arial" w:hAnsi="Arial"/>
                  <w:sz w:val="16"/>
                  <w:szCs w:val="16"/>
                  <w:color w:val="0000EE"/>
                  <w:w w:val="96"/>
                </w:rPr>
                <w:t>Summary of Outside Director Compensation, incorporated by reference to Exhibit 10.1 of the Company’s Current Report on</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31.1</w:t>
            </w:r>
          </w:p>
        </w:tc>
        <w:tc>
          <w:tcPr>
            <w:tcW w:w="20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0"/>
              </w:rPr>
            </w:pPr>
            <w:hyperlink r:id="rId47">
              <w:r>
                <w:rPr>
                  <w:rFonts w:ascii="Arial" w:cs="Arial" w:eastAsia="Arial" w:hAnsi="Arial"/>
                  <w:sz w:val="16"/>
                  <w:szCs w:val="16"/>
                  <w:color w:val="0000EE"/>
                  <w:w w:val="90"/>
                </w:rPr>
                <w:t>Form 8-K dated June 29, 2018.</w:t>
              </w:r>
            </w:hyperlink>
          </w:p>
        </w:tc>
        <w:tc>
          <w:tcPr>
            <w:tcW w:w="6040" w:type="dxa"/>
            <w:vAlign w:val="bottom"/>
            <w:tcBorders>
              <w:top w:val="single" w:sz="8" w:color="0000EE"/>
            </w:tcBorders>
            <w:gridSpan w:val="7"/>
          </w:tcPr>
          <w:p>
            <w:pPr>
              <w:spacing w:after="0"/>
              <w:rPr>
                <w:sz w:val="15"/>
                <w:szCs w:val="15"/>
                <w:color w:val="auto"/>
              </w:rPr>
            </w:pPr>
          </w:p>
        </w:tc>
        <w:tc>
          <w:tcPr>
            <w:tcW w:w="3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400" w:type="dxa"/>
            <w:vAlign w:val="bottom"/>
            <w:gridSpan w:val="15"/>
          </w:tcPr>
          <w:p>
            <w:pPr>
              <w:spacing w:after="0" w:line="169" w:lineRule="exact"/>
              <w:rPr>
                <w:rFonts w:ascii="Arial" w:cs="Arial" w:eastAsia="Arial" w:hAnsi="Arial"/>
                <w:sz w:val="16"/>
                <w:szCs w:val="16"/>
                <w:color w:val="0000EE"/>
                <w:w w:val="94"/>
              </w:rPr>
            </w:pPr>
            <w:hyperlink w:anchor="page32">
              <w:r>
                <w:rPr>
                  <w:rFonts w:ascii="Arial" w:cs="Arial" w:eastAsia="Arial" w:hAnsi="Arial"/>
                  <w:sz w:val="16"/>
                  <w:szCs w:val="16"/>
                  <w:color w:val="0000EE"/>
                  <w:w w:val="94"/>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96"/>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8200" w:type="dxa"/>
            <w:vAlign w:val="bottom"/>
            <w:tcBorders>
              <w:top w:val="single" w:sz="8" w:color="0000EE"/>
            </w:tcBorders>
            <w:gridSpan w:val="13"/>
          </w:tcPr>
          <w:p>
            <w:pPr>
              <w:spacing w:after="0" w:line="196" w:lineRule="exact"/>
              <w:rPr>
                <w:rFonts w:ascii="Arial" w:cs="Arial" w:eastAsia="Arial" w:hAnsi="Arial"/>
                <w:sz w:val="16"/>
                <w:szCs w:val="16"/>
                <w:color w:val="0000EE"/>
              </w:rPr>
            </w:pPr>
            <w:hyperlink w:anchor="page32">
              <w:r>
                <w:rPr>
                  <w:rFonts w:ascii="Arial" w:cs="Arial" w:eastAsia="Arial" w:hAnsi="Arial"/>
                  <w:sz w:val="16"/>
                  <w:szCs w:val="16"/>
                  <w:color w:val="0000EE"/>
                </w:rPr>
                <w:t>amended.</w:t>
              </w:r>
              <w:r>
                <w:rPr>
                  <w:rFonts w:ascii="Arial" w:cs="Arial" w:eastAsia="Arial" w:hAnsi="Arial"/>
                  <w:sz w:val="18"/>
                  <w:szCs w:val="18"/>
                  <w:color w:val="000000"/>
                </w:rPr>
                <w:t>*</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120" w:type="dxa"/>
            <w:vAlign w:val="bottom"/>
            <w:tcBorders>
              <w:bottom w:val="single" w:sz="8" w:color="0000EE"/>
            </w:tcBorders>
            <w:gridSpan w:val="12"/>
          </w:tcPr>
          <w:p>
            <w:pPr>
              <w:spacing w:after="0" w:line="169" w:lineRule="exact"/>
              <w:rPr>
                <w:rFonts w:ascii="Arial" w:cs="Arial" w:eastAsia="Arial" w:hAnsi="Arial"/>
                <w:sz w:val="16"/>
                <w:szCs w:val="16"/>
                <w:color w:val="0000EE"/>
                <w:w w:val="92"/>
              </w:rPr>
            </w:pPr>
            <w:hyperlink w:anchor="page33">
              <w:r>
                <w:rPr>
                  <w:rFonts w:ascii="Arial" w:cs="Arial" w:eastAsia="Arial" w:hAnsi="Arial"/>
                  <w:sz w:val="16"/>
                  <w:szCs w:val="16"/>
                  <w:color w:val="0000EE"/>
                  <w:w w:val="92"/>
                </w:rPr>
                <w:t>Certification of Chief Financial Officer pursuant to Rule 13a-14(a) and Rule 15d-14(a) of the Securities and Exchange Act of</w:t>
              </w:r>
            </w:hyperlink>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8400" w:type="dxa"/>
            <w:vAlign w:val="bottom"/>
            <w:gridSpan w:val="15"/>
          </w:tcPr>
          <w:p>
            <w:pPr>
              <w:spacing w:after="0" w:line="196" w:lineRule="exact"/>
              <w:rPr>
                <w:rFonts w:ascii="Arial" w:cs="Arial" w:eastAsia="Arial" w:hAnsi="Arial"/>
                <w:sz w:val="16"/>
                <w:szCs w:val="16"/>
                <w:color w:val="0000EE"/>
              </w:rPr>
            </w:pPr>
            <w:hyperlink w:anchor="page33">
              <w:r>
                <w:rPr>
                  <w:rFonts w:ascii="Arial" w:cs="Arial" w:eastAsia="Arial" w:hAnsi="Arial"/>
                  <w:sz w:val="16"/>
                  <w:szCs w:val="16"/>
                  <w:color w:val="0000EE"/>
                </w:rPr>
                <w:t>1934, as amended.</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80" w:type="dxa"/>
            <w:vAlign w:val="bottom"/>
            <w:tcBorders>
              <w:bottom w:val="single" w:sz="8" w:color="0000EE"/>
            </w:tcBorders>
            <w:gridSpan w:val="7"/>
          </w:tcPr>
          <w:p>
            <w:pPr>
              <w:spacing w:after="0" w:line="169" w:lineRule="exact"/>
              <w:rPr>
                <w:rFonts w:ascii="Arial" w:cs="Arial" w:eastAsia="Arial" w:hAnsi="Arial"/>
                <w:sz w:val="16"/>
                <w:szCs w:val="16"/>
                <w:color w:val="0000EE"/>
                <w:w w:val="92"/>
              </w:rPr>
            </w:pPr>
            <w:hyperlink w:anchor="page34">
              <w:r>
                <w:rPr>
                  <w:rFonts w:ascii="Arial" w:cs="Arial" w:eastAsia="Arial" w:hAnsi="Arial"/>
                  <w:sz w:val="16"/>
                  <w:szCs w:val="16"/>
                  <w:color w:val="0000EE"/>
                  <w:w w:val="92"/>
                </w:rPr>
                <w:t>Certification of Chief Executive Officer pursuant to 18 U.S.C. Section 1350, as adopted pursuant to Section 906 of the</w:t>
              </w:r>
            </w:hyperlink>
          </w:p>
        </w:tc>
        <w:tc>
          <w:tcPr>
            <w:tcW w:w="7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32.2</w:t>
            </w:r>
          </w:p>
        </w:tc>
        <w:tc>
          <w:tcPr>
            <w:tcW w:w="8400" w:type="dxa"/>
            <w:vAlign w:val="bottom"/>
            <w:gridSpan w:val="15"/>
          </w:tcPr>
          <w:p>
            <w:pPr>
              <w:spacing w:after="0" w:line="196" w:lineRule="exact"/>
              <w:rPr>
                <w:rFonts w:ascii="Arial" w:cs="Arial" w:eastAsia="Arial" w:hAnsi="Arial"/>
                <w:sz w:val="16"/>
                <w:szCs w:val="16"/>
                <w:color w:val="0000EE"/>
              </w:rPr>
            </w:pPr>
            <w:hyperlink w:anchor="page34">
              <w:r>
                <w:rPr>
                  <w:rFonts w:ascii="Arial" w:cs="Arial" w:eastAsia="Arial" w:hAnsi="Arial"/>
                  <w:sz w:val="16"/>
                  <w:szCs w:val="16"/>
                  <w:color w:val="0000EE"/>
                </w:rPr>
                <w:t>Sarbanes-Oxley Act of 2002.</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40" w:type="dxa"/>
            <w:vAlign w:val="bottom"/>
            <w:tcBorders>
              <w:bottom w:val="single" w:sz="8" w:color="0000EE"/>
            </w:tcBorders>
            <w:gridSpan w:val="6"/>
          </w:tcPr>
          <w:p>
            <w:pPr>
              <w:spacing w:after="0" w:line="169" w:lineRule="exact"/>
              <w:rPr>
                <w:rFonts w:ascii="Arial" w:cs="Arial" w:eastAsia="Arial" w:hAnsi="Arial"/>
                <w:sz w:val="16"/>
                <w:szCs w:val="16"/>
                <w:color w:val="0000EE"/>
                <w:w w:val="92"/>
              </w:rPr>
            </w:pPr>
            <w:hyperlink w:anchor="page35">
              <w:r>
                <w:rPr>
                  <w:rFonts w:ascii="Arial" w:cs="Arial" w:eastAsia="Arial" w:hAnsi="Arial"/>
                  <w:sz w:val="16"/>
                  <w:szCs w:val="16"/>
                  <w:color w:val="0000EE"/>
                  <w:w w:val="92"/>
                </w:rPr>
                <w:t>Certification of Chief Financial Officer pursuant to 18 U.S.C. Section 1350, as adopted pursuant to Section 906 of the</w:t>
              </w:r>
            </w:hyperlink>
          </w:p>
        </w:tc>
        <w:tc>
          <w:tcPr>
            <w:tcW w:w="7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101.INS</w:t>
            </w:r>
          </w:p>
        </w:tc>
        <w:tc>
          <w:tcPr>
            <w:tcW w:w="8400" w:type="dxa"/>
            <w:vAlign w:val="bottom"/>
            <w:gridSpan w:val="15"/>
          </w:tcPr>
          <w:p>
            <w:pPr>
              <w:spacing w:after="0" w:line="196" w:lineRule="exact"/>
              <w:rPr>
                <w:rFonts w:ascii="Arial" w:cs="Arial" w:eastAsia="Arial" w:hAnsi="Arial"/>
                <w:sz w:val="16"/>
                <w:szCs w:val="16"/>
                <w:color w:val="0000EE"/>
              </w:rPr>
            </w:pPr>
            <w:hyperlink w:anchor="page35">
              <w:r>
                <w:rPr>
                  <w:rFonts w:ascii="Arial" w:cs="Arial" w:eastAsia="Arial" w:hAnsi="Arial"/>
                  <w:sz w:val="16"/>
                  <w:szCs w:val="16"/>
                  <w:color w:val="0000EE"/>
                </w:rPr>
                <w:t>Sarbanes-Oxley Act of 2002.</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0" w:type="dxa"/>
            <w:vAlign w:val="bottom"/>
            <w:vMerge w:val="continue"/>
          </w:tcPr>
          <w:p>
            <w:pPr>
              <w:spacing w:after="0"/>
              <w:rPr>
                <w:sz w:val="19"/>
                <w:szCs w:val="19"/>
                <w:color w:val="auto"/>
              </w:rPr>
            </w:pPr>
          </w:p>
        </w:tc>
        <w:tc>
          <w:tcPr>
            <w:tcW w:w="8400" w:type="dxa"/>
            <w:vAlign w:val="bottom"/>
            <w:gridSpan w:val="15"/>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101.SCH</w:t>
            </w:r>
          </w:p>
        </w:tc>
        <w:tc>
          <w:tcPr>
            <w:tcW w:w="8400" w:type="dxa"/>
            <w:vAlign w:val="bottom"/>
            <w:gridSpan w:val="15"/>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101.CAL</w:t>
            </w:r>
          </w:p>
        </w:tc>
        <w:tc>
          <w:tcPr>
            <w:tcW w:w="840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101.DEF</w:t>
            </w:r>
          </w:p>
        </w:tc>
        <w:tc>
          <w:tcPr>
            <w:tcW w:w="8400" w:type="dxa"/>
            <w:vAlign w:val="bottom"/>
            <w:gridSpan w:val="15"/>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101.LAB</w:t>
            </w:r>
          </w:p>
        </w:tc>
        <w:tc>
          <w:tcPr>
            <w:tcW w:w="8400" w:type="dxa"/>
            <w:vAlign w:val="bottom"/>
            <w:gridSpan w:val="15"/>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101.PRE</w:t>
            </w:r>
          </w:p>
        </w:tc>
        <w:tc>
          <w:tcPr>
            <w:tcW w:w="8400" w:type="dxa"/>
            <w:vAlign w:val="bottom"/>
            <w:tcBorders>
              <w:bottom w:val="single" w:sz="8" w:color="auto"/>
            </w:tcBorders>
            <w:gridSpan w:val="15"/>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480" w:hanging="1355"/>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September 6, 2018</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July 29, 2018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5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September 6, 2018</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July 29, 2018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September 6, 2018</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1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5" Type="http://schemas.openxmlformats.org/officeDocument/2006/relationships/hyperlink" Target="http://www.sec.gov/Archives/edgar/data/1649744/000089271218000244/exhibit101.htm" TargetMode="External"/><Relationship Id="rId46" Type="http://schemas.openxmlformats.org/officeDocument/2006/relationships/hyperlink" Target="http://www.sec.gov/Archives/edgar/data/1649744/000089271218000244/exhibit102.htm" TargetMode="External"/><Relationship Id="rId47" Type="http://schemas.openxmlformats.org/officeDocument/2006/relationships/hyperlink" Target="http://www.sec.gov/Archives/edgar/data/1649744/000089271218000320/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2019-12-28T19:37:14Z</dcterms:created>
  <dcterms:modified xsi:type="dcterms:W3CDTF">2019-12-28T19:37:14Z</dcterms:modified>
</cp:coreProperties>
</file>