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  June 2, 2022</w:t>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DULUTH HOLDINGS INC.</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567" w:right="359" w:bottom="1440" w:gutter="0" w:footer="0" w:header="0"/>
        </w:sectPr>
      </w:pPr>
    </w:p>
    <w:p>
      <w:pPr>
        <w:spacing w:after="0" w:line="3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001-37641</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39-1564801</w:t>
      </w:r>
    </w:p>
    <w:p>
      <w:pPr>
        <w:spacing w:after="0" w:line="65" w:lineRule="exact"/>
        <w:rPr>
          <w:sz w:val="24"/>
          <w:szCs w:val="24"/>
          <w:color w:val="auto"/>
        </w:rPr>
      </w:pPr>
    </w:p>
    <w:p>
      <w:pPr>
        <w:sectPr>
          <w:pgSz w:w="11900" w:h="16838" w:orient="portrait"/>
          <w:cols w:equalWidth="0" w:num="3">
            <w:col w:w="4540" w:space="720"/>
            <w:col w:w="3000" w:space="720"/>
            <w:col w:w="2240"/>
          </w:cols>
          <w:pgMar w:left="320" w:top="567" w:right="3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00" w:space="720"/>
            <w:col w:w="3040"/>
          </w:cols>
          <w:pgMar w:left="320" w:top="567" w:right="359" w:bottom="1440" w:gutter="0" w:footer="0" w:header="0"/>
          <w:type w:val="continuous"/>
        </w:sectPr>
      </w:pPr>
    </w:p>
    <w:p>
      <w:pPr>
        <w:spacing w:after="0" w:line="38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201 East Front Street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Mount Horeb, Wisconsin 53572</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(608) 424-1544</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9" w:lineRule="exact"/>
        <w:rPr>
          <w:sz w:val="24"/>
          <w:szCs w:val="24"/>
          <w:color w:val="auto"/>
        </w:rPr>
      </w:pPr>
    </w:p>
    <w:p>
      <w:pPr>
        <w:ind w:right="66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81"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9" w:lineRule="exact"/>
        <w:rPr>
          <w:rFonts w:ascii="Times New Roman" w:cs="Times New Roman" w:eastAsia="Times New Roman" w:hAnsi="Times New Roman"/>
          <w:sz w:val="43"/>
          <w:szCs w:val="43"/>
          <w:color w:val="auto"/>
          <w:vertAlign w:val="subscript"/>
        </w:rPr>
      </w:pPr>
    </w:p>
    <w:p>
      <w:pPr>
        <w:ind w:left="460" w:hanging="452"/>
        <w:spacing w:after="0"/>
        <w:tabs>
          <w:tab w:leader="none" w:pos="4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9" w:lineRule="exact"/>
        <w:rPr>
          <w:rFonts w:ascii="Times New Roman" w:cs="Times New Roman" w:eastAsia="Times New Roman" w:hAnsi="Times New Roman"/>
          <w:sz w:val="43"/>
          <w:szCs w:val="43"/>
          <w:color w:val="auto"/>
          <w:vertAlign w:val="subscript"/>
        </w:rPr>
      </w:pPr>
    </w:p>
    <w:p>
      <w:pPr>
        <w:ind w:left="460" w:hanging="452"/>
        <w:spacing w:after="0"/>
        <w:tabs>
          <w:tab w:leader="none" w:pos="4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59" w:lineRule="exact"/>
        <w:rPr>
          <w:rFonts w:ascii="Times New Roman" w:cs="Times New Roman" w:eastAsia="Times New Roman" w:hAnsi="Times New Roman"/>
          <w:sz w:val="43"/>
          <w:szCs w:val="43"/>
          <w:color w:val="auto"/>
          <w:vertAlign w:val="subscript"/>
        </w:rPr>
      </w:pPr>
    </w:p>
    <w:p>
      <w:pPr>
        <w:ind w:right="2720" w:firstLine="8"/>
        <w:spacing w:after="0" w:line="293" w:lineRule="auto"/>
        <w:tabs>
          <w:tab w:leader="none" w:pos="445"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129b) of the Act:</w:t>
      </w:r>
    </w:p>
    <w:p>
      <w:pPr>
        <w:spacing w:after="0" w:line="111"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35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5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Class B Common Stock, No Par Value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DLTH</w:t>
            </w:r>
          </w:p>
        </w:tc>
        <w:tc>
          <w:tcPr>
            <w:tcW w:w="38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4057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66065"/>
                    </a:xfrm>
                    <a:prstGeom prst="rect">
                      <a:avLst/>
                    </a:prstGeom>
                    <a:noFill/>
                  </pic:spPr>
                </pic:pic>
              </a:graphicData>
            </a:graphic>
          </wp:anchor>
        </w:drawing>
      </w:r>
    </w:p>
    <w:p>
      <w:pPr>
        <w:spacing w:after="0" w:line="164"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2" w:lineRule="exact"/>
        <w:rPr>
          <w:sz w:val="24"/>
          <w:szCs w:val="24"/>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The following information, including Exhibit 99.1 hereto, referenced in this Item 2.02, is being furnished pursuant to this Item 2.02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5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On June 2, 2022, Duluth Holdings Inc. (the “Company” or “Duluth Trading”) issued a press release (the “Earnings Press Release”) discussing, among other things, its financial results for its fiscal second quarter ended May 1, 2022. A copy of the Earnings Press Release is furnished as Exhibit 99.1 to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Information</w:t>
      </w:r>
    </w:p>
    <w:p>
      <w:pPr>
        <w:spacing w:after="0" w:line="18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i w:val="1"/>
          <w:iCs w:val="1"/>
          <w:color w:val="auto"/>
        </w:rPr>
        <w:t>Certain matters discussed in this Current Report on Form 8-K and other oral and written statements by representatives of the Company including, but not limited to, the Company’s ability to meet its fiscal 2022 expectations (including its ability to increase net sales, adjusted EBITDA, and diluted EPS) and its ability to execute on its growth strategies and its long-term growth targets, are forward-looking statements within the meaning of the Private Securities Litigation Reform Act of 1995. You can identify forward-looking statements by the use of words such as “may,” “might,” “will,” “should,” “expect,” “plan,” “anticipate,” “could,” “believe,” “estimate,” “project,” “target,” “predict,” “intend,” “future,” “budget,” “goals,” “potential,” “continue,” “design,” “objective,”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result or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"Risk Factors" in the Company’s Annual Report on Form 10-K filed with the SEC on March 25, 2022 and other factors as may be periodically described in Duluth Trading’s subsequent filings with the SEC. These risks and uncertainties include, but are not limited to, the following: the prolonged effects of the COVID-19 on store traffic and disruptions to our distribution network, supply chains and operations; our ability to maintain and enhance a strong brand and sub-brand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or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w:t>
      </w:r>
    </w:p>
    <w:p>
      <w:pPr>
        <w:spacing w:after="0" w:line="3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 Exhibits.</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exhibits are being furnished with this Current Report on Form 8-K.</w:t>
      </w:r>
    </w:p>
    <w:p>
      <w:pPr>
        <w:spacing w:after="0" w:line="200" w:lineRule="exact"/>
        <w:rPr>
          <w:sz w:val="20"/>
          <w:szCs w:val="20"/>
          <w:color w:val="auto"/>
        </w:rPr>
      </w:pPr>
    </w:p>
    <w:p>
      <w:pPr>
        <w:spacing w:after="0" w:line="332" w:lineRule="exact"/>
        <w:rPr>
          <w:sz w:val="20"/>
          <w:szCs w:val="20"/>
          <w:color w:val="auto"/>
        </w:rPr>
      </w:pPr>
    </w:p>
    <w:tbl>
      <w:tblPr>
        <w:tblLayout w:type="fixed"/>
        <w:tblInd w:w="380" w:type="dxa"/>
        <w:tblCellMar>
          <w:top w:w="0" w:type="dxa"/>
          <w:left w:w="0" w:type="dxa"/>
          <w:bottom w:w="0" w:type="dxa"/>
          <w:right w:w="0" w:type="dxa"/>
        </w:tblCellMar>
      </w:tblPr>
      <w:tr>
        <w:trPr>
          <w:trHeight w:val="245"/>
        </w:trPr>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920" w:type="dxa"/>
            <w:vAlign w:val="bottom"/>
          </w:tcPr>
          <w:p>
            <w:pPr>
              <w:spacing w:after="0"/>
              <w:rPr>
                <w:sz w:val="21"/>
                <w:szCs w:val="21"/>
                <w:color w:val="auto"/>
              </w:rPr>
            </w:pPr>
          </w:p>
        </w:tc>
        <w:tc>
          <w:tcPr>
            <w:tcW w:w="59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2"/>
        </w:trPr>
        <w:tc>
          <w:tcPr>
            <w:tcW w:w="1680" w:type="dxa"/>
            <w:vAlign w:val="bottom"/>
            <w:tcBorders>
              <w:top w:val="single" w:sz="8" w:color="auto"/>
            </w:tcBorders>
          </w:tcPr>
          <w:p>
            <w:pPr>
              <w:jc w:val="right"/>
              <w:ind w:right="530"/>
              <w:spacing w:after="0" w:line="162"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3120" w:type="dxa"/>
            <w:vAlign w:val="bottom"/>
            <w:tcBorders>
              <w:top w:val="single" w:sz="8" w:color="auto"/>
              <w:bottom w:val="single" w:sz="8" w:color="0000FF"/>
            </w:tcBorders>
          </w:tcPr>
          <w:p>
            <w:pPr>
              <w:jc w:val="center"/>
              <w:spacing w:after="0" w:line="162" w:lineRule="exact"/>
              <w:rPr>
                <w:sz w:val="20"/>
                <w:szCs w:val="20"/>
                <w:color w:val="auto"/>
              </w:rPr>
            </w:pPr>
            <w:r>
              <w:rPr>
                <w:rFonts w:ascii="Times New Roman" w:cs="Times New Roman" w:eastAsia="Times New Roman" w:hAnsi="Times New Roman"/>
                <w:sz w:val="18"/>
                <w:szCs w:val="18"/>
                <w:color w:val="0000FF"/>
              </w:rPr>
              <w:t>Earnings Press Release, dated June 2, 2022</w:t>
            </w:r>
          </w:p>
        </w:tc>
        <w:tc>
          <w:tcPr>
            <w:tcW w:w="2780" w:type="dxa"/>
            <w:vAlign w:val="bottom"/>
            <w:tcBorders>
              <w:top w:val="single" w:sz="8" w:color="auto"/>
            </w:tcBorders>
          </w:tcPr>
          <w:p>
            <w:pPr>
              <w:spacing w:after="0"/>
              <w:rPr>
                <w:sz w:val="14"/>
                <w:szCs w:val="14"/>
                <w:color w:val="auto"/>
              </w:rPr>
            </w:pPr>
          </w:p>
        </w:tc>
      </w:tr>
      <w:tr>
        <w:trPr>
          <w:trHeight w:val="237"/>
        </w:trPr>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88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5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347" w:lineRule="exact"/>
        <w:rPr>
          <w:sz w:val="20"/>
          <w:szCs w:val="20"/>
          <w:color w:val="auto"/>
        </w:rPr>
      </w:pPr>
    </w:p>
    <w:p>
      <w:pPr>
        <w:ind w:left="478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8890</wp:posOffset>
            </wp:positionV>
            <wp:extent cx="3583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David Loretta</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00"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20" w:type="dxa"/>
            <w:vAlign w:val="bottom"/>
            <w:gridSpan w:val="3"/>
          </w:tcPr>
          <w:p>
            <w:pPr>
              <w:ind w:left="19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353"/>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120" w:type="dxa"/>
            <w:vAlign w:val="bottom"/>
          </w:tcPr>
          <w:p>
            <w:pPr>
              <w:spacing w:after="0"/>
              <w:rPr>
                <w:sz w:val="14"/>
                <w:szCs w:val="14"/>
                <w:color w:val="auto"/>
              </w:rPr>
            </w:pPr>
          </w:p>
        </w:tc>
        <w:tc>
          <w:tcPr>
            <w:tcW w:w="49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Earnings Press Release, dated June 2, 2022</w:t>
            </w:r>
          </w:p>
        </w:tc>
      </w:tr>
      <w:tr>
        <w:trPr>
          <w:trHeight w:val="164"/>
        </w:trPr>
        <w:tc>
          <w:tcPr>
            <w:tcW w:w="8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spacing w:after="0"/>
              <w:rPr>
                <w:sz w:val="14"/>
                <w:szCs w:val="14"/>
                <w:color w:val="auto"/>
              </w:rPr>
            </w:pPr>
          </w:p>
        </w:tc>
        <w:tc>
          <w:tcPr>
            <w:tcW w:w="3100" w:type="dxa"/>
            <w:vAlign w:val="bottom"/>
            <w:tcBorders>
              <w:top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w w:val="96"/>
              </w:rPr>
              <w:t>Cover Page Interactive Data File (embedded</w:t>
            </w:r>
          </w:p>
        </w:tc>
        <w:tc>
          <w:tcPr>
            <w:tcW w:w="20" w:type="dxa"/>
            <w:vAlign w:val="bottom"/>
            <w:tcBorders>
              <w:top w:val="single" w:sz="8" w:color="0000EE"/>
            </w:tcBorders>
          </w:tcPr>
          <w:p>
            <w:pPr>
              <w:spacing w:after="0"/>
              <w:rPr>
                <w:sz w:val="14"/>
                <w:szCs w:val="14"/>
                <w:color w:val="auto"/>
              </w:rPr>
            </w:pPr>
          </w:p>
        </w:tc>
        <w:tc>
          <w:tcPr>
            <w:tcW w:w="1840" w:type="dxa"/>
            <w:vAlign w:val="bottom"/>
          </w:tcPr>
          <w:p>
            <w:pPr>
              <w:ind w:left="120"/>
              <w:spacing w:after="0" w:line="164" w:lineRule="exact"/>
              <w:rPr>
                <w:sz w:val="20"/>
                <w:szCs w:val="20"/>
                <w:color w:val="auto"/>
              </w:rPr>
            </w:pPr>
            <w:r>
              <w:rPr>
                <w:rFonts w:ascii="Times New Roman" w:cs="Times New Roman" w:eastAsia="Times New Roman" w:hAnsi="Times New Roman"/>
                <w:sz w:val="18"/>
                <w:szCs w:val="18"/>
                <w:color w:val="auto"/>
                <w:w w:val="99"/>
              </w:rPr>
              <w:t>within the Inline XBRL</w:t>
            </w:r>
          </w:p>
        </w:tc>
      </w:tr>
      <w:tr>
        <w:trPr>
          <w:trHeight w:val="234"/>
        </w:trPr>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ectPr>
          <w:pgSz w:w="11900" w:h="16838" w:orient="portrait"/>
          <w:cols w:equalWidth="0" w:num="1">
            <w:col w:w="10139"/>
          </w:cols>
          <w:pgMar w:left="320" w:top="500" w:right="1440" w:bottom="1440" w:gutter="0" w:footer="0" w:header="0"/>
        </w:sectPr>
      </w:pPr>
    </w:p>
    <w:bookmarkStart w:id="5" w:name="page6"/>
    <w:bookmarkEnd w:id="5"/>
    <w:p>
      <w:pPr>
        <w:jc w:val="right"/>
        <w:spacing w:after="0"/>
        <w:rPr>
          <w:sz w:val="20"/>
          <w:szCs w:val="20"/>
          <w:color w:val="auto"/>
        </w:rPr>
      </w:pPr>
      <w:r>
        <w:rPr>
          <w:rFonts w:ascii="Calibri" w:cs="Calibri" w:eastAsia="Calibri" w:hAnsi="Calibri"/>
          <w:sz w:val="23"/>
          <w:szCs w:val="2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374650</wp:posOffset>
            </wp:positionV>
            <wp:extent cx="2571750"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Duluth Holdings Inc. Announces First Quarter 2022 Financial Results</w:t>
      </w: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i w:val="1"/>
          <w:iCs w:val="1"/>
          <w:color w:val="auto"/>
        </w:rPr>
        <w:t>Net Sales of $122.9 million</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i w:val="1"/>
          <w:iCs w:val="1"/>
          <w:color w:val="auto"/>
        </w:rPr>
        <w:t>Gross Margin increases 470 basis points to 54.6%</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i w:val="1"/>
          <w:iCs w:val="1"/>
          <w:color w:val="auto"/>
        </w:rPr>
        <w:t>Launches new Duluth by Duluth Trading Co. logo and Rebrands Alaskan Hardgear as AKHG</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i w:val="1"/>
          <w:iCs w:val="1"/>
          <w:color w:val="auto"/>
        </w:rPr>
        <w:t>Reafrmed Fiscal 2022 outlook for Net Sales, EPS and Adjusted EBITDA</w:t>
      </w:r>
    </w:p>
    <w:p>
      <w:pPr>
        <w:spacing w:after="0" w:line="306" w:lineRule="exact"/>
        <w:rPr>
          <w:sz w:val="20"/>
          <w:szCs w:val="20"/>
          <w:color w:val="auto"/>
        </w:rPr>
      </w:pPr>
    </w:p>
    <w:p>
      <w:pPr>
        <w:ind w:right="80"/>
        <w:spacing w:after="0" w:line="213" w:lineRule="auto"/>
        <w:rPr>
          <w:sz w:val="20"/>
          <w:szCs w:val="20"/>
          <w:color w:val="auto"/>
        </w:rPr>
      </w:pPr>
      <w:r>
        <w:rPr>
          <w:rFonts w:ascii="Calibri" w:cs="Calibri" w:eastAsia="Calibri" w:hAnsi="Calibri"/>
          <w:sz w:val="20"/>
          <w:szCs w:val="20"/>
          <w:b w:val="1"/>
          <w:bCs w:val="1"/>
          <w:color w:val="auto"/>
        </w:rPr>
        <w:t xml:space="preserve">MOUNT HOREB, WI – June 2, 2022 </w:t>
      </w:r>
      <w:r>
        <w:rPr>
          <w:rFonts w:ascii="Calibri" w:cs="Calibri" w:eastAsia="Calibri" w:hAnsi="Calibri"/>
          <w:sz w:val="20"/>
          <w:szCs w:val="20"/>
          <w:color w:val="auto"/>
        </w:rPr>
        <w:t>– Duluth Holdings Inc. (dba, Duluth Trading Company) (“Duluth Trading”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“Company”) (NASDAQ: DLTH), a lifestyle brand of men’s and women’s workwear, casual wear, outdoor apparel and accessories, today announced its fnancial results for the fscal frst quarter ended May 1, 2022.</w:t>
      </w:r>
    </w:p>
    <w:p>
      <w:pPr>
        <w:spacing w:after="0" w:line="1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Highlights for the First Quarter Ended May 1, 2022</w:t>
      </w:r>
    </w:p>
    <w:p>
      <w:pPr>
        <w:spacing w:after="0" w:line="161"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sales of $122.9 million compared to $133.4 million in the prior year frst quarter</w:t>
      </w:r>
    </w:p>
    <w:p>
      <w:pPr>
        <w:spacing w:after="0" w:line="6" w:lineRule="exact"/>
        <w:rPr>
          <w:rFonts w:ascii="Times New Roman" w:cs="Times New Roman" w:eastAsia="Times New Roman" w:hAnsi="Times New Roman"/>
          <w:sz w:val="20"/>
          <w:szCs w:val="20"/>
          <w:color w:val="auto"/>
        </w:rPr>
      </w:pPr>
    </w:p>
    <w:p>
      <w:pPr>
        <w:ind w:left="640" w:hanging="322"/>
        <w:spacing w:after="0" w:line="193" w:lineRule="auto"/>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Gross margin improved 470 basis points to 54.6% compared to 49.9% in the prior year frst quarter</w:t>
      </w:r>
    </w:p>
    <w:p>
      <w:pPr>
        <w:spacing w:after="0" w:line="6" w:lineRule="exact"/>
        <w:rPr>
          <w:rFonts w:ascii="Times New Roman" w:cs="Times New Roman" w:eastAsia="Times New Roman" w:hAnsi="Times New Roman"/>
          <w:sz w:val="20"/>
          <w:szCs w:val="20"/>
          <w:color w:val="auto"/>
        </w:rPr>
      </w:pPr>
    </w:p>
    <w:p>
      <w:pPr>
        <w:jc w:val="both"/>
        <w:ind w:left="640" w:right="60" w:hanging="322"/>
        <w:spacing w:after="0" w:line="201" w:lineRule="auto"/>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loss of ($1.3) million, or ($0.04) per diluted share, compared to net income of $0.5 million, or $0.02 per diluted share in the prior year frst quarter; excluding the $3.9 million carryover of freight costs, net income would have been $1.6 million, or $0.05 per diluted share</w:t>
      </w:r>
    </w:p>
    <w:p>
      <w:pPr>
        <w:spacing w:after="0" w:line="1" w:lineRule="exact"/>
        <w:rPr>
          <w:rFonts w:ascii="Times New Roman" w:cs="Times New Roman" w:eastAsia="Times New Roman" w:hAnsi="Times New Roman"/>
          <w:sz w:val="20"/>
          <w:szCs w:val="20"/>
          <w:color w:val="auto"/>
        </w:rPr>
      </w:pPr>
    </w:p>
    <w:p>
      <w:pPr>
        <w:ind w:left="640" w:hanging="322"/>
        <w:spacing w:after="0" w:line="230" w:lineRule="auto"/>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w:t>
      </w:r>
      <w:r>
        <w:rPr>
          <w:rFonts w:ascii="Calibri" w:cs="Calibri" w:eastAsia="Calibri" w:hAnsi="Calibri"/>
          <w:sz w:val="20"/>
          <w:szCs w:val="20"/>
          <w:color w:val="auto"/>
          <w:vertAlign w:val="superscript"/>
        </w:rPr>
        <w:t>1</w:t>
      </w:r>
      <w:r>
        <w:rPr>
          <w:rFonts w:ascii="Calibri" w:cs="Calibri" w:eastAsia="Calibri" w:hAnsi="Calibri"/>
          <w:sz w:val="20"/>
          <w:szCs w:val="20"/>
          <w:color w:val="auto"/>
        </w:rPr>
        <w:t xml:space="preserve"> of $7.9 million, refects 6.4% of net sales</w:t>
      </w:r>
    </w:p>
    <w:p>
      <w:pPr>
        <w:spacing w:after="0" w:line="146" w:lineRule="exact"/>
        <w:rPr>
          <w:sz w:val="20"/>
          <w:szCs w:val="20"/>
          <w:color w:val="auto"/>
        </w:rPr>
      </w:pPr>
    </w:p>
    <w:p>
      <w:pPr>
        <w:spacing w:after="0"/>
        <w:rPr>
          <w:sz w:val="20"/>
          <w:szCs w:val="20"/>
          <w:color w:val="auto"/>
        </w:rPr>
      </w:pPr>
      <w:r>
        <w:rPr>
          <w:rFonts w:ascii="Calibri" w:cs="Calibri" w:eastAsia="Calibri" w:hAnsi="Calibri"/>
          <w:sz w:val="17"/>
          <w:szCs w:val="17"/>
          <w:color w:val="auto"/>
          <w:vertAlign w:val="superscript"/>
        </w:rPr>
        <w:t>1</w:t>
      </w:r>
      <w:r>
        <w:rPr>
          <w:rFonts w:ascii="Calibri" w:cs="Calibri" w:eastAsia="Calibri" w:hAnsi="Calibri"/>
          <w:sz w:val="16"/>
          <w:szCs w:val="16"/>
          <w:color w:val="auto"/>
        </w:rPr>
        <w:t>See Reconciliaton of net (loss) income to EBITDA and EBITDA to Adjusted EBITDA in the accompanying fnancial tables.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Management Commentary</w:t>
      </w:r>
    </w:p>
    <w:p>
      <w:pPr>
        <w:spacing w:after="0" w:line="211" w:lineRule="exact"/>
        <w:rPr>
          <w:sz w:val="20"/>
          <w:szCs w:val="20"/>
          <w:color w:val="auto"/>
        </w:rPr>
      </w:pPr>
    </w:p>
    <w:p>
      <w:pPr>
        <w:ind w:left="200" w:right="4040"/>
        <w:spacing w:after="0" w:line="238" w:lineRule="auto"/>
        <w:rPr>
          <w:sz w:val="20"/>
          <w:szCs w:val="20"/>
          <w:color w:val="auto"/>
        </w:rPr>
      </w:pPr>
      <w:r>
        <w:rPr>
          <w:rFonts w:ascii="Calibri" w:cs="Calibri" w:eastAsia="Calibri" w:hAnsi="Calibri"/>
          <w:sz w:val="20"/>
          <w:szCs w:val="20"/>
          <w:color w:val="auto"/>
        </w:rPr>
        <w:t>President and CEO, Sam Sato commented, “Our frst quarter results demonstrate our contnued operatonal efectveness in the face of an uneven macro environment. With our inventories in a healthy positon at quarter end and digital marketng tactcs that draw on elevated data analytcs, we are meetng the needs of our customers and executng our strategies for long-term brand growth. The efciency of our omnichannel model is producing a consistently strong gross proft margin, which for Q1 was 54.6%, an increase of 470 basis points over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-1521460</wp:posOffset>
            </wp:positionV>
            <wp:extent cx="2211705" cy="158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170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6" w:name="page7"/>
    <w:bookmarkEnd w:id="6"/>
    <w:p>
      <w:pPr>
        <w:ind w:left="200" w:right="4080"/>
        <w:spacing w:after="0" w:line="237" w:lineRule="auto"/>
        <w:rPr>
          <w:sz w:val="20"/>
          <w:szCs w:val="20"/>
          <w:color w:val="auto"/>
        </w:rPr>
      </w:pPr>
      <w:r>
        <w:rPr>
          <w:rFonts w:ascii="Calibri" w:cs="Calibri" w:eastAsia="Calibri" w:hAnsi="Calibri"/>
          <w:sz w:val="20"/>
          <w:szCs w:val="20"/>
          <w:color w:val="auto"/>
        </w:rPr>
        <w:t>“We are excited to bring our evolving portolio of brands to life with the launch of Duluth by Duluth Trading Co. and our rebranding of Alaskan Hardgear as AKHG, which is now expanded to include Women’s. Both brands stand behind our commitment to product innovaton and long-standing quality. Duluth is our core workwear brand, while AKHG serves our customer’s desires to be actve in the outdoors and equips them for the adventures they are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-1208405</wp:posOffset>
            </wp:positionV>
            <wp:extent cx="2211705" cy="1457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1457325"/>
                    </a:xfrm>
                    <a:prstGeom prst="rect">
                      <a:avLst/>
                    </a:prstGeom>
                    <a:noFill/>
                  </pic:spPr>
                </pic:pic>
              </a:graphicData>
            </a:graphic>
          </wp:anchor>
        </w:drawing>
      </w:r>
    </w:p>
    <w:p>
      <w:pPr>
        <w:ind w:left="200" w:right="4160"/>
        <w:spacing w:after="0" w:line="236" w:lineRule="auto"/>
        <w:rPr>
          <w:sz w:val="20"/>
          <w:szCs w:val="20"/>
          <w:color w:val="auto"/>
        </w:rPr>
      </w:pPr>
      <w:r>
        <w:rPr>
          <w:rFonts w:ascii="Calibri" w:cs="Calibri" w:eastAsia="Calibri" w:hAnsi="Calibri"/>
          <w:sz w:val="20"/>
          <w:szCs w:val="20"/>
          <w:color w:val="auto"/>
        </w:rPr>
        <w:t>on. We’re pleased with the customer response to our new brand positoning and expect the momentum to contnue building.” Sato concluded.</w:t>
      </w:r>
    </w:p>
    <w:p>
      <w:pPr>
        <w:spacing w:after="0" w:line="225" w:lineRule="auto"/>
        <w:rPr>
          <w:sz w:val="20"/>
          <w:szCs w:val="20"/>
          <w:color w:val="auto"/>
        </w:rPr>
      </w:pPr>
      <w:r>
        <w:rPr>
          <w:rFonts w:ascii="Calibri" w:cs="Calibri" w:eastAsia="Calibri" w:hAnsi="Calibri"/>
          <w:sz w:val="20"/>
          <w:szCs w:val="20"/>
          <w:b w:val="1"/>
          <w:bCs w:val="1"/>
          <w:color w:val="auto"/>
        </w:rPr>
        <w:t>Operatng Results for the First Quarter Ended May 1, 2022</w:t>
      </w:r>
    </w:p>
    <w:p>
      <w:pPr>
        <w:spacing w:after="0" w:line="185" w:lineRule="exact"/>
        <w:rPr>
          <w:sz w:val="20"/>
          <w:szCs w:val="20"/>
          <w:color w:val="auto"/>
        </w:rPr>
      </w:pPr>
    </w:p>
    <w:p>
      <w:pPr>
        <w:ind w:right="80"/>
        <w:spacing w:after="0" w:line="208" w:lineRule="auto"/>
        <w:rPr>
          <w:sz w:val="20"/>
          <w:szCs w:val="20"/>
          <w:color w:val="auto"/>
        </w:rPr>
      </w:pPr>
      <w:r>
        <w:rPr>
          <w:rFonts w:ascii="Calibri" w:cs="Calibri" w:eastAsia="Calibri" w:hAnsi="Calibri"/>
          <w:sz w:val="20"/>
          <w:szCs w:val="20"/>
          <w:color w:val="auto"/>
        </w:rPr>
        <w:t>Net sales decreased 7.9% to $122.9 million, compared to $133.4 million in the same period a year ago. Retail store net sales increased slightly by 0.4% to $45.2 million. Direct-to-consumer net sales decreased by 12.1% to $77.7 million compared to the frst quarter last year primarily due to heavier clearance sales, coupled with contnued supply chain disruptons during the prior year. Direct-to-consumer net sales decreased 18.8% and 22.9% in fscal February and March, respectvely, as compared to the prior year, but April ended strong with direct-to-consumer net sales increasing 10.8% as our inventory positon contnues to improve.</w:t>
      </w:r>
    </w:p>
    <w:p>
      <w:pPr>
        <w:spacing w:after="0" w:line="202"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Net sales in store markets decreased 5.4% to $85.1 million, compared to $89.9 million in the same period a year ago. Net sales in non-store markets decreased by 12.5%, to $36.8 million driven by less clearance sales due to managing with an improved inventory system during the current quarter.</w:t>
      </w:r>
    </w:p>
    <w:p>
      <w:pPr>
        <w:spacing w:after="0" w:line="198" w:lineRule="exact"/>
        <w:rPr>
          <w:sz w:val="20"/>
          <w:szCs w:val="20"/>
          <w:color w:val="auto"/>
        </w:rPr>
      </w:pPr>
    </w:p>
    <w:p>
      <w:pPr>
        <w:ind w:right="60"/>
        <w:spacing w:after="0" w:line="210" w:lineRule="auto"/>
        <w:rPr>
          <w:sz w:val="20"/>
          <w:szCs w:val="20"/>
          <w:color w:val="auto"/>
        </w:rPr>
      </w:pPr>
      <w:r>
        <w:rPr>
          <w:rFonts w:ascii="Calibri" w:cs="Calibri" w:eastAsia="Calibri" w:hAnsi="Calibri"/>
          <w:sz w:val="20"/>
          <w:szCs w:val="20"/>
          <w:color w:val="auto"/>
        </w:rPr>
        <w:t>Gross proft increased 0.8% to $67.1 million, or 54.6% of net sales, compared to $66.5 million, or 49.9% of net sales, in the corresponding prior year period. Absent the $3.9 million carryover of expedited freight costs that were expensed during the current quarter, our frst quarter gross proft margin would have been approximately 58%. The increase in gross proft rate was driven by less clearance sales due to improved inventory positon.</w:t>
      </w:r>
    </w:p>
    <w:p>
      <w:pPr>
        <w:spacing w:after="0" w:line="199" w:lineRule="exact"/>
        <w:rPr>
          <w:sz w:val="20"/>
          <w:szCs w:val="20"/>
          <w:color w:val="auto"/>
        </w:rPr>
      </w:pPr>
    </w:p>
    <w:p>
      <w:pPr>
        <w:jc w:val="both"/>
        <w:ind w:right="100"/>
        <w:spacing w:after="0" w:line="236" w:lineRule="auto"/>
        <w:rPr>
          <w:sz w:val="20"/>
          <w:szCs w:val="20"/>
          <w:color w:val="auto"/>
        </w:rPr>
      </w:pPr>
      <w:r>
        <w:rPr>
          <w:rFonts w:ascii="Calibri" w:cs="Calibri" w:eastAsia="Calibri" w:hAnsi="Calibri"/>
          <w:sz w:val="20"/>
          <w:szCs w:val="20"/>
          <w:color w:val="auto"/>
        </w:rPr>
        <w:t>Selling, general and administratve expenses increased 5.2% to $68.0 million, compared to $64.6 million in the same period a year ago. As a percentage of net sales, selling, general and administratve expenses increased to 55.3%, compared to 48.5% in the corresponding prior year period.</w:t>
      </w:r>
    </w:p>
    <w:p>
      <w:pPr>
        <w:spacing w:after="0" w:line="252"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The increase in selling, general and administratve expense was primarily due to investments in new headcount, as well as increased brand development expense to support the launch of Duluth by Duluth Trading Co. and rebrand of Alaskan Hardgear as AKHG.</w:t>
      </w:r>
    </w:p>
    <w:p>
      <w:pPr>
        <w:spacing w:after="0" w:line="184"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The efectve tax rate related to controlling interest was 25% compared to 16% in the corresponding prior year period. The efectve tax rate in the prior year was impacted by changes to certain discrete items.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184" w:lineRule="exact"/>
        <w:rPr>
          <w:sz w:val="20"/>
          <w:szCs w:val="20"/>
          <w:color w:val="auto"/>
        </w:rPr>
      </w:pPr>
    </w:p>
    <w:p>
      <w:pPr>
        <w:ind w:right="880"/>
        <w:spacing w:after="0" w:line="214" w:lineRule="auto"/>
        <w:rPr>
          <w:sz w:val="20"/>
          <w:szCs w:val="20"/>
          <w:color w:val="auto"/>
        </w:rPr>
      </w:pPr>
      <w:r>
        <w:rPr>
          <w:rFonts w:ascii="Calibri" w:cs="Calibri" w:eastAsia="Calibri" w:hAnsi="Calibri"/>
          <w:sz w:val="20"/>
          <w:szCs w:val="20"/>
          <w:color w:val="auto"/>
        </w:rPr>
        <w:t>The Company ended the quarter with a cash balance of $40.4 million, an inventory balance of $152.2 million, net working capital of $106.0 million, and no outstanding Duluth Trading bank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60"/>
          </w:cols>
          <w:pgMar w:left="1360" w:top="372" w:right="137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t>Fiscal 2022 Outlook</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fscal 2022 outlook is as follows:</w:t>
      </w:r>
    </w:p>
    <w:p>
      <w:pPr>
        <w:spacing w:after="0" w:line="188"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sales in the range of $730 million to $755 million</w:t>
      </w:r>
    </w:p>
    <w:p>
      <w:pPr>
        <w:spacing w:after="0" w:line="6" w:lineRule="exact"/>
        <w:rPr>
          <w:rFonts w:ascii="Times New Roman" w:cs="Times New Roman" w:eastAsia="Times New Roman" w:hAnsi="Times New Roman"/>
          <w:sz w:val="20"/>
          <w:szCs w:val="20"/>
          <w:color w:val="auto"/>
        </w:rPr>
      </w:pPr>
    </w:p>
    <w:p>
      <w:pPr>
        <w:ind w:left="640" w:hanging="322"/>
        <w:spacing w:after="0" w:line="193" w:lineRule="auto"/>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 in the range of $84 million to $88 million</w:t>
      </w:r>
      <w:r>
        <w:rPr>
          <w:rFonts w:ascii="Calibri" w:cs="Calibri" w:eastAsia="Calibri" w:hAnsi="Calibri"/>
          <w:sz w:val="17"/>
          <w:szCs w:val="17"/>
          <w:color w:val="auto"/>
          <w:vertAlign w:val="superscript"/>
        </w:rPr>
        <w:t>1</w:t>
      </w:r>
    </w:p>
    <w:p>
      <w:pPr>
        <w:spacing w:after="0" w:line="6" w:lineRule="exact"/>
        <w:rPr>
          <w:rFonts w:ascii="Times New Roman" w:cs="Times New Roman" w:eastAsia="Times New Roman" w:hAnsi="Times New Roman"/>
          <w:sz w:val="20"/>
          <w:szCs w:val="20"/>
          <w:color w:val="auto"/>
        </w:rPr>
      </w:pPr>
    </w:p>
    <w:p>
      <w:pPr>
        <w:ind w:left="640" w:hanging="322"/>
        <w:spacing w:after="0" w:line="193" w:lineRule="auto"/>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EPS in the range of $0.93 to $1.02 per diluted share</w:t>
      </w:r>
    </w:p>
    <w:p>
      <w:pPr>
        <w:spacing w:after="0" w:line="6" w:lineRule="exact"/>
        <w:rPr>
          <w:rFonts w:ascii="Times New Roman" w:cs="Times New Roman" w:eastAsia="Times New Roman" w:hAnsi="Times New Roman"/>
          <w:sz w:val="20"/>
          <w:szCs w:val="20"/>
          <w:color w:val="auto"/>
        </w:rPr>
      </w:pPr>
    </w:p>
    <w:p>
      <w:pPr>
        <w:ind w:left="640" w:hanging="322"/>
        <w:spacing w:after="0" w:line="193" w:lineRule="auto"/>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Capital expenditures, inclusive of sofware hostng implementaton costs, of approximately $40 million</w:t>
      </w:r>
    </w:p>
    <w:p>
      <w:pPr>
        <w:spacing w:after="0" w:line="218" w:lineRule="exact"/>
        <w:rPr>
          <w:sz w:val="20"/>
          <w:szCs w:val="20"/>
          <w:color w:val="auto"/>
        </w:rPr>
      </w:pPr>
    </w:p>
    <w:p>
      <w:pPr>
        <w:ind w:right="840"/>
        <w:spacing w:after="0" w:line="247" w:lineRule="auto"/>
        <w:rPr>
          <w:sz w:val="20"/>
          <w:szCs w:val="20"/>
          <w:color w:val="auto"/>
        </w:rPr>
      </w:pPr>
      <w:r>
        <w:rPr>
          <w:rFonts w:ascii="Calibri" w:cs="Calibri" w:eastAsia="Calibri" w:hAnsi="Calibri"/>
          <w:sz w:val="17"/>
          <w:szCs w:val="17"/>
          <w:color w:val="auto"/>
          <w:vertAlign w:val="superscript"/>
        </w:rPr>
        <w:t>1</w:t>
      </w:r>
      <w:r>
        <w:rPr>
          <w:rFonts w:ascii="Calibri" w:cs="Calibri" w:eastAsia="Calibri" w:hAnsi="Calibri"/>
          <w:sz w:val="16"/>
          <w:szCs w:val="16"/>
          <w:color w:val="auto"/>
        </w:rPr>
        <w:t>See Reconciliaton of forecasted net income to forecasted EBITDA and forecasted EBITDA to forecasted Adjusted EBITDA in the accompanying fnancial tables.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 Informaton</w:t>
      </w:r>
    </w:p>
    <w:p>
      <w:pPr>
        <w:spacing w:after="0" w:line="103"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conference call and audio webcast with analysts and investors will be held on Thursday, June 2, 2022 at 9:30 am Eastern Time, to discuss the results and answer questons.</w:t>
      </w:r>
    </w:p>
    <w:p>
      <w:pPr>
        <w:spacing w:after="0" w:line="176" w:lineRule="exact"/>
        <w:rPr>
          <w:sz w:val="20"/>
          <w:szCs w:val="20"/>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Live conference call: 844-875-6915 (domestc) or 412-317-6711 (internatonal)</w:t>
      </w:r>
    </w:p>
    <w:p>
      <w:pPr>
        <w:spacing w:after="0" w:line="184" w:lineRule="exact"/>
        <w:rPr>
          <w:rFonts w:ascii="Times New Roman" w:cs="Times New Roman" w:eastAsia="Times New Roman" w:hAnsi="Times New Roman"/>
          <w:sz w:val="18"/>
          <w:szCs w:val="18"/>
          <w:color w:val="auto"/>
        </w:rPr>
      </w:pPr>
    </w:p>
    <w:p>
      <w:pPr>
        <w:ind w:left="640" w:right="500" w:hanging="322"/>
        <w:spacing w:after="0" w:line="234" w:lineRule="auto"/>
        <w:tabs>
          <w:tab w:leader="none" w:pos="6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Conference call replay available through June 9, 2022: 877-344-7529 (domestc) or 412-317-0088 (internatonal)</w:t>
      </w:r>
    </w:p>
    <w:p>
      <w:pPr>
        <w:spacing w:after="0" w:line="17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Replay access code: 6696956</w:t>
      </w:r>
    </w:p>
    <w:p>
      <w:pPr>
        <w:spacing w:after="0" w:line="174"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Live and archived webcast: ir.duluthtrading.com</w:t>
      </w:r>
    </w:p>
    <w:p>
      <w:pPr>
        <w:spacing w:after="0" w:line="184"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 xml:space="preserve">Investors can pre-register for the earnings conference call to expedite their entry into the call and avoid waiting for a live operator. To pre-register for the call, please visit </w:t>
      </w:r>
      <w:r>
        <w:rPr>
          <w:rFonts w:ascii="Calibri" w:cs="Calibri" w:eastAsia="Calibri" w:hAnsi="Calibri"/>
          <w:sz w:val="20"/>
          <w:szCs w:val="20"/>
          <w:b w:val="1"/>
          <w:bCs w:val="1"/>
          <w:color w:val="auto"/>
        </w:rPr>
        <w:t>htps://dpregister.com/6696956</w:t>
      </w:r>
      <w:r>
        <w:rPr>
          <w:rFonts w:ascii="Calibri" w:cs="Calibri" w:eastAsia="Calibri" w:hAnsi="Calibri"/>
          <w:sz w:val="20"/>
          <w:szCs w:val="20"/>
          <w:color w:val="auto"/>
        </w:rPr>
        <w:t xml:space="preserve"> and enter your contact informaton. You will then be issued a personalized phone number and pin to dial into the live conference call. Investors can pre-register any tme prior to the start of the conference call.</w:t>
      </w:r>
    </w:p>
    <w:p>
      <w:pPr>
        <w:spacing w:after="0" w:line="8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Duluth Trading</w:t>
      </w:r>
    </w:p>
    <w:p>
      <w:pPr>
        <w:spacing w:after="0" w:line="184" w:lineRule="exact"/>
        <w:rPr>
          <w:sz w:val="20"/>
          <w:szCs w:val="20"/>
          <w:color w:val="auto"/>
        </w:rPr>
      </w:pPr>
    </w:p>
    <w:p>
      <w:pPr>
        <w:ind w:right="40"/>
        <w:spacing w:after="0" w:line="207" w:lineRule="auto"/>
        <w:rPr>
          <w:sz w:val="20"/>
          <w:szCs w:val="20"/>
          <w:color w:val="auto"/>
        </w:rPr>
      </w:pPr>
      <w:r>
        <w:rPr>
          <w:rFonts w:ascii="Calibri" w:cs="Calibri" w:eastAsia="Calibri" w:hAnsi="Calibri"/>
          <w:sz w:val="20"/>
          <w:szCs w:val="20"/>
          <w:color w:val="auto"/>
        </w:rPr>
        <w:t>Duluth Trading is a lifestyle brand for the Modern, Self-Reliant American. Based in Mount Horeb, Wisconsin, we ofer high quality, soluton-based casual wear, workwear and accessories for men and women who lead a hands-on lifestyle and who value a job well-done. We provide our customers an engaging and entertaining experience. Our marketng incorporates humor and storytelling that conveys the uniqueness of our products in a distnctve, fun way, and are available through our content-rich website, catalogs, and “store like no other” retail locatons. We are commited to outstanding customer service backed by our “No Bull Guarantee” - if it’s not right, we’ll fx it. Visit our website at htp://www.duluthtrading.com.</w:t>
      </w:r>
    </w:p>
    <w:p>
      <w:pPr>
        <w:spacing w:after="0" w:line="1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Measurements</w:t>
      </w:r>
    </w:p>
    <w:p>
      <w:pPr>
        <w:spacing w:after="0" w:line="184" w:lineRule="exact"/>
        <w:rPr>
          <w:sz w:val="20"/>
          <w:szCs w:val="20"/>
          <w:color w:val="auto"/>
        </w:rPr>
      </w:pPr>
    </w:p>
    <w:p>
      <w:pPr>
        <w:ind w:right="40"/>
        <w:spacing w:after="0" w:line="208" w:lineRule="auto"/>
        <w:rPr>
          <w:sz w:val="20"/>
          <w:szCs w:val="20"/>
          <w:color w:val="auto"/>
        </w:rPr>
      </w:pPr>
      <w:r>
        <w:rPr>
          <w:rFonts w:ascii="Calibri" w:cs="Calibri" w:eastAsia="Calibri" w:hAnsi="Calibri"/>
          <w:sz w:val="20"/>
          <w:szCs w:val="20"/>
          <w:color w:val="auto"/>
        </w:rPr>
        <w:t>Management believes that non-GAAP fnancial measures may be useful in certain instances to provide additonal meaningful comparisons between current results and results in prior operatng periods. Within this release, including the tables atached hereto, reference is made to adjusted earnings before interest, taxes, depreciaton and amortzaton (EBITDA). See atached Table “Reconciliaton of Net Income (Loss) to EBITDA and EBITDA to Adjusted EBITDA,” for a reconciliaton of net income (loss) to EBITDA and EBITDA to Adjusted EBITDA for the three months ended May 1, 2022, versus the three months ended May 2, 2021.</w:t>
      </w:r>
    </w:p>
    <w:p>
      <w:pPr>
        <w:spacing w:after="0" w:line="189"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Adjusted EBITDA is a metric used by management and frequently used by the fnancial community, which provides insight into an organizaton’s operatng trends and facilitates comparisons between peer companies, since interest, taxes, depreciaton and amortzaton can difer greatly between organizatons as a result of difering capital structures and tax strategies. Adjusted EBITDA excludes certain items that are unusual in nature or not comparable from period to period.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40"/>
          </w:cols>
          <w:pgMar w:left="1360" w:top="105" w:right="1399" w:bottom="1440" w:gutter="0" w:footer="0" w:header="0"/>
        </w:sectPr>
      </w:pPr>
    </w:p>
    <w:bookmarkStart w:id="8" w:name="page9"/>
    <w:bookmarkEnd w:id="8"/>
    <w:p>
      <w:pPr>
        <w:ind w:right="319"/>
        <w:spacing w:after="0" w:line="210" w:lineRule="auto"/>
        <w:rPr>
          <w:sz w:val="20"/>
          <w:szCs w:val="20"/>
          <w:color w:val="auto"/>
        </w:rPr>
      </w:pPr>
      <w:r>
        <w:rPr>
          <w:rFonts w:ascii="Calibri" w:cs="Calibri" w:eastAsia="Calibri" w:hAnsi="Calibri"/>
          <w:sz w:val="20"/>
          <w:szCs w:val="20"/>
          <w:color w:val="auto"/>
        </w:rPr>
        <w:t>The Company provides this informaton to investors to assist in comparisons of past, present and future operatng results and to assist in highlightng the results of on-going operatons. While the Company’s management believes that non-GAAP measurements are useful supplemental informaton, such adjusted results are not intended to replace the Company’s GAAP fnancial results and should be read in conjuncton with those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099"/>
          </w:cols>
          <w:pgMar w:left="1360" w:top="304" w:right="1440" w:bottom="1440" w:gutter="0" w:footer="0" w:header="0"/>
        </w:sectPr>
      </w:pPr>
    </w:p>
    <w:bookmarkStart w:id="9" w:name="page10"/>
    <w:bookmarkEnd w:id="9"/>
    <w:p>
      <w:pPr>
        <w:ind w:left="6"/>
        <w:spacing w:after="0"/>
        <w:rPr>
          <w:sz w:val="20"/>
          <w:szCs w:val="20"/>
          <w:color w:val="auto"/>
        </w:rPr>
      </w:pPr>
      <w:r>
        <w:rPr>
          <w:rFonts w:ascii="Calibri" w:cs="Calibri" w:eastAsia="Calibri" w:hAnsi="Calibri"/>
          <w:sz w:val="20"/>
          <w:szCs w:val="20"/>
          <w:b w:val="1"/>
          <w:bCs w:val="1"/>
          <w:color w:val="auto"/>
        </w:rPr>
        <w:t>Forward-Looking Statements</w:t>
      </w:r>
    </w:p>
    <w:p>
      <w:pPr>
        <w:spacing w:after="0" w:line="184" w:lineRule="exact"/>
        <w:rPr>
          <w:sz w:val="20"/>
          <w:szCs w:val="20"/>
          <w:color w:val="auto"/>
        </w:rPr>
      </w:pPr>
    </w:p>
    <w:p>
      <w:pPr>
        <w:ind w:left="6"/>
        <w:spacing w:after="0" w:line="210" w:lineRule="auto"/>
        <w:rPr>
          <w:sz w:val="20"/>
          <w:szCs w:val="20"/>
          <w:color w:val="auto"/>
        </w:rPr>
      </w:pPr>
      <w:r>
        <w:rPr>
          <w:rFonts w:ascii="Calibri" w:cs="Calibri" w:eastAsia="Calibri" w:hAnsi="Calibri"/>
          <w:sz w:val="20"/>
          <w:szCs w:val="20"/>
          <w:color w:val="auto"/>
        </w:rPr>
        <w:t>This press release includes “forward-looking statements” within the meaning of the Private Securites Litgaton Reform Act of 1995. All statements, other than statements of historical facts included in this press release, including statements concerning Duluth Trading's plans, objectves, goals, beliefs, business strategies, future events, business conditons, its results of operatons, fnancial positon and its business outlook, business trends and certain other informaton herein, including statements under the heading “Fiscal 2022 Outlook” are forward-looking statements. You can identfy forward-looking statements by the use of words such as “may,” ”might,” “will,” “should,” “expect,” “plan,” “antcipate,” “could,” “believe,” “estmate,” “project,” “target,” “predict,” “intend,” “future,” “budget,” “goals,” “potental,” “contnue,” “design,” “objectve,” “forecasted,” “would” and other similar expressions. The forward-looking statements are not historical facts, and are based upon Duluth Trading's current expectatons, beliefs, estmates, and projectons, and various assumptons, many of which, by their nature, are inherently uncertain and beyond Duluth Trading's control. Duluth Trading's expectatons, beliefs and projectons are expressed in good faith, and Duluth Trading believes there is a reasonable basis for them. However, there can be no assurance that management's expectatons, beliefs, estmates, and projectons will be achieved and actual results may vary materially from what is expressed in or indicated by the forward-looking statements. Forward-looking statements are subject to risks and uncertaintes that could cause actual performance or results to difer materially from those expressed in the forward-looking statements, including, among others, the risks, uncertaintes, and factors set forth under Part 1, Item 1A “Risk Factors” in the Company’s Annual Report on Form 10-K fled with the SEC on March 25, 2022 and other factors as may be periodically described in Duluth Trading’s subsequent flings with the SEC. These risks and uncertaintes include, but are not limited to, the following: the prolonged efects of COVID-19 on store trafc and disruptons to our distributon network, supply chains and operatons; our ability to maintain and enhance a strong brand image; efectvely adaptng to new challenges associated with our expansion into new geographic markets; generatng adequate cash from our existng stores to support our growth; efectvely relying on sources for merchandise located in foreign markets; transportaton delays and interruptons, including port congeston; inability to tmely and efectvely obtain shipments of products from our suppliers and deliver merchandise to our customers; the inability to maintain the performance of a maturing store portolio; the impact of changes in corporate tax regulatons; identfying and responding to new and changing customer preferences; the success of the locatons in which our stores are located; our ability to atract and retain customers in the various retail venues and locatons in which our stores are located; competng efectvely in an environment of intense competton; our ability to adapt to signifcant changes in sales due to the seasonality of our business; price reductons or inventory shortages resultng from failure to purchase the appropriate amount of inventory in advance of the season in which it will be sold in global market constraints; increases in costs of fuel or other energy, transportaton or utlity costs and in the costs of labor and employment; failure of our informaton technology systems to support our current and growing business, before and afer our planned upgrades; and other factors that may be disclosed in our SEC flings or otherwise. Forward-looking statements speak only as of the date the statements are made. Duluth Trading assumes no obligaton to update forward-looking statements to refect actual results, subsequent events or circumstances or other changes afectng forward-looking informaton except to the extent required by applicable securites laws.</w:t>
      </w:r>
    </w:p>
    <w:p>
      <w:pPr>
        <w:spacing w:after="0" w:line="229" w:lineRule="exact"/>
        <w:rPr>
          <w:sz w:val="20"/>
          <w:szCs w:val="20"/>
          <w:color w:val="auto"/>
        </w:rPr>
      </w:pPr>
    </w:p>
    <w:p>
      <w:pPr>
        <w:ind w:left="6"/>
        <w:spacing w:after="0"/>
        <w:rPr>
          <w:sz w:val="20"/>
          <w:szCs w:val="20"/>
          <w:color w:val="auto"/>
        </w:rPr>
      </w:pPr>
      <w:r>
        <w:rPr>
          <w:rFonts w:ascii="Calibri" w:cs="Calibri" w:eastAsia="Calibri" w:hAnsi="Calibri"/>
          <w:sz w:val="20"/>
          <w:szCs w:val="20"/>
          <w:b w:val="1"/>
          <w:bCs w:val="1"/>
          <w:color w:val="auto"/>
        </w:rPr>
        <w:t>Investor Contacts:</w:t>
      </w:r>
    </w:p>
    <w:p>
      <w:pPr>
        <w:ind w:left="6"/>
        <w:spacing w:after="0" w:line="238" w:lineRule="auto"/>
        <w:rPr>
          <w:sz w:val="20"/>
          <w:szCs w:val="20"/>
          <w:color w:val="auto"/>
        </w:rPr>
      </w:pPr>
      <w:r>
        <w:rPr>
          <w:rFonts w:ascii="Calibri" w:cs="Calibri" w:eastAsia="Calibri" w:hAnsi="Calibri"/>
          <w:sz w:val="20"/>
          <w:szCs w:val="20"/>
          <w:color w:val="auto"/>
        </w:rPr>
        <w:t>ICR, Inc.</w:t>
      </w:r>
    </w:p>
    <w:p>
      <w:pPr>
        <w:ind w:left="486" w:hanging="486"/>
        <w:spacing w:after="0"/>
        <w:tabs>
          <w:tab w:leader="none" w:pos="486"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277-1200</w:t>
      </w:r>
    </w:p>
    <w:p>
      <w:pPr>
        <w:ind w:left="6"/>
        <w:spacing w:after="0" w:line="238" w:lineRule="auto"/>
        <w:rPr>
          <w:rFonts w:ascii="Calibri" w:cs="Calibri" w:eastAsia="Calibri" w:hAnsi="Calibri"/>
          <w:sz w:val="20"/>
          <w:szCs w:val="20"/>
          <w:color w:val="auto"/>
        </w:rPr>
      </w:pPr>
      <w:r>
        <w:rPr>
          <w:rFonts w:ascii="Calibri" w:cs="Calibri" w:eastAsia="Calibri" w:hAnsi="Calibri"/>
          <w:sz w:val="20"/>
          <w:szCs w:val="20"/>
          <w:color w:val="auto"/>
        </w:rPr>
        <w:t>DuluthIR@icrinc.com</w:t>
      </w:r>
    </w:p>
    <w:p>
      <w:pPr>
        <w:spacing w:after="0" w:line="243" w:lineRule="exact"/>
        <w:rPr>
          <w:sz w:val="20"/>
          <w:szCs w:val="20"/>
          <w:color w:val="auto"/>
        </w:rPr>
      </w:pPr>
    </w:p>
    <w:p>
      <w:pPr>
        <w:jc w:val="center"/>
        <w:ind w:right="-5"/>
        <w:spacing w:after="0"/>
        <w:rPr>
          <w:sz w:val="20"/>
          <w:szCs w:val="20"/>
          <w:color w:val="auto"/>
        </w:rPr>
      </w:pPr>
      <w:r>
        <w:rPr>
          <w:rFonts w:ascii="Calibri" w:cs="Calibri" w:eastAsia="Calibri" w:hAnsi="Calibri"/>
          <w:sz w:val="20"/>
          <w:szCs w:val="20"/>
          <w:color w:val="auto"/>
        </w:rPr>
        <w:t>(Tables Follow)</w:t>
      </w:r>
    </w:p>
    <w:p>
      <w:pPr>
        <w:jc w:val="center"/>
        <w:ind w:right="-5"/>
        <w:spacing w:after="0" w:line="238" w:lineRule="auto"/>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587184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6"/>
          </w:cols>
          <w:pgMar w:left="1354" w:top="92" w:right="137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DULUTH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32"/>
        </w:trPr>
        <w:tc>
          <w:tcPr>
            <w:tcW w:w="546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2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77,051</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122,672</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w:t>
            </w:r>
          </w:p>
        </w:tc>
      </w:tr>
      <w:tr>
        <w:trPr>
          <w:trHeight w:val="234"/>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catalog costs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1"/>
        </w:trPr>
        <w:tc>
          <w:tcPr>
            <w:tcW w:w="5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214,133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222,521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17"/>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515,550</w:t>
            </w:r>
          </w:p>
        </w:tc>
      </w:tr>
      <w:tr>
        <w:trPr>
          <w:trHeight w:val="198"/>
        </w:trPr>
        <w:tc>
          <w:tcPr>
            <w:tcW w:w="546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2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45,402</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Duluth long-term debt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TRI long-term debt</w:t>
            </w:r>
            <w:r>
              <w:rPr>
                <w:rFonts w:ascii="Times New Roman" w:cs="Times New Roman" w:eastAsia="Times New Roman" w:hAnsi="Times New Roman"/>
                <w:sz w:val="7"/>
                <w:szCs w:val="7"/>
                <w:color w:val="auto"/>
              </w:rPr>
              <w:t>1</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191"/>
        </w:trPr>
        <w:tc>
          <w:tcPr>
            <w:tcW w:w="5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108,151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115,996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Duluth long-term debt, less current maturities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r>
              <w:rPr>
                <w:rFonts w:ascii="Times New Roman" w:cs="Times New Roman" w:eastAsia="Times New Roman" w:hAnsi="Times New Roman"/>
                <w:sz w:val="7"/>
                <w:szCs w:val="7"/>
                <w:color w:val="auto"/>
              </w:rPr>
              <w:t>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191"/>
        </w:trPr>
        <w:tc>
          <w:tcPr>
            <w:tcW w:w="5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281,404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292,832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130,868</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191"/>
        </w:trPr>
        <w:tc>
          <w:tcPr>
            <w:tcW w:w="5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224,570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225,870</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10"/>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515,550</w:t>
            </w:r>
          </w:p>
        </w:tc>
      </w:tr>
    </w:tbl>
    <w:p>
      <w:pPr>
        <w:spacing w:after="0" w:line="145" w:lineRule="exact"/>
        <w:rPr>
          <w:sz w:val="20"/>
          <w:szCs w:val="20"/>
          <w:color w:val="auto"/>
        </w:rPr>
      </w:pPr>
    </w:p>
    <w:p>
      <w:pPr>
        <w:ind w:right="400"/>
        <w:spacing w:after="0" w:line="296"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4"/>
          <w:szCs w:val="14"/>
          <w:color w:val="auto"/>
        </w:rPr>
        <w:t xml:space="preserve">Represents debt of the variable interest entity, TRI Holdings, LLC, that is consolidated in accordance with ASC 810, </w:t>
      </w:r>
      <w:r>
        <w:rPr>
          <w:rFonts w:ascii="Arial" w:cs="Arial" w:eastAsia="Arial" w:hAnsi="Arial"/>
          <w:sz w:val="14"/>
          <w:szCs w:val="14"/>
          <w:i w:val="1"/>
          <w:iCs w:val="1"/>
          <w:color w:val="auto"/>
        </w:rPr>
        <w:t>Consolidation</w:t>
      </w:r>
      <w:r>
        <w:rPr>
          <w:rFonts w:ascii="Arial" w:cs="Arial" w:eastAsia="Arial" w:hAnsi="Arial"/>
          <w:sz w:val="14"/>
          <w:szCs w:val="14"/>
          <w:color w:val="auto"/>
        </w:rPr>
        <w:t>. Duluth Holdings Inc. is not the guarantor nor the obligor of this debt.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130" w:right="13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4"/>
          <w:szCs w:val="14"/>
          <w:b w:val="1"/>
          <w:bCs w:val="1"/>
          <w:color w:val="auto"/>
        </w:rPr>
        <w:t>DULUTH HOLDING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(Amounts in thousands, except per share figures)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 w:type="dxa"/>
            <w:vAlign w:val="bottom"/>
          </w:tcPr>
          <w:p>
            <w:pPr>
              <w:spacing w:after="0"/>
              <w:rPr>
                <w:sz w:val="15"/>
                <w:szCs w:val="15"/>
                <w:color w:val="auto"/>
              </w:rPr>
            </w:pPr>
          </w:p>
        </w:tc>
      </w:tr>
      <w:tr>
        <w:trPr>
          <w:trHeight w:val="24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122,904</w:t>
            </w:r>
          </w:p>
        </w:tc>
        <w:tc>
          <w:tcPr>
            <w:tcW w:w="40" w:type="dxa"/>
            <w:vAlign w:val="bottom"/>
          </w:tcPr>
          <w:p>
            <w:pPr>
              <w:spacing w:after="0"/>
              <w:rPr>
                <w:sz w:val="21"/>
                <w:szCs w:val="21"/>
                <w:color w:val="auto"/>
              </w:rPr>
            </w:pP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20" w:type="dxa"/>
            <w:vAlign w:val="bottom"/>
          </w:tcPr>
          <w:p>
            <w:pPr>
              <w:spacing w:after="0"/>
              <w:rPr>
                <w:sz w:val="21"/>
                <w:szCs w:val="2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w:t>
            </w:r>
          </w:p>
        </w:tc>
        <w:tc>
          <w:tcPr>
            <w:tcW w:w="20" w:type="dxa"/>
            <w:vAlign w:val="bottom"/>
          </w:tcPr>
          <w:p>
            <w:pPr>
              <w:spacing w:after="0"/>
              <w:rPr>
                <w:sz w:val="20"/>
                <w:szCs w:val="20"/>
                <w:color w:val="auto"/>
              </w:rPr>
            </w:pP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67,063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66,543</w:t>
            </w:r>
          </w:p>
        </w:tc>
        <w:tc>
          <w:tcPr>
            <w:tcW w:w="2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64,648</w:t>
            </w:r>
          </w:p>
        </w:tc>
        <w:tc>
          <w:tcPr>
            <w:tcW w:w="20" w:type="dxa"/>
            <w:vAlign w:val="bottom"/>
          </w:tcPr>
          <w:p>
            <w:pPr>
              <w:spacing w:after="0"/>
              <w:rPr>
                <w:sz w:val="20"/>
                <w:szCs w:val="20"/>
                <w:color w:val="auto"/>
              </w:rPr>
            </w:pP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(loss) income</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(931)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1,895</w:t>
            </w:r>
          </w:p>
        </w:tc>
        <w:tc>
          <w:tcPr>
            <w:tcW w:w="20" w:type="dxa"/>
            <w:vAlign w:val="bottom"/>
          </w:tcPr>
          <w:p>
            <w:pPr>
              <w:spacing w:after="0"/>
              <w:rPr>
                <w:sz w:val="17"/>
                <w:szCs w:val="17"/>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tcPr>
          <w:p>
            <w:pPr>
              <w:spacing w:after="0"/>
              <w:rPr>
                <w:sz w:val="19"/>
                <w:szCs w:val="19"/>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r>
      <w:tr>
        <w:trPr>
          <w:trHeight w:val="205"/>
        </w:trPr>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income</w:t>
            </w: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(1,323)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6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r>
      <w:tr>
        <w:trPr>
          <w:trHeight w:val="211"/>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share (Class A and Class B):</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20" w:type="dxa"/>
            <w:vAlign w:val="bottom"/>
          </w:tcPr>
          <w:p>
            <w:pPr>
              <w:spacing w:after="0"/>
              <w:rPr>
                <w:sz w:val="20"/>
                <w:szCs w:val="20"/>
                <w:color w:val="auto"/>
              </w:rPr>
            </w:pPr>
          </w:p>
        </w:tc>
      </w:tr>
      <w:tr>
        <w:trPr>
          <w:trHeight w:val="21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16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211"/>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earnings per share (Class A and Class B):</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32,720</w:t>
            </w:r>
          </w:p>
        </w:tc>
        <w:tc>
          <w:tcPr>
            <w:tcW w:w="20" w:type="dxa"/>
            <w:vAlign w:val="bottom"/>
          </w:tcPr>
          <w:p>
            <w:pPr>
              <w:spacing w:after="0"/>
              <w:rPr>
                <w:sz w:val="20"/>
                <w:szCs w:val="20"/>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16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546"/>
        </w:trPr>
        <w:tc>
          <w:tcPr>
            <w:tcW w:w="4480" w:type="dxa"/>
            <w:vAlign w:val="bottom"/>
          </w:tcPr>
          <w:p>
            <w:pPr>
              <w:spacing w:after="0"/>
              <w:rPr>
                <w:sz w:val="24"/>
                <w:szCs w:val="24"/>
                <w:color w:val="auto"/>
              </w:rPr>
            </w:pPr>
          </w:p>
        </w:tc>
        <w:tc>
          <w:tcPr>
            <w:tcW w:w="1620" w:type="dxa"/>
            <w:vAlign w:val="bottom"/>
          </w:tcPr>
          <w:p>
            <w:pPr>
              <w:jc w:val="right"/>
              <w:ind w:right="1399"/>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4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48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292" w:right="1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4"/>
          <w:szCs w:val="14"/>
          <w:b w:val="1"/>
          <w:bCs w:val="1"/>
          <w:color w:val="auto"/>
        </w:rPr>
        <w:t>DULUTH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78"/>
        </w:trPr>
        <w:tc>
          <w:tcPr>
            <w:tcW w:w="5960" w:type="dxa"/>
            <w:vAlign w:val="bottom"/>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(29,572)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lease impacts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6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(3,885)</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6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delayed draw term loan</w:t>
            </w: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Decrease in cash, cash equivalents</w:t>
            </w:r>
          </w:p>
        </w:tc>
        <w:tc>
          <w:tcPr>
            <w:tcW w:w="24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(36,681)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(21,167)</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292" w:right="13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4"/>
          <w:szCs w:val="14"/>
          <w:b w:val="1"/>
          <w:bCs w:val="1"/>
          <w:color w:val="auto"/>
        </w:rPr>
        <w:t>DULUTH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Reconciliation of Net Income (Loss) to EBITDA and EBITDA to Adjusted EBITDA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Quarter Ended May 1,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00" w:type="dxa"/>
            <w:vAlign w:val="bottom"/>
          </w:tcPr>
          <w:p>
            <w:pPr>
              <w:spacing w:after="0"/>
              <w:rPr>
                <w:sz w:val="17"/>
                <w:szCs w:val="17"/>
                <w:color w:val="auto"/>
              </w:rPr>
            </w:pP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178"/>
        </w:trPr>
        <w:tc>
          <w:tcPr>
            <w:tcW w:w="5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4"/>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1"/>
        </w:trPr>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7,268</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9,185</w:t>
            </w:r>
          </w:p>
        </w:tc>
      </w:tr>
      <w:tr>
        <w:trPr>
          <w:trHeight w:val="234"/>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w:t>
            </w:r>
          </w:p>
        </w:tc>
      </w:tr>
    </w:tbl>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DULUTH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Reconciliation of Forecasted Net Income to Forecasted EBITDA and Forecasted EBITDA to Forecasted Adjusted EBITDA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Ending January 29, 2023</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05"/>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Forecasted</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internal-use software hosting subscription implementation</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4"/>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r>
      <w:tr>
        <w:trPr>
          <w:trHeight w:val="205"/>
        </w:trPr>
        <w:tc>
          <w:tcPr>
            <w:tcW w:w="6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EBITDA</w:t>
            </w:r>
          </w:p>
        </w:tc>
        <w:tc>
          <w:tcPr>
            <w:tcW w:w="900" w:type="dxa"/>
            <w:vAlign w:val="bottom"/>
          </w:tcPr>
          <w:p>
            <w:pPr>
              <w:jc w:val="right"/>
              <w:ind w:right="715"/>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81,000</w:t>
            </w:r>
          </w:p>
        </w:tc>
        <w:tc>
          <w:tcPr>
            <w:tcW w:w="160" w:type="dxa"/>
            <w:vAlign w:val="bottom"/>
          </w:tcPr>
          <w:p>
            <w:pPr>
              <w:spacing w:after="0"/>
              <w:rPr>
                <w:sz w:val="17"/>
                <w:szCs w:val="17"/>
                <w:color w:val="auto"/>
              </w:rPr>
            </w:pPr>
          </w:p>
        </w:tc>
        <w:tc>
          <w:tcPr>
            <w:tcW w:w="34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84,900</w:t>
            </w:r>
          </w:p>
        </w:tc>
      </w:tr>
      <w:tr>
        <w:trPr>
          <w:trHeight w:val="234"/>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1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sectPr>
      <w:pgSz w:w="11900" w:h="16838" w:orient="portrait"/>
      <w:cols w:equalWidth="0" w:num="1">
        <w:col w:w="9180"/>
      </w:cols>
      <w:pgMar w:left="1360" w:top="13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2022-06-02T07:06:38Z</dcterms:created>
  <dcterms:modified xsi:type="dcterms:W3CDTF">2022-06-02T07:06:38Z</dcterms:modified>
</cp:coreProperties>
</file>