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Duluth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001-37641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39-1564801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Mount Horeb, Wisconsin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53572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608 424-1544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No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DLTH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the annual meeting of shareholders of Duluth Holdings Inc. (the “Company”) held on June 3, 2026 (the “Annual Meeting”), our shareholders voted on proposals to: (1) elect the eight individuals nominated by the Board of Directors of the Company to serve as directors until the 2027 Annual Meeting; (2) approve, by an advisory vote, the compensation of our named executive officers as described in our proxy statement; and (3) ratify the appointment of KPMG LLP as the independent registered public accounting firm for the Company for the fiscal year ending January 31, 2027.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on these proposals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(1)  Election of the below-named nominees to the Board of Directors of the Company:</w:t>
            </w: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2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2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of Common Stock</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Votes FOR</w:t>
            </w:r>
          </w:p>
        </w:tc>
        <w:tc>
          <w:tcPr>
            <w:tcW w:w="14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Withhold Authority</w:t>
            </w:r>
          </w:p>
        </w:tc>
        <w:tc>
          <w:tcPr>
            <w:tcW w:w="100" w:type="dxa"/>
            <w:vAlign w:val="bottom"/>
          </w:tcPr>
          <w:p>
            <w:pPr>
              <w:spacing w:after="0"/>
              <w:rPr>
                <w:sz w:val="24"/>
                <w:szCs w:val="24"/>
                <w:color w:val="auto"/>
              </w:rPr>
            </w:pPr>
          </w:p>
        </w:tc>
        <w:tc>
          <w:tcPr>
            <w:tcW w:w="1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L. Schlecht</w:t>
            </w:r>
          </w:p>
        </w:tc>
        <w:tc>
          <w:tcPr>
            <w:tcW w:w="120" w:type="dxa"/>
            <w:vAlign w:val="bottom"/>
          </w:tcPr>
          <w:p>
            <w:pPr>
              <w:spacing w:after="0"/>
              <w:rPr>
                <w:sz w:val="16"/>
                <w:szCs w:val="16"/>
                <w:color w:val="auto"/>
              </w:rPr>
            </w:pPr>
          </w:p>
        </w:tc>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2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33,642,000</w:t>
            </w:r>
          </w:p>
        </w:tc>
        <w:tc>
          <w:tcPr>
            <w:tcW w:w="140" w:type="dxa"/>
            <w:vAlign w:val="bottom"/>
          </w:tcPr>
          <w:p>
            <w:pPr>
              <w:spacing w:after="0"/>
              <w:rPr>
                <w:sz w:val="16"/>
                <w:szCs w:val="16"/>
                <w:color w:val="auto"/>
              </w:rPr>
            </w:pPr>
          </w:p>
        </w:tc>
        <w:tc>
          <w:tcPr>
            <w:tcW w:w="2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21,325,684</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2,179,164</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42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Stephanie L. Pugliese</w:t>
            </w:r>
          </w:p>
        </w:tc>
        <w:tc>
          <w:tcPr>
            <w:tcW w:w="1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33,642,000</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23,236,107</w:t>
            </w:r>
          </w:p>
        </w:tc>
        <w:tc>
          <w:tcPr>
            <w:tcW w:w="2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268,741</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David C. Finch</w:t>
            </w:r>
          </w:p>
        </w:tc>
        <w:tc>
          <w:tcPr>
            <w:tcW w:w="1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33,642,000</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21,522,289</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1,982,559</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Janet H. Kennedy</w:t>
            </w:r>
          </w:p>
        </w:tc>
        <w:tc>
          <w:tcPr>
            <w:tcW w:w="1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33,642,000</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23,208,610</w:t>
            </w:r>
          </w:p>
        </w:tc>
        <w:tc>
          <w:tcPr>
            <w:tcW w:w="2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296,238</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Brett L. Paschke</w:t>
            </w:r>
          </w:p>
        </w:tc>
        <w:tc>
          <w:tcPr>
            <w:tcW w:w="1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33,642,000</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21,797,192</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1,707,656</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Susan J. Riley</w:t>
            </w:r>
          </w:p>
        </w:tc>
        <w:tc>
          <w:tcPr>
            <w:tcW w:w="1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33,642,000</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23,209,517</w:t>
            </w:r>
          </w:p>
        </w:tc>
        <w:tc>
          <w:tcPr>
            <w:tcW w:w="2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295,331</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Ronald Robinson</w:t>
            </w:r>
          </w:p>
        </w:tc>
        <w:tc>
          <w:tcPr>
            <w:tcW w:w="1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33,642,000</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22,747,764</w:t>
            </w:r>
          </w:p>
        </w:tc>
        <w:tc>
          <w:tcPr>
            <w:tcW w:w="2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757,084</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Scott K. Williams</w:t>
            </w:r>
          </w:p>
        </w:tc>
        <w:tc>
          <w:tcPr>
            <w:tcW w:w="1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33,642,000</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21,824,658</w:t>
            </w:r>
          </w:p>
        </w:tc>
        <w:tc>
          <w:tcPr>
            <w:tcW w:w="2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1,680,190</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r>
        <w:trPr>
          <w:trHeight w:val="540"/>
        </w:trPr>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(2)  Advisory vote on the compensation of our named executive officers</w:t>
            </w: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Class of Common Stock</w:t>
            </w:r>
          </w:p>
        </w:tc>
        <w:tc>
          <w:tcPr>
            <w:tcW w:w="12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Votes FOR</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Votes Against</w:t>
            </w:r>
          </w:p>
        </w:tc>
        <w:tc>
          <w:tcPr>
            <w:tcW w:w="14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Absentations</w:t>
            </w:r>
          </w:p>
        </w:tc>
        <w:tc>
          <w:tcPr>
            <w:tcW w:w="100" w:type="dxa"/>
            <w:vAlign w:val="bottom"/>
          </w:tcPr>
          <w:p>
            <w:pPr>
              <w:spacing w:after="0"/>
              <w:rPr>
                <w:sz w:val="24"/>
                <w:szCs w:val="24"/>
                <w:color w:val="auto"/>
              </w:rPr>
            </w:pPr>
          </w:p>
        </w:tc>
        <w:tc>
          <w:tcPr>
            <w:tcW w:w="1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20" w:type="dxa"/>
            <w:vAlign w:val="bottom"/>
          </w:tcPr>
          <w:p>
            <w:pPr>
              <w:spacing w:after="0"/>
              <w:rPr>
                <w:sz w:val="16"/>
                <w:szCs w:val="16"/>
                <w:color w:val="auto"/>
              </w:rPr>
            </w:pPr>
          </w:p>
        </w:tc>
        <w:tc>
          <w:tcPr>
            <w:tcW w:w="2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33,642,000</w:t>
            </w:r>
          </w:p>
        </w:tc>
        <w:tc>
          <w:tcPr>
            <w:tcW w:w="12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6"/>
                <w:szCs w:val="16"/>
                <w:color w:val="auto"/>
              </w:rPr>
            </w:pPr>
          </w:p>
        </w:tc>
        <w:tc>
          <w:tcPr>
            <w:tcW w:w="2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22,646,088</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829,732</w:t>
            </w:r>
          </w:p>
        </w:tc>
        <w:tc>
          <w:tcPr>
            <w:tcW w:w="2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29,028</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6,089,200</w:t>
            </w:r>
          </w:p>
        </w:tc>
      </w:tr>
    </w:tbl>
    <w:p>
      <w:pPr>
        <w:spacing w:after="0" w:line="302" w:lineRule="exact"/>
        <w:rPr>
          <w:sz w:val="20"/>
          <w:szCs w:val="20"/>
          <w:color w:val="auto"/>
        </w:rPr>
      </w:pPr>
    </w:p>
    <w:p>
      <w:pPr>
        <w:ind w:right="420" w:firstLine="8"/>
        <w:spacing w:after="0" w:line="286" w:lineRule="auto"/>
        <w:tabs>
          <w:tab w:leader="none" w:pos="3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appointment of KPMG LLP as the independent registered public accounting firm for the Company for the fiscal year ending January 31, 2027:</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Class of Common Stock</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Votes FOR</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Votes Against</w:t>
            </w:r>
          </w:p>
        </w:tc>
        <w:tc>
          <w:tcPr>
            <w:tcW w:w="140" w:type="dxa"/>
            <w:vAlign w:val="bottom"/>
          </w:tcPr>
          <w:p>
            <w:pPr>
              <w:spacing w:after="0"/>
              <w:rPr>
                <w:sz w:val="20"/>
                <w:szCs w:val="20"/>
                <w:color w:val="auto"/>
              </w:rPr>
            </w:pPr>
          </w:p>
        </w:tc>
        <w:tc>
          <w:tcPr>
            <w:tcW w:w="2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Absentations</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20" w:type="dxa"/>
            <w:vAlign w:val="bottom"/>
          </w:tcPr>
          <w:p>
            <w:pPr>
              <w:spacing w:after="0"/>
              <w:rPr>
                <w:sz w:val="16"/>
                <w:szCs w:val="16"/>
                <w:color w:val="auto"/>
              </w:rPr>
            </w:pPr>
          </w:p>
        </w:tc>
        <w:tc>
          <w:tcPr>
            <w:tcW w:w="2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33,642,000</w:t>
            </w:r>
          </w:p>
        </w:tc>
        <w:tc>
          <w:tcPr>
            <w:tcW w:w="120" w:type="dxa"/>
            <w:vAlign w:val="bottom"/>
          </w:tcPr>
          <w:p>
            <w:pPr>
              <w:spacing w:after="0"/>
              <w:rPr>
                <w:sz w:val="16"/>
                <w:szCs w:val="16"/>
                <w:color w:val="auto"/>
              </w:rPr>
            </w:pPr>
          </w:p>
        </w:tc>
        <w:tc>
          <w:tcPr>
            <w:tcW w:w="2240" w:type="dxa"/>
            <w:vAlign w:val="bottom"/>
          </w:tcPr>
          <w:p>
            <w:pPr>
              <w:jc w:val="right"/>
              <w:ind w:right="9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6"/>
                <w:szCs w:val="16"/>
                <w:color w:val="auto"/>
              </w:rPr>
            </w:pPr>
          </w:p>
        </w:tc>
        <w:tc>
          <w:tcPr>
            <w:tcW w:w="2260" w:type="dxa"/>
            <w:vAlign w:val="bottom"/>
          </w:tcPr>
          <w:p>
            <w:pPr>
              <w:jc w:val="right"/>
              <w:ind w:right="10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2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29,562,705</w:t>
            </w:r>
          </w:p>
        </w:tc>
        <w:tc>
          <w:tcPr>
            <w:tcW w:w="23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26,205</w:t>
            </w:r>
          </w:p>
        </w:tc>
        <w:tc>
          <w:tcPr>
            <w:tcW w:w="24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5,138</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60" w:firstLine="4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DULUTH HOLDINGS INC.</w:t>
            </w:r>
          </w:p>
        </w:tc>
      </w:tr>
      <w:tr>
        <w:trPr>
          <w:trHeight w:val="58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Heena Agrawal</w:t>
            </w:r>
          </w:p>
        </w:tc>
      </w:tr>
      <w:tr>
        <w:trPr>
          <w:trHeight w:val="191"/>
        </w:trPr>
        <w:tc>
          <w:tcPr>
            <w:tcW w:w="3600" w:type="dxa"/>
            <w:vAlign w:val="bottom"/>
          </w:tcPr>
          <w:p>
            <w:pPr>
              <w:spacing w:after="0"/>
              <w:rPr>
                <w:sz w:val="16"/>
                <w:szCs w:val="16"/>
                <w:color w:val="auto"/>
              </w:rPr>
            </w:pPr>
          </w:p>
        </w:tc>
        <w:tc>
          <w:tcPr>
            <w:tcW w:w="248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w w:val="97"/>
              </w:rPr>
              <w:t>Name</w:t>
            </w: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Heena Agrawal</w:t>
            </w:r>
          </w:p>
        </w:tc>
      </w:tr>
      <w:tr>
        <w:trPr>
          <w:trHeight w:val="216"/>
        </w:trPr>
        <w:tc>
          <w:tcPr>
            <w:tcW w:w="3600" w:type="dxa"/>
            <w:vAlign w:val="bottom"/>
          </w:tcPr>
          <w:p>
            <w:pPr>
              <w:spacing w:after="0"/>
              <w:rPr>
                <w:sz w:val="18"/>
                <w:szCs w:val="18"/>
                <w:color w:val="auto"/>
              </w:rPr>
            </w:pP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spacing w:after="0"/>
              <w:rPr>
                <w:sz w:val="18"/>
                <w:szCs w:val="18"/>
                <w:color w:val="auto"/>
              </w:rPr>
            </w:pPr>
          </w:p>
        </w:tc>
      </w:tr>
      <w:tr>
        <w:trPr>
          <w:trHeight w:val="248"/>
        </w:trPr>
        <w:tc>
          <w:tcPr>
            <w:tcW w:w="3600" w:type="dxa"/>
            <w:vAlign w:val="bottom"/>
          </w:tcPr>
          <w:p>
            <w:pPr>
              <w:spacing w:after="0"/>
              <w:rPr>
                <w:sz w:val="21"/>
                <w:szCs w:val="21"/>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r>
        <w:trPr>
          <w:trHeight w:val="802"/>
        </w:trPr>
        <w:tc>
          <w:tcPr>
            <w:tcW w:w="3600" w:type="dxa"/>
            <w:vAlign w:val="bottom"/>
          </w:tcPr>
          <w:p>
            <w:pPr>
              <w:spacing w:after="0"/>
              <w:rPr>
                <w:sz w:val="24"/>
                <w:szCs w:val="24"/>
                <w:color w:val="auto"/>
              </w:rPr>
            </w:pPr>
          </w:p>
        </w:tc>
        <w:tc>
          <w:tcPr>
            <w:tcW w:w="2480" w:type="dxa"/>
            <w:vAlign w:val="bottom"/>
          </w:tcPr>
          <w:p>
            <w:pPr>
              <w:ind w:left="1980"/>
              <w:spacing w:after="0"/>
              <w:rPr>
                <w:sz w:val="20"/>
                <w:szCs w:val="20"/>
                <w:color w:val="auto"/>
              </w:rPr>
            </w:pPr>
            <w:r>
              <w:rPr>
                <w:rFonts w:ascii="Arial" w:cs="Arial" w:eastAsia="Arial" w:hAnsi="Arial"/>
                <w:sz w:val="14"/>
                <w:szCs w:val="14"/>
                <w:color w:val="auto"/>
              </w:rPr>
              <w:t>3</w:t>
            </w:r>
          </w:p>
        </w:tc>
        <w:tc>
          <w:tcPr>
            <w:tcW w:w="5160" w:type="dxa"/>
            <w:vAlign w:val="bottom"/>
          </w:tcPr>
          <w:p>
            <w:pPr>
              <w:spacing w:after="0"/>
              <w:rPr>
                <w:sz w:val="24"/>
                <w:szCs w:val="24"/>
                <w:color w:val="auto"/>
              </w:rPr>
            </w:pPr>
          </w:p>
        </w:tc>
      </w:tr>
      <w:tr>
        <w:trPr>
          <w:trHeight w:val="339"/>
        </w:trPr>
        <w:tc>
          <w:tcPr>
            <w:tcW w:w="36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2026-06-08T15:33:57Z</dcterms:created>
  <dcterms:modified xsi:type="dcterms:W3CDTF">2026-06-08T15:33:57Z</dcterms:modified>
</cp:coreProperties>
</file>