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79"/>
        <w:spacing w:after="0" w:line="214"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140"/>
        <w:spacing w:after="0" w:line="212" w:lineRule="auto"/>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8" w:lineRule="auto"/>
        <w:rPr>
          <w:sz w:val="20"/>
          <w:szCs w:val="20"/>
          <w:color w:val="auto"/>
        </w:rPr>
      </w:pPr>
      <w:r>
        <w:rPr>
          <w:rFonts w:ascii="Times New Roman" w:cs="Times New Roman" w:eastAsia="Times New Roman" w:hAnsi="Times New Roman"/>
          <w:sz w:val="29"/>
          <w:szCs w:val="29"/>
          <w:b w:val="1"/>
          <w:bCs w:val="1"/>
          <w:color w:val="auto"/>
        </w:rPr>
        <w:t>FORM 10-Q</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25" w:lineRule="exact"/>
        <w:rPr>
          <w:sz w:val="24"/>
          <w:szCs w:val="24"/>
          <w:color w:val="auto"/>
        </w:rPr>
      </w:pPr>
    </w:p>
    <w:p>
      <w:pPr>
        <w:ind w:left="480" w:right="180" w:hanging="472"/>
        <w:spacing w:after="0" w:line="249"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2, 2020</w:t>
      </w:r>
    </w:p>
    <w:p>
      <w:pPr>
        <w:spacing w:after="0" w:line="7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00" w:right="140"/>
        <w:spacing w:after="0" w:line="249" w:lineRule="auto"/>
        <w:rPr>
          <w:sz w:val="24"/>
          <w:szCs w:val="24"/>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78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7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001-37641</w:t>
      </w:r>
    </w:p>
    <w:p>
      <w:pPr>
        <w:ind w:left="4140"/>
        <w:spacing w:after="0" w:line="225" w:lineRule="auto"/>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0" w:lineRule="auto"/>
        <w:rPr>
          <w:sz w:val="20"/>
          <w:szCs w:val="20"/>
          <w:color w:val="auto"/>
        </w:rPr>
      </w:pPr>
      <w:r>
        <w:rPr>
          <w:rFonts w:ascii="Times New Roman" w:cs="Times New Roman" w:eastAsia="Times New Roman" w:hAnsi="Times New Roman"/>
          <w:sz w:val="40"/>
          <w:szCs w:val="40"/>
          <w:b w:val="1"/>
          <w:bCs w:val="1"/>
          <w:color w:val="auto"/>
        </w:rPr>
        <w:t>DULUTH HOLDINGS INC.</w:t>
      </w:r>
    </w:p>
    <w:p>
      <w:pPr>
        <w:jc w:val="center"/>
        <w:ind w:right="-79"/>
        <w:spacing w:after="0" w:line="225"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14"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6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39-1564801</w:t>
            </w:r>
          </w:p>
        </w:tc>
        <w:tc>
          <w:tcPr>
            <w:tcW w:w="0" w:type="dxa"/>
            <w:vAlign w:val="bottom"/>
          </w:tcPr>
          <w:p>
            <w:pPr>
              <w:spacing w:after="0"/>
              <w:rPr>
                <w:sz w:val="1"/>
                <w:szCs w:val="1"/>
                <w:color w:val="auto"/>
              </w:rPr>
            </w:pPr>
          </w:p>
        </w:tc>
      </w:tr>
      <w:tr>
        <w:trPr>
          <w:trHeight w:val="148"/>
        </w:trPr>
        <w:tc>
          <w:tcPr>
            <w:tcW w:w="5860" w:type="dxa"/>
            <w:vAlign w:val="bottom"/>
          </w:tcPr>
          <w:p>
            <w:pPr>
              <w:jc w:val="center"/>
              <w:ind w:right="33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60" w:type="dxa"/>
            <w:vAlign w:val="bottom"/>
          </w:tcPr>
          <w:p>
            <w:pPr>
              <w:jc w:val="center"/>
              <w:ind w:left="1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98"/>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201 East Front Street</w:t>
            </w:r>
          </w:p>
        </w:tc>
        <w:tc>
          <w:tcPr>
            <w:tcW w:w="1660" w:type="dxa"/>
            <w:vAlign w:val="bottom"/>
            <w:vMerge w:val="restart"/>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53572</w:t>
            </w:r>
          </w:p>
        </w:tc>
        <w:tc>
          <w:tcPr>
            <w:tcW w:w="0" w:type="dxa"/>
            <w:vAlign w:val="bottom"/>
          </w:tcPr>
          <w:p>
            <w:pPr>
              <w:spacing w:after="0"/>
              <w:rPr>
                <w:sz w:val="1"/>
                <w:szCs w:val="1"/>
                <w:color w:val="auto"/>
              </w:rPr>
            </w:pPr>
          </w:p>
        </w:tc>
      </w:tr>
      <w:tr>
        <w:trPr>
          <w:trHeight w:val="214"/>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Mount Horeb, Wisconsin</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74"/>
        </w:trPr>
        <w:tc>
          <w:tcPr>
            <w:tcW w:w="5860" w:type="dxa"/>
            <w:vAlign w:val="bottom"/>
          </w:tcPr>
          <w:p>
            <w:pPr>
              <w:jc w:val="right"/>
              <w:ind w:right="1322"/>
              <w:spacing w:after="0"/>
              <w:rPr>
                <w:sz w:val="20"/>
                <w:szCs w:val="20"/>
                <w:color w:val="auto"/>
              </w:rPr>
            </w:pPr>
            <w:r>
              <w:rPr>
                <w:rFonts w:ascii="Times New Roman" w:cs="Times New Roman" w:eastAsia="Times New Roman" w:hAnsi="Times New Roman"/>
                <w:sz w:val="14"/>
                <w:szCs w:val="14"/>
                <w:b w:val="1"/>
                <w:bCs w:val="1"/>
                <w:color w:val="auto"/>
              </w:rPr>
              <w:t>(608) 424-1544</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86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860" w:type="dxa"/>
            <w:vAlign w:val="bottom"/>
          </w:tcPr>
          <w:p>
            <w:pPr>
              <w:jc w:val="right"/>
              <w:ind w:right="302"/>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5" w:lineRule="exact"/>
        <w:rPr>
          <w:sz w:val="24"/>
          <w:szCs w:val="24"/>
          <w:color w:val="auto"/>
        </w:rPr>
      </w:pPr>
    </w:p>
    <w:tbl>
      <w:tblPr>
        <w:tblLayout w:type="fixed"/>
        <w:tblInd w:w="720" w:type="dxa"/>
        <w:tblCellMar>
          <w:top w:w="0" w:type="dxa"/>
          <w:left w:w="0" w:type="dxa"/>
          <w:bottom w:w="0" w:type="dxa"/>
          <w:right w:w="0" w:type="dxa"/>
        </w:tblCellMar>
      </w:tblPr>
      <w:tr>
        <w:trPr>
          <w:trHeight w:val="184"/>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Trading Symbol(s)</w:t>
            </w:r>
          </w:p>
        </w:tc>
        <w:tc>
          <w:tcPr>
            <w:tcW w:w="370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Class B Common Stock, No Par Value</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8"/>
              </w:rPr>
              <w:t>DLTH</w:t>
            </w:r>
          </w:p>
        </w:tc>
        <w:tc>
          <w:tcPr>
            <w:tcW w:w="370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40575" cy="231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31140"/>
                    </a:xfrm>
                    <a:prstGeom prst="rect">
                      <a:avLst/>
                    </a:prstGeom>
                    <a:noFill/>
                  </pic:spPr>
                </pic:pic>
              </a:graphicData>
            </a:graphic>
          </wp:anchor>
        </w:drawing>
      </w:r>
    </w:p>
    <w:p>
      <w:pPr>
        <w:spacing w:after="0" w:line="94" w:lineRule="exact"/>
        <w:rPr>
          <w:sz w:val="24"/>
          <w:szCs w:val="24"/>
          <w:color w:val="auto"/>
        </w:rPr>
      </w:pPr>
    </w:p>
    <w:p>
      <w:pPr>
        <w:ind w:right="120" w:firstLine="428"/>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83" w:lineRule="exact"/>
        <w:rPr>
          <w:sz w:val="24"/>
          <w:szCs w:val="24"/>
          <w:color w:val="auto"/>
        </w:rPr>
      </w:pPr>
    </w:p>
    <w:p>
      <w:pPr>
        <w:ind w:firstLine="428"/>
        <w:spacing w:after="0" w:line="19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83" w:lineRule="exact"/>
        <w:rPr>
          <w:sz w:val="24"/>
          <w:szCs w:val="24"/>
          <w:color w:val="auto"/>
        </w:rPr>
      </w:pPr>
    </w:p>
    <w:p>
      <w:pPr>
        <w:jc w:val="both"/>
        <w:ind w:right="220" w:firstLine="428"/>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1000" w:type="dxa"/>
        <w:tblCellMar>
          <w:top w:w="0" w:type="dxa"/>
          <w:left w:w="0" w:type="dxa"/>
          <w:bottom w:w="0" w:type="dxa"/>
          <w:right w:w="0" w:type="dxa"/>
        </w:tblCellMar>
      </w:tblPr>
      <w:tr>
        <w:trPr>
          <w:trHeight w:val="188"/>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40" w:type="dxa"/>
            <w:vAlign w:val="bottom"/>
          </w:tcPr>
          <w:p>
            <w:pPr>
              <w:spacing w:after="0"/>
              <w:rPr>
                <w:sz w:val="16"/>
                <w:szCs w:val="16"/>
                <w:color w:val="auto"/>
              </w:rPr>
            </w:pPr>
          </w:p>
        </w:tc>
        <w:tc>
          <w:tcPr>
            <w:tcW w:w="28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62"/>
        </w:trPr>
        <w:tc>
          <w:tcPr>
            <w:tcW w:w="20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Non-accelerated Filer</w:t>
            </w:r>
          </w:p>
        </w:tc>
        <w:tc>
          <w:tcPr>
            <w:tcW w:w="2140" w:type="dxa"/>
            <w:vAlign w:val="bottom"/>
          </w:tcPr>
          <w:p>
            <w:pPr>
              <w:spacing w:after="0"/>
              <w:rPr>
                <w:sz w:val="14"/>
                <w:szCs w:val="14"/>
                <w:color w:val="auto"/>
              </w:rPr>
            </w:pPr>
          </w:p>
        </w:tc>
        <w:tc>
          <w:tcPr>
            <w:tcW w:w="2800" w:type="dxa"/>
            <w:vAlign w:val="bottom"/>
          </w:tcPr>
          <w:p>
            <w:pPr>
              <w:ind w:left="700"/>
              <w:spacing w:after="0" w:line="162" w:lineRule="exact"/>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8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6" w:lineRule="exact"/>
        <w:rPr>
          <w:sz w:val="24"/>
          <w:szCs w:val="24"/>
          <w:color w:val="auto"/>
        </w:rPr>
      </w:pPr>
    </w:p>
    <w:p>
      <w:pPr>
        <w:ind w:right="80" w:firstLine="428"/>
        <w:spacing w:after="0" w:line="19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440"/>
        <w:spacing w:after="0" w:line="184" w:lineRule="exact"/>
        <w:tabs>
          <w:tab w:leader="none" w:pos="7940" w:val="left"/>
          <w:tab w:leader="none" w:pos="85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Yes</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4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September 1, 2020, was 3,364,200.</w:t>
      </w: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B common stock, no par value, as of September 1, 2020, was 29,452,449.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96" w:right="4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QUARTERLY REPORT ON FORM 10-Q</w:t>
      </w:r>
    </w:p>
    <w:p>
      <w:pPr>
        <w:jc w:val="center"/>
        <w:ind w:right="40"/>
        <w:spacing w:after="0" w:line="219" w:lineRule="auto"/>
        <w:rPr>
          <w:sz w:val="20"/>
          <w:szCs w:val="20"/>
          <w:color w:val="auto"/>
        </w:rPr>
      </w:pPr>
      <w:r>
        <w:rPr>
          <w:rFonts w:ascii="Times New Roman" w:cs="Times New Roman" w:eastAsia="Times New Roman" w:hAnsi="Times New Roman"/>
          <w:sz w:val="18"/>
          <w:szCs w:val="18"/>
          <w:b w:val="1"/>
          <w:bCs w:val="1"/>
          <w:color w:val="auto"/>
        </w:rPr>
        <w:t>FOR QUARTER ENDED August 2, 2020</w:t>
      </w: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500" w:type="dxa"/>
            <w:vAlign w:val="bottom"/>
            <w:gridSpan w:val="3"/>
          </w:tcPr>
          <w:p>
            <w:pPr>
              <w:jc w:val="center"/>
              <w:ind w:right="2720"/>
              <w:spacing w:after="0"/>
              <w:rPr>
                <w:rFonts w:ascii="Times New Roman" w:cs="Times New Roman" w:eastAsia="Times New Roman" w:hAnsi="Times New Roman"/>
                <w:sz w:val="18"/>
                <w:szCs w:val="18"/>
                <w:u w:val="single" w:color="auto"/>
                <w:color w:val="0000FF"/>
                <w:w w:val="99"/>
              </w:rPr>
            </w:pPr>
            <w:hyperlink w:anchor="page3">
              <w:r>
                <w:rPr>
                  <w:rFonts w:ascii="Times New Roman" w:cs="Times New Roman" w:eastAsia="Times New Roman" w:hAnsi="Times New Roman"/>
                  <w:sz w:val="18"/>
                  <w:szCs w:val="18"/>
                  <w:u w:val="single" w:color="auto"/>
                  <w:color w:val="0000FF"/>
                  <w:w w:val="99"/>
                </w:rPr>
                <w:t>Part I—Financial Information</w:t>
              </w:r>
            </w:hyperlink>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405"/>
        </w:trPr>
        <w:tc>
          <w:tcPr>
            <w:tcW w:w="1480" w:type="dxa"/>
            <w:vAlign w:val="bottom"/>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Item 1.</w:t>
              </w:r>
            </w:hyperlink>
          </w:p>
        </w:tc>
        <w:tc>
          <w:tcPr>
            <w:tcW w:w="8220" w:type="dxa"/>
            <w:vAlign w:val="bottom"/>
            <w:gridSpan w:val="6"/>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Financial Statements</w:t>
              </w:r>
            </w:hyperlink>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405"/>
        </w:trPr>
        <w:tc>
          <w:tcPr>
            <w:tcW w:w="1480" w:type="dxa"/>
            <w:vAlign w:val="bottom"/>
          </w:tcPr>
          <w:p>
            <w:pPr>
              <w:spacing w:after="0"/>
              <w:rPr>
                <w:sz w:val="24"/>
                <w:szCs w:val="24"/>
                <w:color w:val="auto"/>
              </w:rPr>
            </w:pPr>
          </w:p>
        </w:tc>
        <w:tc>
          <w:tcPr>
            <w:tcW w:w="8220" w:type="dxa"/>
            <w:vAlign w:val="bottom"/>
            <w:gridSpan w:val="6"/>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Condensed Consolidated Balance Sheets as of August 2, 2020 and February 2, 2020 (Unaudited)</w:t>
              </w:r>
            </w:hyperlink>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364"/>
        </w:trPr>
        <w:tc>
          <w:tcPr>
            <w:tcW w:w="1480" w:type="dxa"/>
            <w:vAlign w:val="bottom"/>
          </w:tcPr>
          <w:p>
            <w:pPr>
              <w:spacing w:after="0"/>
              <w:rPr>
                <w:sz w:val="24"/>
                <w:szCs w:val="24"/>
                <w:color w:val="auto"/>
              </w:rPr>
            </w:pPr>
          </w:p>
        </w:tc>
        <w:tc>
          <w:tcPr>
            <w:tcW w:w="82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Condensed Consolidated Statements of Operations for the three and six months ended August 2, 2020 and August</w:t>
              </w:r>
            </w:hyperlink>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69"/>
        </w:trPr>
        <w:tc>
          <w:tcPr>
            <w:tcW w:w="1480" w:type="dxa"/>
            <w:vAlign w:val="bottom"/>
          </w:tcPr>
          <w:p>
            <w:pPr>
              <w:spacing w:after="0"/>
              <w:rPr>
                <w:sz w:val="14"/>
                <w:szCs w:val="14"/>
                <w:color w:val="auto"/>
              </w:rPr>
            </w:pPr>
          </w:p>
        </w:tc>
        <w:tc>
          <w:tcPr>
            <w:tcW w:w="146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w:anchor="page5">
              <w:r>
                <w:rPr>
                  <w:rFonts w:ascii="Times New Roman" w:cs="Times New Roman" w:eastAsia="Times New Roman" w:hAnsi="Times New Roman"/>
                  <w:sz w:val="18"/>
                  <w:szCs w:val="18"/>
                  <w:color w:val="0000FF"/>
                  <w:w w:val="98"/>
                </w:rPr>
                <w:t>4, 2019 (Unaudited)</w:t>
              </w:r>
            </w:hyperlink>
          </w:p>
        </w:tc>
        <w:tc>
          <w:tcPr>
            <w:tcW w:w="6760" w:type="dxa"/>
            <w:vAlign w:val="bottom"/>
            <w:gridSpan w:val="4"/>
          </w:tcPr>
          <w:p>
            <w:pPr>
              <w:spacing w:after="0"/>
              <w:rPr>
                <w:sz w:val="14"/>
                <w:szCs w:val="14"/>
                <w:color w:val="auto"/>
              </w:rPr>
            </w:pPr>
          </w:p>
        </w:tc>
        <w:tc>
          <w:tcPr>
            <w:tcW w:w="1540" w:type="dxa"/>
            <w:vAlign w:val="bottom"/>
          </w:tcPr>
          <w:p>
            <w:pPr>
              <w:spacing w:after="0"/>
              <w:rPr>
                <w:sz w:val="14"/>
                <w:szCs w:val="14"/>
                <w:color w:val="auto"/>
              </w:rPr>
            </w:pPr>
          </w:p>
        </w:tc>
      </w:tr>
      <w:tr>
        <w:trPr>
          <w:trHeight w:val="385"/>
        </w:trPr>
        <w:tc>
          <w:tcPr>
            <w:tcW w:w="1480" w:type="dxa"/>
            <w:vAlign w:val="bottom"/>
          </w:tcPr>
          <w:p>
            <w:pPr>
              <w:spacing w:after="0"/>
              <w:rPr>
                <w:sz w:val="24"/>
                <w:szCs w:val="24"/>
                <w:color w:val="auto"/>
              </w:rPr>
            </w:pPr>
          </w:p>
        </w:tc>
        <w:tc>
          <w:tcPr>
            <w:tcW w:w="8220" w:type="dxa"/>
            <w:vAlign w:val="bottom"/>
            <w:gridSpan w:val="6"/>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Condensed Consolidated Statements of Comprehensive Income for the three and six months ended August 2,</w:t>
              </w:r>
            </w:hyperlink>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69"/>
        </w:trPr>
        <w:tc>
          <w:tcPr>
            <w:tcW w:w="1480" w:type="dxa"/>
            <w:vAlign w:val="bottom"/>
          </w:tcPr>
          <w:p>
            <w:pPr>
              <w:spacing w:after="0"/>
              <w:rPr>
                <w:sz w:val="14"/>
                <w:szCs w:val="14"/>
                <w:color w:val="auto"/>
              </w:rPr>
            </w:pPr>
          </w:p>
        </w:tc>
        <w:tc>
          <w:tcPr>
            <w:tcW w:w="7900" w:type="dxa"/>
            <w:vAlign w:val="bottom"/>
            <w:tcBorders>
              <w:top w:val="single" w:sz="8" w:color="0000FF"/>
            </w:tcBorders>
            <w:gridSpan w:val="4"/>
          </w:tcPr>
          <w:p>
            <w:pPr>
              <w:spacing w:after="0" w:line="169"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2020 and August 4, 2019 (Unaudited)</w:t>
              </w:r>
            </w:hyperlink>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26"/>
        </w:trPr>
        <w:tc>
          <w:tcPr>
            <w:tcW w:w="1480" w:type="dxa"/>
            <w:vAlign w:val="bottom"/>
          </w:tcPr>
          <w:p>
            <w:pPr>
              <w:spacing w:after="0"/>
              <w:rPr>
                <w:sz w:val="24"/>
                <w:szCs w:val="24"/>
                <w:color w:val="auto"/>
              </w:rPr>
            </w:pPr>
          </w:p>
        </w:tc>
        <w:tc>
          <w:tcPr>
            <w:tcW w:w="8220" w:type="dxa"/>
            <w:vAlign w:val="bottom"/>
            <w:gridSpan w:val="6"/>
          </w:tcPr>
          <w:p>
            <w:pPr>
              <w:spacing w:after="0"/>
              <w:rPr>
                <w:rFonts w:ascii="Times New Roman" w:cs="Times New Roman" w:eastAsia="Times New Roman" w:hAnsi="Times New Roman"/>
                <w:sz w:val="18"/>
                <w:szCs w:val="18"/>
                <w:u w:val="single" w:color="auto"/>
                <w:color w:val="0000FF"/>
                <w:w w:val="99"/>
              </w:rPr>
            </w:pPr>
            <w:hyperlink w:anchor="page7">
              <w:r>
                <w:rPr>
                  <w:rFonts w:ascii="Times New Roman" w:cs="Times New Roman" w:eastAsia="Times New Roman" w:hAnsi="Times New Roman"/>
                  <w:sz w:val="18"/>
                  <w:szCs w:val="18"/>
                  <w:u w:val="single" w:color="auto"/>
                  <w:color w:val="0000FF"/>
                  <w:w w:val="99"/>
                </w:rPr>
                <w:t>Condensed Consolidated Statement of Shareholders’ Equity for the six months ended August 2, 2020 (Unaudited)</w:t>
              </w:r>
            </w:hyperlink>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405"/>
        </w:trPr>
        <w:tc>
          <w:tcPr>
            <w:tcW w:w="1480" w:type="dxa"/>
            <w:vAlign w:val="bottom"/>
          </w:tcPr>
          <w:p>
            <w:pPr>
              <w:spacing w:after="0"/>
              <w:rPr>
                <w:sz w:val="24"/>
                <w:szCs w:val="24"/>
                <w:color w:val="auto"/>
              </w:rPr>
            </w:pPr>
          </w:p>
        </w:tc>
        <w:tc>
          <w:tcPr>
            <w:tcW w:w="8220" w:type="dxa"/>
            <w:vAlign w:val="bottom"/>
            <w:gridSpan w:val="6"/>
          </w:tcPr>
          <w:p>
            <w:pPr>
              <w:spacing w:after="0"/>
              <w:rPr>
                <w:rFonts w:ascii="Times New Roman" w:cs="Times New Roman" w:eastAsia="Times New Roman" w:hAnsi="Times New Roman"/>
                <w:sz w:val="18"/>
                <w:szCs w:val="18"/>
                <w:u w:val="single" w:color="auto"/>
                <w:color w:val="0000FF"/>
                <w:w w:val="99"/>
              </w:rPr>
            </w:pPr>
            <w:hyperlink w:anchor="page8">
              <w:r>
                <w:rPr>
                  <w:rFonts w:ascii="Times New Roman" w:cs="Times New Roman" w:eastAsia="Times New Roman" w:hAnsi="Times New Roman"/>
                  <w:sz w:val="18"/>
                  <w:szCs w:val="18"/>
                  <w:u w:val="single" w:color="auto"/>
                  <w:color w:val="0000FF"/>
                  <w:w w:val="99"/>
                </w:rPr>
                <w:t>Condensed Consolidated Statement of Shareholders’ Equity for the six months ended August 4, 2019 (Unaudited)</w:t>
              </w:r>
            </w:hyperlink>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364"/>
        </w:trPr>
        <w:tc>
          <w:tcPr>
            <w:tcW w:w="1480" w:type="dxa"/>
            <w:vAlign w:val="bottom"/>
          </w:tcPr>
          <w:p>
            <w:pPr>
              <w:spacing w:after="0"/>
              <w:rPr>
                <w:sz w:val="24"/>
                <w:szCs w:val="24"/>
                <w:color w:val="auto"/>
              </w:rPr>
            </w:pPr>
          </w:p>
        </w:tc>
        <w:tc>
          <w:tcPr>
            <w:tcW w:w="8220" w:type="dxa"/>
            <w:vAlign w:val="bottom"/>
            <w:gridSpan w:val="6"/>
          </w:tcPr>
          <w:p>
            <w:pPr>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Condensed Consolidated Statements of Cash Flows for the six months ended August 2, 2020 and August 4, 2019</w:t>
              </w:r>
            </w:hyperlink>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69"/>
        </w:trPr>
        <w:tc>
          <w:tcPr>
            <w:tcW w:w="1480" w:type="dxa"/>
            <w:vAlign w:val="bottom"/>
          </w:tcPr>
          <w:p>
            <w:pPr>
              <w:spacing w:after="0"/>
              <w:rPr>
                <w:sz w:val="14"/>
                <w:szCs w:val="14"/>
                <w:color w:val="auto"/>
              </w:rPr>
            </w:pPr>
          </w:p>
        </w:tc>
        <w:tc>
          <w:tcPr>
            <w:tcW w:w="8180" w:type="dxa"/>
            <w:vAlign w:val="bottom"/>
            <w:tcBorders>
              <w:top w:val="single" w:sz="8" w:color="0000FF"/>
            </w:tcBorders>
            <w:gridSpan w:val="5"/>
          </w:tcPr>
          <w:p>
            <w:pPr>
              <w:spacing w:after="0" w:line="169" w:lineRule="exact"/>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(Unaudited)</w:t>
              </w:r>
            </w:hyperlink>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360" w:type="dxa"/>
            <w:vAlign w:val="bottom"/>
            <w:gridSpan w:val="5"/>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25"/>
        </w:trPr>
        <w:tc>
          <w:tcPr>
            <w:tcW w:w="1480" w:type="dxa"/>
            <w:vAlign w:val="bottom"/>
          </w:tcPr>
          <w:p>
            <w:pPr>
              <w:spacing w:after="0"/>
              <w:rPr>
                <w:sz w:val="24"/>
                <w:szCs w:val="24"/>
                <w:color w:val="auto"/>
              </w:rPr>
            </w:pPr>
          </w:p>
        </w:tc>
        <w:tc>
          <w:tcPr>
            <w:tcW w:w="8220" w:type="dxa"/>
            <w:vAlign w:val="bottom"/>
            <w:gridSpan w:val="6"/>
          </w:tcPr>
          <w:p>
            <w:pPr>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Notes to Condensed Consolidated Financial Statements (Unaudited)</w:t>
              </w:r>
            </w:hyperlink>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405"/>
        </w:trPr>
        <w:tc>
          <w:tcPr>
            <w:tcW w:w="1480" w:type="dxa"/>
            <w:vAlign w:val="bottom"/>
          </w:tcPr>
          <w:p>
            <w:pPr>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Item 2.</w:t>
              </w:r>
            </w:hyperlink>
          </w:p>
        </w:tc>
        <w:tc>
          <w:tcPr>
            <w:tcW w:w="8220" w:type="dxa"/>
            <w:vAlign w:val="bottom"/>
            <w:gridSpan w:val="6"/>
          </w:tcPr>
          <w:p>
            <w:pPr>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405"/>
        </w:trPr>
        <w:tc>
          <w:tcPr>
            <w:tcW w:w="1480" w:type="dxa"/>
            <w:vAlign w:val="bottom"/>
          </w:tcPr>
          <w:p>
            <w:pPr>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Item 3.</w:t>
              </w:r>
            </w:hyperlink>
          </w:p>
        </w:tc>
        <w:tc>
          <w:tcPr>
            <w:tcW w:w="8220" w:type="dxa"/>
            <w:vAlign w:val="bottom"/>
            <w:gridSpan w:val="6"/>
          </w:tcPr>
          <w:p>
            <w:pPr>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Quantitative and Qualitative Disclosures About Market Risk</w:t>
              </w:r>
            </w:hyperlink>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405"/>
        </w:trPr>
        <w:tc>
          <w:tcPr>
            <w:tcW w:w="1480" w:type="dxa"/>
            <w:vAlign w:val="bottom"/>
          </w:tcPr>
          <w:p>
            <w:pPr>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Item 4.</w:t>
              </w:r>
            </w:hyperlink>
          </w:p>
        </w:tc>
        <w:tc>
          <w:tcPr>
            <w:tcW w:w="8220" w:type="dxa"/>
            <w:vAlign w:val="bottom"/>
            <w:gridSpan w:val="6"/>
          </w:tcPr>
          <w:p>
            <w:pPr>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Controls and Procedures</w:t>
              </w:r>
            </w:hyperlink>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405"/>
        </w:trPr>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500" w:type="dxa"/>
            <w:vAlign w:val="bottom"/>
            <w:gridSpan w:val="3"/>
          </w:tcPr>
          <w:p>
            <w:pPr>
              <w:jc w:val="center"/>
              <w:ind w:right="2720"/>
              <w:spacing w:after="0"/>
              <w:rPr>
                <w:rFonts w:ascii="Times New Roman" w:cs="Times New Roman" w:eastAsia="Times New Roman" w:hAnsi="Times New Roman"/>
                <w:sz w:val="18"/>
                <w:szCs w:val="18"/>
                <w:u w:val="single" w:color="auto"/>
                <w:color w:val="0000FF"/>
                <w:w w:val="99"/>
              </w:rPr>
            </w:pPr>
            <w:hyperlink w:anchor="page30">
              <w:r>
                <w:rPr>
                  <w:rFonts w:ascii="Times New Roman" w:cs="Times New Roman" w:eastAsia="Times New Roman" w:hAnsi="Times New Roman"/>
                  <w:sz w:val="18"/>
                  <w:szCs w:val="18"/>
                  <w:u w:val="single" w:color="auto"/>
                  <w:color w:val="0000FF"/>
                  <w:w w:val="99"/>
                </w:rPr>
                <w:t>Part II—Other Information</w:t>
              </w:r>
            </w:hyperlink>
          </w:p>
        </w:tc>
        <w:tc>
          <w:tcPr>
            <w:tcW w:w="1540" w:type="dxa"/>
            <w:vAlign w:val="bottom"/>
          </w:tcPr>
          <w:p>
            <w:pPr>
              <w:spacing w:after="0"/>
              <w:rPr>
                <w:sz w:val="24"/>
                <w:szCs w:val="24"/>
                <w:color w:val="auto"/>
              </w:rPr>
            </w:pPr>
          </w:p>
        </w:tc>
      </w:tr>
      <w:tr>
        <w:trPr>
          <w:trHeight w:val="405"/>
        </w:trPr>
        <w:tc>
          <w:tcPr>
            <w:tcW w:w="1480" w:type="dxa"/>
            <w:vAlign w:val="bottom"/>
          </w:tcPr>
          <w:p>
            <w:pPr>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Item 1.</w:t>
              </w:r>
            </w:hyperlink>
          </w:p>
        </w:tc>
        <w:tc>
          <w:tcPr>
            <w:tcW w:w="8220" w:type="dxa"/>
            <w:vAlign w:val="bottom"/>
            <w:gridSpan w:val="6"/>
          </w:tcPr>
          <w:p>
            <w:pPr>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Legal Proceedings</w:t>
              </w:r>
            </w:hyperlink>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405"/>
        </w:trPr>
        <w:tc>
          <w:tcPr>
            <w:tcW w:w="1480" w:type="dxa"/>
            <w:vAlign w:val="bottom"/>
          </w:tcPr>
          <w:p>
            <w:pPr>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0000FF"/>
                </w:rPr>
                <w:t>.</w:t>
              </w:r>
            </w:hyperlink>
          </w:p>
        </w:tc>
        <w:tc>
          <w:tcPr>
            <w:tcW w:w="8220" w:type="dxa"/>
            <w:vAlign w:val="bottom"/>
            <w:gridSpan w:val="6"/>
          </w:tcPr>
          <w:p>
            <w:pPr>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Risk Factors</w:t>
              </w:r>
            </w:hyperlink>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405"/>
        </w:trPr>
        <w:tc>
          <w:tcPr>
            <w:tcW w:w="1480" w:type="dxa"/>
            <w:vAlign w:val="bottom"/>
          </w:tcPr>
          <w:p>
            <w:pPr>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Item 2.</w:t>
              </w:r>
            </w:hyperlink>
          </w:p>
        </w:tc>
        <w:tc>
          <w:tcPr>
            <w:tcW w:w="8220" w:type="dxa"/>
            <w:vAlign w:val="bottom"/>
            <w:gridSpan w:val="6"/>
          </w:tcPr>
          <w:p>
            <w:pPr>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Unregistered Sales of Equity Securities and Use of Proceeds</w:t>
              </w:r>
            </w:hyperlink>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405"/>
        </w:trPr>
        <w:tc>
          <w:tcPr>
            <w:tcW w:w="1480" w:type="dxa"/>
            <w:vAlign w:val="bottom"/>
          </w:tcPr>
          <w:p>
            <w:pPr>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Item 6.</w:t>
              </w:r>
            </w:hyperlink>
          </w:p>
        </w:tc>
        <w:tc>
          <w:tcPr>
            <w:tcW w:w="8220" w:type="dxa"/>
            <w:vAlign w:val="bottom"/>
            <w:gridSpan w:val="6"/>
          </w:tcPr>
          <w:p>
            <w:pPr>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Exhibits</w:t>
              </w:r>
            </w:hyperlink>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783"/>
        </w:trPr>
        <w:tc>
          <w:tcPr>
            <w:tcW w:w="1480" w:type="dxa"/>
            <w:vAlign w:val="bottom"/>
          </w:tcPr>
          <w:p>
            <w:pPr>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Signatures</w:t>
              </w:r>
            </w:hyperlink>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796"/>
        </w:trPr>
        <w:tc>
          <w:tcPr>
            <w:tcW w:w="1480" w:type="dxa"/>
            <w:vAlign w:val="bottom"/>
          </w:tcPr>
          <w:p>
            <w:pPr>
              <w:spacing w:after="0"/>
              <w:rPr>
                <w:sz w:val="24"/>
                <w:szCs w:val="24"/>
                <w:color w:val="auto"/>
              </w:rPr>
            </w:pPr>
          </w:p>
        </w:tc>
        <w:tc>
          <w:tcPr>
            <w:tcW w:w="7900" w:type="dxa"/>
            <w:vAlign w:val="bottom"/>
            <w:gridSpan w:val="4"/>
          </w:tcPr>
          <w:p>
            <w:pPr>
              <w:ind w:left="410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07"/>
        </w:trPr>
        <w:tc>
          <w:tcPr>
            <w:tcW w:w="1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 - Assets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3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2, 2020</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30"/>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2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less reserves of $606 and $1,826, respectively</w:t>
            </w:r>
          </w:p>
        </w:tc>
        <w:tc>
          <w:tcPr>
            <w:tcW w:w="4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167,584</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147,849</w:t>
            </w:r>
          </w:p>
        </w:tc>
      </w:tr>
      <w:tr>
        <w:trPr>
          <w:trHeight w:val="22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w:t>
            </w:r>
          </w:p>
        </w:tc>
      </w:tr>
      <w:tr>
        <w:trPr>
          <w:trHeight w:val="230"/>
        </w:trPr>
        <w:tc>
          <w:tcPr>
            <w:tcW w:w="7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catalog costs</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0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162,192</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136,448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137,071</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114,211</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120,431</w:t>
            </w: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46,677</w:t>
            </w:r>
          </w:p>
        </w:tc>
      </w:tr>
      <w:tr>
        <w:trPr>
          <w:trHeight w:val="23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security</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196"/>
        </w:trPr>
        <w:tc>
          <w:tcPr>
            <w:tcW w:w="77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506,183</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474,050</w:t>
            </w:r>
          </w:p>
        </w:tc>
      </w:tr>
      <w:tr>
        <w:trPr>
          <w:trHeight w:val="20"/>
        </w:trPr>
        <w:tc>
          <w:tcPr>
            <w:tcW w:w="7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Condensed Consolidated Balance Sheets – Liabilities and Shareholders’ Equity</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3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2, 2020</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40,141</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33,053</w:t>
            </w:r>
          </w:p>
        </w:tc>
      </w:tr>
      <w:tr>
        <w:trPr>
          <w:trHeight w:val="230"/>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29,464</w:t>
            </w:r>
          </w:p>
        </w:tc>
      </w:tr>
      <w:tr>
        <w:trPr>
          <w:trHeight w:val="22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4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w:t>
            </w:r>
          </w:p>
        </w:tc>
      </w:tr>
      <w:tr>
        <w:trPr>
          <w:trHeight w:val="230"/>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Duluth long-term debt</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maturities of TRI long-term debt</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0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79,775</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maturities</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101,506</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106,120</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less current maturities</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37,434</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Duluth long-term debt, less current maturities</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38,332</w:t>
            </w: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TRI long-term debt, less current maturities</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27,778</w:t>
            </w:r>
          </w:p>
        </w:tc>
      </w:tr>
      <w:tr>
        <w:trPr>
          <w:trHeight w:val="23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w:t>
            </w:r>
          </w:p>
        </w:tc>
      </w:tr>
      <w:tr>
        <w:trPr>
          <w:trHeight w:val="20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338,783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297,944</w:t>
            </w:r>
          </w:p>
        </w:tc>
      </w:tr>
      <w:tr>
        <w:trPr>
          <w:trHeight w:val="23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4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1"/>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or outstanding as of August 2, 2020 and February 2, 2020</w:t>
            </w:r>
          </w:p>
        </w:tc>
        <w:tc>
          <w:tcPr>
            <w:tcW w:w="4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(Class A), no par value; 10,000 shares authorized;</w:t>
            </w: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1"/>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3,364 shares issued and outstanding as of August 2, 2020 and February 2, 2020</w:t>
            </w:r>
          </w:p>
        </w:tc>
        <w:tc>
          <w:tcPr>
            <w:tcW w:w="4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189"/>
        </w:trPr>
        <w:tc>
          <w:tcPr>
            <w:tcW w:w="77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29,500 shares issued and 29,450 shares outstanding as of August 2, 2020 and</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21"/>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29,191 shares issued and 29,172 shares outstanding as of February 2, 2020</w:t>
            </w:r>
          </w:p>
        </w:tc>
        <w:tc>
          <w:tcPr>
            <w:tcW w:w="4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50 and 19 shares as of August 2, 2020 and</w:t>
            </w: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1"/>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 2020, respectively</w:t>
            </w:r>
          </w:p>
        </w:tc>
        <w:tc>
          <w:tcPr>
            <w:tcW w:w="4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91,921</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90,902</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87,589</w:t>
            </w:r>
          </w:p>
        </w:tc>
      </w:tr>
      <w:tr>
        <w:trPr>
          <w:trHeight w:val="23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0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4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169,653</w:t>
            </w: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178,272</w:t>
            </w:r>
          </w:p>
        </w:tc>
      </w:tr>
      <w:tr>
        <w:trPr>
          <w:trHeight w:val="23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4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(2,253)</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r>
      <w:tr>
        <w:trPr>
          <w:trHeight w:val="210"/>
        </w:trPr>
        <w:tc>
          <w:tcPr>
            <w:tcW w:w="7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167,400</w:t>
            </w:r>
          </w:p>
        </w:tc>
        <w:tc>
          <w:tcPr>
            <w:tcW w:w="1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176,106</w:t>
            </w:r>
          </w:p>
        </w:tc>
      </w:tr>
      <w:tr>
        <w:trPr>
          <w:trHeight w:val="196"/>
        </w:trPr>
        <w:tc>
          <w:tcPr>
            <w:tcW w:w="770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506,183</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474,050</w:t>
            </w:r>
          </w:p>
        </w:tc>
      </w:tr>
      <w:tr>
        <w:trPr>
          <w:trHeight w:val="20"/>
        </w:trPr>
        <w:tc>
          <w:tcPr>
            <w:tcW w:w="7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137,375</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247,292</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64,903</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57,159</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122,488</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124,804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62,680</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61,069</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133,986</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5,941</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1,936</w:t>
            </w:r>
          </w:p>
        </w:tc>
        <w:tc>
          <w:tcPr>
            <w:tcW w:w="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(9,194)</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Basic earnings (loss) per share (Class A and Class B):</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32,445</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32,288</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32,408</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attributable to controlling interest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share (Class A and Class B):</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and equivalents outstanding</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32,399</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32,408</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attributable to controlling interest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3"/>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60" w:type="dxa"/>
            <w:vAlign w:val="bottom"/>
          </w:tcPr>
          <w:p>
            <w:pPr>
              <w:spacing w:after="0"/>
              <w:rPr>
                <w:sz w:val="15"/>
                <w:szCs w:val="15"/>
                <w:color w:val="auto"/>
              </w:rPr>
            </w:pP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60" w:type="dxa"/>
            <w:vAlign w:val="bottom"/>
          </w:tcPr>
          <w:p>
            <w:pPr>
              <w:spacing w:after="0"/>
              <w:rPr>
                <w:sz w:val="15"/>
                <w:szCs w:val="15"/>
                <w:color w:val="auto"/>
              </w:rPr>
            </w:pPr>
          </w:p>
        </w:tc>
        <w:tc>
          <w:tcPr>
            <w:tcW w:w="12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80" w:type="dxa"/>
            <w:vAlign w:val="bottom"/>
          </w:tcPr>
          <w:p>
            <w:pPr>
              <w:spacing w:after="0"/>
              <w:rPr>
                <w:sz w:val="15"/>
                <w:szCs w:val="15"/>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0" w:type="dxa"/>
            <w:vAlign w:val="bottom"/>
          </w:tcPr>
          <w:p>
            <w:pPr>
              <w:spacing w:after="0"/>
              <w:rPr>
                <w:sz w:val="1"/>
                <w:szCs w:val="1"/>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right w:val="single" w:sz="8" w:color="CCEEFF"/>
            </w:tcBorders>
            <w:shd w:val="clear" w:color="auto" w:fill="CCEEFF"/>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5,898</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right w:val="single" w:sz="8" w:color="CCEEFF"/>
            </w:tcBorders>
            <w:shd w:val="clear" w:color="auto" w:fill="CCEEFF"/>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1,846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(9,281)</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(5,799)</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 sale:</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security income (loss) arising during the period</w:t>
            </w: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248</w:t>
            </w:r>
          </w:p>
        </w:tc>
        <w:tc>
          <w:tcPr>
            <w:tcW w:w="1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(270)</w:t>
            </w: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6,146</w:t>
            </w:r>
          </w:p>
        </w:tc>
        <w:tc>
          <w:tcPr>
            <w:tcW w:w="16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1,846</w:t>
            </w:r>
          </w:p>
        </w:tc>
        <w:tc>
          <w:tcPr>
            <w:tcW w:w="160" w:type="dxa"/>
            <w:vAlign w:val="bottom"/>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(9,551)</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(5,799)</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5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w:t>
            </w:r>
          </w:p>
        </w:tc>
        <w:tc>
          <w:tcPr>
            <w:tcW w:w="16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560" w:type="dxa"/>
            <w:vAlign w:val="bottom"/>
            <w:vMerge w:val="continue"/>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CCEEFF"/>
            </w:tcBorders>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6,189</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 controlling interest</w:t>
            </w:r>
          </w:p>
        </w:tc>
        <w:tc>
          <w:tcPr>
            <w:tcW w:w="160" w:type="dxa"/>
            <w:vAlign w:val="bottom"/>
            <w:vMerge w:val="continue"/>
            <w:shd w:val="clear" w:color="auto" w:fill="CCEEFF"/>
          </w:tcPr>
          <w:p>
            <w:pPr>
              <w:spacing w:after="0"/>
              <w:rPr>
                <w:sz w:val="18"/>
                <w:szCs w:val="18"/>
                <w:color w:val="auto"/>
              </w:rPr>
            </w:pPr>
          </w:p>
        </w:tc>
        <w:tc>
          <w:tcPr>
            <w:tcW w:w="126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8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6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August 2, 2020</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86"/>
        </w:trPr>
        <w:tc>
          <w:tcPr>
            <w:tcW w:w="3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5"/>
        </w:trPr>
        <w:tc>
          <w:tcPr>
            <w:tcW w:w="37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120" w:type="dxa"/>
            <w:vAlign w:val="bottom"/>
          </w:tcPr>
          <w:p>
            <w:pPr>
              <w:spacing w:after="0"/>
              <w:rPr>
                <w:sz w:val="16"/>
                <w:szCs w:val="16"/>
                <w:color w:val="auto"/>
              </w:rPr>
            </w:pPr>
          </w:p>
        </w:tc>
        <w:tc>
          <w:tcPr>
            <w:tcW w:w="9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0"/>
        </w:trPr>
        <w:tc>
          <w:tcPr>
            <w:tcW w:w="3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120" w:type="dxa"/>
            <w:vAlign w:val="bottom"/>
          </w:tcPr>
          <w:p>
            <w:pPr>
              <w:spacing w:after="0"/>
              <w:rPr>
                <w:sz w:val="17"/>
                <w:szCs w:val="17"/>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85"/>
        </w:trPr>
        <w:tc>
          <w:tcPr>
            <w:tcW w:w="3780" w:type="dxa"/>
            <w:vAlign w:val="bottom"/>
          </w:tcPr>
          <w:p>
            <w:pPr>
              <w:spacing w:after="0"/>
              <w:rPr>
                <w:sz w:val="16"/>
                <w:szCs w:val="16"/>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20" w:type="dxa"/>
            <w:vAlign w:val="bottom"/>
          </w:tcPr>
          <w:p>
            <w:pPr>
              <w:spacing w:after="0"/>
              <w:rPr>
                <w:sz w:val="16"/>
                <w:szCs w:val="16"/>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32,536</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176,106</w:t>
            </w: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(15,179)</w:t>
            </w:r>
          </w:p>
        </w:tc>
      </w:tr>
      <w:tr>
        <w:trPr>
          <w:trHeight w:val="196"/>
        </w:trPr>
        <w:tc>
          <w:tcPr>
            <w:tcW w:w="3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Balance at May 3, 2020</w:t>
            </w:r>
          </w:p>
        </w:tc>
        <w:tc>
          <w:tcPr>
            <w:tcW w:w="8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32,744</w:t>
            </w: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91,451</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(514)</w:t>
            </w: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72,454</w:t>
            </w: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(2,210)</w:t>
            </w: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160,851</w:t>
            </w: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r>
      <w:tr>
        <w:trPr>
          <w:trHeight w:val="183"/>
        </w:trPr>
        <w:tc>
          <w:tcPr>
            <w:tcW w:w="3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at August 2, 2020</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32,814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91,921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78,395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(2,253)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167,400</w:t>
            </w:r>
          </w:p>
        </w:tc>
      </w:tr>
      <w:tr>
        <w:trPr>
          <w:trHeight w:val="20"/>
        </w:trPr>
        <w:tc>
          <w:tcPr>
            <w:tcW w:w="3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August 4, 2019</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213"/>
        </w:trPr>
        <w:tc>
          <w:tcPr>
            <w:tcW w:w="4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99"/>
        </w:trPr>
        <w:tc>
          <w:tcPr>
            <w:tcW w:w="42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3"/>
        </w:trPr>
        <w:tc>
          <w:tcPr>
            <w:tcW w:w="4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99"/>
        </w:trPr>
        <w:tc>
          <w:tcPr>
            <w:tcW w:w="4200" w:type="dxa"/>
            <w:vAlign w:val="bottom"/>
          </w:tcPr>
          <w:p>
            <w:pPr>
              <w:spacing w:after="0"/>
              <w:rPr>
                <w:sz w:val="17"/>
                <w:szCs w:val="17"/>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February 3, 2019</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32,574</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89,849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70,592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(239)</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160,110</w:t>
            </w:r>
          </w:p>
        </w:tc>
      </w:tr>
      <w:tr>
        <w:trPr>
          <w:trHeight w:val="211"/>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Cumulative effect from</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1"/>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adoption of ASC 842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(1,924)</w:t>
            </w: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(7,572)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w:t>
            </w:r>
          </w:p>
        </w:tc>
      </w:tr>
      <w:tr>
        <w:trPr>
          <w:trHeight w:val="223"/>
        </w:trPr>
        <w:tc>
          <w:tcPr>
            <w:tcW w:w="420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Balance at May 5, 2019</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32,703</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90,416</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(369)</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61,096</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(312)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150,831</w:t>
            </w:r>
          </w:p>
        </w:tc>
      </w:tr>
      <w:tr>
        <w:trPr>
          <w:trHeight w:val="169"/>
        </w:trPr>
        <w:tc>
          <w:tcPr>
            <w:tcW w:w="4200" w:type="dxa"/>
            <w:vAlign w:val="bottom"/>
            <w:shd w:val="clear" w:color="auto" w:fill="CCEEFF"/>
          </w:tcPr>
          <w:p>
            <w:pPr>
              <w:ind w:left="120"/>
              <w:spacing w:after="0" w:line="170" w:lineRule="exact"/>
              <w:rPr>
                <w:sz w:val="20"/>
                <w:szCs w:val="20"/>
                <w:color w:val="auto"/>
              </w:rPr>
            </w:pPr>
            <w:r>
              <w:rPr>
                <w:rFonts w:ascii="Times New Roman" w:cs="Times New Roman" w:eastAsia="Times New Roman" w:hAnsi="Times New Roman"/>
                <w:sz w:val="18"/>
                <w:szCs w:val="18"/>
                <w:color w:val="auto"/>
              </w:rPr>
              <w:t>Issuance of common stock</w:t>
            </w:r>
          </w:p>
        </w:tc>
        <w:tc>
          <w:tcPr>
            <w:tcW w:w="9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146</w:t>
            </w: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183"/>
        </w:trPr>
        <w:tc>
          <w:tcPr>
            <w:tcW w:w="42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at August 4, 2019</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32,733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91,075</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63,032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153,300</w:t>
            </w:r>
          </w:p>
        </w:tc>
      </w:tr>
      <w:tr>
        <w:trPr>
          <w:trHeight w:val="20"/>
        </w:trPr>
        <w:tc>
          <w:tcPr>
            <w:tcW w:w="4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500" w:type="dxa"/>
            <w:vAlign w:val="bottom"/>
          </w:tcPr>
          <w:p>
            <w:pPr>
              <w:spacing w:after="0"/>
              <w:rPr>
                <w:sz w:val="17"/>
                <w:szCs w:val="17"/>
                <w:color w:val="auto"/>
              </w:rPr>
            </w:pPr>
          </w:p>
        </w:tc>
        <w:tc>
          <w:tcPr>
            <w:tcW w:w="14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w w:val="99"/>
              </w:rPr>
              <w:t>August 4, 2019</w:t>
            </w:r>
          </w:p>
        </w:tc>
        <w:tc>
          <w:tcPr>
            <w:tcW w:w="0" w:type="dxa"/>
            <w:vAlign w:val="bottom"/>
          </w:tcPr>
          <w:p>
            <w:pPr>
              <w:spacing w:after="0"/>
              <w:rPr>
                <w:sz w:val="1"/>
                <w:szCs w:val="1"/>
                <w:color w:val="auto"/>
              </w:rPr>
            </w:pP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(9,281)</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13,292</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(625)</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(3,780)</w:t>
            </w: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(19,735)</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 &amp; other current assets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catalog costs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(3,427)</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(1,556)</w:t>
            </w: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impacts</w:t>
            </w:r>
          </w:p>
        </w:tc>
        <w:tc>
          <w:tcPr>
            <w:tcW w:w="10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2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(12,802)</w:t>
            </w:r>
          </w:p>
        </w:tc>
        <w:tc>
          <w:tcPr>
            <w:tcW w:w="1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(8,045)</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(8,842)</w:t>
            </w: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 towards build-to-suit stores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(357)</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other assets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62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(9,135)</w:t>
            </w:r>
          </w:p>
        </w:tc>
        <w:tc>
          <w:tcPr>
            <w:tcW w:w="18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(16,713)</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(41,816)</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delayed draw term loan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delayed draw term loan</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TRI long term debt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(234)</w:t>
            </w: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(793)</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for tax payments on vested restricted shares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w:t>
            </w: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196"/>
        </w:trPr>
        <w:tc>
          <w:tcPr>
            <w:tcW w:w="62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38,865</w:t>
            </w:r>
          </w:p>
        </w:tc>
        <w:tc>
          <w:tcPr>
            <w:tcW w:w="18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27,829</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16,928</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183"/>
        </w:trPr>
        <w:tc>
          <w:tcPr>
            <w:tcW w:w="62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19,168</w:t>
            </w:r>
          </w:p>
        </w:tc>
        <w:tc>
          <w:tcPr>
            <w:tcW w:w="1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6,156</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4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OPERATIONS AND BASIS OF PRESENTATION</w:t>
      </w:r>
    </w:p>
    <w:p>
      <w:pPr>
        <w:spacing w:after="0" w:line="158"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Operations</w:t>
      </w:r>
    </w:p>
    <w:p>
      <w:pPr>
        <w:spacing w:after="0" w:line="162"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casual wear, workwear and accessories sold exclusively through the Company’s own direct and retail channels. The Company’s products are marketed under the Duluth Trading brand, with the majority of products being exclusively developed and sold as Duluth Trading branded merchandise.</w:t>
      </w:r>
    </w:p>
    <w:p>
      <w:pPr>
        <w:spacing w:after="0" w:line="145" w:lineRule="exact"/>
        <w:rPr>
          <w:sz w:val="20"/>
          <w:szCs w:val="20"/>
          <w:color w:val="auto"/>
        </w:rPr>
      </w:pPr>
    </w:p>
    <w:p>
      <w:pPr>
        <w:ind w:firstLine="492"/>
        <w:spacing w:after="0" w:line="224" w:lineRule="auto"/>
        <w:rPr>
          <w:sz w:val="20"/>
          <w:szCs w:val="20"/>
          <w:color w:val="auto"/>
        </w:rPr>
      </w:pPr>
      <w:r>
        <w:rPr>
          <w:rFonts w:ascii="Times New Roman" w:cs="Times New Roman" w:eastAsia="Times New Roman" w:hAnsi="Times New Roman"/>
          <w:sz w:val="18"/>
          <w:szCs w:val="18"/>
          <w:color w:val="auto"/>
        </w:rPr>
        <w:t>The Company has historically identified two operating segments, direct and retail. The direct segment, consisting of the Company’s website and catalogs, offers products nationwide. In 2010, the Company initiated its omnichannel platform with the opening of its first store. Since then, Duluth Trading has expanded its retail presence, and as of August 2, 2020, the Company operated 59 retail stores and three outlet stores. The Company identifies its operating segments according to how its business activities are managed and evaluated. The Company continues to grow its omnichannel distribution network which allows the consumer to interact with the Company through a consistent customer experience whether on the Company website or at Company stores. As the Company expands its distribution network, and in conjunction with assessing the similar nature of products sold, production process, distribution process, target customers and economic characteristics between the two segments, the Company determined that the historical structure of separate reporting segments for direct and retail was no longer representative. Therefore, as of February 3, 2020, the Company updated its segment reporting to one reportable external segment, consistent with the Company’s omnichannel business approach. The Company’s revenues generated outside the United States were insignificant.</w:t>
      </w:r>
    </w:p>
    <w:p>
      <w:pPr>
        <w:spacing w:after="0" w:line="134" w:lineRule="exact"/>
        <w:rPr>
          <w:sz w:val="20"/>
          <w:szCs w:val="20"/>
          <w:color w:val="auto"/>
        </w:rPr>
      </w:pPr>
    </w:p>
    <w:p>
      <w:pPr>
        <w:jc w:val="both"/>
        <w:ind w:right="360" w:firstLine="428"/>
        <w:spacing w:after="0" w:line="232"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27"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220" w:firstLine="428"/>
        <w:spacing w:after="0" w:line="23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2020 is a 52-week period and ends on January 31,</w:t>
      </w:r>
    </w:p>
    <w:p>
      <w:pPr>
        <w:spacing w:after="0" w:line="221" w:lineRule="auto"/>
        <w:rPr>
          <w:sz w:val="20"/>
          <w:szCs w:val="20"/>
          <w:color w:val="auto"/>
        </w:rPr>
      </w:pPr>
      <w:r>
        <w:rPr>
          <w:rFonts w:ascii="Times New Roman" w:cs="Times New Roman" w:eastAsia="Times New Roman" w:hAnsi="Times New Roman"/>
          <w:sz w:val="18"/>
          <w:szCs w:val="18"/>
          <w:color w:val="auto"/>
        </w:rPr>
        <w:t>2021. Fiscal 2019 was a 52-week period and ended on February 2, 2020. The three and six months of fiscal 2020 and fiscal 2019 represent the Company’s</w:t>
      </w:r>
    </w:p>
    <w:p>
      <w:pPr>
        <w:spacing w:after="0"/>
        <w:rPr>
          <w:sz w:val="20"/>
          <w:szCs w:val="20"/>
          <w:color w:val="auto"/>
        </w:rPr>
      </w:pPr>
      <w:r>
        <w:rPr>
          <w:rFonts w:ascii="Times New Roman" w:cs="Times New Roman" w:eastAsia="Times New Roman" w:hAnsi="Times New Roman"/>
          <w:sz w:val="18"/>
          <w:szCs w:val="18"/>
          <w:color w:val="auto"/>
        </w:rPr>
        <w:t>13 and 26-week periods ended August 2, 2020 and August 4, 2019, respectively.</w:t>
      </w:r>
    </w:p>
    <w:p>
      <w:pPr>
        <w:spacing w:after="0" w:line="138" w:lineRule="exact"/>
        <w:rPr>
          <w:sz w:val="20"/>
          <w:szCs w:val="20"/>
          <w:color w:val="auto"/>
        </w:rPr>
      </w:pPr>
    </w:p>
    <w:p>
      <w:pPr>
        <w:ind w:right="40" w:firstLine="428"/>
        <w:spacing w:after="0" w:line="22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and for the three and six months ended August 2, 2020 and August 4, 2019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six months ended August 2, 2020 and August 4, 2019. These interim condensed consolidated financial statements should be read in conjunction with the consolidated financial statements and notes included in the Company’s annual report on Form 10-K for the fiscal year ended February 2, 2020.</w:t>
      </w:r>
    </w:p>
    <w:p>
      <w:pPr>
        <w:spacing w:after="0" w:line="145"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COVID-19</w:t>
      </w:r>
    </w:p>
    <w:p>
      <w:pPr>
        <w:spacing w:after="0" w:line="162" w:lineRule="exact"/>
        <w:rPr>
          <w:sz w:val="20"/>
          <w:szCs w:val="20"/>
          <w:color w:val="auto"/>
        </w:rPr>
      </w:pPr>
    </w:p>
    <w:p>
      <w:pPr>
        <w:ind w:right="180" w:firstLine="428"/>
        <w:spacing w:after="0" w:line="223" w:lineRule="auto"/>
        <w:rPr>
          <w:sz w:val="20"/>
          <w:szCs w:val="20"/>
          <w:color w:val="auto"/>
        </w:rPr>
      </w:pPr>
      <w:r>
        <w:rPr>
          <w:rFonts w:ascii="Times New Roman" w:cs="Times New Roman" w:eastAsia="Times New Roman" w:hAnsi="Times New Roman"/>
          <w:sz w:val="18"/>
          <w:szCs w:val="18"/>
          <w:color w:val="auto"/>
        </w:rPr>
        <w:t>In March 2020, a novel strain of coronavirus (“COVID -19”) was declared a global pandemic by the World Health Organization. This pandemic has negatively affected the U.S. and global economies, disrupted global supply chains and financial markets, led to significant travel and transportation restrictions, including mandatory business closures and orders to shelter in place. The Company’s business operations and financial performance for the three and six months ended August 2, 2020 were impacted by COVID-19. These impacts are discussed within these notes to the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16" w:lineRule="exact"/>
        <w:rPr>
          <w:sz w:val="20"/>
          <w:szCs w:val="20"/>
          <w:color w:val="auto"/>
        </w:rPr>
      </w:pPr>
    </w:p>
    <w:p>
      <w:pPr>
        <w:jc w:val="both"/>
        <w:ind w:right="160" w:firstLine="428"/>
        <w:spacing w:after="0" w:line="236" w:lineRule="auto"/>
        <w:rPr>
          <w:sz w:val="20"/>
          <w:szCs w:val="20"/>
          <w:color w:val="auto"/>
        </w:rPr>
      </w:pPr>
      <w:r>
        <w:rPr>
          <w:rFonts w:ascii="Times New Roman" w:cs="Times New Roman" w:eastAsia="Times New Roman" w:hAnsi="Times New Roman"/>
          <w:sz w:val="18"/>
          <w:szCs w:val="18"/>
          <w:color w:val="auto"/>
        </w:rPr>
        <w:t>The ultimate impact of COVID-19 on our operational and financial performance still depends on future developments outside of our control. Given the uncertainty, we cannot reasonably estimate the continued impact on our business and whether that impact will be different than what we have already experienced.</w:t>
      </w:r>
    </w:p>
    <w:p>
      <w:pPr>
        <w:spacing w:after="0" w:line="12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D.</w:t>
        <w:tab/>
        <w:t>Impairment Analysis</w:t>
      </w:r>
    </w:p>
    <w:p>
      <w:pPr>
        <w:spacing w:after="0" w:line="175" w:lineRule="exact"/>
        <w:rPr>
          <w:sz w:val="20"/>
          <w:szCs w:val="20"/>
          <w:color w:val="auto"/>
        </w:rPr>
      </w:pPr>
    </w:p>
    <w:p>
      <w:pPr>
        <w:ind w:right="80" w:firstLine="428"/>
        <w:spacing w:after="0" w:line="227" w:lineRule="auto"/>
        <w:rPr>
          <w:sz w:val="20"/>
          <w:szCs w:val="20"/>
          <w:color w:val="auto"/>
        </w:rPr>
      </w:pPr>
      <w:r>
        <w:rPr>
          <w:rFonts w:ascii="Times New Roman" w:cs="Times New Roman" w:eastAsia="Times New Roman" w:hAnsi="Times New Roman"/>
          <w:sz w:val="18"/>
          <w:szCs w:val="18"/>
          <w:color w:val="auto"/>
        </w:rPr>
        <w:t>The Company determined that the effects of COVID-19 may represent indicators of asset impairment, and as a result, performed interim impairment assessments for the Company’s intangible assets, long-lived assets and goodwill at May 3, 2020. Due to the nature of the Company’s intangible assets balance, the Company concluded that no indicators of impairment were present. In the first fiscal quarter of 2020, the Company performed undiscounted cash flow analyses on certain long-lived assets, including retail stores at the individual store level and determined that the estimated undiscounted future cash flows exceeded the net carrying values. The Company also performed an additional qualitative assessment of goodwill as of May 3, 2020 and determined that it was more likely than not that the fair value of these assets was greater than their carrying value.</w:t>
      </w:r>
    </w:p>
    <w:p>
      <w:pPr>
        <w:spacing w:after="0" w:line="135" w:lineRule="exact"/>
        <w:rPr>
          <w:sz w:val="20"/>
          <w:szCs w:val="20"/>
          <w:color w:val="auto"/>
        </w:rPr>
      </w:pPr>
    </w:p>
    <w:p>
      <w:pPr>
        <w:jc w:val="both"/>
        <w:ind w:right="120" w:firstLine="428"/>
        <w:spacing w:after="0" w:line="236" w:lineRule="auto"/>
        <w:rPr>
          <w:sz w:val="20"/>
          <w:szCs w:val="20"/>
          <w:color w:val="auto"/>
        </w:rPr>
      </w:pPr>
      <w:r>
        <w:rPr>
          <w:rFonts w:ascii="Times New Roman" w:cs="Times New Roman" w:eastAsia="Times New Roman" w:hAnsi="Times New Roman"/>
          <w:sz w:val="18"/>
          <w:szCs w:val="18"/>
          <w:color w:val="auto"/>
        </w:rPr>
        <w:t>Based on these assessments, the Company concluded that no impairment losses had been incurred. However, the Company cannot predict the future impact or duration of the negative effect of COVID-19 and as a result, cannot reasonably predict the probability or amount of impairment losses that may be incurred in future periods.</w:t>
      </w:r>
    </w:p>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triggering events or long-lived asset impairments charges recorded for the three months ended August 2, 2020.</w:t>
      </w:r>
    </w:p>
    <w:p>
      <w:pPr>
        <w:spacing w:after="0" w:line="167"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Inventory Valuation</w:t>
      </w:r>
    </w:p>
    <w:p>
      <w:pPr>
        <w:spacing w:after="0" w:line="162" w:lineRule="exact"/>
        <w:rPr>
          <w:sz w:val="20"/>
          <w:szCs w:val="20"/>
          <w:color w:val="auto"/>
        </w:rPr>
      </w:pPr>
    </w:p>
    <w:p>
      <w:pPr>
        <w:ind w:firstLine="428"/>
        <w:spacing w:after="0" w:line="229" w:lineRule="auto"/>
        <w:rPr>
          <w:sz w:val="20"/>
          <w:szCs w:val="20"/>
          <w:color w:val="auto"/>
        </w:rPr>
      </w:pPr>
      <w:r>
        <w:rPr>
          <w:rFonts w:ascii="Times New Roman" w:cs="Times New Roman" w:eastAsia="Times New Roman" w:hAnsi="Times New Roman"/>
          <w:sz w:val="18"/>
          <w:szCs w:val="18"/>
          <w:color w:val="auto"/>
        </w:rPr>
        <w:t>Inventory, consisting of purchased product, is valued at the lower of cost and net realizable value, under the first-in, first-out method. The significant estimates used in inventory valuation are obsolescence (including excess and slow-moving inventory and lower of cost or market reserves) and estimates of inventory shrinkage. Both estimates have calculations that require the Company to make assumptions and apply judgement regarding a number of factors, including market conditions, the selling environment, historical results and current inventory trends. Inventory is adjusted periodically to reflect current market conditions, which requires management’s judgement that may significantly affect the ending inventory valuation, as well as gross margin.</w:t>
      </w:r>
    </w:p>
    <w:p>
      <w:pPr>
        <w:spacing w:after="0" w:line="133" w:lineRule="exact"/>
        <w:rPr>
          <w:sz w:val="20"/>
          <w:szCs w:val="20"/>
          <w:color w:val="auto"/>
        </w:rPr>
      </w:pPr>
    </w:p>
    <w:p>
      <w:pPr>
        <w:ind w:right="160" w:firstLine="428"/>
        <w:spacing w:after="0" w:line="236" w:lineRule="auto"/>
        <w:rPr>
          <w:sz w:val="20"/>
          <w:szCs w:val="20"/>
          <w:color w:val="auto"/>
        </w:rPr>
      </w:pPr>
      <w:r>
        <w:rPr>
          <w:rFonts w:ascii="Times New Roman" w:cs="Times New Roman" w:eastAsia="Times New Roman" w:hAnsi="Times New Roman"/>
          <w:sz w:val="18"/>
          <w:szCs w:val="18"/>
          <w:color w:val="auto"/>
        </w:rPr>
        <w:t>The reserve for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in second fiscal quarter results.</w:t>
      </w:r>
    </w:p>
    <w:p>
      <w:pPr>
        <w:spacing w:after="0" w:line="141"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Assets, net</w:t>
      </w:r>
    </w:p>
    <w:p>
      <w:pPr>
        <w:spacing w:after="0" w:line="162" w:lineRule="exact"/>
        <w:rPr>
          <w:sz w:val="20"/>
          <w:szCs w:val="20"/>
          <w:color w:val="auto"/>
        </w:rPr>
      </w:pPr>
    </w:p>
    <w:p>
      <w:pPr>
        <w:ind w:right="200" w:firstLine="402"/>
        <w:spacing w:after="0" w:line="236" w:lineRule="auto"/>
        <w:rPr>
          <w:sz w:val="20"/>
          <w:szCs w:val="20"/>
          <w:color w:val="auto"/>
        </w:rPr>
      </w:pPr>
      <w:r>
        <w:rPr>
          <w:rFonts w:ascii="Times New Roman" w:cs="Times New Roman" w:eastAsia="Times New Roman" w:hAnsi="Times New Roman"/>
          <w:sz w:val="18"/>
          <w:szCs w:val="18"/>
          <w:color w:val="auto"/>
        </w:rPr>
        <w:t>Other assets, net includes goodwill, loan origination fees, trade names, security deposits and prepaid expenses. Goodwill was $0.4 million as of August 2, 2020 and February 2, 2020. The Company’s other intangible asset, net of accumulated amortization was $0.3 million as of August 2, 2020 and February 2, 2020. Accumulated amortization was $0.3 million as of August 2, 2020 and February 2, 2020.</w:t>
      </w:r>
    </w:p>
    <w:p>
      <w:pPr>
        <w:spacing w:after="0" w:line="12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G.</w:t>
        <w:tab/>
        <w:t>Seasonality of Business</w:t>
      </w:r>
    </w:p>
    <w:p>
      <w:pPr>
        <w:spacing w:after="0" w:line="175" w:lineRule="exact"/>
        <w:rPr>
          <w:sz w:val="20"/>
          <w:szCs w:val="20"/>
          <w:color w:val="auto"/>
        </w:rPr>
      </w:pPr>
    </w:p>
    <w:p>
      <w:pPr>
        <w:ind w:right="260" w:firstLine="428"/>
        <w:spacing w:after="0" w:line="250"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apparel businesses. Historically, the Company has recognized a significant portion of its revenue and operating profit in the fourth fiscal quarter of each year as a result of increased sales during the holiday season.</w:t>
      </w:r>
    </w:p>
    <w:p>
      <w:pPr>
        <w:spacing w:after="0" w:line="11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H.</w:t>
      </w:r>
      <w:r>
        <w:rPr>
          <w:sz w:val="20"/>
          <w:szCs w:val="20"/>
          <w:color w:val="auto"/>
        </w:rPr>
        <w:tab/>
      </w:r>
      <w:r>
        <w:rPr>
          <w:rFonts w:ascii="Times New Roman" w:cs="Times New Roman" w:eastAsia="Times New Roman" w:hAnsi="Times New Roman"/>
          <w:sz w:val="17"/>
          <w:szCs w:val="17"/>
          <w:b w:val="1"/>
          <w:bCs w:val="1"/>
          <w:i w:val="1"/>
          <w:iCs w:val="1"/>
          <w:color w:val="auto"/>
        </w:rPr>
        <w:t>Restricted Cash and Reconciliation of cash and cash equivalents and restricted cash to the condensed statement of cash flows</w:t>
      </w:r>
    </w:p>
    <w:p>
      <w:pPr>
        <w:spacing w:after="0" w:line="162" w:lineRule="exact"/>
        <w:rPr>
          <w:sz w:val="20"/>
          <w:szCs w:val="20"/>
          <w:color w:val="auto"/>
        </w:rPr>
      </w:pPr>
    </w:p>
    <w:p>
      <w:pPr>
        <w:ind w:firstLine="428"/>
        <w:spacing w:after="0" w:line="236" w:lineRule="auto"/>
        <w:rPr>
          <w:sz w:val="20"/>
          <w:szCs w:val="20"/>
          <w:color w:val="auto"/>
        </w:rPr>
      </w:pPr>
      <w:r>
        <w:rPr>
          <w:rFonts w:ascii="Times New Roman" w:cs="Times New Roman" w:eastAsia="Times New Roman" w:hAnsi="Times New Roman"/>
          <w:sz w:val="18"/>
          <w:szCs w:val="18"/>
          <w:color w:val="auto"/>
        </w:rPr>
        <w:t>The Company’s restricted cash is held in escrow accounts and is used to pay a portion of the construction loans entered into by third party landlords (the “Landlords”) in connection with the Company’s retail store leases. The restricted cash is disbursed based on the escrow agreements entered into by and among the Landlords, the Company and the escrow agent.</w:t>
      </w:r>
    </w:p>
    <w:p>
      <w:pPr>
        <w:spacing w:after="0" w:line="145" w:lineRule="exact"/>
        <w:rPr>
          <w:sz w:val="20"/>
          <w:szCs w:val="20"/>
          <w:color w:val="auto"/>
        </w:rPr>
      </w:pPr>
    </w:p>
    <w:p>
      <w:pPr>
        <w:ind w:right="340" w:firstLine="428"/>
        <w:spacing w:after="0" w:line="226" w:lineRule="auto"/>
        <w:rPr>
          <w:sz w:val="20"/>
          <w:szCs w:val="20"/>
          <w:color w:val="auto"/>
        </w:rPr>
      </w:pPr>
      <w:r>
        <w:rPr>
          <w:rFonts w:ascii="Times New Roman" w:cs="Times New Roman" w:eastAsia="Times New Roman" w:hAnsi="Times New Roman"/>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16" w:lineRule="exact"/>
        <w:rPr>
          <w:sz w:val="20"/>
          <w:szCs w:val="20"/>
          <w:color w:val="auto"/>
        </w:rPr>
      </w:pPr>
    </w:p>
    <w:p>
      <w:pPr>
        <w:ind w:right="320" w:firstLine="428"/>
        <w:spacing w:after="0" w:line="250"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condensed consolidated balance sheet that sum the total of the same such amounts shown in the condensed consolidated statement of cash flows.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February 2, 2020</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19,005</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2"/>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19,168</w:t>
            </w:r>
          </w:p>
        </w:tc>
        <w:tc>
          <w:tcPr>
            <w:tcW w:w="5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condensed consolidated statement of cash flows</w:t>
            </w:r>
          </w:p>
        </w:tc>
        <w:tc>
          <w:tcPr>
            <w:tcW w:w="320" w:type="dxa"/>
            <w:vAlign w:val="bottom"/>
            <w:vMerge w:val="continue"/>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300" w:hanging="292"/>
        <w:spacing w:after="0"/>
        <w:tabs>
          <w:tab w:leader="none" w:pos="30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ind w:right="300" w:firstLine="492"/>
        <w:spacing w:after="0" w:line="250" w:lineRule="auto"/>
        <w:rPr>
          <w:sz w:val="20"/>
          <w:szCs w:val="20"/>
          <w:color w:val="auto"/>
        </w:rPr>
      </w:pPr>
      <w:r>
        <w:rPr>
          <w:rFonts w:ascii="Times New Roman" w:cs="Times New Roman" w:eastAsia="Times New Roman" w:hAnsi="Times New Roman"/>
          <w:sz w:val="18"/>
          <w:szCs w:val="18"/>
          <w:color w:val="auto"/>
        </w:rPr>
        <w:t>Certain reclassifications have been made to the 2019 financial statements in order to conform to the 2020 presentation. There were no changes to previously reported shareholders' equity or net income (loss) as a result of the reclassifications.</w:t>
      </w:r>
    </w:p>
    <w:p>
      <w:pPr>
        <w:spacing w:after="0" w:line="1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J.</w:t>
        <w:tab/>
        <w:t>Significant Accounting Policies</w:t>
      </w:r>
    </w:p>
    <w:p>
      <w:pPr>
        <w:spacing w:after="0" w:line="162" w:lineRule="exact"/>
        <w:rPr>
          <w:sz w:val="20"/>
          <w:szCs w:val="20"/>
          <w:color w:val="auto"/>
        </w:rPr>
      </w:pPr>
    </w:p>
    <w:p>
      <w:pPr>
        <w:ind w:right="240" w:firstLine="428"/>
        <w:spacing w:after="0" w:line="250" w:lineRule="auto"/>
        <w:rPr>
          <w:sz w:val="20"/>
          <w:szCs w:val="20"/>
          <w:color w:val="auto"/>
        </w:rPr>
      </w:pPr>
      <w:r>
        <w:rPr>
          <w:rFonts w:ascii="Times New Roman" w:cs="Times New Roman" w:eastAsia="Times New Roman" w:hAnsi="Times New Roman"/>
          <w:sz w:val="18"/>
          <w:szCs w:val="18"/>
          <w:color w:val="auto"/>
        </w:rPr>
        <w:t>Except as disclosed below, there have been no significant changes to the Company’s significant accounting policies as described in the Company’s Annual Report on Form 10-K for the year ended February 2, 2020.</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p>
    <w:p>
      <w:pPr>
        <w:spacing w:after="0" w:line="158" w:lineRule="exact"/>
        <w:rPr>
          <w:sz w:val="20"/>
          <w:szCs w:val="20"/>
          <w:color w:val="auto"/>
        </w:rPr>
      </w:pPr>
    </w:p>
    <w:p>
      <w:pPr>
        <w:ind w:right="40" w:firstLine="440"/>
        <w:spacing w:after="0" w:line="226" w:lineRule="auto"/>
        <w:rPr>
          <w:sz w:val="20"/>
          <w:szCs w:val="20"/>
          <w:color w:val="auto"/>
        </w:rPr>
      </w:pPr>
      <w:r>
        <w:rPr>
          <w:rFonts w:ascii="Times New Roman" w:cs="Times New Roman" w:eastAsia="Times New Roman" w:hAnsi="Times New Roman"/>
          <w:sz w:val="18"/>
          <w:szCs w:val="18"/>
          <w:color w:val="auto"/>
        </w:rPr>
        <w:t xml:space="preserve">On February 3, 2020, the Company adopted Accounting Standards Update (“ASU”) No. 2018-15, </w:t>
      </w:r>
      <w:r>
        <w:rPr>
          <w:rFonts w:ascii="Times New Roman" w:cs="Times New Roman" w:eastAsia="Times New Roman" w:hAnsi="Times New Roman"/>
          <w:sz w:val="18"/>
          <w:szCs w:val="18"/>
          <w:i w:val="1"/>
          <w:iCs w:val="1"/>
          <w:color w:val="auto"/>
        </w:rPr>
        <w:t>Intangibles – Goodwill and Other – 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Software (Subtopic 350-40) </w:t>
      </w:r>
      <w:r>
        <w:rPr>
          <w:rFonts w:ascii="Times New Roman" w:cs="Times New Roman" w:eastAsia="Times New Roman" w:hAnsi="Times New Roman"/>
          <w:sz w:val="18"/>
          <w:szCs w:val="18"/>
          <w:color w:val="auto"/>
        </w:rPr>
        <w:t>(“ASU 2018-15”) which provides additional guidance on the accounting for costs of implementation activities performed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cloud computing arrangement that is a service contract. ASU 2018-15 requires a customer in a cloud computing arrangement that is a service contract to follow the new internal-use software guidance to determine which implementation costs to capitalize as assets or expense as incurred. The new internal-use software guidance requires that certain costs incurred during the application development stage be capitalized and other costs incurred during the preliminary project and post-implementation stages be expensed as they are incurred. The Company adopted ASU 2018-15 using the prospective method. The adoption of ASU 2018-15 did not have a material impact on the Company’s condensed consolidated financial statements.</w:t>
      </w:r>
    </w:p>
    <w:p>
      <w:pPr>
        <w:spacing w:after="0" w:line="3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LEASES</w:t>
      </w:r>
    </w:p>
    <w:p>
      <w:pPr>
        <w:spacing w:after="0" w:line="173" w:lineRule="exact"/>
        <w:rPr>
          <w:sz w:val="20"/>
          <w:szCs w:val="20"/>
          <w:color w:val="auto"/>
        </w:rPr>
      </w:pPr>
    </w:p>
    <w:p>
      <w:pPr>
        <w:ind w:right="40" w:firstLine="492"/>
        <w:spacing w:after="0" w:line="228" w:lineRule="auto"/>
        <w:rPr>
          <w:sz w:val="20"/>
          <w:szCs w:val="20"/>
          <w:color w:val="auto"/>
        </w:rPr>
      </w:pPr>
      <w:r>
        <w:rPr>
          <w:rFonts w:ascii="Times New Roman" w:cs="Times New Roman" w:eastAsia="Times New Roman" w:hAnsi="Times New Roman"/>
          <w:sz w:val="18"/>
          <w:szCs w:val="18"/>
          <w:color w:val="auto"/>
        </w:rPr>
        <w:t xml:space="preserve">Based on the criteria set forth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32" w:lineRule="exact"/>
        <w:rPr>
          <w:sz w:val="20"/>
          <w:szCs w:val="20"/>
          <w:color w:val="auto"/>
        </w:rPr>
      </w:pPr>
    </w:p>
    <w:p>
      <w:pPr>
        <w:ind w:right="180" w:firstLine="492"/>
        <w:spacing w:after="0" w:line="232" w:lineRule="auto"/>
        <w:rPr>
          <w:sz w:val="20"/>
          <w:szCs w:val="20"/>
          <w:color w:val="auto"/>
        </w:rPr>
      </w:pPr>
      <w:r>
        <w:rPr>
          <w:rFonts w:ascii="Times New Roman" w:cs="Times New Roman" w:eastAsia="Times New Roman" w:hAnsi="Times New Roman"/>
          <w:sz w:val="18"/>
          <w:szCs w:val="18"/>
          <w:color w:val="auto"/>
        </w:rPr>
        <w:t>The Company leases retail space under non-cancelable lease agreements, which expire on various dates through 2036.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31" w:lineRule="exact"/>
        <w:rPr>
          <w:sz w:val="20"/>
          <w:szCs w:val="20"/>
          <w:color w:val="auto"/>
        </w:rPr>
      </w:pPr>
    </w:p>
    <w:p>
      <w:pPr>
        <w:ind w:right="560" w:firstLine="492"/>
        <w:spacing w:after="0" w:line="250" w:lineRule="auto"/>
        <w:rPr>
          <w:sz w:val="20"/>
          <w:szCs w:val="20"/>
          <w:color w:val="auto"/>
        </w:rPr>
      </w:pPr>
      <w:r>
        <w:rPr>
          <w:rFonts w:ascii="Times New Roman" w:cs="Times New Roman" w:eastAsia="Times New Roman" w:hAnsi="Times New Roman"/>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36" w:lineRule="exact"/>
        <w:rPr>
          <w:sz w:val="20"/>
          <w:szCs w:val="20"/>
          <w:color w:val="auto"/>
        </w:rPr>
      </w:pPr>
    </w:p>
    <w:p>
      <w:pPr>
        <w:ind w:right="200" w:firstLine="492"/>
        <w:spacing w:after="0" w:line="250" w:lineRule="auto"/>
        <w:rPr>
          <w:sz w:val="20"/>
          <w:szCs w:val="20"/>
          <w:color w:val="auto"/>
        </w:rPr>
      </w:pPr>
      <w:r>
        <w:rPr>
          <w:rFonts w:ascii="Times New Roman" w:cs="Times New Roman" w:eastAsia="Times New Roman" w:hAnsi="Times New Roman"/>
          <w:sz w:val="18"/>
          <w:szCs w:val="18"/>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16" w:lineRule="exact"/>
        <w:rPr>
          <w:sz w:val="20"/>
          <w:szCs w:val="20"/>
          <w:color w:val="auto"/>
        </w:rPr>
      </w:pPr>
    </w:p>
    <w:p>
      <w:pPr>
        <w:ind w:right="20" w:firstLine="492"/>
        <w:spacing w:after="0" w:line="227" w:lineRule="auto"/>
        <w:rPr>
          <w:sz w:val="20"/>
          <w:szCs w:val="20"/>
          <w:color w:val="auto"/>
        </w:rPr>
      </w:pPr>
      <w:r>
        <w:rPr>
          <w:rFonts w:ascii="Times New Roman" w:cs="Times New Roman" w:eastAsia="Times New Roman" w:hAnsi="Times New Roman"/>
          <w:sz w:val="18"/>
          <w:szCs w:val="18"/>
          <w:color w:val="auto"/>
        </w:rPr>
        <w:t>Due to the adverse impacts of COVID-19, the Company has negotiated rent deferral and payback periods with a number of the Company’s store landlords for the months of April and May 2020. Based on the guidance set forth in the Financial Accounting Standards Board (“FASB”) issued Staff Q&amp;A “Topic 842 and Topic 840: Accounting for Lease Concessions Related to the Effects of the COVID-19 Pandemic” the Company has accounted for these deferrals as if no changes to the lease contract were made and will not elect to apply the lease modification guidance under ASC 842. As of August 2, 2020 the Company has deferred rent of approximately $1.1 million which was recorded within accrued expenses and other current liabilities and will be paid in accordance with the concession arrangements.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expense components of the Company’s leases reflected on the Company’s consolidated statement of operations were as follows:</w:t>
      </w:r>
    </w:p>
    <w:p>
      <w:pPr>
        <w:spacing w:after="0" w:line="1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Consolidated</w:t>
      </w: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Statement</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180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b w:val="1"/>
                <w:bCs w:val="1"/>
                <w:color w:val="auto"/>
              </w:rPr>
              <w:t>of Operations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80" w:type="dxa"/>
            <w:vAlign w:val="bottom"/>
          </w:tcPr>
          <w:p>
            <w:pPr>
              <w:spacing w:after="0"/>
              <w:rPr>
                <w:sz w:val="17"/>
                <w:szCs w:val="17"/>
                <w:color w:val="auto"/>
              </w:rPr>
            </w:pP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40" w:type="dxa"/>
            <w:vAlign w:val="bottom"/>
          </w:tcPr>
          <w:p>
            <w:pPr>
              <w:spacing w:after="0"/>
              <w:rPr>
                <w:sz w:val="17"/>
                <w:szCs w:val="17"/>
                <w:color w:val="auto"/>
              </w:rPr>
            </w:pPr>
          </w:p>
        </w:tc>
        <w:tc>
          <w:tcPr>
            <w:tcW w:w="14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expenses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860" w:type="dxa"/>
            <w:vAlign w:val="bottom"/>
          </w:tcPr>
          <w:p>
            <w:pPr>
              <w:ind w:left="140"/>
              <w:spacing w:after="0" w:line="157" w:lineRule="exact"/>
              <w:rPr>
                <w:sz w:val="20"/>
                <w:szCs w:val="20"/>
                <w:color w:val="auto"/>
              </w:rPr>
            </w:pPr>
            <w:r>
              <w:rPr>
                <w:rFonts w:ascii="Times New Roman" w:cs="Times New Roman" w:eastAsia="Times New Roman" w:hAnsi="Times New Roman"/>
                <w:sz w:val="18"/>
                <w:szCs w:val="18"/>
                <w:color w:val="auto"/>
              </w:rPr>
              <w:t>Amortization of right-of-use</w:t>
            </w:r>
          </w:p>
        </w:tc>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8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860" w:type="dxa"/>
            <w:vAlign w:val="bottom"/>
            <w:vMerge w:val="continue"/>
          </w:tcPr>
          <w:p>
            <w:pPr>
              <w:spacing w:after="0"/>
              <w:rPr>
                <w:sz w:val="13"/>
                <w:szCs w:val="13"/>
                <w:color w:val="auto"/>
              </w:rPr>
            </w:pPr>
          </w:p>
        </w:tc>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3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Pr>
          <w:p>
            <w:pPr>
              <w:spacing w:after="0"/>
              <w:rPr>
                <w:sz w:val="13"/>
                <w:szCs w:val="13"/>
                <w:color w:val="auto"/>
              </w:rPr>
            </w:pP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3"/>
                <w:szCs w:val="13"/>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1,565</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67"/>
        </w:trPr>
        <w:tc>
          <w:tcPr>
            <w:tcW w:w="286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2,438</w:t>
            </w:r>
          </w:p>
        </w:tc>
        <w:tc>
          <w:tcPr>
            <w:tcW w:w="1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38"/>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860" w:type="dxa"/>
            <w:vAlign w:val="bottom"/>
            <w:shd w:val="clear" w:color="auto" w:fill="CCEEFF"/>
          </w:tcPr>
          <w:p>
            <w:pPr>
              <w:spacing w:after="0"/>
              <w:rPr>
                <w:sz w:val="19"/>
                <w:szCs w:val="19"/>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8,631</w:t>
            </w:r>
          </w:p>
        </w:tc>
        <w:tc>
          <w:tcPr>
            <w:tcW w:w="1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0" w:type="dxa"/>
            <w:vAlign w:val="bottom"/>
          </w:tcPr>
          <w:p>
            <w:pPr>
              <w:spacing w:after="0"/>
              <w:rPr>
                <w:sz w:val="1"/>
                <w:szCs w:val="1"/>
                <w:color w:val="auto"/>
              </w:rPr>
            </w:pPr>
          </w:p>
        </w:tc>
      </w:tr>
      <w:tr>
        <w:trPr>
          <w:trHeight w:val="157"/>
        </w:trPr>
        <w:tc>
          <w:tcPr>
            <w:tcW w:w="286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Amortization of build-to-suit</w:t>
            </w:r>
          </w:p>
        </w:tc>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leases capital contribution</w:t>
            </w:r>
          </w:p>
        </w:tc>
        <w:tc>
          <w:tcPr>
            <w:tcW w:w="18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860" w:type="dxa"/>
            <w:vAlign w:val="bottom"/>
            <w:vMerge w:val="continue"/>
          </w:tcPr>
          <w:p>
            <w:pPr>
              <w:spacing w:after="0"/>
              <w:rPr>
                <w:sz w:val="13"/>
                <w:szCs w:val="13"/>
                <w:color w:val="auto"/>
              </w:rPr>
            </w:pPr>
          </w:p>
        </w:tc>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3,948</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68"/>
        </w:trPr>
        <w:tc>
          <w:tcPr>
            <w:tcW w:w="286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860" w:type="dxa"/>
            <w:vAlign w:val="bottom"/>
            <w:shd w:val="clear" w:color="auto" w:fill="CCEEFF"/>
          </w:tcPr>
          <w:p>
            <w:pPr>
              <w:spacing w:after="0"/>
              <w:rPr>
                <w:sz w:val="19"/>
                <w:szCs w:val="19"/>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4,038</w:t>
            </w:r>
          </w:p>
        </w:tc>
        <w:tc>
          <w:tcPr>
            <w:tcW w:w="1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0" w:type="dxa"/>
            <w:vAlign w:val="bottom"/>
          </w:tcPr>
          <w:p>
            <w:pPr>
              <w:spacing w:after="0"/>
              <w:rPr>
                <w:sz w:val="1"/>
                <w:szCs w:val="1"/>
                <w:color w:val="auto"/>
              </w:rPr>
            </w:pPr>
          </w:p>
        </w:tc>
      </w:tr>
      <w:tr>
        <w:trPr>
          <w:trHeight w:val="196"/>
        </w:trPr>
        <w:tc>
          <w:tcPr>
            <w:tcW w:w="2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lease expense</w:t>
            </w: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11,739</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6,674</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19,055</w:t>
            </w:r>
          </w:p>
        </w:tc>
        <w:tc>
          <w:tcPr>
            <w:tcW w:w="140" w:type="dxa"/>
            <w:vAlign w:val="bottom"/>
          </w:tcPr>
          <w:p>
            <w:pPr>
              <w:spacing w:after="0"/>
              <w:rPr>
                <w:sz w:val="17"/>
                <w:szCs w:val="17"/>
                <w:color w:val="auto"/>
              </w:rPr>
            </w:pPr>
          </w:p>
        </w:tc>
        <w:tc>
          <w:tcPr>
            <w:tcW w:w="9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12,350</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Other information related to leases were as follows:</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6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9"/>
        </w:trPr>
        <w:tc>
          <w:tcPr>
            <w:tcW w:w="2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August 4, 2019</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26,559</w:t>
            </w:r>
          </w:p>
        </w:tc>
        <w:tc>
          <w:tcPr>
            <w:tcW w:w="0" w:type="dxa"/>
            <w:vAlign w:val="bottom"/>
          </w:tcPr>
          <w:p>
            <w:pPr>
              <w:spacing w:after="0"/>
              <w:rPr>
                <w:sz w:val="1"/>
                <w:szCs w:val="1"/>
                <w:color w:val="auto"/>
              </w:rPr>
            </w:pPr>
          </w:p>
        </w:tc>
      </w:tr>
      <w:tr>
        <w:trPr>
          <w:trHeight w:val="216"/>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4"/>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927"/>
        </w:trPr>
        <w:tc>
          <w:tcPr>
            <w:tcW w:w="2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28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Future minimum lease payments under the non-cancellable leases are as follows as of August 2,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340" w:type="dxa"/>
            <w:vAlign w:val="bottom"/>
          </w:tcPr>
          <w:p>
            <w:pPr>
              <w:spacing w:after="0"/>
              <w:rPr>
                <w:sz w:val="19"/>
                <w:szCs w:val="19"/>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196"/>
        </w:trPr>
        <w:tc>
          <w:tcPr>
            <w:tcW w:w="6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(remainder of fiscal year)</w:t>
            </w:r>
          </w:p>
        </w:tc>
        <w:tc>
          <w:tcPr>
            <w:tcW w:w="58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14,881</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w:t>
            </w: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37,519</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70,828</w:t>
            </w:r>
          </w:p>
        </w:tc>
      </w:tr>
      <w:tr>
        <w:trPr>
          <w:trHeight w:val="196"/>
        </w:trPr>
        <w:tc>
          <w:tcPr>
            <w:tcW w:w="6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52,801</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137,791</w:t>
            </w: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 Discount</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25,874</w:t>
            </w:r>
          </w:p>
        </w:tc>
      </w:tr>
      <w:tr>
        <w:trPr>
          <w:trHeight w:val="183"/>
        </w:trPr>
        <w:tc>
          <w:tcPr>
            <w:tcW w:w="682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Lease liability</w:t>
            </w:r>
          </w:p>
        </w:tc>
        <w:tc>
          <w:tcPr>
            <w:tcW w:w="2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38,598</w:t>
            </w: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111,917</w:t>
            </w: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jc w:val="center"/>
        <w:ind w:left="440" w:right="8460" w:hanging="432"/>
        <w:spacing w:after="0" w:line="474" w:lineRule="auto"/>
        <w:tabs>
          <w:tab w:leader="none" w:pos="32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AND LINE OF CREDIT </w:t>
      </w:r>
      <w:r>
        <w:rPr>
          <w:rFonts w:ascii="Times New Roman" w:cs="Times New Roman" w:eastAsia="Times New Roman" w:hAnsi="Times New Roman"/>
          <w:sz w:val="18"/>
          <w:szCs w:val="18"/>
          <w:color w:val="auto"/>
        </w:rPr>
        <w:t>Debt consists of the following: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200" w:type="dxa"/>
            <w:vAlign w:val="bottom"/>
          </w:tcPr>
          <w:p>
            <w:pPr>
              <w:spacing w:after="0"/>
              <w:rPr>
                <w:sz w:val="15"/>
                <w:szCs w:val="15"/>
                <w:color w:val="auto"/>
              </w:rPr>
            </w:pP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February 2, 2020</w:t>
            </w: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Senior Secured Note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24,835</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TRI Note</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196"/>
        </w:trPr>
        <w:tc>
          <w:tcPr>
            <w:tcW w:w="76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28,101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28,335</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TRI long-term debt</w:t>
            </w:r>
          </w:p>
        </w:tc>
        <w:tc>
          <w:tcPr>
            <w:tcW w:w="240" w:type="dxa"/>
            <w:vAlign w:val="bottom"/>
            <w:tcBorders>
              <w:bottom w:val="single" w:sz="8" w:color="auto"/>
            </w:tcBorders>
            <w:shd w:val="clear" w:color="auto" w:fill="CCEEFF"/>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27,512</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27,778</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0"/>
        </w:trPr>
        <w:tc>
          <w:tcPr>
            <w:tcW w:w="7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Duluth Line of credit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19,332</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Duluth Delayed draw term loan</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196"/>
        </w:trPr>
        <w:tc>
          <w:tcPr>
            <w:tcW w:w="76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79,500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39,332</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Duluth long-term debt</w:t>
            </w:r>
          </w:p>
        </w:tc>
        <w:tc>
          <w:tcPr>
            <w:tcW w:w="240" w:type="dxa"/>
            <w:vAlign w:val="bottom"/>
            <w:tcBorders>
              <w:bottom w:val="single" w:sz="8" w:color="auto"/>
            </w:tcBorders>
            <w:shd w:val="clear" w:color="auto" w:fill="CCEEFF"/>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77,000</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38,332</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 Holdings, LLC</w:t>
      </w:r>
    </w:p>
    <w:p>
      <w:pPr>
        <w:spacing w:after="0" w:line="162" w:lineRule="exact"/>
        <w:rPr>
          <w:sz w:val="20"/>
          <w:szCs w:val="20"/>
          <w:color w:val="auto"/>
        </w:rPr>
      </w:pPr>
    </w:p>
    <w:p>
      <w:pPr>
        <w:jc w:val="both"/>
        <w:ind w:right="460" w:firstLine="428"/>
        <w:spacing w:after="0" w:line="236" w:lineRule="auto"/>
        <w:rPr>
          <w:sz w:val="20"/>
          <w:szCs w:val="20"/>
          <w:color w:val="auto"/>
        </w:rPr>
      </w:pPr>
      <w:r>
        <w:rPr>
          <w:rFonts w:ascii="Times New Roman" w:cs="Times New Roman" w:eastAsia="Times New Roman" w:hAnsi="Times New Roman"/>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45" w:lineRule="exact"/>
        <w:rPr>
          <w:sz w:val="20"/>
          <w:szCs w:val="20"/>
          <w:color w:val="auto"/>
        </w:rPr>
      </w:pPr>
    </w:p>
    <w:p>
      <w:pPr>
        <w:ind w:right="220" w:firstLine="428"/>
        <w:spacing w:after="0" w:line="250" w:lineRule="auto"/>
        <w:rPr>
          <w:sz w:val="20"/>
          <w:szCs w:val="20"/>
          <w:color w:val="auto"/>
        </w:rPr>
      </w:pPr>
      <w:r>
        <w:rPr>
          <w:rFonts w:ascii="Times New Roman" w:cs="Times New Roman" w:eastAsia="Times New Roman" w:hAnsi="Times New Roman"/>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While the above notes are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obligor of these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175" w:lineRule="exact"/>
        <w:rPr>
          <w:sz w:val="20"/>
          <w:szCs w:val="20"/>
          <w:color w:val="auto"/>
        </w:rPr>
      </w:pPr>
    </w:p>
    <w:p>
      <w:pPr>
        <w:ind w:right="180" w:firstLine="428"/>
        <w:spacing w:after="0" w:line="226" w:lineRule="auto"/>
        <w:rPr>
          <w:sz w:val="20"/>
          <w:szCs w:val="20"/>
          <w:color w:val="auto"/>
        </w:rPr>
      </w:pPr>
      <w:r>
        <w:rPr>
          <w:rFonts w:ascii="Times New Roman" w:cs="Times New Roman" w:eastAsia="Times New Roman" w:hAnsi="Times New Roman"/>
          <w:sz w:val="18"/>
          <w:szCs w:val="18"/>
          <w:color w:val="auto"/>
        </w:rPr>
        <w:t>On May 17, 2018, the Company entered into a credit agreement (the “Credit Agreement”) which provides for borrowing availability of up to $80.0 million in revolving credit (the “Revolver”), and borrowing availability of up to $50.0 million in a delayed draw term loan (“DDTL”), for a total credit facility of $130.0 million. The $80.0 million revolving credit matures on May 17, 2023. The $50.0 million DDTL was available to draw upon in differing amounts through May 17, 2020 and matures on May 17, 2023. Outstanding balances under the DDTL require quarterly principal payments with a final balloon payment at maturity. The Credit Agreement is secured by essentially all Company assets and requires the Company to maintain compliance with certain financial and non-financial covenants, including a maximum rent adjusted leverage ratio and a minimum fixed charge coverage ratio as defined in the Credit Agreement.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16" w:lineRule="exact"/>
        <w:rPr>
          <w:sz w:val="20"/>
          <w:szCs w:val="20"/>
          <w:color w:val="auto"/>
        </w:rPr>
      </w:pPr>
    </w:p>
    <w:p>
      <w:pPr>
        <w:ind w:right="20" w:firstLine="428"/>
        <w:spacing w:after="0" w:line="226" w:lineRule="auto"/>
        <w:rPr>
          <w:sz w:val="20"/>
          <w:szCs w:val="20"/>
          <w:color w:val="auto"/>
        </w:rPr>
      </w:pPr>
      <w:r>
        <w:rPr>
          <w:rFonts w:ascii="Times New Roman" w:cs="Times New Roman" w:eastAsia="Times New Roman" w:hAnsi="Times New Roman"/>
          <w:sz w:val="18"/>
          <w:szCs w:val="18"/>
          <w:color w:val="auto"/>
        </w:rPr>
        <w:t>On April 30, 2020, the Credit Agreement was amended to include an incremental DDTL of $20.5 million (the “Incremental DDTL”) that is available to draw upon before March 31, 2021, and matures on April 29, 2021, for a total credit facility of $150.5 million. As of August 2, 2020, no amount of the incremental DDTL was funded. The loan covenants were also amended to allow for greater flexibility during its peak borrowing periods in fiscal 2020. The interest rate applicable to the Revolver or DDTL will be a fixed rate for a one-, two-, three- or six-month interest period equal to LIBOR (with a 1% floor) for such interest period plus a margin of 225 to 300 basis points, based upon the Company’s rent adjusted leverage ratio (effective rate of 3.5% for the Revolver and 3.6% for the DDTL at August 2, 2020). The interest rate applicable to the Incremental DDTL will also be a fixed rate over the aforementioned interest periods equal to LIBOR (with a 1% floor) for such interest period plus a margin of 275 to 350 basis points.</w:t>
      </w:r>
    </w:p>
    <w:p>
      <w:pPr>
        <w:spacing w:after="0" w:line="134" w:lineRule="exact"/>
        <w:rPr>
          <w:sz w:val="20"/>
          <w:szCs w:val="20"/>
          <w:color w:val="auto"/>
        </w:rPr>
      </w:pPr>
    </w:p>
    <w:p>
      <w:pPr>
        <w:ind w:right="100" w:firstLine="428"/>
        <w:spacing w:after="0" w:line="250" w:lineRule="auto"/>
        <w:rPr>
          <w:sz w:val="20"/>
          <w:szCs w:val="20"/>
          <w:color w:val="auto"/>
        </w:rPr>
      </w:pPr>
      <w:r>
        <w:rPr>
          <w:rFonts w:ascii="Times New Roman" w:cs="Times New Roman" w:eastAsia="Times New Roman" w:hAnsi="Times New Roman"/>
          <w:sz w:val="18"/>
          <w:szCs w:val="18"/>
          <w:color w:val="auto"/>
        </w:rPr>
        <w:t>As of August 2, 2020 and for the six months then ended, the Company was in compliance with all financial and non-financial covenants for all debts discussed above.</w:t>
      </w:r>
    </w:p>
    <w:p>
      <w:pPr>
        <w:spacing w:after="0" w:line="321" w:lineRule="exact"/>
        <w:rPr>
          <w:sz w:val="20"/>
          <w:szCs w:val="20"/>
          <w:color w:val="auto"/>
        </w:rPr>
      </w:pPr>
    </w:p>
    <w:p>
      <w:pPr>
        <w:ind w:left="440" w:right="5720" w:hanging="432"/>
        <w:spacing w:after="0" w:line="500" w:lineRule="auto"/>
        <w:tabs>
          <w:tab w:leader="none" w:pos="317"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 of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220" w:type="dxa"/>
            <w:vAlign w:val="bottom"/>
          </w:tcPr>
          <w:p>
            <w:pPr>
              <w:spacing w:after="0"/>
              <w:rPr>
                <w:sz w:val="15"/>
                <w:szCs w:val="15"/>
                <w:color w:val="auto"/>
              </w:rPr>
            </w:pPr>
          </w:p>
        </w:tc>
        <w:tc>
          <w:tcPr>
            <w:tcW w:w="15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February 2, 2020</w:t>
            </w: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2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Catalog costs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5,685</w:t>
            </w:r>
          </w:p>
        </w:tc>
      </w:tr>
      <w:tr>
        <w:trPr>
          <w:trHeight w:val="183"/>
        </w:trPr>
        <w:tc>
          <w:tcPr>
            <w:tcW w:w="5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9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28,816</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29,464</w:t>
            </w:r>
          </w:p>
        </w:tc>
      </w:tr>
      <w:tr>
        <w:trPr>
          <w:trHeight w:val="20"/>
        </w:trPr>
        <w:tc>
          <w:tcPr>
            <w:tcW w:w="5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73" w:lineRule="exact"/>
        <w:rPr>
          <w:sz w:val="20"/>
          <w:szCs w:val="20"/>
          <w:color w:val="auto"/>
        </w:rPr>
      </w:pPr>
    </w:p>
    <w:p>
      <w:pPr>
        <w:ind w:right="60" w:firstLine="440"/>
        <w:spacing w:after="0" w:line="230"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58" w:lineRule="exact"/>
        <w:rPr>
          <w:sz w:val="20"/>
          <w:szCs w:val="20"/>
          <w:color w:val="auto"/>
        </w:rPr>
      </w:pPr>
    </w:p>
    <w:p>
      <w:pPr>
        <w:ind w:right="180" w:firstLine="440"/>
        <w:spacing w:after="0" w:line="23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58" w:lineRule="exact"/>
        <w:rPr>
          <w:sz w:val="20"/>
          <w:szCs w:val="20"/>
          <w:color w:val="auto"/>
        </w:rPr>
      </w:pPr>
    </w:p>
    <w:p>
      <w:pPr>
        <w:ind w:right="200" w:firstLine="440"/>
        <w:spacing w:after="0" w:line="229" w:lineRule="auto"/>
        <w:rPr>
          <w:sz w:val="20"/>
          <w:szCs w:val="20"/>
          <w:color w:val="auto"/>
        </w:rPr>
      </w:pPr>
      <w:r>
        <w:rPr>
          <w:rFonts w:ascii="Times New Roman" w:cs="Times New Roman" w:eastAsia="Times New Roman" w:hAnsi="Times New Roman"/>
          <w:sz w:val="18"/>
          <w:szCs w:val="18"/>
          <w:color w:val="auto"/>
        </w:rPr>
        <w:t>The fair value of the Company’s available-for-sale security was valued based on a discounted cash flow method (Level 3), which incorporates the U.S. Treasury yield curve, credit information and an estimate of future cash flows. During the six months ended August 2, 2020,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16" w:lineRule="exact"/>
        <w:rPr>
          <w:sz w:val="20"/>
          <w:szCs w:val="20"/>
          <w:color w:val="auto"/>
        </w:rPr>
      </w:pPr>
    </w:p>
    <w:p>
      <w:pPr>
        <w:ind w:right="300" w:firstLine="440"/>
        <w:spacing w:after="0" w:line="250" w:lineRule="auto"/>
        <w:rPr>
          <w:sz w:val="20"/>
          <w:szCs w:val="20"/>
          <w:color w:val="auto"/>
        </w:rPr>
      </w:pPr>
      <w:r>
        <w:rPr>
          <w:rFonts w:ascii="Times New Roman" w:cs="Times New Roman" w:eastAsia="Times New Roman" w:hAnsi="Times New Roman"/>
          <w:sz w:val="18"/>
          <w:szCs w:val="18"/>
          <w:color w:val="auto"/>
        </w:rPr>
        <w:t>The amortized cost and fair value of the Company’s available-for-sale security and the corresponding amount of gross unrealized gains and losses recognized in accumulated other comprehensive income are as follows:</w:t>
      </w:r>
    </w:p>
    <w:p>
      <w:pPr>
        <w:spacing w:after="0" w:line="23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August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7620</wp:posOffset>
            </wp:positionV>
            <wp:extent cx="42176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6"/>
                <w:szCs w:val="16"/>
                <w:color w:val="auto"/>
              </w:rPr>
            </w:pPr>
          </w:p>
        </w:tc>
        <w:tc>
          <w:tcPr>
            <w:tcW w:w="10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8"/>
                <w:szCs w:val="18"/>
                <w:color w:val="auto"/>
              </w:rPr>
            </w:pPr>
          </w:p>
        </w:tc>
        <w:tc>
          <w:tcPr>
            <w:tcW w:w="10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9"/>
        </w:trPr>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7"/>
                <w:szCs w:val="17"/>
                <w:color w:val="auto"/>
              </w:rPr>
            </w:pPr>
          </w:p>
        </w:tc>
        <w:tc>
          <w:tcPr>
            <w:tcW w:w="10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21"/>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r>
    </w:tbl>
    <w:p>
      <w:pPr>
        <w:spacing w:after="0" w:line="346" w:lineRule="exact"/>
        <w:rPr>
          <w:sz w:val="20"/>
          <w:szCs w:val="20"/>
          <w:color w:val="auto"/>
        </w:rPr>
      </w:pPr>
    </w:p>
    <w:p>
      <w:pPr>
        <w:ind w:right="40" w:firstLine="492"/>
        <w:spacing w:after="0" w:line="255" w:lineRule="auto"/>
        <w:rPr>
          <w:sz w:val="20"/>
          <w:szCs w:val="20"/>
          <w:color w:val="auto"/>
        </w:rPr>
      </w:pPr>
      <w:r>
        <w:rPr>
          <w:rFonts w:ascii="Times New Roman" w:cs="Times New Roman" w:eastAsia="Times New Roman" w:hAnsi="Times New Roman"/>
          <w:sz w:val="17"/>
          <w:szCs w:val="17"/>
          <w:color w:val="auto"/>
        </w:rPr>
        <w:t>The Company does not intend to sell the available-for-sale-security in the near term and does not believe that it will be required to sell the security. The Company reviews its securities on a quarterly basis to monitor its exposure to other-than-temporary impairment. The Company assessed the unrealized loss position as of August 2, 2020 and determined that the Company is expected to recover the entire amortized cost basis of the available-for-sale security.</w:t>
      </w:r>
    </w:p>
    <w:p>
      <w:pPr>
        <w:spacing w:after="0" w:line="133" w:lineRule="exact"/>
        <w:rPr>
          <w:sz w:val="20"/>
          <w:szCs w:val="20"/>
          <w:color w:val="auto"/>
        </w:rPr>
      </w:pPr>
    </w:p>
    <w:p>
      <w:pPr>
        <w:ind w:right="20" w:firstLine="492"/>
        <w:spacing w:after="0" w:line="250" w:lineRule="auto"/>
        <w:rPr>
          <w:sz w:val="20"/>
          <w:szCs w:val="20"/>
          <w:color w:val="auto"/>
        </w:rPr>
      </w:pPr>
      <w:r>
        <w:rPr>
          <w:rFonts w:ascii="Times New Roman" w:cs="Times New Roman" w:eastAsia="Times New Roman" w:hAnsi="Times New Roman"/>
          <w:sz w:val="18"/>
          <w:szCs w:val="18"/>
          <w:color w:val="auto"/>
        </w:rPr>
        <w:t>Accordingly, no other-than-temporary impairment was recorded in the unaudited condensed consolidated statements of operations for the six months ended August 2, 2020.</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February 2, 2020</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213"/>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9"/>
        </w:trPr>
        <w:tc>
          <w:tcPr>
            <w:tcW w:w="4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1"/>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w:t>
            </w:r>
          </w:p>
        </w:tc>
      </w:tr>
      <w:tr>
        <w:trPr>
          <w:trHeight w:val="535"/>
        </w:trPr>
        <w:tc>
          <w:tcPr>
            <w:tcW w:w="11240" w:type="dxa"/>
            <w:vAlign w:val="bottom"/>
            <w:gridSpan w:val="14"/>
          </w:tcPr>
          <w:p>
            <w:pPr>
              <w:ind w:left="440"/>
              <w:spacing w:after="0"/>
              <w:rPr>
                <w:sz w:val="20"/>
                <w:szCs w:val="20"/>
                <w:color w:val="auto"/>
              </w:rPr>
            </w:pPr>
            <w:r>
              <w:rPr>
                <w:rFonts w:ascii="Times New Roman" w:cs="Times New Roman" w:eastAsia="Times New Roman" w:hAnsi="Times New Roman"/>
                <w:sz w:val="18"/>
                <w:szCs w:val="18"/>
                <w:color w:val="auto"/>
              </w:rPr>
              <w:t>The following table presents future principal receipts related to the Company’s available-for-sale security by contractual maturity as of August 2,</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09"/>
        </w:trPr>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5"/>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980" w:type="dxa"/>
            <w:vAlign w:val="bottom"/>
            <w:gridSpan w:val="2"/>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956</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16"/>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3,520</w:t>
            </w:r>
          </w:p>
        </w:tc>
        <w:tc>
          <w:tcPr>
            <w:tcW w:w="3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w:t>
            </w:r>
          </w:p>
        </w:tc>
      </w:tr>
      <w:tr>
        <w:trPr>
          <w:trHeight w:val="196"/>
        </w:trPr>
        <w:tc>
          <w:tcPr>
            <w:tcW w:w="46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gridSpan w:val="3"/>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6,115</w:t>
            </w:r>
          </w:p>
        </w:tc>
        <w:tc>
          <w:tcPr>
            <w:tcW w:w="3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6,004</w:t>
            </w:r>
          </w:p>
        </w:tc>
      </w:tr>
      <w:tr>
        <w:trPr>
          <w:trHeight w:val="20"/>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values and fair values of other financial instruments in the Consolidated Balance Sheets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February 2, 2020</w:t>
            </w:r>
          </w:p>
        </w:tc>
        <w:tc>
          <w:tcPr>
            <w:tcW w:w="0" w:type="dxa"/>
            <w:vAlign w:val="bottom"/>
          </w:tcPr>
          <w:p>
            <w:pPr>
              <w:spacing w:after="0"/>
              <w:rPr>
                <w:sz w:val="1"/>
                <w:szCs w:val="1"/>
                <w:color w:val="auto"/>
              </w:rPr>
            </w:pPr>
          </w:p>
        </w:tc>
      </w:tr>
      <w:tr>
        <w:trPr>
          <w:trHeight w:val="212"/>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8"/>
                <w:szCs w:val="18"/>
                <w:color w:val="auto"/>
              </w:rPr>
            </w:pPr>
          </w:p>
        </w:tc>
        <w:tc>
          <w:tcPr>
            <w:tcW w:w="94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 including short-term portion</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28,101</w:t>
            </w:r>
          </w:p>
        </w:tc>
        <w:tc>
          <w:tcPr>
            <w:tcW w:w="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28,335</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30,238</w:t>
            </w: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The above long-term debt, including short-term portion is attributable to the consolidation of TRI in accordance with 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was also based on a discounted cash flow method (Level 3) based on credit information and an estimate of future cash flows.</w:t>
      </w:r>
    </w:p>
    <w:p>
      <w:pPr>
        <w:spacing w:after="0" w:line="138" w:lineRule="exact"/>
        <w:rPr>
          <w:sz w:val="20"/>
          <w:szCs w:val="20"/>
          <w:color w:val="auto"/>
        </w:rPr>
      </w:pPr>
    </w:p>
    <w:p>
      <w:pPr>
        <w:ind w:right="820" w:firstLine="492"/>
        <w:spacing w:after="0" w:line="230" w:lineRule="auto"/>
        <w:rPr>
          <w:sz w:val="20"/>
          <w:szCs w:val="20"/>
          <w:color w:val="auto"/>
        </w:rPr>
      </w:pPr>
      <w:r>
        <w:rPr>
          <w:rFonts w:ascii="Times New Roman" w:cs="Times New Roman" w:eastAsia="Times New Roman" w:hAnsi="Times New Roman"/>
          <w:sz w:val="18"/>
          <w:szCs w:val="18"/>
          <w:color w:val="auto"/>
        </w:rPr>
        <w:t>As of August 2, 2020 and February 2, 2020, the carrying values of the long-term delayed draw term loan and long-term line of credit both approximated their fair value.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VARIABLE INTEREST ENTITY</w:t>
      </w:r>
    </w:p>
    <w:p>
      <w:pPr>
        <w:spacing w:after="0" w:line="160" w:lineRule="exact"/>
        <w:rPr>
          <w:sz w:val="20"/>
          <w:szCs w:val="20"/>
          <w:color w:val="auto"/>
        </w:rPr>
      </w:pPr>
    </w:p>
    <w:p>
      <w:pPr>
        <w:ind w:right="340" w:firstLine="492"/>
        <w:spacing w:after="0" w:line="230"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variable interest entity (“VIE”) as of August 2, 2020 and February 2, 2020.</w:t>
      </w:r>
    </w:p>
    <w:p>
      <w:pPr>
        <w:spacing w:after="0" w:line="144" w:lineRule="exact"/>
        <w:rPr>
          <w:sz w:val="20"/>
          <w:szCs w:val="20"/>
          <w:color w:val="auto"/>
        </w:rPr>
      </w:pPr>
    </w:p>
    <w:p>
      <w:pPr>
        <w:ind w:right="40" w:firstLine="428"/>
        <w:spacing w:after="0" w:line="227" w:lineRule="auto"/>
        <w:rPr>
          <w:sz w:val="20"/>
          <w:szCs w:val="20"/>
          <w:color w:val="auto"/>
        </w:rPr>
      </w:pPr>
      <w:r>
        <w:rPr>
          <w:rFonts w:ascii="Times New Roman" w:cs="Times New Roman" w:eastAsia="Times New Roman" w:hAnsi="Times New Roman"/>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condensed consolidated balance sheets include the following amounts as a result of the consolidation of TRI as of August 2, 2020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February 2, 2020</w:t>
            </w:r>
          </w:p>
        </w:tc>
      </w:tr>
      <w:tr>
        <w:trPr>
          <w:trHeight w:val="196"/>
        </w:trPr>
        <w:tc>
          <w:tcPr>
            <w:tcW w:w="7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25,671</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25,981</w:t>
            </w:r>
          </w:p>
        </w:tc>
      </w:tr>
      <w:tr>
        <w:trPr>
          <w:trHeight w:val="183"/>
        </w:trPr>
        <w:tc>
          <w:tcPr>
            <w:tcW w:w="746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25,992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26,260</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9"/>
        </w:trPr>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27,778</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2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r>
      <w:tr>
        <w:trPr>
          <w:trHeight w:val="183"/>
        </w:trPr>
        <w:tc>
          <w:tcPr>
            <w:tcW w:w="74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25,992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26,260</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173" w:lineRule="exact"/>
        <w:rPr>
          <w:sz w:val="20"/>
          <w:szCs w:val="20"/>
          <w:color w:val="auto"/>
        </w:rPr>
      </w:pPr>
    </w:p>
    <w:p>
      <w:pPr>
        <w:ind w:firstLine="428"/>
        <w:spacing w:after="0" w:line="230" w:lineRule="auto"/>
        <w:rPr>
          <w:sz w:val="20"/>
          <w:szCs w:val="20"/>
          <w:color w:val="auto"/>
        </w:rPr>
      </w:pPr>
      <w:r>
        <w:rPr>
          <w:rFonts w:ascii="Times New Roman" w:cs="Times New Roman" w:eastAsia="Times New Roman" w:hAnsi="Times New Roman"/>
          <w:sz w:val="18"/>
          <w:szCs w:val="18"/>
          <w:color w:val="auto"/>
        </w:rPr>
        <w:t>Earnings (loss)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(loss) per share is based on the weighted average number of common shares outstanding for the period. Diluted earnings (loss)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(loss) per share unless considered anti-dilutive. The reconciliation of the numerator and denominator of the basic and diluted earnings (loss) per share calculation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22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00" w:type="dxa"/>
            <w:vAlign w:val="bottom"/>
          </w:tcPr>
          <w:p>
            <w:pPr>
              <w:spacing w:after="0"/>
              <w:rPr>
                <w:sz w:val="15"/>
                <w:szCs w:val="15"/>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220" w:type="dxa"/>
            <w:vAlign w:val="bottom"/>
          </w:tcPr>
          <w:p>
            <w:pPr>
              <w:spacing w:after="0"/>
              <w:rPr>
                <w:sz w:val="15"/>
                <w:szCs w:val="15"/>
                <w:color w:val="auto"/>
              </w:rPr>
            </w:pPr>
          </w:p>
        </w:tc>
        <w:tc>
          <w:tcPr>
            <w:tcW w:w="13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 net income (loss) attributable to</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(9,194)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Denominator - weighted average shares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and Class B)</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shares</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32,445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32,399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32,408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32,253</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 (Class A and Class B)</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43"/>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21"/>
                <w:szCs w:val="21"/>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553"/>
        </w:trPr>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16" w:lineRule="exact"/>
        <w:rPr>
          <w:sz w:val="20"/>
          <w:szCs w:val="20"/>
          <w:color w:val="auto"/>
        </w:rPr>
      </w:pPr>
    </w:p>
    <w:p>
      <w:pPr>
        <w:ind w:right="100" w:firstLine="492"/>
        <w:spacing w:after="0" w:line="232" w:lineRule="auto"/>
        <w:rPr>
          <w:sz w:val="20"/>
          <w:szCs w:val="20"/>
          <w:color w:val="auto"/>
        </w:rPr>
      </w:pPr>
      <w:r>
        <w:rPr>
          <w:rFonts w:ascii="Times New Roman" w:cs="Times New Roman" w:eastAsia="Times New Roman" w:hAnsi="Times New Roman"/>
          <w:sz w:val="18"/>
          <w:szCs w:val="18"/>
          <w:color w:val="auto"/>
        </w:rPr>
        <w:t>The computation of diluted earnings (loss) per share excluded (0.1) million shares of unvested restricted stock for the three months ended August 2, 2020, because the inclusion of dilutive potential common shares outstanding would be anti-dilutive. The computation of diluted earnings (loss) per share excluded (0.1) million and 0.2 million shares of unvested restricted stock for the six months ended August 2, 2020 and August 4, 2019, respectively because their inclusion would be anti-dilutive due to a net loss.</w:t>
      </w:r>
    </w:p>
    <w:p>
      <w:pPr>
        <w:spacing w:after="0" w:line="3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73" w:lineRule="exact"/>
        <w:rPr>
          <w:sz w:val="20"/>
          <w:szCs w:val="20"/>
          <w:color w:val="auto"/>
        </w:rPr>
      </w:pPr>
    </w:p>
    <w:p>
      <w:pPr>
        <w:ind w:right="320" w:firstLine="428"/>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w:t>
      </w:r>
    </w:p>
    <w:p>
      <w:pPr>
        <w:spacing w:after="0" w:line="119" w:lineRule="exact"/>
        <w:rPr>
          <w:sz w:val="20"/>
          <w:szCs w:val="20"/>
          <w:color w:val="auto"/>
        </w:rPr>
      </w:pPr>
    </w:p>
    <w:p>
      <w:pPr>
        <w:jc w:val="both"/>
        <w:ind w:firstLine="428"/>
        <w:spacing w:after="0" w:line="236"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was $0.4 million and $0.8 for the three and six months ended August 2, 2020, respectively and $0.5 million and $0.9 million for the three and six months ended August 4, 2019, respectively. The Company’s total stock compensation expense is included in selling, general and administrative expenses on the Condensed Consolidated Statements of Operations.</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activity in the Company’s unvested restricted stock during the six months ended August 2, 2020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30"/>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3"/>
        </w:trPr>
        <w:tc>
          <w:tcPr>
            <w:tcW w:w="8380" w:type="dxa"/>
            <w:vAlign w:val="bottom"/>
          </w:tcPr>
          <w:p>
            <w:pPr>
              <w:spacing w:after="0"/>
              <w:rPr>
                <w:sz w:val="18"/>
                <w:szCs w:val="18"/>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8"/>
                <w:szCs w:val="18"/>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09"/>
        </w:trPr>
        <w:tc>
          <w:tcPr>
            <w:tcW w:w="8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February 2,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192,094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278,675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9"/>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(111,654)</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(15,996)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196"/>
        </w:trPr>
        <w:tc>
          <w:tcPr>
            <w:tcW w:w="8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 at August 2, 2020</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343,119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12.02</w:t>
            </w:r>
          </w:p>
        </w:tc>
      </w:tr>
      <w:tr>
        <w:trPr>
          <w:trHeight w:val="20"/>
        </w:trPr>
        <w:tc>
          <w:tcPr>
            <w:tcW w:w="8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80" w:firstLine="428"/>
        <w:spacing w:after="0" w:line="250" w:lineRule="auto"/>
        <w:rPr>
          <w:sz w:val="20"/>
          <w:szCs w:val="20"/>
          <w:color w:val="auto"/>
        </w:rPr>
      </w:pPr>
      <w:r>
        <w:rPr>
          <w:rFonts w:ascii="Times New Roman" w:cs="Times New Roman" w:eastAsia="Times New Roman" w:hAnsi="Times New Roman"/>
          <w:sz w:val="18"/>
          <w:szCs w:val="18"/>
          <w:color w:val="auto"/>
        </w:rPr>
        <w:t>At August 2, 2020, the Company had unrecognized compensation expense of $2.8 million related to the restricted stock awards, which is expected to be recognized over a weighted average period of 3.2 years.</w:t>
      </w:r>
    </w:p>
    <w:p>
      <w:pPr>
        <w:spacing w:after="0" w:line="3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220" w:type="dxa"/>
            <w:vAlign w:val="bottom"/>
          </w:tcPr>
          <w:p>
            <w:pPr>
              <w:spacing w:after="0"/>
              <w:rPr>
                <w:sz w:val="15"/>
                <w:szCs w:val="15"/>
                <w:color w:val="auto"/>
              </w:rPr>
            </w:pPr>
          </w:p>
        </w:tc>
        <w:tc>
          <w:tcPr>
            <w:tcW w:w="15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February 2, 2020</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42,757</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35,903</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Software</w:t>
            </w:r>
          </w:p>
        </w:tc>
        <w:tc>
          <w:tcPr>
            <w:tcW w:w="3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30,718</w:t>
            </w: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185,724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184,527</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(63,811)</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(53,255)</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121,913</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131,272</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0" w:type="dxa"/>
            <w:vAlign w:val="bottom"/>
          </w:tcPr>
          <w:p>
            <w:pPr>
              <w:spacing w:after="0"/>
              <w:rPr>
                <w:sz w:val="1"/>
                <w:szCs w:val="1"/>
                <w:color w:val="auto"/>
              </w:rPr>
            </w:pPr>
          </w:p>
        </w:tc>
      </w:tr>
      <w:tr>
        <w:trPr>
          <w:trHeight w:val="183"/>
        </w:trPr>
        <w:tc>
          <w:tcPr>
            <w:tcW w:w="434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Property and equipment, net</w:t>
            </w:r>
          </w:p>
        </w:tc>
        <w:tc>
          <w:tcPr>
            <w:tcW w:w="3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136,448</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137,071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14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43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3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2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REVENUE</w:t>
      </w:r>
    </w:p>
    <w:p>
      <w:pPr>
        <w:spacing w:after="0" w:line="162" w:lineRule="exact"/>
        <w:rPr>
          <w:sz w:val="20"/>
          <w:szCs w:val="20"/>
          <w:color w:val="auto"/>
        </w:rPr>
      </w:pPr>
    </w:p>
    <w:p>
      <w:pPr>
        <w:ind w:right="220" w:firstLine="570"/>
        <w:spacing w:after="0" w:line="229"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distribution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Sales disaggregated based upon sales channel is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9"/>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8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80" w:type="dxa"/>
            <w:vAlign w:val="bottom"/>
          </w:tcPr>
          <w:p>
            <w:pPr>
              <w:spacing w:after="0"/>
              <w:rPr>
                <w:sz w:val="18"/>
                <w:szCs w:val="18"/>
                <w:color w:val="auto"/>
              </w:rPr>
            </w:pPr>
          </w:p>
        </w:tc>
        <w:tc>
          <w:tcPr>
            <w:tcW w:w="12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August 4, 2019</w:t>
            </w: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2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187,111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125,968</w:t>
            </w:r>
          </w:p>
        </w:tc>
      </w:tr>
      <w:tr>
        <w:trPr>
          <w:trHeight w:val="230"/>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Stores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36,794</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61,696</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60,181</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110,239</w:t>
            </w:r>
          </w:p>
        </w:tc>
      </w:tr>
      <w:tr>
        <w:trPr>
          <w:trHeight w:val="196"/>
        </w:trPr>
        <w:tc>
          <w:tcPr>
            <w:tcW w:w="48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137,375</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121,963</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247,292</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236,207</w:t>
            </w: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62" w:lineRule="exact"/>
        <w:rPr>
          <w:sz w:val="20"/>
          <w:szCs w:val="20"/>
          <w:color w:val="auto"/>
        </w:rPr>
      </w:pPr>
    </w:p>
    <w:p>
      <w:pPr>
        <w:ind w:right="160" w:firstLine="492"/>
        <w:spacing w:after="0" w:line="229" w:lineRule="auto"/>
        <w:rPr>
          <w:sz w:val="20"/>
          <w:szCs w:val="20"/>
          <w:color w:val="auto"/>
        </w:rPr>
      </w:pPr>
      <w:r>
        <w:rPr>
          <w:rFonts w:ascii="Times New Roman" w:cs="Times New Roman" w:eastAsia="Times New Roman" w:hAnsi="Times New Roman"/>
          <w:sz w:val="18"/>
          <w:szCs w:val="18"/>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Contract assets and liabilities on the Company’s consolidated balance sheets are presented in the following table: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February 2, 2020</w:t>
            </w:r>
          </w:p>
        </w:tc>
      </w:tr>
      <w:tr>
        <w:trPr>
          <w:trHeight w:val="196"/>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w:t>
            </w:r>
          </w:p>
        </w:tc>
      </w:tr>
    </w:tbl>
    <w:p>
      <w:pPr>
        <w:spacing w:after="0" w:line="314" w:lineRule="exact"/>
        <w:rPr>
          <w:sz w:val="20"/>
          <w:szCs w:val="20"/>
          <w:color w:val="auto"/>
        </w:rPr>
      </w:pPr>
    </w:p>
    <w:p>
      <w:pPr>
        <w:ind w:right="120" w:firstLine="570"/>
        <w:spacing w:after="0" w:line="232" w:lineRule="auto"/>
        <w:rPr>
          <w:sz w:val="20"/>
          <w:szCs w:val="20"/>
          <w:color w:val="auto"/>
        </w:rPr>
      </w:pPr>
      <w:r>
        <w:rPr>
          <w:rFonts w:ascii="Times New Roman" w:cs="Times New Roman" w:eastAsia="Times New Roman" w:hAnsi="Times New Roman"/>
          <w:sz w:val="18"/>
          <w:szCs w:val="18"/>
          <w:color w:val="auto"/>
        </w:rPr>
        <w:t>Revenue from gift cards is recognized when the gift card is redeemed by the customer for merchandise, or as a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 for the six months ended: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4360" w:type="dxa"/>
            <w:vAlign w:val="bottom"/>
            <w:gridSpan w:val="2"/>
            <w:shd w:val="clear" w:color="auto" w:fill="CCEEFF"/>
          </w:tcPr>
          <w:p>
            <w:pPr>
              <w:jc w:val="right"/>
              <w:ind w:right="13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2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28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2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as of end of period</w:t>
            </w:r>
          </w:p>
        </w:tc>
        <w:tc>
          <w:tcPr>
            <w:tcW w:w="2840" w:type="dxa"/>
            <w:vAlign w:val="bottom"/>
            <w:tcBorders>
              <w:top w:val="single" w:sz="8" w:color="CCEEFF"/>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ind w:right="136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6,930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84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19</w:t>
            </w: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9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9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23"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ind w:right="20" w:firstLine="428"/>
        <w:spacing w:after="0" w:line="229" w:lineRule="auto"/>
        <w:rPr>
          <w:sz w:val="20"/>
          <w:szCs w:val="20"/>
          <w:color w:val="auto"/>
        </w:rPr>
      </w:pPr>
      <w:r>
        <w:rPr>
          <w:rFonts w:ascii="Times New Roman" w:cs="Times New Roman" w:eastAsia="Times New Roman" w:hAnsi="Times New Roman"/>
          <w:sz w:val="18"/>
          <w:szCs w:val="18"/>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24% for the three months ended August 2, 2020 and 26% for the six months ended August 2, 2020 and 26% for the three and six months ended August 4, 2019. The income from TRI was excluded from the calculation of the Company’s effective tax rate, as TRI is a limited liability company and not subject to income taxes.</w:t>
      </w:r>
    </w:p>
    <w:p>
      <w:pPr>
        <w:spacing w:after="0" w:line="147" w:lineRule="exact"/>
        <w:rPr>
          <w:sz w:val="20"/>
          <w:szCs w:val="20"/>
          <w:color w:val="auto"/>
        </w:rPr>
      </w:pPr>
    </w:p>
    <w:p>
      <w:pPr>
        <w:ind w:right="20" w:firstLine="428"/>
        <w:spacing w:after="0" w:line="227" w:lineRule="auto"/>
        <w:rPr>
          <w:sz w:val="20"/>
          <w:szCs w:val="20"/>
          <w:color w:val="auto"/>
        </w:rPr>
      </w:pPr>
      <w:r>
        <w:rPr>
          <w:rFonts w:ascii="Times New Roman" w:cs="Times New Roman" w:eastAsia="Times New Roman" w:hAnsi="Times New Roman"/>
          <w:sz w:val="18"/>
          <w:szCs w:val="18"/>
          <w:color w:val="auto"/>
        </w:rPr>
        <w:t>On March 27, 2020 the United States enacted the CARES Act (the “Act”) to combat the negative economic impact of COVID-19. The CARES Act includes several provisions aimed at assisting corporate taxpayers, including correcting the drafting error from the Tax Cuts and Jobs Act related to the tax life for qualified improvement property, loosening of the interest deduction limitation in the 2019 and 2020 tax years and including the allowance of a five year carryback for net operating losses originating in the 2018, 2019 and 2020 tax years. The effective tax rate for the three and six months ended August 2, 2020 was not materially impacted by the Act, but the Company continues to evaluate the Act’s provisions and how certain decisions may impact the Company’s financial position, results of operations and disclosures in future periods.</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60" w:lineRule="exact"/>
        <w:rPr>
          <w:sz w:val="20"/>
          <w:szCs w:val="20"/>
          <w:color w:val="auto"/>
        </w:rPr>
      </w:pPr>
    </w:p>
    <w:p>
      <w:pPr>
        <w:ind w:firstLine="440"/>
        <w:spacing w:after="0" w:line="225"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No. 2016-13 </w:t>
      </w:r>
      <w:r>
        <w:rPr>
          <w:rFonts w:ascii="Times New Roman" w:cs="Times New Roman" w:eastAsia="Times New Roman" w:hAnsi="Times New Roman"/>
          <w:sz w:val="18"/>
          <w:szCs w:val="18"/>
          <w:i w:val="1"/>
          <w:iCs w:val="1"/>
          <w:color w:val="auto"/>
        </w:rPr>
        <w:t>“Financial Instruments-Credit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on Financial Instruments,” </w:t>
      </w:r>
      <w:r>
        <w:rPr>
          <w:rFonts w:ascii="Times New Roman" w:cs="Times New Roman" w:eastAsia="Times New Roman" w:hAnsi="Times New Roman"/>
          <w:sz w:val="18"/>
          <w:szCs w:val="18"/>
          <w:color w:val="auto"/>
        </w:rPr>
        <w:t>(“ASU 2016-13”), which amends the impairment model by requiring entities to use a forward-looking approach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 addition, this guidance changes the recognition for credit losses on available-for-sale debt securities, which can occur as a result of market and credit risk and requires additional disclosures. On November 15, 2019, the FASB issued ASU No. 2019-10 </w:t>
      </w:r>
      <w:r>
        <w:rPr>
          <w:rFonts w:ascii="Times New Roman" w:cs="Times New Roman" w:eastAsia="Times New Roman" w:hAnsi="Times New Roman"/>
          <w:sz w:val="18"/>
          <w:szCs w:val="18"/>
          <w:i w:val="1"/>
          <w:iCs w:val="1"/>
          <w:color w:val="auto"/>
        </w:rPr>
        <w:t>“Financial Instruments-Credit Losses (Topic 326),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(Topic 815, and Leases (Topic 842),” </w:t>
      </w:r>
      <w:r>
        <w:rPr>
          <w:rFonts w:ascii="Times New Roman" w:cs="Times New Roman" w:eastAsia="Times New Roman" w:hAnsi="Times New Roman"/>
          <w:sz w:val="18"/>
          <w:szCs w:val="18"/>
          <w:color w:val="auto"/>
        </w:rPr>
        <w:t>(ASU 2019-10”), which provides framework to stagger effective dates for future major accounting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expects to adopt ASU 2016-13 on January 30, 2023, the first day of the Company’s first quarter for the fiscal year ending January 28, 2024, the Company’s fiscal year 2023. The Company is evaluating the level of impact adopting ASU 2016-13 will have on the Company’s consolidated financial statements.</w:t>
      </w:r>
    </w:p>
    <w:p>
      <w:pPr>
        <w:spacing w:after="0" w:line="14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62" w:lineRule="exact"/>
        <w:rPr>
          <w:sz w:val="20"/>
          <w:szCs w:val="20"/>
          <w:color w:val="auto"/>
        </w:rPr>
      </w:pPr>
    </w:p>
    <w:p>
      <w:pPr>
        <w:ind w:right="80" w:firstLine="428"/>
        <w:spacing w:after="0" w:line="250"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which these condensed consolidated financial statements were available to be issued and has determined that it does not have any material subsequent events to disclose in these condensed consolidated financial statements.</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9" w:lineRule="exact"/>
        <w:rPr>
          <w:sz w:val="20"/>
          <w:szCs w:val="20"/>
          <w:color w:val="auto"/>
        </w:rPr>
      </w:pPr>
    </w:p>
    <w:p>
      <w:pPr>
        <w:ind w:right="20" w:firstLine="428"/>
        <w:spacing w:after="0" w:line="243"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February 2, 2020 (“2019 Form 10-K”).</w:t>
      </w:r>
    </w:p>
    <w:p>
      <w:pPr>
        <w:spacing w:after="0" w:line="146" w:lineRule="exact"/>
        <w:rPr>
          <w:sz w:val="20"/>
          <w:szCs w:val="20"/>
          <w:color w:val="auto"/>
        </w:rPr>
      </w:pPr>
    </w:p>
    <w:p>
      <w:pPr>
        <w:jc w:val="both"/>
        <w:ind w:right="280" w:firstLine="428"/>
        <w:spacing w:after="0" w:line="264" w:lineRule="auto"/>
        <w:rPr>
          <w:sz w:val="20"/>
          <w:szCs w:val="20"/>
          <w:color w:val="auto"/>
        </w:rPr>
      </w:pPr>
      <w:r>
        <w:rPr>
          <w:rFonts w:ascii="Times New Roman" w:cs="Times New Roman" w:eastAsia="Times New Roman" w:hAnsi="Times New Roman"/>
          <w:sz w:val="14"/>
          <w:szCs w:val="14"/>
          <w:i w:val="1"/>
          <w:iCs w:val="1"/>
          <w:color w:val="auto"/>
        </w:rPr>
        <w:t>The Company’s fiscal year ends on the Sunday nearest to January 31 of the following year. Fiscal 2020 is a 52-week period and ends on January 31, 2021. Fiscal 2019 was a 52-week period and ended on February 2, 2020. The three and six months of fiscal 2020 and fiscal 2019 represent our 13 and 26-week periods ended August 2, 2020 and August 4, 2019, respectively.</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Unless the context indicates otherwise, the terms the “Company,” “Duluth,” “Duluth Trading,” “we,” “our,” or “us” are used to refer to Duluth Holdings Inc.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firstLine="428"/>
        <w:spacing w:after="0" w:line="22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including the risks and uncertainties described under Part I, Item 1A “Risk Factors,” in our 2019 Form 10-K, Part II, Item 1A “Risk Factors” in our first quarter Form 10-Q and in this report on Form 10-Q and other SEC filings, which factors are incorporated by reference herein. These risks and uncertainties include, but are not limited to, the following: adverse changes in the economy or business conditions, including the adverse effects of the COVID-19 pandemic; prolonged effects of the COVID-19 on store traffic and disruptions to our distribution network, supply chains and operations; our ability to maintain and enhance a strong brand image; our ability to successfully open new stores; effectively adapting to new challenges associated with our expansion into new geographic markets; generating adequate cash from our existing stores to support our growth; the inability to maintain the performance of a maturing store portfolio; the impact of changes in corporate tax regulations; identifying and responding to new and changing customer preferences; the success of the locations in which our stores are located; our ability to attract and retain customers in the various retail venues and locations in which our stores are located;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natural disasters, unusually adverse weather conditions, boycotts and unanticipated events; increases in costs of fuel or other energy, transportation or utility costs and in the costs of labor and employment; failure of our information technology systems to support our current and growing business, before and after our planned upgrades; and other factors that may be disclosed in our SEC filings or otherwise.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34" w:lineRule="exact"/>
        <w:rPr>
          <w:sz w:val="20"/>
          <w:szCs w:val="20"/>
          <w:color w:val="auto"/>
        </w:rPr>
      </w:pPr>
    </w:p>
    <w:p>
      <w:pPr>
        <w:ind w:right="1180" w:firstLine="428"/>
        <w:spacing w:after="0" w:line="430" w:lineRule="auto"/>
        <w:rPr>
          <w:sz w:val="20"/>
          <w:szCs w:val="20"/>
          <w:color w:val="auto"/>
        </w:rPr>
      </w:pPr>
      <w:r>
        <w:rPr>
          <w:rFonts w:ascii="Times New Roman" w:cs="Times New Roman" w:eastAsia="Times New Roman" w:hAnsi="Times New Roman"/>
          <w:sz w:val="18"/>
          <w:szCs w:val="18"/>
          <w:color w:val="auto"/>
        </w:rPr>
        <w:t xml:space="preserve">We undertake no obligation to update or revise these forward-looking statements, except as required under the federal securities laws.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jc w:val="both"/>
        <w:ind w:right="160" w:firstLine="428"/>
        <w:spacing w:after="0" w:line="236" w:lineRule="auto"/>
        <w:rPr>
          <w:sz w:val="20"/>
          <w:szCs w:val="20"/>
          <w:color w:val="auto"/>
        </w:rPr>
      </w:pPr>
      <w:r>
        <w:rPr>
          <w:rFonts w:ascii="Times New Roman" w:cs="Times New Roman" w:eastAsia="Times New Roman" w:hAnsi="Times New Roman"/>
          <w:sz w:val="18"/>
          <w:szCs w:val="18"/>
          <w:color w:val="auto"/>
        </w:rPr>
        <w:t>We are a lifestyle brand of men’s and women’s casual wear, workwear and accessories sold exclusively through our own omnichannel platform. We offer products nationwide through our website and catalog. In 2010, we initiated our omnichannel platform with the opening of our first store. Since then, we have expanded our retail presence, and as of August 2, 2020, we operated 59 retail store and three outlet stores.</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offer a comprehensive line of innovative, durable and functional products, such as our Longtail 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shirts, Buck Naked</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underwear, Fire Hose</w:t>
      </w:r>
      <w:r>
        <w:rPr>
          <w:rFonts w:ascii="Times New Roman" w:cs="Times New Roman" w:eastAsia="Times New Roman" w:hAnsi="Times New Roman"/>
          <w:sz w:val="23"/>
          <w:szCs w:val="23"/>
          <w:color w:val="auto"/>
          <w:vertAlign w:val="superscript"/>
        </w:rPr>
        <w:t>®</w:t>
      </w:r>
    </w:p>
    <w:p>
      <w:pPr>
        <w:ind w:right="220"/>
        <w:spacing w:after="0" w:line="205" w:lineRule="auto"/>
        <w:rPr>
          <w:sz w:val="20"/>
          <w:szCs w:val="20"/>
          <w:color w:val="auto"/>
        </w:rPr>
      </w:pPr>
      <w:r>
        <w:rPr>
          <w:rFonts w:ascii="Times New Roman" w:cs="Times New Roman" w:eastAsia="Times New Roman" w:hAnsi="Times New Roman"/>
          <w:sz w:val="18"/>
          <w:szCs w:val="18"/>
          <w:color w:val="auto"/>
        </w:rPr>
        <w:t>work pants, and No-Yank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20" w:firstLine="428"/>
        <w:spacing w:after="0" w:line="232"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spacing w:after="0" w:line="77" w:lineRule="exact"/>
        <w:rPr>
          <w:sz w:val="20"/>
          <w:szCs w:val="20"/>
          <w:color w:val="auto"/>
        </w:rPr>
      </w:pPr>
    </w:p>
    <w:p>
      <w:pPr>
        <w:ind w:left="880" w:right="280"/>
        <w:spacing w:after="0" w:line="266" w:lineRule="auto"/>
        <w:rPr>
          <w:sz w:val="20"/>
          <w:szCs w:val="20"/>
          <w:color w:val="auto"/>
        </w:rPr>
      </w:pPr>
      <w:r>
        <w:rPr>
          <w:rFonts w:ascii="Times New Roman" w:cs="Times New Roman" w:eastAsia="Times New Roman" w:hAnsi="Times New Roman"/>
          <w:sz w:val="18"/>
          <w:szCs w:val="18"/>
          <w:color w:val="auto"/>
        </w:rPr>
        <w:t>Net sales in fiscal 2020 second quarter increased by 12.6% over the prior year second quarter to $137.4 million, and net sales in the first six months of fiscal 2020 increased by 4.7% over the first six months of the prior year to $247.3 million;</w:t>
      </w:r>
    </w:p>
    <w:p>
      <w:pPr>
        <w:spacing w:after="0" w:line="27" w:lineRule="exact"/>
        <w:rPr>
          <w:sz w:val="20"/>
          <w:szCs w:val="20"/>
          <w:color w:val="auto"/>
        </w:rPr>
      </w:pPr>
    </w:p>
    <w:p>
      <w:pPr>
        <w:ind w:left="880" w:right="160"/>
        <w:spacing w:after="0" w:line="266" w:lineRule="auto"/>
        <w:rPr>
          <w:sz w:val="20"/>
          <w:szCs w:val="20"/>
          <w:color w:val="auto"/>
        </w:rPr>
      </w:pPr>
      <w:r>
        <w:rPr>
          <w:rFonts w:ascii="Times New Roman" w:cs="Times New Roman" w:eastAsia="Times New Roman" w:hAnsi="Times New Roman"/>
          <w:sz w:val="18"/>
          <w:szCs w:val="18"/>
          <w:color w:val="auto"/>
        </w:rPr>
        <w:t>Net income of $5.9 million in fiscal 2020 second quarter compared to the prior year second quarter net income of $1.9 million and net loss in the first six months of fiscal 2020 of $9.2 million compared to the net loss in the first six months of fiscal 2019 of $5.6 million; and</w:t>
      </w:r>
    </w:p>
    <w:p>
      <w:pPr>
        <w:spacing w:after="0" w:line="14" w:lineRule="exact"/>
        <w:rPr>
          <w:sz w:val="20"/>
          <w:szCs w:val="20"/>
          <w:color w:val="auto"/>
        </w:rPr>
      </w:pPr>
    </w:p>
    <w:p>
      <w:pPr>
        <w:ind w:left="880" w:right="240"/>
        <w:spacing w:after="0" w:line="242" w:lineRule="auto"/>
        <w:rPr>
          <w:sz w:val="20"/>
          <w:szCs w:val="20"/>
          <w:color w:val="auto"/>
        </w:rPr>
      </w:pPr>
      <w:r>
        <w:rPr>
          <w:rFonts w:ascii="Times New Roman" w:cs="Times New Roman" w:eastAsia="Times New Roman" w:hAnsi="Times New Roman"/>
          <w:sz w:val="18"/>
          <w:szCs w:val="18"/>
          <w:color w:val="auto"/>
        </w:rPr>
        <w:t>Adjusted EBITDA increased by 75.3% to $16.8 million in fiscal 2020 second quarter compared to the prior year second quarter Adjusted EBITDA of $9.6 million and adjusted EBITDA in the first six months of fiscal 2020 increased by 9.6% over the first six months of the prior year to $5.2 million.</w:t>
      </w:r>
    </w:p>
    <w:p>
      <w:pPr>
        <w:spacing w:after="0" w:line="143" w:lineRule="exact"/>
        <w:rPr>
          <w:sz w:val="20"/>
          <w:szCs w:val="20"/>
          <w:color w:val="auto"/>
        </w:rPr>
      </w:pPr>
    </w:p>
    <w:p>
      <w:pPr>
        <w:ind w:right="80" w:firstLine="402"/>
        <w:spacing w:after="0" w:line="236" w:lineRule="auto"/>
        <w:rPr>
          <w:sz w:val="20"/>
          <w:szCs w:val="20"/>
          <w:color w:val="auto"/>
        </w:rPr>
      </w:pPr>
      <w:r>
        <w:rPr>
          <w:rFonts w:ascii="Times New Roman" w:cs="Times New Roman" w:eastAsia="Times New Roman" w:hAnsi="Times New Roman"/>
          <w:sz w:val="18"/>
          <w:szCs w:val="18"/>
          <w:color w:val="auto"/>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32" w:lineRule="exact"/>
        <w:rPr>
          <w:sz w:val="20"/>
          <w:szCs w:val="20"/>
          <w:color w:val="auto"/>
        </w:rPr>
      </w:pPr>
    </w:p>
    <w:p>
      <w:pPr>
        <w:ind w:right="160" w:firstLine="428"/>
        <w:spacing w:after="0" w:line="250" w:lineRule="auto"/>
        <w:rPr>
          <w:sz w:val="20"/>
          <w:szCs w:val="20"/>
          <w:color w:val="auto"/>
        </w:rPr>
      </w:pPr>
      <w:r>
        <w:rPr>
          <w:rFonts w:ascii="Times New Roman" w:cs="Times New Roman" w:eastAsia="Times New Roman" w:hAnsi="Times New Roman"/>
          <w:sz w:val="18"/>
          <w:szCs w:val="18"/>
          <w:color w:val="auto"/>
        </w:rPr>
        <w:t>Our business is seasonal, and as a result, our net sales fluctuate from quarter to quarter, which often affects the comparability of our results between quarters. Net sales are historically higher in the fourth quarter of our fiscal year due to the holiday selling season.</w:t>
      </w:r>
    </w:p>
    <w:p>
      <w:pPr>
        <w:spacing w:after="0" w:line="122" w:lineRule="exact"/>
        <w:rPr>
          <w:sz w:val="20"/>
          <w:szCs w:val="20"/>
          <w:color w:val="auto"/>
        </w:rPr>
      </w:pPr>
    </w:p>
    <w:p>
      <w:pPr>
        <w:ind w:firstLine="428"/>
        <w:spacing w:after="0" w:line="236" w:lineRule="auto"/>
        <w:rPr>
          <w:sz w:val="20"/>
          <w:szCs w:val="20"/>
          <w:color w:val="auto"/>
        </w:rPr>
      </w:pPr>
      <w:r>
        <w:rPr>
          <w:rFonts w:ascii="Times New Roman" w:cs="Times New Roman" w:eastAsia="Times New Roman" w:hAnsi="Times New Roman"/>
          <w:sz w:val="18"/>
          <w:szCs w:val="18"/>
          <w:color w:val="auto"/>
        </w:rPr>
        <w:t>With an emphasis on profitability we are pursuing several strategies to continue our growth, including building brand awareness to continue customer acquisition, continuing selective retail expansion, selectively broadening assortments in certain men’s product categories and growing our women’s business.</w:t>
      </w:r>
    </w:p>
    <w:p>
      <w:pPr>
        <w:spacing w:after="0" w:line="145" w:lineRule="exact"/>
        <w:rPr>
          <w:sz w:val="20"/>
          <w:szCs w:val="20"/>
          <w:color w:val="auto"/>
        </w:rPr>
      </w:pPr>
    </w:p>
    <w:p>
      <w:pPr>
        <w:ind w:right="40" w:firstLine="428"/>
        <w:spacing w:after="0" w:line="227" w:lineRule="auto"/>
        <w:rPr>
          <w:sz w:val="20"/>
          <w:szCs w:val="20"/>
          <w:color w:val="auto"/>
        </w:rPr>
      </w:pPr>
      <w:r>
        <w:rPr>
          <w:rFonts w:ascii="Times New Roman" w:cs="Times New Roman" w:eastAsia="Times New Roman" w:hAnsi="Times New Roman"/>
          <w:sz w:val="18"/>
          <w:szCs w:val="18"/>
          <w:color w:val="auto"/>
        </w:rPr>
        <w:t>We continue to grow our omnichannel distribution network which allows the consumer to interact with us through a consistent customer experience whether on the company website or at company stores. As we expand our distribution network, and in conjunction with assessing the similar nature of products sold, production process, distribution process, target customers and economic characteristics between our sales channels, we have determined that the historical structure of separate reporting segments for direct and retail was no longer representative of the way in which we manage our business. Therefore, as of February 3, 2020, we have updated our segment reporting to one reportable external segment, consistent with our omnichannel business approach.</w:t>
      </w:r>
    </w:p>
    <w:p>
      <w:pPr>
        <w:spacing w:after="0" w:line="135" w:lineRule="exact"/>
        <w:rPr>
          <w:sz w:val="20"/>
          <w:szCs w:val="20"/>
          <w:color w:val="auto"/>
        </w:rPr>
      </w:pPr>
    </w:p>
    <w:p>
      <w:pPr>
        <w:ind w:right="80" w:firstLine="428"/>
        <w:spacing w:after="0" w:line="236" w:lineRule="auto"/>
        <w:rPr>
          <w:sz w:val="20"/>
          <w:szCs w:val="20"/>
          <w:color w:val="auto"/>
        </w:rPr>
      </w:pPr>
      <w:r>
        <w:rPr>
          <w:rFonts w:ascii="Times New Roman" w:cs="Times New Roman" w:eastAsia="Times New Roman" w:hAnsi="Times New Roman"/>
          <w:sz w:val="18"/>
          <w:szCs w:val="18"/>
          <w:color w:val="auto"/>
        </w:rPr>
        <w:t>Our management’s discussion and analysis includes market sales metrics for our retail stores, website and catalog sales. Market areas are determined by a third-party that divides the United States and Puerto Rico into 280 unique geographical areas. Our store market sales metrics include sales from our retail stores, website and catalog. Our non-store market sales metrics include sales from our website and catalog.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75" w:lineRule="exact"/>
        <w:rPr>
          <w:sz w:val="20"/>
          <w:szCs w:val="20"/>
          <w:color w:val="auto"/>
        </w:rPr>
      </w:pPr>
    </w:p>
    <w:p>
      <w:pPr>
        <w:ind w:right="100" w:firstLine="492"/>
        <w:spacing w:after="0" w:line="236" w:lineRule="auto"/>
        <w:rPr>
          <w:sz w:val="20"/>
          <w:szCs w:val="20"/>
          <w:color w:val="auto"/>
        </w:rPr>
      </w:pPr>
      <w:r>
        <w:rPr>
          <w:rFonts w:ascii="Times New Roman" w:cs="Times New Roman" w:eastAsia="Times New Roman" w:hAnsi="Times New Roman"/>
          <w:sz w:val="18"/>
          <w:szCs w:val="18"/>
          <w:color w:val="auto"/>
        </w:rPr>
        <w:t>In March 2020, a novel strain of coronavirus (“COVID-19”) was declared a global pandemic by the World Health Organization. This pandemic has negatively affected the U.S. and global economies, disrupted global supply chains and financial markets, led to significant travel and transportation restrictions, including mandatory business closures and orders to shelter in place.</w:t>
      </w:r>
    </w:p>
    <w:p>
      <w:pPr>
        <w:spacing w:after="0" w:line="132" w:lineRule="exact"/>
        <w:rPr>
          <w:sz w:val="20"/>
          <w:szCs w:val="20"/>
          <w:color w:val="auto"/>
        </w:rPr>
      </w:pPr>
    </w:p>
    <w:p>
      <w:pPr>
        <w:jc w:val="both"/>
        <w:ind w:right="240" w:firstLine="492"/>
        <w:spacing w:after="0" w:line="236" w:lineRule="auto"/>
        <w:rPr>
          <w:sz w:val="20"/>
          <w:szCs w:val="20"/>
          <w:color w:val="auto"/>
        </w:rPr>
      </w:pPr>
      <w:r>
        <w:rPr>
          <w:rFonts w:ascii="Times New Roman" w:cs="Times New Roman" w:eastAsia="Times New Roman" w:hAnsi="Times New Roman"/>
          <w:sz w:val="18"/>
          <w:szCs w:val="18"/>
          <w:color w:val="auto"/>
        </w:rPr>
        <w:t>The Company has focused on protecting the health and safety of our employees, customers and suppliers, working with our customers, landlords, suppliers and vendors to minimize potential disruptions and supporting our community, while managing our business in these unprecedented times. The Company took the following significant actions during the first fiscal quarter as a response to the pandemic:</w:t>
      </w:r>
    </w:p>
    <w:p>
      <w:pPr>
        <w:spacing w:after="0" w:line="5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Beginning March 20, 2020 temporarily closed all stores for a period of seven weeks;</w:t>
      </w:r>
    </w:p>
    <w:p>
      <w:pPr>
        <w:spacing w:after="0" w:line="77" w:lineRule="exact"/>
        <w:rPr>
          <w:sz w:val="20"/>
          <w:szCs w:val="20"/>
          <w:color w:val="auto"/>
        </w:rPr>
      </w:pPr>
    </w:p>
    <w:p>
      <w:pPr>
        <w:ind w:left="880" w:right="3700"/>
        <w:spacing w:after="0" w:line="344" w:lineRule="auto"/>
        <w:rPr>
          <w:sz w:val="20"/>
          <w:szCs w:val="20"/>
          <w:color w:val="auto"/>
        </w:rPr>
      </w:pPr>
      <w:r>
        <w:rPr>
          <w:rFonts w:ascii="Times New Roman" w:cs="Times New Roman" w:eastAsia="Times New Roman" w:hAnsi="Times New Roman"/>
          <w:sz w:val="18"/>
          <w:szCs w:val="18"/>
          <w:color w:val="auto"/>
        </w:rPr>
        <w:t>Made operational changes to accommodate social distancing within our distribution centers; Made work from home accommodations for corporate employees;</w:t>
      </w:r>
    </w:p>
    <w:p>
      <w:pPr>
        <w:spacing w:after="0" w:line="1" w:lineRule="exact"/>
        <w:rPr>
          <w:sz w:val="20"/>
          <w:szCs w:val="20"/>
          <w:color w:val="auto"/>
        </w:rPr>
      </w:pPr>
    </w:p>
    <w:p>
      <w:pPr>
        <w:ind w:left="880" w:right="20"/>
        <w:spacing w:after="0" w:line="266" w:lineRule="auto"/>
        <w:rPr>
          <w:sz w:val="20"/>
          <w:szCs w:val="20"/>
          <w:color w:val="auto"/>
        </w:rPr>
      </w:pPr>
      <w:r>
        <w:rPr>
          <w:rFonts w:ascii="Times New Roman" w:cs="Times New Roman" w:eastAsia="Times New Roman" w:hAnsi="Times New Roman"/>
          <w:sz w:val="18"/>
          <w:szCs w:val="18"/>
          <w:color w:val="auto"/>
        </w:rPr>
        <w:t>Amended our Credit Agreement to include an incremental delayed draw term loan of $20.5 million and amended the loan covenants to provide greater flexibility during peak borrowing periods in fiscal 2020;</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Partnered with landlords, suppliers and vendors to materially reduce costs, extend payment terms and cancel merchandise receipts;</w:t>
      </w:r>
    </w:p>
    <w:p>
      <w:pPr>
        <w:spacing w:after="0" w:line="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Initiated furloughs of varying lengths with benefits intact for 68% of salaried staff;</w:t>
      </w:r>
    </w:p>
    <w:p>
      <w:pPr>
        <w:spacing w:after="0" w:line="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Began a six-month pay reduction for senior leadership ranging from 10 to 20 percent;</w:t>
      </w:r>
    </w:p>
    <w:p>
      <w:pPr>
        <w:spacing w:after="0" w:line="77" w:lineRule="exact"/>
        <w:rPr>
          <w:sz w:val="20"/>
          <w:szCs w:val="20"/>
          <w:color w:val="auto"/>
        </w:rPr>
      </w:pPr>
    </w:p>
    <w:p>
      <w:pPr>
        <w:ind w:left="880" w:right="60"/>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(“CEO”) agreed to temporarily forgo his base salary starting March 22, 2020 through the end of fiscal 2020;</w:t>
      </w:r>
    </w:p>
    <w:p>
      <w:pPr>
        <w:spacing w:after="0" w:line="27" w:lineRule="exact"/>
        <w:rPr>
          <w:sz w:val="20"/>
          <w:szCs w:val="20"/>
          <w:color w:val="auto"/>
        </w:rPr>
      </w:pPr>
    </w:p>
    <w:p>
      <w:pPr>
        <w:ind w:left="880" w:right="1960"/>
        <w:spacing w:after="0" w:line="376" w:lineRule="auto"/>
        <w:rPr>
          <w:sz w:val="20"/>
          <w:szCs w:val="20"/>
          <w:color w:val="auto"/>
        </w:rPr>
      </w:pPr>
      <w:r>
        <w:rPr>
          <w:rFonts w:ascii="Times New Roman" w:cs="Times New Roman" w:eastAsia="Times New Roman" w:hAnsi="Times New Roman"/>
          <w:sz w:val="18"/>
          <w:szCs w:val="18"/>
          <w:color w:val="auto"/>
        </w:rPr>
        <w:t>Reduced planned capital spend levels by 50% primarily by decreasing new store openings to four in fiscal 2020; and Partnered with the American Red Cross to donate a portion of proceeds on key apparel items.</w:t>
      </w:r>
    </w:p>
    <w:p>
      <w:pPr>
        <w:spacing w:after="0" w:line="26" w:lineRule="exact"/>
        <w:rPr>
          <w:sz w:val="20"/>
          <w:szCs w:val="20"/>
          <w:color w:val="auto"/>
        </w:rPr>
      </w:pPr>
    </w:p>
    <w:p>
      <w:pPr>
        <w:ind w:firstLine="492"/>
        <w:spacing w:after="0" w:line="229" w:lineRule="auto"/>
        <w:rPr>
          <w:sz w:val="20"/>
          <w:szCs w:val="20"/>
          <w:color w:val="auto"/>
        </w:rPr>
      </w:pPr>
      <w:r>
        <w:rPr>
          <w:rFonts w:ascii="Times New Roman" w:cs="Times New Roman" w:eastAsia="Times New Roman" w:hAnsi="Times New Roman"/>
          <w:sz w:val="18"/>
          <w:szCs w:val="18"/>
          <w:color w:val="auto"/>
        </w:rPr>
        <w:t>While the business environment and above actions have impacted our results for the first half of the fiscal year, our strong brand awareness and loyal customer base were evident by a continued surge in direct sales and improved profitability during the second fiscal quarter. As of June 15, 2020, all of our 62 retail stores have re-opened in some capacity, but prolonged COVID-19 safety concerns are expected to keep store traffic at subdued levels through fiscal 2020. In light of the Company’s better than expected year-to-date performance, the Board of Directors has decided to reinstate the Company’s CEO’s base salary effective October 19, 2020. Senior leadership’s pay reduction will also expire as originally planned on October 19, 2020.</w:t>
      </w:r>
    </w:p>
    <w:p>
      <w:pPr>
        <w:spacing w:after="0" w:line="133" w:lineRule="exact"/>
        <w:rPr>
          <w:sz w:val="20"/>
          <w:szCs w:val="20"/>
          <w:color w:val="auto"/>
        </w:rPr>
      </w:pPr>
    </w:p>
    <w:p>
      <w:pPr>
        <w:ind w:right="80" w:firstLine="492"/>
        <w:spacing w:after="0" w:line="232" w:lineRule="auto"/>
        <w:rPr>
          <w:sz w:val="20"/>
          <w:szCs w:val="20"/>
          <w:color w:val="auto"/>
        </w:rPr>
      </w:pPr>
      <w:r>
        <w:rPr>
          <w:rFonts w:ascii="Times New Roman" w:cs="Times New Roman" w:eastAsia="Times New Roman" w:hAnsi="Times New Roman"/>
          <w:sz w:val="18"/>
          <w:szCs w:val="18"/>
          <w:color w:val="auto"/>
        </w:rPr>
        <w:t>The ultimate impact of COVID-19 on our operational and financial performance still depends on future developments outside of our control, including the duration and spread of the pandemic and related actions taken by federal, state and local government officials, and international governments to prevent disease spread. Given the uncertainty, we cannot reasonably estimate store traffic patterns and the prolonged impact on overall consumer demand. We continue to actively evaluate all federal, state and local regulations to ensure compliance with store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5" w:lineRule="exact"/>
        <w:rPr>
          <w:sz w:val="20"/>
          <w:szCs w:val="20"/>
          <w:color w:val="auto"/>
        </w:rPr>
      </w:pPr>
    </w:p>
    <w:p>
      <w:pPr>
        <w:ind w:right="20" w:firstLine="428"/>
        <w:spacing w:after="0" w:line="229"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Direct-to-consumer sales are recognized upon shipment of the product and retail store sales are recognized at the point of sale. We also use net sales as one of the key financial metrics in determining our annual bonus compensation for our employees. The shipping thresholds allocated to us by our primary delivery provider, United Parcel Service (“UPS”), may not be sufficient for anticipated sales volume in the third and fourth quarter, which may affect our sales. We are considering adding additional shipping partners to mitigate these constraints on our shipping capacity.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ind w:firstLine="428"/>
        <w:spacing w:after="0" w:line="223"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Given the size of our sales through our direct-to-consumer sales channel relative to our total net sales, shipping and handling revenue has had a significant impact on our gross profit and gross profit margin. Historically, this revenue has partially offset shipping and handling expense included in selling, general and administrative expenses. We have experienced declines in shipping and handling revenues, and this trend is expected to continue.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ind w:right="20" w:firstLine="428"/>
        <w:spacing w:after="0" w:line="227"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8" w:lineRule="exact"/>
        <w:rPr>
          <w:sz w:val="20"/>
          <w:szCs w:val="20"/>
          <w:color w:val="auto"/>
        </w:rPr>
      </w:pPr>
    </w:p>
    <w:p>
      <w:pPr>
        <w:ind w:firstLine="428"/>
        <w:spacing w:after="0" w:line="227" w:lineRule="auto"/>
        <w:rPr>
          <w:sz w:val="20"/>
          <w:szCs w:val="20"/>
          <w:color w:val="auto"/>
        </w:rPr>
      </w:pPr>
      <w:r>
        <w:rPr>
          <w:rFonts w:ascii="Times New Roman" w:cs="Times New Roman" w:eastAsia="Times New Roman" w:hAnsi="Times New Roman"/>
          <w:sz w:val="18"/>
          <w:szCs w:val="18"/>
          <w:color w:val="auto"/>
        </w:rPr>
        <w:t>Our historical sales growth has been accompanied by increased selling, general and administrative expenses. The most significant components of these increases are advertising, marketing, rent/occupancy and payroll costs. While we expect these expenses to increase as we continue to open new stores, increase brand awareness and grow our organization to support our growing business, we believe these expenses will decrease as a percentage of sales over time. Our shipping and handling expenses are also expected to increase in the third and fourth quarter, in part because of additional surcharges during our peak holiday shopping season due to the expected strained distribution network. Management is considering adding additional shipping partners and working closely with UPS to mitigate the effect of these surcharges.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ind w:right="120" w:firstLine="428"/>
        <w:spacing w:after="0" w:line="232"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5" w:lineRule="exact"/>
        <w:rPr>
          <w:sz w:val="20"/>
          <w:szCs w:val="20"/>
          <w:color w:val="auto"/>
        </w:rPr>
      </w:pPr>
    </w:p>
    <w:p>
      <w:pPr>
        <w:ind w:right="20" w:firstLine="428"/>
        <w:spacing w:after="0" w:line="226" w:lineRule="auto"/>
        <w:rPr>
          <w:sz w:val="20"/>
          <w:szCs w:val="20"/>
          <w:color w:val="auto"/>
        </w:rPr>
      </w:pPr>
      <w:r>
        <w:rPr>
          <w:rFonts w:ascii="Times New Roman" w:cs="Times New Roman" w:eastAsia="Times New Roman" w:hAnsi="Times New Roman"/>
          <w:sz w:val="18"/>
          <w:szCs w:val="18"/>
          <w:color w:val="auto"/>
        </w:rPr>
        <w:t>We define Adjusted EBITDA as consolidated net income (loss)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unaudited consolidated results of operations for the periods indicated, both in dollars and as a percentage of net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236,207</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64,903</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122,488</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110,485</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133,986</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132,091</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4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5,941</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1,936</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(9,194)</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(5,636)</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9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right="4500"/>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Three Months Ended August 2, 2020 Compared to Three Months Ended August 4, 2019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ind w:right="240" w:firstLine="428"/>
        <w:spacing w:after="0" w:line="279" w:lineRule="auto"/>
        <w:rPr>
          <w:sz w:val="20"/>
          <w:szCs w:val="20"/>
          <w:color w:val="auto"/>
        </w:rPr>
      </w:pPr>
      <w:r>
        <w:rPr>
          <w:rFonts w:ascii="Times New Roman" w:cs="Times New Roman" w:eastAsia="Times New Roman" w:hAnsi="Times New Roman"/>
          <w:sz w:val="17"/>
          <w:szCs w:val="17"/>
          <w:color w:val="auto"/>
        </w:rPr>
        <w:t>Net sales increased $15.4 million, or 12.6%, to $137.4 million in the three months ended August 2, 2020 compared to $122.0 million in the three months ended August 4, 2019. The increase was primarily due to an increase in non-store market sales slightly offset by a decrease in store market sales.</w:t>
      </w:r>
    </w:p>
    <w:p>
      <w:pPr>
        <w:spacing w:after="0" w:line="99" w:lineRule="exact"/>
        <w:rPr>
          <w:sz w:val="20"/>
          <w:szCs w:val="20"/>
          <w:color w:val="auto"/>
        </w:rPr>
      </w:pPr>
    </w:p>
    <w:p>
      <w:pPr>
        <w:ind w:right="80" w:firstLine="428"/>
        <w:spacing w:after="0" w:line="227" w:lineRule="auto"/>
        <w:rPr>
          <w:sz w:val="20"/>
          <w:szCs w:val="20"/>
          <w:color w:val="auto"/>
        </w:rPr>
      </w:pPr>
      <w:r>
        <w:rPr>
          <w:rFonts w:ascii="Times New Roman" w:cs="Times New Roman" w:eastAsia="Times New Roman" w:hAnsi="Times New Roman"/>
          <w:sz w:val="18"/>
          <w:szCs w:val="18"/>
          <w:color w:val="auto"/>
        </w:rPr>
        <w:t>Non-store market sales increased $17.3 million, or 58.6%, to $46.8 million in the three months ended August 2, 2020 compared to $29.5 million in the three months ended August 4, 2019. The increase was driven by an increase in digital advertising to promote our Mother’s Day, Father’s Day and online warehouse clearance events. Store market sales decreased $1.6 million, or 1.8%, to $89.2 million in the three months ended August 2, 2020 compared to $90.9 million in the three months ended August 4, 2019. The decrease was due to the temporary closure of stores that continued from the first fiscal quarter until they re-opened beginning in the first week of May through the third week of June, partially offset by an increase in existing customers shifting from buying in-store to buying online.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firstLine="428"/>
        <w:spacing w:after="0" w:line="223" w:lineRule="auto"/>
        <w:rPr>
          <w:sz w:val="20"/>
          <w:szCs w:val="20"/>
          <w:color w:val="auto"/>
        </w:rPr>
      </w:pPr>
      <w:r>
        <w:rPr>
          <w:rFonts w:ascii="Times New Roman" w:cs="Times New Roman" w:eastAsia="Times New Roman" w:hAnsi="Times New Roman"/>
          <w:sz w:val="18"/>
          <w:szCs w:val="18"/>
          <w:color w:val="auto"/>
        </w:rPr>
        <w:t>Gross profit increased $7.7 million, or 11.8%, to $72.5 million in the three months ended August 2, 2020 compared to $64.8 million in the three months ended August 4, 2019. As a percentage of net sales, gross margin decreased to 52.8% of net sales in the three months ended August 2, 2020, compared to 53.1% of net sales in the three months ended August 4, 2019. The decrease in gross margin rate was driven by promotional, clearance and sitewide sales events to continue moving inventory during the period of slower store traffic and uncertainty in customer demand. The decrease was partially offset by reduced store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7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delivery costs from lower store sales volumes, lower product returns as well as favorable retail physical inventory count results during the three months ended August 2, 2020 as compared to the three months ended August 4, 2019.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jc w:val="both"/>
        <w:ind w:firstLine="428"/>
        <w:spacing w:after="0" w:line="232" w:lineRule="auto"/>
        <w:rPr>
          <w:sz w:val="20"/>
          <w:szCs w:val="20"/>
          <w:color w:val="auto"/>
        </w:rPr>
      </w:pPr>
      <w:r>
        <w:rPr>
          <w:rFonts w:ascii="Times New Roman" w:cs="Times New Roman" w:eastAsia="Times New Roman" w:hAnsi="Times New Roman"/>
          <w:sz w:val="18"/>
          <w:szCs w:val="18"/>
          <w:color w:val="auto"/>
        </w:rPr>
        <w:t>Selling, general and administrative expenses increased $1.6 million, or 2.6%, to $62.7 million in the three months ended August 2, 2020 compared to $61.1 million in the three months ended August 4, 2019. Selling, general and administrative expenses as a percentage of net sales decreased to 45.6% in the three months ended August 2, 2020, compared to 50.1% in the three months ended August 4, 2019. The positive leverage was primarily due to shifting to a more efficient digital marketing approach as customer purchasing patterns migrated to online.</w:t>
      </w:r>
    </w:p>
    <w:p>
      <w:pPr>
        <w:spacing w:after="0" w:line="145" w:lineRule="exact"/>
        <w:rPr>
          <w:sz w:val="20"/>
          <w:szCs w:val="20"/>
          <w:color w:val="auto"/>
        </w:rPr>
      </w:pPr>
    </w:p>
    <w:p>
      <w:pPr>
        <w:ind w:right="100" w:firstLine="428"/>
        <w:spacing w:after="0" w:line="236"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was due to increased shipping costs to support website sales, higher retail overhead costs driven by new store growth and increased depreciation expense associated with investments in technology, partially offset by reduced catalog spend and national TV advertising.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2" w:lineRule="exact"/>
        <w:rPr>
          <w:sz w:val="20"/>
          <w:szCs w:val="20"/>
          <w:color w:val="auto"/>
        </w:rPr>
      </w:pPr>
    </w:p>
    <w:p>
      <w:pPr>
        <w:ind w:right="40" w:firstLine="428"/>
        <w:spacing w:after="0" w:line="236" w:lineRule="auto"/>
        <w:rPr>
          <w:sz w:val="20"/>
          <w:szCs w:val="20"/>
          <w:color w:val="auto"/>
        </w:rPr>
      </w:pPr>
      <w:r>
        <w:rPr>
          <w:rFonts w:ascii="Times New Roman" w:cs="Times New Roman" w:eastAsia="Times New Roman" w:hAnsi="Times New Roman"/>
          <w:sz w:val="18"/>
          <w:szCs w:val="18"/>
          <w:color w:val="auto"/>
        </w:rPr>
        <w:t>Income tax expense was $1.9 million in the three months ended August 2, 2020, compared to $0.7 million in the three months ended August 4, 2019. Our effective tax rate related to controlling interest was 24% for the three months ended August 2, 2020 compared to 26% for the three months ended August 4, 2019.</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62" w:lineRule="exact"/>
        <w:rPr>
          <w:sz w:val="20"/>
          <w:szCs w:val="20"/>
          <w:color w:val="auto"/>
        </w:rPr>
      </w:pPr>
    </w:p>
    <w:p>
      <w:pPr>
        <w:ind w:right="60" w:firstLine="428"/>
        <w:spacing w:after="0" w:line="250" w:lineRule="auto"/>
        <w:rPr>
          <w:sz w:val="20"/>
          <w:szCs w:val="20"/>
          <w:color w:val="auto"/>
        </w:rPr>
      </w:pPr>
      <w:r>
        <w:rPr>
          <w:rFonts w:ascii="Times New Roman" w:cs="Times New Roman" w:eastAsia="Times New Roman" w:hAnsi="Times New Roman"/>
          <w:sz w:val="18"/>
          <w:szCs w:val="18"/>
          <w:color w:val="auto"/>
        </w:rPr>
        <w:t>Net income was $5.9 million, in the three months ended August 2, 2020 compared to net income of $1.9 million in the three months ended August 4, 2019, primarily due to the factors discussed above.</w:t>
      </w:r>
    </w:p>
    <w:p>
      <w:pPr>
        <w:spacing w:after="0" w:line="200" w:lineRule="exact"/>
        <w:rPr>
          <w:sz w:val="20"/>
          <w:szCs w:val="20"/>
          <w:color w:val="auto"/>
        </w:rPr>
      </w:pPr>
    </w:p>
    <w:p>
      <w:pPr>
        <w:spacing w:after="0" w:line="296" w:lineRule="exact"/>
        <w:rPr>
          <w:sz w:val="20"/>
          <w:szCs w:val="20"/>
          <w:color w:val="auto"/>
        </w:rPr>
      </w:pPr>
    </w:p>
    <w:p>
      <w:pPr>
        <w:ind w:right="4920"/>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Six Months Ended August 2, 2020 Compared to Six Months Ended August 4, 2019 </w:t>
      </w:r>
      <w:r>
        <w:rPr>
          <w:rFonts w:ascii="Times New Roman" w:cs="Times New Roman" w:eastAsia="Times New Roman" w:hAnsi="Times New Roman"/>
          <w:sz w:val="18"/>
          <w:szCs w:val="18"/>
          <w:b w:val="1"/>
          <w:bCs w:val="1"/>
          <w:i w:val="1"/>
          <w:iCs w:val="1"/>
          <w:color w:val="auto"/>
        </w:rPr>
        <w:t>Net Sales</w:t>
      </w:r>
    </w:p>
    <w:p>
      <w:pPr>
        <w:spacing w:after="0" w:line="2" w:lineRule="exact"/>
        <w:rPr>
          <w:sz w:val="20"/>
          <w:szCs w:val="20"/>
          <w:color w:val="auto"/>
        </w:rPr>
      </w:pPr>
    </w:p>
    <w:p>
      <w:pPr>
        <w:ind w:right="180" w:firstLine="428"/>
        <w:spacing w:after="0" w:line="250" w:lineRule="auto"/>
        <w:rPr>
          <w:sz w:val="20"/>
          <w:szCs w:val="20"/>
          <w:color w:val="auto"/>
        </w:rPr>
      </w:pPr>
      <w:r>
        <w:rPr>
          <w:rFonts w:ascii="Times New Roman" w:cs="Times New Roman" w:eastAsia="Times New Roman" w:hAnsi="Times New Roman"/>
          <w:sz w:val="18"/>
          <w:szCs w:val="18"/>
          <w:color w:val="auto"/>
        </w:rPr>
        <w:t>Net sales increased $11.1 million, or 4.7%, to $247.3 million in the six months ended August 2, 2020 compared to $236.2 million in the six months ended August 4, 2019. The increase was primarily due to an increase in non-store market sales slightly offset by a decrease in store market sales.</w:t>
      </w:r>
    </w:p>
    <w:p>
      <w:pPr>
        <w:spacing w:after="0" w:line="136" w:lineRule="exact"/>
        <w:rPr>
          <w:sz w:val="20"/>
          <w:szCs w:val="20"/>
          <w:color w:val="auto"/>
        </w:rPr>
      </w:pPr>
    </w:p>
    <w:p>
      <w:pPr>
        <w:ind w:right="80" w:firstLine="428"/>
        <w:spacing w:after="0" w:line="227" w:lineRule="auto"/>
        <w:rPr>
          <w:sz w:val="20"/>
          <w:szCs w:val="20"/>
          <w:color w:val="auto"/>
        </w:rPr>
      </w:pPr>
      <w:r>
        <w:rPr>
          <w:rFonts w:ascii="Times New Roman" w:cs="Times New Roman" w:eastAsia="Times New Roman" w:hAnsi="Times New Roman"/>
          <w:sz w:val="18"/>
          <w:szCs w:val="18"/>
          <w:color w:val="auto"/>
        </w:rPr>
        <w:t>Non-store market sales increased $25.9 million, or 41.7%, to $88.2 million in the six months ended August 2, 2020 compared to $62.3 million in the six months ended August 4, 2019. The increase was also primarily driven by an increase in digital advertising to promote our Mother’s Day, Father’s Day, online warehouse clearance and global sales events, coupled with extended free shipping offers. Store market sales decreased $14.2 million, or 8.3%, to $156.4 million in the six months ended August 2, 2020 compared to $170.6 million in the six months ended August 4, 2019. The decrease was due to the temporary closure of all stores beginning on March 20, 2020 until they re-opened beginning in the first week of May through the third week of June, partially offset by an increase in existing customers shifting from buying in-store to buying online.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ind w:right="20" w:firstLine="428"/>
        <w:spacing w:after="0" w:line="232" w:lineRule="auto"/>
        <w:rPr>
          <w:sz w:val="20"/>
          <w:szCs w:val="20"/>
          <w:color w:val="auto"/>
        </w:rPr>
      </w:pPr>
      <w:r>
        <w:rPr>
          <w:rFonts w:ascii="Times New Roman" w:cs="Times New Roman" w:eastAsia="Times New Roman" w:hAnsi="Times New Roman"/>
          <w:sz w:val="18"/>
          <w:szCs w:val="18"/>
          <w:color w:val="auto"/>
        </w:rPr>
        <w:t>Gross profit decreased $0.9 million, or 0.7%, to $124.8 million in the six months ended August 2, 2020 compared to $125.7 million in the six months ended August 4, 2020. As a percentage of net sales, gross margin decreased to 50.5% of net sales in the six months ended August 2, 2020, compared to 53.2% of net sales in the six months ended August 4, 2019. The decrease in gross margin rate was driven by promotional events, extending clearance events and sitewide sales events to continue moving inventory during the period of store closures and uncertainty in customer demand.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jc w:val="both"/>
        <w:ind w:right="60" w:firstLine="428"/>
        <w:spacing w:after="0" w:line="236" w:lineRule="auto"/>
        <w:rPr>
          <w:sz w:val="20"/>
          <w:szCs w:val="20"/>
          <w:color w:val="auto"/>
        </w:rPr>
      </w:pPr>
      <w:r>
        <w:rPr>
          <w:rFonts w:ascii="Times New Roman" w:cs="Times New Roman" w:eastAsia="Times New Roman" w:hAnsi="Times New Roman"/>
          <w:sz w:val="18"/>
          <w:szCs w:val="18"/>
          <w:color w:val="auto"/>
        </w:rPr>
        <w:t>Selling, general and administrative expenses increased $1.9 million, or 1.4%, to $134.0 million in the six months ended August 2, 2020 compared to $132.1 million in the six months ended August 4, 2019. Selling, general and administrative expenses as a percentage of net sales decreased to 54.2% in the six months ended August 2, 2020, compared to 55.9% in the six months ended August 4, 2019.</w:t>
      </w:r>
    </w:p>
    <w:p>
      <w:pPr>
        <w:spacing w:after="0" w:line="132" w:lineRule="exact"/>
        <w:rPr>
          <w:sz w:val="20"/>
          <w:szCs w:val="20"/>
          <w:color w:val="auto"/>
        </w:rPr>
      </w:pPr>
    </w:p>
    <w:p>
      <w:pPr>
        <w:jc w:val="center"/>
        <w:ind w:left="340" w:right="420"/>
        <w:spacing w:after="0" w:line="250" w:lineRule="auto"/>
        <w:rPr>
          <w:sz w:val="20"/>
          <w:szCs w:val="20"/>
          <w:color w:val="auto"/>
        </w:rPr>
      </w:pPr>
      <w:r>
        <w:rPr>
          <w:rFonts w:ascii="Times New Roman" w:cs="Times New Roman" w:eastAsia="Times New Roman" w:hAnsi="Times New Roman"/>
          <w:sz w:val="18"/>
          <w:szCs w:val="18"/>
          <w:color w:val="auto"/>
        </w:rPr>
        <w:t>The drivers of the increase in selling, general and administrative expense were consistent with those for the three months ended August 2, 2020.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62" w:lineRule="exact"/>
        <w:rPr>
          <w:sz w:val="20"/>
          <w:szCs w:val="20"/>
          <w:color w:val="auto"/>
        </w:rPr>
      </w:pPr>
    </w:p>
    <w:p>
      <w:pPr>
        <w:jc w:val="both"/>
        <w:ind w:right="60" w:firstLine="428"/>
        <w:spacing w:after="0" w:line="279" w:lineRule="auto"/>
        <w:rPr>
          <w:sz w:val="20"/>
          <w:szCs w:val="20"/>
          <w:color w:val="auto"/>
        </w:rPr>
      </w:pPr>
      <w:r>
        <w:rPr>
          <w:rFonts w:ascii="Times New Roman" w:cs="Times New Roman" w:eastAsia="Times New Roman" w:hAnsi="Times New Roman"/>
          <w:sz w:val="17"/>
          <w:szCs w:val="17"/>
          <w:color w:val="auto"/>
        </w:rPr>
        <w:t>Income tax benefit was $3.2 million in the six months ended August 2, 2020, compared to $2.0 million in the six months ended August 4, 2019. Our effective tax rate related to controlling interest was 26% for both the six months ended August 2, 2020, and six months ended August 4, 2019,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62"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Net loss was $9.2 million, in the six months ended August 2, 2020 compared to $5.6 million in the six months ended August 4, 2019, primarily due to the factors discussed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EBITDA and EBITDA to Adjusted EBITDA</w:t>
      </w:r>
    </w:p>
    <w:p>
      <w:pPr>
        <w:spacing w:after="0" w:line="175" w:lineRule="exact"/>
        <w:rPr>
          <w:sz w:val="20"/>
          <w:szCs w:val="20"/>
          <w:color w:val="auto"/>
        </w:rPr>
      </w:pPr>
    </w:p>
    <w:p>
      <w:pPr>
        <w:jc w:val="both"/>
        <w:ind w:right="100" w:firstLine="428"/>
        <w:spacing w:after="0" w:line="236" w:lineRule="auto"/>
        <w:rPr>
          <w:sz w:val="20"/>
          <w:szCs w:val="20"/>
          <w:color w:val="auto"/>
        </w:rPr>
      </w:pPr>
      <w:r>
        <w:rPr>
          <w:rFonts w:ascii="Times New Roman" w:cs="Times New Roman" w:eastAsia="Times New Roman" w:hAnsi="Times New Roman"/>
          <w:sz w:val="18"/>
          <w:szCs w:val="18"/>
          <w:color w:val="auto"/>
        </w:rPr>
        <w:t>The following table presents reconciliations of net income (loss) to EBITDA and EBITDA to Adjusted EBITDA, both of which are non-U.S. 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5"/>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4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0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August 4, 2019</w:t>
            </w: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(9,281)</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r>
      <w:tr>
        <w:trPr>
          <w:trHeight w:val="238"/>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build-to-suit operating leases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1"/>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contribution</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r>
      <w:tr>
        <w:trPr>
          <w:trHeight w:val="196"/>
        </w:trPr>
        <w:tc>
          <w:tcPr>
            <w:tcW w:w="4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EBITDA</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16,343</w:t>
            </w:r>
          </w:p>
        </w:tc>
        <w:tc>
          <w:tcPr>
            <w:tcW w:w="18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9,005</w:t>
            </w:r>
          </w:p>
        </w:tc>
        <w:tc>
          <w:tcPr>
            <w:tcW w:w="18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4,316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3,711</w:t>
            </w: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183"/>
        </w:trPr>
        <w:tc>
          <w:tcPr>
            <w:tcW w:w="4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bottom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16,761</w:t>
            </w: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9,560</w:t>
            </w: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5,197</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4,740</w:t>
            </w: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40" w:firstLine="428"/>
        <w:spacing w:after="0" w:line="232"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increased $7.2 million, or 75.3%, to $16.8 million in the three months ended August 2, 2020 compared to $9.6 million in the three months ended August 4, 2019. As a percentage of net sales, Adjusted EBITDA increased to 12.2% of net sales in the three months ended August 2, 2020 compared to 7.8% of net sales in the three months ended August 4, 2019.</w:t>
      </w:r>
    </w:p>
    <w:p>
      <w:pPr>
        <w:spacing w:after="0" w:line="145" w:lineRule="exact"/>
        <w:rPr>
          <w:sz w:val="20"/>
          <w:szCs w:val="20"/>
          <w:color w:val="auto"/>
        </w:rPr>
      </w:pPr>
    </w:p>
    <w:p>
      <w:pPr>
        <w:jc w:val="both"/>
        <w:ind w:right="60" w:firstLine="428"/>
        <w:spacing w:after="0" w:line="236"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increased $0.5 million, or 9.6%, to $5.2 million in the six months ended August 2, 2020 compared to $4.7 million in the six months ended August 4, 2019. As a percentage of net sales, Adjusted EBITDA increased to 2.1% of net sales in the six months ended August 2, 2020 compared to 2.0% of net sales in the six months ended August 4, 2019.</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right="140" w:firstLine="428"/>
        <w:spacing w:after="0" w:line="232" w:lineRule="auto"/>
        <w:rPr>
          <w:sz w:val="20"/>
          <w:szCs w:val="20"/>
          <w:color w:val="auto"/>
        </w:rPr>
      </w:pPr>
      <w:r>
        <w:rPr>
          <w:rFonts w:ascii="Times New Roman" w:cs="Times New Roman" w:eastAsia="Times New Roman" w:hAnsi="Times New Roman"/>
          <w:sz w:val="18"/>
          <w:szCs w:val="18"/>
          <w:color w:val="auto"/>
        </w:rPr>
        <w:t>Our business relies on cash from operating activities and a credit facility as our primary sources of liquidity. Our primary cash needs have been for inventory, marketing and advertising, payroll, store leases, capital expenditures associated with opening new stores, infrastructure and information technology. The most significant components of our working capital are cash, inventory, accounts payable and other current liabilities. At August 2, 2020, our net working capital was $117.7 million, including $19.0 million of cash and cash equivalents.</w:t>
      </w:r>
    </w:p>
    <w:p>
      <w:pPr>
        <w:spacing w:after="0" w:line="131" w:lineRule="exact"/>
        <w:rPr>
          <w:sz w:val="20"/>
          <w:szCs w:val="20"/>
          <w:color w:val="auto"/>
        </w:rPr>
      </w:pPr>
    </w:p>
    <w:p>
      <w:pPr>
        <w:ind w:right="20" w:firstLine="428"/>
        <w:spacing w:after="0" w:line="223" w:lineRule="auto"/>
        <w:rPr>
          <w:sz w:val="20"/>
          <w:szCs w:val="20"/>
          <w:color w:val="auto"/>
        </w:rPr>
      </w:pPr>
      <w:r>
        <w:rPr>
          <w:rFonts w:ascii="Times New Roman" w:cs="Times New Roman" w:eastAsia="Times New Roman" w:hAnsi="Times New Roman"/>
          <w:sz w:val="18"/>
          <w:szCs w:val="18"/>
          <w:color w:val="auto"/>
        </w:rPr>
        <w:t>We continue to expect to spend approximately $15.0 million in fiscal 2020 on capital expenditures, which is a 50% reduction from the beginning of the fiscal year plan. Capital expenditures includes a total of approximately $8.0 million for new retail store expansion and point of sale upgrades. We expect capital expenditures of approximately $2.0 million and starting inventory of $0.5 million to open a new store.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w:t>
      </w: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60" w:firstLine="428"/>
        <w:spacing w:after="0" w:line="250" w:lineRule="auto"/>
        <w:rPr>
          <w:sz w:val="20"/>
          <w:szCs w:val="20"/>
          <w:color w:val="auto"/>
        </w:rPr>
      </w:pPr>
      <w:r>
        <w:rPr>
          <w:rFonts w:ascii="Times New Roman" w:cs="Times New Roman" w:eastAsia="Times New Roman" w:hAnsi="Times New Roman"/>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60" w:type="dxa"/>
            <w:vAlign w:val="bottom"/>
            <w:tcBorders>
              <w:bottom w:val="single" w:sz="8" w:color="auto"/>
            </w:tcBorders>
          </w:tcPr>
          <w:p>
            <w:pPr>
              <w:spacing w:after="0"/>
              <w:rPr>
                <w:sz w:val="15"/>
                <w:szCs w:val="15"/>
                <w:color w:val="auto"/>
              </w:rPr>
            </w:pPr>
          </w:p>
        </w:tc>
      </w:tr>
      <w:tr>
        <w:trPr>
          <w:trHeight w:val="183"/>
        </w:trPr>
        <w:tc>
          <w:tcPr>
            <w:tcW w:w="7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August 4, 2019</w:t>
            </w:r>
          </w:p>
        </w:tc>
      </w:tr>
      <w:tr>
        <w:trPr>
          <w:trHeight w:val="250"/>
        </w:trPr>
        <w:tc>
          <w:tcPr>
            <w:tcW w:w="7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3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(12,802)</w:t>
            </w:r>
          </w:p>
        </w:tc>
        <w:tc>
          <w:tcPr>
            <w:tcW w:w="48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w:t>
            </w:r>
          </w:p>
        </w:tc>
      </w:tr>
      <w:tr>
        <w:trPr>
          <w:trHeight w:val="22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(9,135)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(16,713)</w:t>
            </w:r>
          </w:p>
        </w:tc>
      </w:tr>
      <w:tr>
        <w:trPr>
          <w:trHeight w:val="23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38,865</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27,829</w:t>
            </w:r>
          </w:p>
        </w:tc>
      </w:tr>
      <w:tr>
        <w:trPr>
          <w:trHeight w:val="196"/>
        </w:trPr>
        <w:tc>
          <w:tcPr>
            <w:tcW w:w="7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16,928</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3,071</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75" w:lineRule="exact"/>
        <w:rPr>
          <w:sz w:val="20"/>
          <w:szCs w:val="20"/>
          <w:color w:val="auto"/>
        </w:rPr>
      </w:pPr>
    </w:p>
    <w:p>
      <w:pPr>
        <w:jc w:val="both"/>
        <w:ind w:firstLine="428"/>
        <w:spacing w:after="0" w:line="250"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include depreciation and amortization, stock-based compensation and the effect of changes in operating assets and liabilities.</w:t>
      </w:r>
    </w:p>
    <w:p>
      <w:pPr>
        <w:spacing w:after="0" w:line="122" w:lineRule="exact"/>
        <w:rPr>
          <w:sz w:val="20"/>
          <w:szCs w:val="20"/>
          <w:color w:val="auto"/>
        </w:rPr>
      </w:pPr>
    </w:p>
    <w:p>
      <w:pPr>
        <w:jc w:val="both"/>
        <w:ind w:right="480" w:firstLine="428"/>
        <w:spacing w:after="0" w:line="236" w:lineRule="auto"/>
        <w:rPr>
          <w:sz w:val="20"/>
          <w:szCs w:val="20"/>
          <w:color w:val="auto"/>
        </w:rPr>
      </w:pPr>
      <w:r>
        <w:rPr>
          <w:rFonts w:ascii="Times New Roman" w:cs="Times New Roman" w:eastAsia="Times New Roman" w:hAnsi="Times New Roman"/>
          <w:sz w:val="18"/>
          <w:szCs w:val="18"/>
          <w:color w:val="auto"/>
        </w:rPr>
        <w:t>While our cash flows from operations for the six months ended August 2, 2020 is negative, due in part to COVID-19 and in part to the seasonal nature of our business, we expect cash flows from operations for the full year fiscal 2020 to be positive based on operating performance and seasonal reductions in working capital during the fourth quarter of our fiscal year, which is consistent with previous full fiscal years.</w:t>
      </w:r>
    </w:p>
    <w:p>
      <w:pPr>
        <w:spacing w:after="0" w:line="132" w:lineRule="exact"/>
        <w:rPr>
          <w:sz w:val="20"/>
          <w:szCs w:val="20"/>
          <w:color w:val="auto"/>
        </w:rPr>
      </w:pPr>
    </w:p>
    <w:p>
      <w:pPr>
        <w:ind w:right="20" w:firstLine="428"/>
        <w:spacing w:after="0" w:line="229" w:lineRule="auto"/>
        <w:rPr>
          <w:sz w:val="20"/>
          <w:szCs w:val="20"/>
          <w:color w:val="auto"/>
        </w:rPr>
      </w:pPr>
      <w:r>
        <w:rPr>
          <w:rFonts w:ascii="Times New Roman" w:cs="Times New Roman" w:eastAsia="Times New Roman" w:hAnsi="Times New Roman"/>
          <w:sz w:val="18"/>
          <w:szCs w:val="18"/>
          <w:color w:val="auto"/>
        </w:rPr>
        <w:t>For the six months ended August 2, 2020, net cash used in operating activities was $12.8 million, which consisted of net loss of $9.3 million and cash used in operating assets and liabilities of $21.3 million, partially offset by non-cash depreciation and amortization of $13.3 million, stock based compensation of $0.9 million and deferred income taxes of $3.3 million. The cash used in operating assets and liabilities of $21.3 million primarily consisted of a $19.7 million increase in inventory, primarily due to building of inventory for our peak season, partially offset by a $2.6 million decrease in prepaid expenses and other current assets and a $3.4 million increase in trade accounts payable.</w:t>
      </w:r>
    </w:p>
    <w:p>
      <w:pPr>
        <w:spacing w:after="0" w:line="147" w:lineRule="exact"/>
        <w:rPr>
          <w:sz w:val="20"/>
          <w:szCs w:val="20"/>
          <w:color w:val="auto"/>
        </w:rPr>
      </w:pPr>
    </w:p>
    <w:p>
      <w:pPr>
        <w:jc w:val="both"/>
        <w:ind w:right="40" w:firstLine="428"/>
        <w:spacing w:after="0" w:line="227" w:lineRule="auto"/>
        <w:rPr>
          <w:sz w:val="20"/>
          <w:szCs w:val="20"/>
          <w:color w:val="auto"/>
        </w:rPr>
      </w:pPr>
      <w:r>
        <w:rPr>
          <w:rFonts w:ascii="Times New Roman" w:cs="Times New Roman" w:eastAsia="Times New Roman" w:hAnsi="Times New Roman"/>
          <w:sz w:val="18"/>
          <w:szCs w:val="18"/>
          <w:color w:val="auto"/>
        </w:rPr>
        <w:t>For the six months ended August 4, 2019, net cash used in operating activities was $8.0 million, which primarily consisted of net loss of $5.8 million and cash used in operating assets and liabilities of $12.0 million, partially offset by non-cash depreciation and amortization of $9.4 million and stock based compensation of $1.0 million. The cash used in operating assets and liabilities of $12.0 million primarily consisted of a $17.2 million increase in inventory, primarily due to the increase in the number of retail stores and building of inventory for our peak season, a $10.8 million increase in trade accounts payable due to timing of payments, a $7.1 million decrease in accrued expenses and deferred rent obligations, and a $1.9 million decrease in deferred catalog costs due to a reduction in catalog circulation.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Investing activities consist primarily of capital expenditures for growth related to new store openings and information technology.</w:t>
      </w:r>
    </w:p>
    <w:p>
      <w:pPr>
        <w:spacing w:after="0" w:line="171" w:lineRule="exact"/>
        <w:rPr>
          <w:sz w:val="20"/>
          <w:szCs w:val="20"/>
          <w:color w:val="auto"/>
        </w:rPr>
      </w:pPr>
    </w:p>
    <w:p>
      <w:pPr>
        <w:ind w:right="200" w:firstLine="428"/>
        <w:spacing w:after="0" w:line="250" w:lineRule="auto"/>
        <w:rPr>
          <w:sz w:val="20"/>
          <w:szCs w:val="20"/>
          <w:color w:val="auto"/>
        </w:rPr>
      </w:pPr>
      <w:r>
        <w:rPr>
          <w:rFonts w:ascii="Times New Roman" w:cs="Times New Roman" w:eastAsia="Times New Roman" w:hAnsi="Times New Roman"/>
          <w:sz w:val="18"/>
          <w:szCs w:val="18"/>
          <w:color w:val="auto"/>
        </w:rPr>
        <w:t>For the six months ended August 2, 2020, net cash used in investing activities was $9.1 million and was primarily driven by capital expenditures of $8.8 million for new retail stores, as well as investments in information technology.</w:t>
      </w:r>
    </w:p>
    <w:p>
      <w:pPr>
        <w:spacing w:after="0" w:line="122" w:lineRule="exact"/>
        <w:rPr>
          <w:sz w:val="20"/>
          <w:szCs w:val="20"/>
          <w:color w:val="auto"/>
        </w:rPr>
      </w:pPr>
    </w:p>
    <w:p>
      <w:pPr>
        <w:ind w:right="100" w:firstLine="428"/>
        <w:spacing w:after="0" w:line="236" w:lineRule="auto"/>
        <w:rPr>
          <w:sz w:val="20"/>
          <w:szCs w:val="20"/>
          <w:color w:val="auto"/>
        </w:rPr>
      </w:pPr>
      <w:r>
        <w:rPr>
          <w:rFonts w:ascii="Times New Roman" w:cs="Times New Roman" w:eastAsia="Times New Roman" w:hAnsi="Times New Roman"/>
          <w:sz w:val="18"/>
          <w:szCs w:val="18"/>
          <w:color w:val="auto"/>
        </w:rPr>
        <w:t>For the six months ended August 4, 2019, net cash used in investing activities was $16.7 million and was primarily driven by capital expenditures of $13.8 million for new retail stores and retail store build-out, as well as investments in information technology, and $3.0 million of capital contributions towards our build-to-suit stores.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75" w:lineRule="exact"/>
        <w:rPr>
          <w:sz w:val="20"/>
          <w:szCs w:val="20"/>
          <w:color w:val="auto"/>
        </w:rPr>
      </w:pPr>
    </w:p>
    <w:p>
      <w:pPr>
        <w:ind w:right="720" w:firstLine="428"/>
        <w:spacing w:after="0" w:line="250"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and other long-term debt, as well as payments on finance lease obligations.</w:t>
      </w:r>
    </w:p>
    <w:p>
      <w:pPr>
        <w:spacing w:after="0" w:line="122" w:lineRule="exact"/>
        <w:rPr>
          <w:sz w:val="20"/>
          <w:szCs w:val="20"/>
          <w:color w:val="auto"/>
        </w:rPr>
      </w:pPr>
    </w:p>
    <w:p>
      <w:pPr>
        <w:ind w:right="440" w:firstLine="428"/>
        <w:spacing w:after="0" w:line="230" w:lineRule="auto"/>
        <w:rPr>
          <w:sz w:val="20"/>
          <w:szCs w:val="20"/>
          <w:color w:val="auto"/>
        </w:rPr>
      </w:pPr>
      <w:r>
        <w:rPr>
          <w:rFonts w:ascii="Times New Roman" w:cs="Times New Roman" w:eastAsia="Times New Roman" w:hAnsi="Times New Roman"/>
          <w:sz w:val="18"/>
          <w:szCs w:val="18"/>
          <w:color w:val="auto"/>
        </w:rPr>
        <w:t>For the six months ended August 2, 2020, net cash provided by financing activities was $38.9 million, primarily consisting of proceeds of $29.5 million, net from our term loan and proceeds of $10.7 million, net from our revolving line of credit to fund working capital.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400" w:firstLine="428"/>
        <w:spacing w:after="0" w:line="250" w:lineRule="auto"/>
        <w:rPr>
          <w:sz w:val="20"/>
          <w:szCs w:val="20"/>
          <w:color w:val="auto"/>
        </w:rPr>
      </w:pPr>
      <w:r>
        <w:rPr>
          <w:rFonts w:ascii="Times New Roman" w:cs="Times New Roman" w:eastAsia="Times New Roman" w:hAnsi="Times New Roman"/>
          <w:sz w:val="18"/>
          <w:szCs w:val="18"/>
          <w:color w:val="auto"/>
        </w:rPr>
        <w:t>For the six months ended August 4, 2019, net cash provided by financing activities was $27.8 million, primarily consisting of proceeds of $28.5 million, net from our revolving line of credit to fund working capital.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175" w:lineRule="exact"/>
        <w:rPr>
          <w:sz w:val="20"/>
          <w:szCs w:val="20"/>
          <w:color w:val="auto"/>
        </w:rPr>
      </w:pPr>
    </w:p>
    <w:p>
      <w:pPr>
        <w:ind w:right="60" w:firstLine="428"/>
        <w:spacing w:after="0" w:line="229" w:lineRule="auto"/>
        <w:rPr>
          <w:sz w:val="20"/>
          <w:szCs w:val="20"/>
          <w:color w:val="auto"/>
        </w:rPr>
      </w:pPr>
      <w:r>
        <w:rPr>
          <w:rFonts w:ascii="Times New Roman" w:cs="Times New Roman" w:eastAsia="Times New Roman" w:hAnsi="Times New Roman"/>
          <w:sz w:val="18"/>
          <w:szCs w:val="18"/>
          <w:color w:val="auto"/>
        </w:rPr>
        <w:t>On May 17, 2018, we entered into a credit agreement (the “Credit Agreement”) which provides for borrowings of up to $80.0 million on a revolving line of credit and an additional $50.0 million in a delayed draw term loan. The $80.0 million revolving line of credit matures on May 17, 2023 and we had the option to draw in various amounts on the $50.0 million term loan through May 17, 2020, with a maturity on May 17, 2023. On April 30, 2020, the Credit Agreement was amended to include an incremental delayed draw term loan of $20.5 million that is available to draw upon before March 31, 2021, and matures on April 29, 2021, for a total credit facility of $150.5 million.</w:t>
      </w:r>
    </w:p>
    <w:p>
      <w:pPr>
        <w:spacing w:after="0" w:line="133" w:lineRule="exact"/>
        <w:rPr>
          <w:sz w:val="20"/>
          <w:szCs w:val="20"/>
          <w:color w:val="auto"/>
        </w:rPr>
      </w:pPr>
    </w:p>
    <w:p>
      <w:pPr>
        <w:ind w:right="60" w:firstLine="428"/>
        <w:spacing w:after="0" w:line="250" w:lineRule="auto"/>
        <w:rPr>
          <w:sz w:val="20"/>
          <w:szCs w:val="20"/>
          <w:color w:val="auto"/>
        </w:rPr>
      </w:pPr>
      <w:r>
        <w:rPr>
          <w:rFonts w:ascii="Times New Roman" w:cs="Times New Roman" w:eastAsia="Times New Roman" w:hAnsi="Times New Roman"/>
          <w:sz w:val="18"/>
          <w:szCs w:val="18"/>
          <w:color w:val="auto"/>
        </w:rPr>
        <w:t>As of August 2, 2020 and for the six months then ended, the Company was in compliance with all financial and non-financial covenants for all debts discussed above and expects to be in compliance for the remainder of fiscal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right="400" w:firstLine="428"/>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as described in our Annual Report on Form 10-K for the fiscal year ended February 2,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Critical Accounting Estimates</w:t>
      </w:r>
    </w:p>
    <w:p>
      <w:pPr>
        <w:spacing w:after="0" w:line="162" w:lineRule="exact"/>
        <w:rPr>
          <w:sz w:val="20"/>
          <w:szCs w:val="20"/>
          <w:color w:val="auto"/>
        </w:rPr>
      </w:pPr>
    </w:p>
    <w:p>
      <w:pPr>
        <w:ind w:right="240" w:firstLine="428"/>
        <w:spacing w:after="0" w:line="229"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33" w:lineRule="exact"/>
        <w:rPr>
          <w:sz w:val="20"/>
          <w:szCs w:val="20"/>
          <w:color w:val="auto"/>
        </w:rPr>
      </w:pPr>
    </w:p>
    <w:p>
      <w:pPr>
        <w:ind w:right="40" w:firstLine="428"/>
        <w:spacing w:after="0" w:line="250" w:lineRule="auto"/>
        <w:rPr>
          <w:sz w:val="20"/>
          <w:szCs w:val="20"/>
          <w:color w:val="auto"/>
        </w:rPr>
      </w:pPr>
      <w:r>
        <w:rPr>
          <w:rFonts w:ascii="Times New Roman" w:cs="Times New Roman" w:eastAsia="Times New Roman" w:hAnsi="Times New Roman"/>
          <w:sz w:val="18"/>
          <w:szCs w:val="18"/>
          <w:color w:val="auto"/>
        </w:rPr>
        <w:t>As of the date of this filing, there were no significant changes to any of the critical accounting policies and estimates described in our 2019 Form 10-K, except as discussed below.</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Recently Adopted Accounting Pronouncements</w:t>
      </w:r>
    </w:p>
    <w:p>
      <w:pPr>
        <w:spacing w:after="0" w:line="158" w:lineRule="exact"/>
        <w:rPr>
          <w:sz w:val="20"/>
          <w:szCs w:val="20"/>
          <w:color w:val="auto"/>
        </w:rPr>
      </w:pPr>
    </w:p>
    <w:p>
      <w:pPr>
        <w:ind w:right="60" w:firstLine="428"/>
        <w:spacing w:after="0" w:line="232" w:lineRule="auto"/>
        <w:rPr>
          <w:sz w:val="20"/>
          <w:szCs w:val="20"/>
          <w:color w:val="auto"/>
        </w:rPr>
      </w:pPr>
      <w:r>
        <w:rPr>
          <w:rFonts w:ascii="Times New Roman" w:cs="Times New Roman" w:eastAsia="Times New Roman" w:hAnsi="Times New Roman"/>
          <w:sz w:val="18"/>
          <w:szCs w:val="18"/>
          <w:color w:val="auto"/>
        </w:rPr>
        <w:t>On February 3, 2020, we adopted authoritative guidance related to accounting for costs of implementation activities performed in a cloud computing arrangement that is a service contract and elected the prospective transition. As such, the comparative prior period information has not been restated and continues to be reported under the accounting standards in effect for those periods. Beginning with the first quarter of fiscal 2020, our financial results reflect adoption of the standard.</w:t>
      </w:r>
    </w:p>
    <w:p>
      <w:pPr>
        <w:spacing w:after="0" w:line="131"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See Note 1 “Nature of Operations and Basis of Presentation,” of Notes to Condensed Consolidated Financial Statements included in Part 1, Item 1, of this quarterly report on Form 10-Q for further information regarding recently adopted accounting pronouncements.</w:t>
      </w: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ind w:right="400" w:firstLine="428"/>
        <w:spacing w:after="0" w:line="250" w:lineRule="auto"/>
        <w:rPr>
          <w:sz w:val="20"/>
          <w:szCs w:val="20"/>
          <w:color w:val="auto"/>
        </w:rPr>
      </w:pPr>
      <w:r>
        <w:rPr>
          <w:rFonts w:ascii="Times New Roman" w:cs="Times New Roman" w:eastAsia="Times New Roman" w:hAnsi="Times New Roman"/>
          <w:sz w:val="18"/>
          <w:szCs w:val="18"/>
          <w:color w:val="auto"/>
        </w:rPr>
        <w:t>See Note 12 “Recent Accounting Pronouncements,” of Notes to Condensed Consolidated Financial Statements included in Part 1, Item 1, of this quarterly report on Form 10-Q for information regarding recent accounting pronouncements.</w:t>
      </w:r>
    </w:p>
    <w:p>
      <w:pPr>
        <w:spacing w:after="0" w:line="13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ind w:right="40" w:firstLine="440"/>
        <w:spacing w:after="0" w:line="236" w:lineRule="auto"/>
        <w:rPr>
          <w:sz w:val="20"/>
          <w:szCs w:val="20"/>
          <w:color w:val="auto"/>
        </w:rPr>
      </w:pPr>
      <w:r>
        <w:rPr>
          <w:rFonts w:ascii="Times New Roman" w:cs="Times New Roman" w:eastAsia="Times New Roman" w:hAnsi="Times New Roman"/>
          <w:sz w:val="18"/>
          <w:szCs w:val="18"/>
          <w:color w:val="auto"/>
        </w:rPr>
        <w:t>There have been no significant changes in the market risks described in our 2019 Form 10-K. See Note 3 “Debt and Line of Credit,” of Notes to Condensed Consolidated Financial Statements included in Part 1, Item 1, of this quarterly report on Form 10-Q, for disclosure on our interest rate related to borrowings under our credit agreement.</w:t>
      </w:r>
    </w:p>
    <w:p>
      <w:pPr>
        <w:spacing w:after="0" w:line="12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right="40" w:firstLine="428"/>
        <w:spacing w:after="0" w:line="229"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2" w:lineRule="exact"/>
        <w:rPr>
          <w:sz w:val="20"/>
          <w:szCs w:val="20"/>
          <w:color w:val="auto"/>
        </w:rPr>
      </w:pPr>
    </w:p>
    <w:p>
      <w:pPr>
        <w:ind w:right="260" w:firstLine="428"/>
        <w:spacing w:after="0" w:line="23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45" w:lineRule="exact"/>
        <w:rPr>
          <w:sz w:val="20"/>
          <w:szCs w:val="20"/>
          <w:color w:val="auto"/>
        </w:rPr>
      </w:pPr>
    </w:p>
    <w:p>
      <w:pPr>
        <w:ind w:right="40" w:firstLine="428"/>
        <w:spacing w:after="0" w:line="250" w:lineRule="auto"/>
        <w:rPr>
          <w:sz w:val="20"/>
          <w:szCs w:val="20"/>
          <w:color w:val="auto"/>
        </w:rPr>
      </w:pPr>
      <w:r>
        <w:rPr>
          <w:rFonts w:ascii="Times New Roman" w:cs="Times New Roman" w:eastAsia="Times New Roman" w:hAnsi="Times New Roman"/>
          <w:sz w:val="18"/>
          <w:szCs w:val="18"/>
          <w:color w:val="auto"/>
        </w:rPr>
        <w:t>There were no material impacts, due to COVID-19 and the resulting need to close our books remotely, on our ability to maintain internal control over financial reporting and disclosure controls and procedures for the six months ended August 2, 2020.</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2" w:lineRule="exact"/>
        <w:rPr>
          <w:sz w:val="20"/>
          <w:szCs w:val="20"/>
          <w:color w:val="auto"/>
        </w:rPr>
      </w:pPr>
    </w:p>
    <w:p>
      <w:pPr>
        <w:ind w:right="200" w:firstLine="428"/>
        <w:spacing w:after="0" w:line="232"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220" w:firstLine="440"/>
        <w:spacing w:after="0" w:line="232"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2019 Form 10-K, our first quarter fiscal 2020 Form 10-Q or other SEC filings. There have been no material changes to our risk factors as previously disclosed in our fiscal 2019 Annual Report on Form 10-K or first quarter fiscal 2020 Form 10-Q, except as discussed below.</w:t>
      </w:r>
    </w:p>
    <w:p>
      <w:pPr>
        <w:spacing w:after="0" w:line="14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Coronavirus pandemic may continue to adversely affect our business operations, store traffic, employee availability, financial condition, liquidity and cash flow for an extended period of time.</w:t>
      </w:r>
    </w:p>
    <w:p>
      <w:pPr>
        <w:spacing w:after="0" w:line="131" w:lineRule="exact"/>
        <w:rPr>
          <w:sz w:val="20"/>
          <w:szCs w:val="20"/>
          <w:color w:val="auto"/>
        </w:rPr>
      </w:pPr>
    </w:p>
    <w:p>
      <w:pPr>
        <w:ind w:firstLine="440"/>
        <w:spacing w:after="0" w:line="250" w:lineRule="auto"/>
        <w:rPr>
          <w:sz w:val="20"/>
          <w:szCs w:val="20"/>
          <w:color w:val="auto"/>
        </w:rPr>
      </w:pPr>
      <w:r>
        <w:rPr>
          <w:rFonts w:ascii="Times New Roman" w:cs="Times New Roman" w:eastAsia="Times New Roman" w:hAnsi="Times New Roman"/>
          <w:sz w:val="18"/>
          <w:szCs w:val="18"/>
          <w:color w:val="auto"/>
        </w:rPr>
        <w:t>The outbreak of the Coronavirus (“COVID-19”) continues to affect our business operations and it is impossible to predict the effect and ultimate impact of the COVID-19 pandemic as the situation is rapidly evolving.</w:t>
      </w:r>
    </w:p>
    <w:p>
      <w:pPr>
        <w:spacing w:after="0" w:line="136" w:lineRule="exact"/>
        <w:rPr>
          <w:sz w:val="20"/>
          <w:szCs w:val="20"/>
          <w:color w:val="auto"/>
        </w:rPr>
      </w:pPr>
    </w:p>
    <w:p>
      <w:pPr>
        <w:ind w:right="140" w:firstLine="440"/>
        <w:spacing w:after="0" w:line="224" w:lineRule="auto"/>
        <w:rPr>
          <w:sz w:val="20"/>
          <w:szCs w:val="20"/>
          <w:color w:val="auto"/>
        </w:rPr>
      </w:pPr>
      <w:r>
        <w:rPr>
          <w:rFonts w:ascii="Times New Roman" w:cs="Times New Roman" w:eastAsia="Times New Roman" w:hAnsi="Times New Roman"/>
          <w:sz w:val="18"/>
          <w:szCs w:val="18"/>
          <w:color w:val="auto"/>
        </w:rPr>
        <w:t>As the pandemic continues, consumer fear about becoming ill with the virus and recommendations and/or mandates from federal, state and local authorities to avoid large gatherings of people or self-quarantine may continue to increase, which may continue to adversely affect traffic to our stores, results in further reduced store hours or result in store closures. Ongoing significant reductions in customer visits to, and spending at, our stores caused by COVID-19 would result in further loss of retail sales and profits and other material adverse effects.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right="260"/>
        <w:spacing w:after="0" w:line="236" w:lineRule="auto"/>
        <w:rPr>
          <w:sz w:val="20"/>
          <w:szCs w:val="20"/>
          <w:color w:val="auto"/>
        </w:rPr>
      </w:pPr>
      <w:r>
        <w:rPr>
          <w:rFonts w:ascii="Times New Roman" w:cs="Times New Roman" w:eastAsia="Times New Roman" w:hAnsi="Times New Roman"/>
          <w:sz w:val="18"/>
          <w:szCs w:val="18"/>
          <w:color w:val="auto"/>
        </w:rPr>
        <w:t>The extent of the impact of COVID-19 on our business, financial results, liquidity and cash flows will depend largely on future developments, including new information that may emerge concerning the severity and action taken to contain or prevent further spread within the U.S. and the related impact on consumer confidence and spending, all of which are highly uncertain and cannot be predicted.</w:t>
      </w:r>
    </w:p>
    <w:p>
      <w:pPr>
        <w:spacing w:after="0" w:line="132" w:lineRule="exact"/>
        <w:rPr>
          <w:sz w:val="20"/>
          <w:szCs w:val="20"/>
          <w:color w:val="auto"/>
        </w:rPr>
      </w:pPr>
    </w:p>
    <w:p>
      <w:pPr>
        <w:ind w:right="60" w:firstLine="440"/>
        <w:spacing w:after="0" w:line="227" w:lineRule="auto"/>
        <w:rPr>
          <w:sz w:val="20"/>
          <w:szCs w:val="20"/>
          <w:color w:val="auto"/>
        </w:rPr>
      </w:pPr>
      <w:r>
        <w:rPr>
          <w:rFonts w:ascii="Times New Roman" w:cs="Times New Roman" w:eastAsia="Times New Roman" w:hAnsi="Times New Roman"/>
          <w:sz w:val="18"/>
          <w:szCs w:val="18"/>
          <w:color w:val="auto"/>
        </w:rPr>
        <w:t>If the COVID-19 outbreak and the corresponding surge in online purchasing persists for an extended period of time, we expect there will be significant and material disruptions to our distribution network. In particular, our primary delivery provider, UPS, has increased surcharges and provided shipping thresholds that may not be sufficient based on potential volume during our peak holiday shopping season. As a result of greater competition for shipping capacity, our efforts to mitigate these reduced thresholds by engaging additional shipping partners may not be successful or may result in similar surcharges. Constraints on our shipping capacity and higher shipping costs may result in higher expenses, delayed shipments and lost sales that may have a material adverse effect on our business and results of operations.</w:t>
      </w:r>
    </w:p>
    <w:p>
      <w:pPr>
        <w:spacing w:after="0" w:line="148" w:lineRule="exact"/>
        <w:rPr>
          <w:sz w:val="20"/>
          <w:szCs w:val="20"/>
          <w:color w:val="auto"/>
        </w:rPr>
      </w:pPr>
    </w:p>
    <w:p>
      <w:pPr>
        <w:ind w:right="460" w:firstLine="440"/>
        <w:spacing w:after="0" w:line="250" w:lineRule="auto"/>
        <w:rPr>
          <w:sz w:val="20"/>
          <w:szCs w:val="20"/>
          <w:color w:val="auto"/>
        </w:rPr>
      </w:pPr>
      <w:r>
        <w:rPr>
          <w:rFonts w:ascii="Times New Roman" w:cs="Times New Roman" w:eastAsia="Times New Roman" w:hAnsi="Times New Roman"/>
          <w:sz w:val="18"/>
          <w:szCs w:val="18"/>
          <w:color w:val="auto"/>
        </w:rPr>
        <w:t>These and other potential impacts of COVID-19, could therefore materially and adversely affect our business, financial condition and results of operations.</w:t>
      </w:r>
    </w:p>
    <w:p>
      <w:pPr>
        <w:spacing w:after="0" w:line="1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sell any equity securities during the quarter ended August 2, 2020, which were not registered under the Securities Act.</w:t>
      </w:r>
    </w:p>
    <w:p>
      <w:pPr>
        <w:spacing w:after="0" w:line="171" w:lineRule="exact"/>
        <w:rPr>
          <w:sz w:val="20"/>
          <w:szCs w:val="20"/>
          <w:color w:val="auto"/>
        </w:rPr>
      </w:pPr>
    </w:p>
    <w:p>
      <w:pPr>
        <w:ind w:right="600" w:firstLine="492"/>
        <w:spacing w:after="0" w:line="250" w:lineRule="auto"/>
        <w:rPr>
          <w:sz w:val="20"/>
          <w:szCs w:val="20"/>
          <w:color w:val="auto"/>
        </w:rPr>
      </w:pPr>
      <w:r>
        <w:rPr>
          <w:rFonts w:ascii="Times New Roman" w:cs="Times New Roman" w:eastAsia="Times New Roman" w:hAnsi="Times New Roman"/>
          <w:sz w:val="18"/>
          <w:szCs w:val="18"/>
          <w:color w:val="auto"/>
        </w:rPr>
        <w:t>The following table contains information of shares acquired from employees in lieu of amounts required to satisfy minimum tax withholding requirements upon the vesting of the employees’ restricted stock during the three months ended August 2, 2020.</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yet to be</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85"/>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plans or programs</w:t>
            </w: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4, 2020 - May 31, 2020</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 2020 - July 5, 2020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0" w:type="dxa"/>
            <w:vAlign w:val="bottom"/>
          </w:tcPr>
          <w:p>
            <w:pPr>
              <w:spacing w:after="0"/>
              <w:rPr>
                <w:sz w:val="19"/>
                <w:szCs w:val="19"/>
                <w:color w:val="auto"/>
              </w:rPr>
            </w:pP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6, 2020 - August 2, 2020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tcPr>
          <w:p>
            <w:pPr>
              <w:spacing w:after="0"/>
              <w:rPr>
                <w:sz w:val="19"/>
                <w:szCs w:val="19"/>
                <w:color w:val="auto"/>
              </w:rPr>
            </w:pPr>
          </w:p>
        </w:tc>
        <w:tc>
          <w:tcPr>
            <w:tcW w:w="2000" w:type="dxa"/>
            <w:vAlign w:val="bottom"/>
            <w:tcBorders>
              <w:top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927"/>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06"/>
        </w:trPr>
        <w:tc>
          <w:tcPr>
            <w:tcW w:w="3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38"/>
        </w:trPr>
        <w:tc>
          <w:tcPr>
            <w:tcW w:w="700" w:type="dxa"/>
            <w:vAlign w:val="bottom"/>
          </w:tcPr>
          <w:p>
            <w:pPr>
              <w:spacing w:after="0"/>
              <w:rPr>
                <w:sz w:val="20"/>
                <w:szCs w:val="20"/>
                <w:color w:val="auto"/>
              </w:rPr>
            </w:pPr>
          </w:p>
        </w:tc>
        <w:tc>
          <w:tcPr>
            <w:tcW w:w="10540" w:type="dxa"/>
            <w:vAlign w:val="bottom"/>
          </w:tcPr>
          <w:p>
            <w:pPr>
              <w:ind w:left="4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33"/>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540" w:type="dxa"/>
            <w:vAlign w:val="bottom"/>
          </w:tcPr>
          <w:p>
            <w:pPr>
              <w:ind w:left="580"/>
              <w:spacing w:after="0"/>
              <w:rPr>
                <w:rFonts w:ascii="Times New Roman" w:cs="Times New Roman" w:eastAsia="Times New Roman" w:hAnsi="Times New Roman"/>
                <w:sz w:val="16"/>
                <w:szCs w:val="16"/>
                <w:color w:val="0000FF"/>
              </w:rPr>
            </w:pPr>
            <w:hyperlink w:anchor="page34">
              <w:r>
                <w:rPr>
                  <w:rFonts w:ascii="Times New Roman" w:cs="Times New Roman" w:eastAsia="Times New Roman" w:hAnsi="Times New Roman"/>
                  <w:sz w:val="16"/>
                  <w:szCs w:val="16"/>
                  <w:u w:val="single" w:color="auto"/>
                  <w:color w:val="0000FF"/>
                </w:rPr>
                <w:t>Certification of Chief Executive Officer pursuant to Rule 13a-14(a) and Rule 15d-14(a) of the Securities and Exchange Act, as amended.</w:t>
              </w:r>
            </w:hyperlink>
            <w:r>
              <w:rPr>
                <w:rFonts w:ascii="Times New Roman" w:cs="Times New Roman" w:eastAsia="Times New Roman" w:hAnsi="Times New Roman"/>
                <w:sz w:val="16"/>
                <w:szCs w:val="16"/>
                <w:color w:val="000000"/>
              </w:rPr>
              <w:t>*</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540" w:type="dxa"/>
            <w:vAlign w:val="bottom"/>
          </w:tcPr>
          <w:p>
            <w:pPr>
              <w:ind w:left="580"/>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u w:val="single" w:color="auto"/>
                  <w:color w:val="0000FF"/>
                </w:rPr>
                <w:t>Certification of Chief Financial Officer pursuant to Rule 13a-14(a) and Rule 15d-14(a) of the Securities and Exchange Act of 1934, as amended.</w:t>
              </w:r>
            </w:hyperlink>
            <w:r>
              <w:rPr>
                <w:rFonts w:ascii="Times New Roman" w:cs="Times New Roman" w:eastAsia="Times New Roman" w:hAnsi="Times New Roman"/>
                <w:sz w:val="16"/>
                <w:szCs w:val="16"/>
                <w:color w:val="000000"/>
              </w:rPr>
              <w:t>*</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540" w:type="dxa"/>
            <w:vAlign w:val="bottom"/>
          </w:tcPr>
          <w:p>
            <w:pPr>
              <w:ind w:left="580"/>
              <w:spacing w:after="0"/>
              <w:rPr>
                <w:rFonts w:ascii="Times New Roman" w:cs="Times New Roman" w:eastAsia="Times New Roman" w:hAnsi="Times New Roman"/>
                <w:sz w:val="16"/>
                <w:szCs w:val="16"/>
                <w:color w:val="0000FF"/>
              </w:rPr>
            </w:pPr>
            <w:hyperlink w:anchor="page36">
              <w:r>
                <w:rPr>
                  <w:rFonts w:ascii="Times New Roman" w:cs="Times New Roman" w:eastAsia="Times New Roman" w:hAnsi="Times New Roman"/>
                  <w:sz w:val="16"/>
                  <w:szCs w:val="16"/>
                  <w:u w:val="single" w:color="auto"/>
                  <w:color w:val="0000FF"/>
                </w:rPr>
                <w:t>Certification of Chief Executive Officer pursuant to 18 U.S.C. Section 1350, as adopted pursuant to Section 906 of the Sarbanes-Oxley Act of 2002.</w:t>
              </w:r>
            </w:hyperlink>
            <w:r>
              <w:rPr>
                <w:rFonts w:ascii="Times New Roman" w:cs="Times New Roman" w:eastAsia="Times New Roman" w:hAnsi="Times New Roman"/>
                <w:sz w:val="16"/>
                <w:szCs w:val="16"/>
                <w:color w:val="000000"/>
              </w:rPr>
              <w:t>*</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0540" w:type="dxa"/>
            <w:vAlign w:val="bottom"/>
          </w:tcPr>
          <w:p>
            <w:pPr>
              <w:ind w:left="580"/>
              <w:spacing w:after="0"/>
              <w:rPr>
                <w:rFonts w:ascii="Times New Roman" w:cs="Times New Roman" w:eastAsia="Times New Roman" w:hAnsi="Times New Roman"/>
                <w:sz w:val="16"/>
                <w:szCs w:val="16"/>
                <w:color w:val="0000FF"/>
              </w:rPr>
            </w:pPr>
            <w:hyperlink w:anchor="page37">
              <w:r>
                <w:rPr>
                  <w:rFonts w:ascii="Times New Roman" w:cs="Times New Roman" w:eastAsia="Times New Roman" w:hAnsi="Times New Roman"/>
                  <w:sz w:val="16"/>
                  <w:szCs w:val="16"/>
                  <w:u w:val="single" w:color="auto"/>
                  <w:color w:val="0000FF"/>
                </w:rPr>
                <w:t>Certification of Chief Financial Officer pursuant to 18 U.S.C. Section 1350, as adopted pursuant to Section 906 of the Sarbanes-Oxley Act of 2002.</w:t>
              </w:r>
            </w:hyperlink>
            <w:r>
              <w:rPr>
                <w:rFonts w:ascii="Times New Roman" w:cs="Times New Roman" w:eastAsia="Times New Roman" w:hAnsi="Times New Roman"/>
                <w:sz w:val="16"/>
                <w:szCs w:val="16"/>
                <w:color w:val="000000"/>
              </w:rPr>
              <w:t>*</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101.INS</w:t>
            </w:r>
          </w:p>
        </w:tc>
        <w:tc>
          <w:tcPr>
            <w:tcW w:w="105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105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105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105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XBRL Taxonomy Extension Definition Document**</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105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21"/>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101.PRE</w:t>
            </w:r>
          </w:p>
        </w:tc>
        <w:tc>
          <w:tcPr>
            <w:tcW w:w="105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649"/>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5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330"/>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5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In accordance with Regulation S-T, the XBRL-related information in Exhibit 101 to this Quarterly Report on Form 10-Q shall be deemed to be</w:t>
            </w:r>
          </w:p>
        </w:tc>
      </w:tr>
      <w:tr>
        <w:trPr>
          <w:trHeight w:val="210"/>
        </w:trPr>
        <w:tc>
          <w:tcPr>
            <w:tcW w:w="700" w:type="dxa"/>
            <w:vAlign w:val="bottom"/>
          </w:tcPr>
          <w:p>
            <w:pPr>
              <w:spacing w:after="0"/>
              <w:rPr>
                <w:sz w:val="18"/>
                <w:szCs w:val="18"/>
                <w:color w:val="auto"/>
              </w:rPr>
            </w:pPr>
          </w:p>
        </w:tc>
        <w:tc>
          <w:tcPr>
            <w:tcW w:w="105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“furnished” and not “filed.”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6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September 4, 2020</w:t>
      </w:r>
    </w:p>
    <w:p>
      <w:pPr>
        <w:spacing w:after="0" w:line="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DULUTH HOLDINGS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3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11430</wp:posOffset>
            </wp:positionV>
            <wp:extent cx="40716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8"/>
          <w:szCs w:val="18"/>
          <w:b w:val="1"/>
          <w:bCs w:val="1"/>
          <w:color w:val="auto"/>
        </w:rPr>
        <w:t>David Loretta</w:t>
      </w:r>
    </w:p>
    <w:p>
      <w:pPr>
        <w:ind w:left="482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Senior Vice President and Chief Financial Officer</w:t>
      </w: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(On behalf of the Registrant and 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11430</wp:posOffset>
            </wp:positionV>
            <wp:extent cx="40716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8"/>
          <w:szCs w:val="18"/>
          <w:b w:val="1"/>
          <w:bCs w:val="1"/>
          <w:color w:val="auto"/>
        </w:rPr>
        <w:t>Michael Murphy</w:t>
      </w:r>
    </w:p>
    <w:p>
      <w:pPr>
        <w:ind w:left="482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Vice President and Chief Accounting Officer</w:t>
      </w: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(On behalf of the Registrant and as Principal Accounting Officer)</w:t>
      </w:r>
    </w:p>
    <w:p>
      <w:pPr>
        <w:spacing w:after="0" w:line="15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00"/>
          </w:cols>
          <w:pgMar w:left="320" w:top="283" w:right="8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L. Schlecht,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2020</w:t>
      </w:r>
    </w:p>
    <w:p>
      <w:pPr>
        <w:spacing w:after="0" w:line="3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Stephen L. Schlecht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19685</wp:posOffset>
            </wp:positionV>
            <wp:extent cx="21685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Stephen L. Schlecht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288925</wp:posOffset>
            </wp:positionV>
            <wp:extent cx="60007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Loretta,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2020</w:t>
      </w:r>
    </w:p>
    <w:p>
      <w:pPr>
        <w:spacing w:after="0" w:line="3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19685</wp:posOffset>
            </wp:positionV>
            <wp:extent cx="2168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David Loretta</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288925</wp:posOffset>
            </wp:positionV>
            <wp:extent cx="60007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August 2, 2020 as filed with the Securities and Exchange Commission on the date hereof (the “Report”), I, Stephen L. Schlecht, as Chief Executive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660" w:right="3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 Stephen L. Schlecht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19685</wp:posOffset>
            </wp:positionV>
            <wp:extent cx="30429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1"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Stephen L. Schlecht</w:t>
      </w:r>
    </w:p>
    <w:p>
      <w:pPr>
        <w:spacing w:after="0" w:line="2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color w:val="auto"/>
        </w:rPr>
        <w:t>September 4, 2020</w:t>
      </w:r>
    </w:p>
    <w:p>
      <w:pPr>
        <w:spacing w:after="0" w:line="382" w:lineRule="exact"/>
        <w:rPr>
          <w:sz w:val="20"/>
          <w:szCs w:val="20"/>
          <w:color w:val="auto"/>
        </w:rPr>
      </w:pPr>
    </w:p>
    <w:p>
      <w:pPr>
        <w:ind w:right="360" w:firstLine="432"/>
        <w:spacing w:after="0" w:line="229"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60007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August 2, 2020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980" w:right="20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19685</wp:posOffset>
            </wp:positionV>
            <wp:extent cx="30429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11"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David Loretta</w:t>
      </w:r>
    </w:p>
    <w:p>
      <w:pPr>
        <w:spacing w:after="0" w:line="2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color w:val="auto"/>
        </w:rPr>
        <w:t>September 4, 2020</w:t>
      </w:r>
    </w:p>
    <w:p>
      <w:pPr>
        <w:spacing w:after="0" w:line="382" w:lineRule="exact"/>
        <w:rPr>
          <w:sz w:val="20"/>
          <w:szCs w:val="20"/>
          <w:color w:val="auto"/>
        </w:rPr>
      </w:pPr>
    </w:p>
    <w:p>
      <w:pPr>
        <w:ind w:right="360" w:firstLine="432"/>
        <w:spacing w:after="0" w:line="229"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60007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sectPr>
      <w:pgSz w:w="11900" w:h="16838" w:orient="portrait"/>
      <w:cols w:equalWidth="0" w:num="1">
        <w:col w:w="9440"/>
      </w:cols>
      <w:pgMar w:left="122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
      <w:numFmt w:val="bullet"/>
      <w:start w:val="1"/>
    </w:lvl>
  </w:abstractNum>
  <w:abstractNum w:abstractNumId="2">
    <w:nsid w:val="5BD062C2"/>
    <w:multiLevelType w:val="hybridMultilevel"/>
    <w:lvl w:ilvl="0">
      <w:lvlJc w:val="left"/>
      <w:lvlText w:val="%1."/>
      <w:numFmt w:val="upperLetter"/>
      <w:start w:val="1"/>
    </w:lvl>
  </w:abstractNum>
  <w:abstractNum w:abstractNumId="3">
    <w:nsid w:val="12200854"/>
    <w:multiLevelType w:val="hybridMultilevel"/>
    <w:lvl w:ilvl="0">
      <w:lvlJc w:val="left"/>
      <w:lvlText w:val="%1."/>
      <w:numFmt w:val="upperLetter"/>
      <w:start w:val="2"/>
    </w:lvl>
  </w:abstractNum>
  <w:abstractNum w:abstractNumId="4">
    <w:nsid w:val="4DB127F8"/>
    <w:multiLevelType w:val="hybridMultilevel"/>
    <w:lvl w:ilvl="0">
      <w:lvlJc w:val="left"/>
      <w:lvlText w:val="%1."/>
      <w:numFmt w:val="upperLetter"/>
      <w:start w:val="3"/>
    </w:lvl>
  </w:abstractNum>
  <w:abstractNum w:abstractNumId="5">
    <w:nsid w:val="216231B"/>
    <w:multiLevelType w:val="hybridMultilevel"/>
    <w:lvl w:ilvl="0">
      <w:lvlJc w:val="left"/>
      <w:lvlText w:val="%1."/>
      <w:numFmt w:val="upperLetter"/>
      <w:start w:val="5"/>
    </w:lvl>
  </w:abstractNum>
  <w:abstractNum w:abstractNumId="6">
    <w:nsid w:val="1F16E9E8"/>
    <w:multiLevelType w:val="hybridMultilevel"/>
    <w:lvl w:ilvl="0">
      <w:lvlJc w:val="left"/>
      <w:lvlText w:val="%1."/>
      <w:numFmt w:val="upperLetter"/>
      <w:start w:val="6"/>
    </w:lvl>
  </w:abstractNum>
  <w:abstractNum w:abstractNumId="7">
    <w:nsid w:val="1190CDE7"/>
    <w:multiLevelType w:val="hybridMultilevel"/>
    <w:lvl w:ilvl="0">
      <w:lvlJc w:val="left"/>
      <w:lvlText w:val="%1."/>
      <w:numFmt w:val="upperLetter"/>
      <w:start w:val="9"/>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1."/>
      <w:numFmt w:val="decimal"/>
      <w:start w:val="4"/>
    </w:lvl>
  </w:abstractNum>
  <w:abstractNum w:abstractNumId="10">
    <w:nsid w:val="3352255A"/>
    <w:multiLevelType w:val="hybridMultilevel"/>
    <w:lvl w:ilvl="0">
      <w:lvlJc w:val="left"/>
      <w:lvlText w:val="%1."/>
      <w:numFmt w:val="decimal"/>
      <w:start w:val="1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2020-09-04T09:23:06Z</dcterms:created>
  <dcterms:modified xsi:type="dcterms:W3CDTF">2020-09-04T09:23:06Z</dcterms:modified>
</cp:coreProperties>
</file>