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340"/>
        <w:spacing w:after="0" w:line="231"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19"/>
        <w:spacing w:after="0" w:line="23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5" w:lineRule="exact"/>
        <w:rPr>
          <w:sz w:val="24"/>
          <w:szCs w:val="24"/>
          <w:color w:val="auto"/>
        </w:rPr>
      </w:pPr>
    </w:p>
    <w:p>
      <w:pPr>
        <w:ind w:left="820" w:right="460" w:hanging="695"/>
        <w:spacing w:after="0" w:line="262" w:lineRule="auto"/>
        <w:tabs>
          <w:tab w:leader="none" w:pos="8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2016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4" w:lineRule="exact"/>
        <w:rPr>
          <w:sz w:val="24"/>
          <w:szCs w:val="24"/>
          <w:color w:val="auto"/>
        </w:rPr>
      </w:pPr>
    </w:p>
    <w:p>
      <w:pPr>
        <w:ind w:left="920" w:right="360" w:hanging="795"/>
        <w:spacing w:after="0" w:line="262" w:lineRule="auto"/>
        <w:tabs>
          <w:tab w:leader="none" w:pos="9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60"/>
        <w:spacing w:after="0"/>
        <w:tabs>
          <w:tab w:leader="none" w:pos="5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-5080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1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19"/>
        <w:spacing w:after="0" w:line="234" w:lineRule="auto"/>
        <w:rPr>
          <w:sz w:val="20"/>
          <w:szCs w:val="20"/>
          <w:color w:val="auto"/>
        </w:rPr>
      </w:pPr>
      <w:r>
        <w:rPr>
          <w:rFonts w:ascii="Times New Roman" w:cs="Times New Roman" w:eastAsia="Times New Roman" w:hAnsi="Times New Roman"/>
          <w:sz w:val="40"/>
          <w:szCs w:val="40"/>
          <w:b w:val="1"/>
          <w:bCs w:val="1"/>
          <w:color w:val="auto"/>
        </w:rPr>
        <w:t>DULUTH HOLDINGS INC.</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4" w:lineRule="exact"/>
        <w:rPr>
          <w:sz w:val="24"/>
          <w:szCs w:val="24"/>
          <w:color w:val="auto"/>
        </w:rPr>
      </w:pPr>
    </w:p>
    <w:tbl>
      <w:tblPr>
        <w:tblLayout w:type="fixed"/>
        <w:tblInd w:w="1220" w:type="dxa"/>
        <w:tblCellMar>
          <w:top w:w="0" w:type="dxa"/>
          <w:left w:w="0" w:type="dxa"/>
          <w:bottom w:w="0" w:type="dxa"/>
          <w:right w:w="0" w:type="dxa"/>
        </w:tblCellMar>
      </w:tblPr>
      <w:tr>
        <w:trPr>
          <w:trHeight w:val="214"/>
        </w:trPr>
        <w:tc>
          <w:tcPr>
            <w:tcW w:w="3820" w:type="dxa"/>
            <w:vAlign w:val="bottom"/>
          </w:tcPr>
          <w:p>
            <w:pPr>
              <w:jc w:val="center"/>
              <w:ind w:right="1358"/>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8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3820" w:type="dxa"/>
            <w:vAlign w:val="bottom"/>
          </w:tcPr>
          <w:p>
            <w:pPr>
              <w:jc w:val="center"/>
              <w:ind w:right="13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80" w:type="dxa"/>
            <w:vAlign w:val="bottom"/>
          </w:tcPr>
          <w:p>
            <w:pPr>
              <w:jc w:val="center"/>
              <w:ind w:left="13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20" w:type="dxa"/>
            <w:vAlign w:val="bottom"/>
          </w:tcPr>
          <w:p>
            <w:pPr>
              <w:jc w:val="center"/>
              <w:ind w:right="13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8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3820" w:type="dxa"/>
            <w:vAlign w:val="bottom"/>
          </w:tcPr>
          <w:p>
            <w:pPr>
              <w:jc w:val="center"/>
              <w:ind w:right="1358"/>
              <w:spacing w:after="0"/>
              <w:rPr>
                <w:sz w:val="20"/>
                <w:szCs w:val="20"/>
                <w:color w:val="auto"/>
              </w:rPr>
            </w:pPr>
            <w:r>
              <w:rPr>
                <w:rFonts w:ascii="Times New Roman" w:cs="Times New Roman" w:eastAsia="Times New Roman" w:hAnsi="Times New Roman"/>
                <w:sz w:val="18"/>
                <w:szCs w:val="18"/>
                <w:b w:val="1"/>
                <w:bCs w:val="1"/>
                <w:color w:val="auto"/>
                <w:w w:val="99"/>
              </w:rPr>
              <w:t>170 Countryside Drive</w:t>
            </w:r>
          </w:p>
        </w:tc>
        <w:tc>
          <w:tcPr>
            <w:tcW w:w="2880" w:type="dxa"/>
            <w:vAlign w:val="bottom"/>
          </w:tcPr>
          <w:p>
            <w:pPr>
              <w:spacing w:after="0"/>
              <w:rPr>
                <w:sz w:val="24"/>
                <w:szCs w:val="24"/>
                <w:color w:val="auto"/>
              </w:rPr>
            </w:pPr>
          </w:p>
        </w:tc>
      </w:tr>
      <w:tr>
        <w:trPr>
          <w:trHeight w:val="216"/>
        </w:trPr>
        <w:tc>
          <w:tcPr>
            <w:tcW w:w="3820" w:type="dxa"/>
            <w:vAlign w:val="bottom"/>
          </w:tcPr>
          <w:p>
            <w:pPr>
              <w:jc w:val="center"/>
              <w:ind w:right="1358"/>
              <w:spacing w:after="0"/>
              <w:rPr>
                <w:sz w:val="20"/>
                <w:szCs w:val="20"/>
                <w:color w:val="auto"/>
              </w:rPr>
            </w:pPr>
            <w:r>
              <w:rPr>
                <w:rFonts w:ascii="Times New Roman" w:cs="Times New Roman" w:eastAsia="Times New Roman" w:hAnsi="Times New Roman"/>
                <w:sz w:val="18"/>
                <w:szCs w:val="18"/>
                <w:b w:val="1"/>
                <w:bCs w:val="1"/>
                <w:color w:val="auto"/>
                <w:w w:val="97"/>
              </w:rPr>
              <w:t>P.O. Box 409</w:t>
            </w:r>
          </w:p>
        </w:tc>
        <w:tc>
          <w:tcPr>
            <w:tcW w:w="28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53508</w:t>
            </w:r>
          </w:p>
        </w:tc>
      </w:tr>
      <w:tr>
        <w:trPr>
          <w:trHeight w:val="214"/>
        </w:trPr>
        <w:tc>
          <w:tcPr>
            <w:tcW w:w="3820" w:type="dxa"/>
            <w:vAlign w:val="bottom"/>
          </w:tcPr>
          <w:p>
            <w:pPr>
              <w:jc w:val="center"/>
              <w:ind w:right="1358"/>
              <w:spacing w:after="0"/>
              <w:rPr>
                <w:sz w:val="20"/>
                <w:szCs w:val="20"/>
                <w:color w:val="auto"/>
              </w:rPr>
            </w:pPr>
            <w:r>
              <w:rPr>
                <w:rFonts w:ascii="Times New Roman" w:cs="Times New Roman" w:eastAsia="Times New Roman" w:hAnsi="Times New Roman"/>
                <w:sz w:val="18"/>
                <w:szCs w:val="18"/>
                <w:b w:val="1"/>
                <w:bCs w:val="1"/>
                <w:color w:val="auto"/>
                <w:w w:val="99"/>
              </w:rPr>
              <w:t>Belleville, Wisconsin</w:t>
            </w:r>
          </w:p>
        </w:tc>
        <w:tc>
          <w:tcPr>
            <w:tcW w:w="2880" w:type="dxa"/>
            <w:vAlign w:val="bottom"/>
          </w:tcPr>
          <w:p>
            <w:pPr>
              <w:spacing w:after="0"/>
              <w:rPr>
                <w:sz w:val="18"/>
                <w:szCs w:val="18"/>
                <w:color w:val="auto"/>
              </w:rPr>
            </w:pPr>
          </w:p>
        </w:tc>
      </w:tr>
      <w:tr>
        <w:trPr>
          <w:trHeight w:val="190"/>
        </w:trPr>
        <w:tc>
          <w:tcPr>
            <w:tcW w:w="3820" w:type="dxa"/>
            <w:vAlign w:val="bottom"/>
          </w:tcPr>
          <w:p>
            <w:pPr>
              <w:jc w:val="center"/>
              <w:ind w:right="1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(608) 424-1544</w:t>
      </w:r>
    </w:p>
    <w:p>
      <w:pPr>
        <w:spacing w:after="0" w:line="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4" w:lineRule="exact"/>
        <w:rPr>
          <w:sz w:val="24"/>
          <w:szCs w:val="24"/>
          <w:color w:val="auto"/>
        </w:rPr>
      </w:pPr>
    </w:p>
    <w:p>
      <w:pPr>
        <w:ind w:right="100" w:firstLine="42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firstLine="42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jc w:val="both"/>
        <w:ind w:right="180" w:firstLine="42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9620"/>
          </w:cols>
          <w:pgMar w:left="1140" w:top="209" w:right="1139" w:bottom="1440" w:gutter="0" w:footer="0" w:header="0"/>
        </w:sectPr>
      </w:pPr>
    </w:p>
    <w:p>
      <w:pPr>
        <w:spacing w:after="0" w:line="178" w:lineRule="exact"/>
        <w:rPr>
          <w:sz w:val="24"/>
          <w:szCs w:val="24"/>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2"/>
          <w:szCs w:val="12"/>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600" w:space="720"/>
            <w:col w:w="2440" w:space="360"/>
            <w:col w:w="1800" w:space="720"/>
            <w:col w:w="1980"/>
          </w:cols>
          <w:pgMar w:left="1140" w:top="209" w:right="1139" w:bottom="1440" w:gutter="0" w:footer="0" w:header="0"/>
          <w:type w:val="continuous"/>
        </w:sect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September 6, 2016 was 3,364,200.</w:t>
      </w:r>
    </w:p>
    <w:p>
      <w:pPr>
        <w:spacing w:after="0" w:line="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September 6, 2016, was 29,011,556.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749300</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09" w:right="1139" w:bottom="1440" w:gutter="0" w:footer="0" w:header="0"/>
          <w:type w:val="continuous"/>
        </w:sectPr>
      </w:pPr>
    </w:p>
    <w:bookmarkStart w:id="1" w:name="page2"/>
    <w:bookmarkEnd w:id="1"/>
    <w:p>
      <w:pPr>
        <w:ind w:left="370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QUARTER ENDED July 31, 2016</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tcBorders>
              <w:bottom w:val="single" w:sz="8" w:color="0000EE"/>
            </w:tcBorders>
            <w:gridSpan w:val="8"/>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I—Financial Information</w:t>
              </w:r>
            </w:hyperlink>
          </w:p>
        </w:tc>
        <w:tc>
          <w:tcPr>
            <w:tcW w:w="174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Page</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July 31, 2016 and January 31, 2016</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(Unaudited)</w:t>
              </w:r>
            </w:hyperlink>
          </w:p>
        </w:tc>
        <w:tc>
          <w:tcPr>
            <w:tcW w:w="5040" w:type="dxa"/>
            <w:vAlign w:val="bottom"/>
            <w:tcBorders>
              <w:top w:val="single" w:sz="8" w:color="0000EE"/>
            </w:tcBorders>
            <w:gridSpan w:val="16"/>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six months ended</w:t>
              </w:r>
            </w:hyperlink>
          </w:p>
        </w:tc>
        <w:tc>
          <w:tcPr>
            <w:tcW w:w="1000" w:type="dxa"/>
            <w:vAlign w:val="bottom"/>
            <w:gridSpan w:val="5"/>
          </w:tcPr>
          <w:p>
            <w:pPr>
              <w:ind w:left="6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July</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31, 2016 and August 2, 2015 (Unaudited)</w:t>
              </w:r>
            </w:hyperlink>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six months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July 31, 2016 and August 2, 2015 (Unaudited)</w:t>
              </w:r>
            </w:hyperlink>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Shareholders’ Equity for the six months</w:t>
              </w:r>
            </w:hyperlink>
          </w:p>
        </w:tc>
        <w:tc>
          <w:tcPr>
            <w:tcW w:w="5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ended  July 31, 2016 (Unaudited)</w:t>
              </w:r>
            </w:hyperlink>
          </w:p>
        </w:tc>
        <w:tc>
          <w:tcPr>
            <w:tcW w:w="376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w:t>
              </w:r>
            </w:hyperlink>
          </w:p>
        </w:tc>
        <w:tc>
          <w:tcPr>
            <w:tcW w:w="1000" w:type="dxa"/>
            <w:vAlign w:val="bottom"/>
            <w:gridSpan w:val="5"/>
          </w:tcPr>
          <w:p>
            <w:pPr>
              <w:ind w:left="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July</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31, 2016 and August 2, 2015 (Unaudited)</w:t>
              </w:r>
            </w:hyperlink>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13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Item 2.</w:t>
              </w:r>
            </w:hyperlink>
          </w:p>
        </w:tc>
        <w:tc>
          <w:tcPr>
            <w:tcW w:w="740" w:type="dxa"/>
            <w:vAlign w:val="bottom"/>
            <w:gridSpan w:val="3"/>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3.</w:t>
              </w:r>
            </w:hyperlink>
          </w:p>
        </w:tc>
        <w:tc>
          <w:tcPr>
            <w:tcW w:w="740" w:type="dxa"/>
            <w:vAlign w:val="bottom"/>
            <w:gridSpan w:val="3"/>
          </w:tcPr>
          <w:p>
            <w:pPr>
              <w:spacing w:after="0"/>
              <w:rPr>
                <w:sz w:val="24"/>
                <w:szCs w:val="24"/>
                <w:color w:val="auto"/>
              </w:rPr>
            </w:pPr>
          </w:p>
        </w:tc>
        <w:tc>
          <w:tcPr>
            <w:tcW w:w="62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186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6"/>
          </w:tcPr>
          <w:p>
            <w:pPr>
              <w:jc w:val="cente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Part II—Other Information</w:t>
              </w:r>
            </w:hyperlink>
          </w:p>
        </w:tc>
        <w:tc>
          <w:tcPr>
            <w:tcW w:w="184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4880" w:type="dxa"/>
            <w:vAlign w:val="bottom"/>
            <w:gridSpan w:val="15"/>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622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188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114"/>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gridSpan w:val="11"/>
          </w:tcPr>
          <w:p>
            <w:pPr>
              <w:ind w:left="338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17" w:right="11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vMerge w:val="restart"/>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January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Inventory, less reserve for excess and obsolete items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$1,550 and $1,404,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133,442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Freight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returns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obligations, less current maturities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or outstanding as of July 31, 2016 and January 31, 2016</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3,364 shares issued and outstanding as of July 31, 2016 and January 31, 2016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29,005 and 28,952 shares issued and outstanding as of July 31, 2016 and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31, 2016,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133,442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15"/>
                <w:szCs w:val="15"/>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2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65,823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2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26,901</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22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78,613</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32,936</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22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31,520</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income per share attributable</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60" w:type="dxa"/>
            <w:vAlign w:val="bottom"/>
            <w:gridSpan w:val="2"/>
            <w:vMerge w:val="continue"/>
            <w:shd w:val="clear" w:color="auto" w:fill="CCEEFF"/>
          </w:tcPr>
          <w:p>
            <w:pPr>
              <w:spacing w:after="0"/>
              <w:rPr>
                <w:sz w:val="20"/>
                <w:szCs w:val="20"/>
                <w:color w:val="auto"/>
              </w:rPr>
            </w:pPr>
          </w:p>
        </w:tc>
        <w:tc>
          <w:tcPr>
            <w:tcW w:w="1160" w:type="dxa"/>
            <w:vAlign w:val="bottom"/>
            <w:tcBorders>
              <w:right w:val="single" w:sz="8" w:color="CCEEFF"/>
            </w:tcBorders>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20" w:type="dxa"/>
            <w:vAlign w:val="bottom"/>
            <w:tcBorders>
              <w:left w:val="single" w:sz="8" w:color="CCEEFF"/>
            </w:tcBorders>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32,263</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20" w:type="dxa"/>
            <w:vAlign w:val="bottom"/>
            <w:tcBorders>
              <w:left w:val="single" w:sz="8" w:color="CCEEFF"/>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24,260</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income per share attributable</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6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income information (Note 1):</w:t>
            </w:r>
          </w:p>
        </w:tc>
        <w:tc>
          <w:tcPr>
            <w:tcW w:w="2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left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attributable to controlling interest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before provision for 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provision for income taxes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tcBorders>
              <w:lef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 forma net income attributable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net income per share attributable</w:t>
            </w: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lef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 (Class A and Class B)</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diluted net income per share attributable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 (Class A and Class B)</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15"/>
                <w:szCs w:val="15"/>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interest rate swap agreement</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3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36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tcPr>
          <w:p>
            <w:pPr>
              <w:spacing w:after="0"/>
              <w:rPr>
                <w:sz w:val="15"/>
                <w:szCs w:val="15"/>
                <w:color w:val="auto"/>
              </w:rPr>
            </w:pP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3"/>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90,486</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198"/>
        </w:trPr>
        <w:tc>
          <w:tcPr>
            <w:tcW w:w="20" w:type="dxa"/>
            <w:vAlign w:val="bottom"/>
          </w:tcPr>
          <w:p>
            <w:pPr>
              <w:spacing w:after="0"/>
              <w:rPr>
                <w:sz w:val="17"/>
                <w:szCs w:val="17"/>
                <w:color w:val="auto"/>
              </w:rPr>
            </w:pPr>
          </w:p>
        </w:tc>
        <w:tc>
          <w:tcPr>
            <w:tcW w:w="34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income from change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 value of interest rate swap agreement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r>
      <w:tr>
        <w:trPr>
          <w:trHeight w:val="198"/>
        </w:trPr>
        <w:tc>
          <w:tcPr>
            <w:tcW w:w="20" w:type="dxa"/>
            <w:vAlign w:val="bottom"/>
          </w:tcPr>
          <w:p>
            <w:pPr>
              <w:spacing w:after="0"/>
              <w:rPr>
                <w:sz w:val="17"/>
                <w:szCs w:val="17"/>
                <w:color w:val="auto"/>
              </w:rPr>
            </w:pPr>
          </w:p>
        </w:tc>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operating activities: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Purchases of other assets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196"/>
        </w:trPr>
        <w:tc>
          <w:tcPr>
            <w:tcW w:w="20" w:type="dxa"/>
            <w:vAlign w:val="bottom"/>
          </w:tcPr>
          <w:p>
            <w:pPr>
              <w:spacing w:after="0"/>
              <w:rPr>
                <w:sz w:val="17"/>
                <w:szCs w:val="17"/>
                <w:color w:val="auto"/>
              </w:rPr>
            </w:pPr>
          </w:p>
        </w:tc>
        <w:tc>
          <w:tcPr>
            <w:tcW w:w="5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(28,160)</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bank overdrafts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w:t>
            </w: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to variable interest entities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30"/>
        </w:trPr>
        <w:tc>
          <w:tcPr>
            <w:tcW w:w="2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190"/>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right="42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1. NATURE OF OPERATIONS AND BASIS OF PRESENTATION </w:t>
      </w:r>
      <w:r>
        <w:rPr>
          <w:rFonts w:ascii="Times New Roman" w:cs="Times New Roman" w:eastAsia="Times New Roman" w:hAnsi="Times New Roman"/>
          <w:sz w:val="18"/>
          <w:szCs w:val="18"/>
          <w:b w:val="1"/>
          <w:bCs w:val="1"/>
          <w:i w:val="1"/>
          <w:iCs w:val="1"/>
          <w:color w:val="auto"/>
        </w:rPr>
        <w:t>A. Nature of Operations</w:t>
      </w:r>
    </w:p>
    <w:p>
      <w:pPr>
        <w:spacing w:after="0" w:line="1" w:lineRule="exact"/>
        <w:rPr>
          <w:sz w:val="20"/>
          <w:szCs w:val="20"/>
          <w:color w:val="auto"/>
        </w:rPr>
      </w:pPr>
    </w:p>
    <w:p>
      <w:pPr>
        <w:ind w:right="120" w:firstLine="428"/>
        <w:spacing w:after="0" w:line="255"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July 31, 2016, the Company operated nine retail stores and two outlet stores across South Dakota, Minnesota, Iowa, Nebraska and Wisconsin. The Company’s products are marketed under the Duluth Trading brand, with the majority of products being exclusively developed and sold as Duluth Trading branded merchandise.</w:t>
      </w:r>
    </w:p>
    <w:p>
      <w:pPr>
        <w:spacing w:after="0" w:line="162"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3"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On November 25, 2015, the Company converted from an “S” corporation to a “C” corporation for federal income tax purposes under Section 1362 of the Internal Revenue Code, as amended (the “Code”), and the Company completed its initial public offering (“IPO”). Refer to the Company’s consolidated financial statements and notes included in the Company’s annual report on Form 10-K for the fiscal year ended January 31, 2016, for additional information related to the Company’s IPO. During the first quarter of fiscal 2016, the Company paid the remaining $0.2 million balance of its final “S” corporation distribution, which resulted in a total final distribution of $46.6 million from the termination of the Company’s “S” corporation status.</w:t>
      </w:r>
    </w:p>
    <w:p>
      <w:pPr>
        <w:spacing w:after="0" w:line="1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202" w:lineRule="exact"/>
        <w:rPr>
          <w:sz w:val="20"/>
          <w:szCs w:val="20"/>
          <w:color w:val="auto"/>
        </w:rPr>
      </w:pPr>
    </w:p>
    <w:p>
      <w:pPr>
        <w:ind w:right="240" w:firstLine="42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The Company also consolidates Schlecht Retail Ventures LLC (“SRV”) as a variable interest entity (see Note 4 “Variable Interest Entities”). All intercompany balances and transactions have been eliminated.</w:t>
      </w:r>
    </w:p>
    <w:p>
      <w:pPr>
        <w:spacing w:after="0" w:line="143"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2016 is a 52-week period and ends on January 29, 2017. Fiscal 2015 was a 52-week period and ended on January 31, 2016. The three and six months of fiscal 2016 and fiscal 2015 represent the Company’s 13 and 26-week periods ended July 31, 2016 and August 2, 2015, respectively.</w:t>
      </w:r>
    </w:p>
    <w:p>
      <w:pPr>
        <w:spacing w:after="0" w:line="136" w:lineRule="exact"/>
        <w:rPr>
          <w:sz w:val="20"/>
          <w:szCs w:val="20"/>
          <w:color w:val="auto"/>
        </w:rPr>
      </w:pPr>
    </w:p>
    <w:p>
      <w:pPr>
        <w:ind w:firstLine="42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July 31, 2016 and August 2, 2015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note disclosures normally included in consolidated financial statements prepared in accordance with U.S. GAAP have been condensed or omitted pursuant to such SEC rules and regulations as of and for the three and six months ended July 31, 2016 and August 2, 2015. These interim condensed consolidated financial statements should be read in conjunction with the consolidated financial statements and notes included in the Company’s annual report on Form 10-K for the fiscal year ended January 31, 2016.</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Seasonality of Business</w:t>
      </w:r>
    </w:p>
    <w:p>
      <w:pPr>
        <w:spacing w:after="0" w:line="189" w:lineRule="exact"/>
        <w:rPr>
          <w:sz w:val="20"/>
          <w:szCs w:val="20"/>
          <w:color w:val="auto"/>
        </w:rPr>
      </w:pPr>
    </w:p>
    <w:p>
      <w:pPr>
        <w:jc w:val="both"/>
        <w:ind w:right="160" w:firstLine="428"/>
        <w:spacing w:after="0" w:line="266"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Pro Forma Net Income Information</w:t>
      </w:r>
    </w:p>
    <w:p>
      <w:pPr>
        <w:spacing w:after="0" w:line="202" w:lineRule="exact"/>
        <w:rPr>
          <w:sz w:val="20"/>
          <w:szCs w:val="20"/>
          <w:color w:val="auto"/>
        </w:rPr>
      </w:pPr>
    </w:p>
    <w:p>
      <w:pPr>
        <w:jc w:val="both"/>
        <w:ind w:right="40" w:firstLine="42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August 2, 2015, the pro forma net income information gives effect to the conversion of the Company to a “C” corporation on November 25, 2015. Prior to such conversion, the Company was an “S” corporation and generally not subject to income taxes. The pro forma net income, therefore, includes an adjustment for income tax expense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income attributable to controlling interest as if the Company had been a “C” corporation as of February 4, 2013 at an 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40" w:lineRule="exact"/>
        <w:rPr>
          <w:sz w:val="20"/>
          <w:szCs w:val="20"/>
          <w:color w:val="auto"/>
        </w:rPr>
      </w:pPr>
    </w:p>
    <w:p>
      <w:pPr>
        <w:ind w:right="80" w:firstLine="42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August 2, 2015, the pro forma basic and diluted net income per share of Class A and Class B common stock is computed using the pro forma net income, as discussed above.</w:t>
      </w:r>
    </w:p>
    <w:p>
      <w:pPr>
        <w:spacing w:after="0" w:line="13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189" w:lineRule="exact"/>
        <w:rPr>
          <w:sz w:val="20"/>
          <w:szCs w:val="20"/>
          <w:color w:val="auto"/>
        </w:rPr>
      </w:pPr>
    </w:p>
    <w:p>
      <w:pPr>
        <w:ind w:right="200" w:firstLine="428"/>
        <w:spacing w:after="0" w:line="266" w:lineRule="auto"/>
        <w:rPr>
          <w:sz w:val="20"/>
          <w:szCs w:val="20"/>
          <w:color w:val="auto"/>
        </w:rPr>
      </w:pPr>
      <w:r>
        <w:rPr>
          <w:rFonts w:ascii="Times New Roman" w:cs="Times New Roman" w:eastAsia="Times New Roman" w:hAnsi="Times New Roman"/>
          <w:sz w:val="18"/>
          <w:szCs w:val="18"/>
          <w:color w:val="auto"/>
        </w:rPr>
        <w:t>The Company’s restricted cash is held in an escrow account and is used to pay a portion of the construction loan entered into by a third party Landlord (the “Landlord”) in connection with one of the Company’s retail store leases. The restricted cash is disbursed based on an escrow agreement entered into by and among the Landlord, the Company and the escrow agent.</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DEBT AND LINE OF CREDIT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196"/>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Note due March 2017</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 due May 2019</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SRV Mortgage Note due September 2017</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SRV Mortgage Note due August 2016</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1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r>
    </w:tbl>
    <w:p>
      <w:pPr>
        <w:spacing w:after="0" w:line="373" w:lineRule="exact"/>
        <w:rPr>
          <w:sz w:val="20"/>
          <w:szCs w:val="20"/>
          <w:color w:val="auto"/>
        </w:rPr>
      </w:pPr>
    </w:p>
    <w:p>
      <w:pPr>
        <w:ind w:right="20" w:firstLine="428"/>
        <w:spacing w:after="0" w:line="254" w:lineRule="auto"/>
        <w:rPr>
          <w:sz w:val="20"/>
          <w:szCs w:val="20"/>
          <w:color w:val="auto"/>
        </w:rPr>
      </w:pPr>
      <w:r>
        <w:rPr>
          <w:rFonts w:ascii="Times New Roman" w:cs="Times New Roman" w:eastAsia="Times New Roman" w:hAnsi="Times New Roman"/>
          <w:sz w:val="18"/>
          <w:szCs w:val="18"/>
          <w:color w:val="auto"/>
        </w:rPr>
        <w:t>In May 2014, the Company assumed a mortgage note (“Mortgage 2017 Note”) from Schlecht Enterprises LLC (“SE”) in conjunction with the Company’s acquisition of certain related real property from SE, an entity that was previously consolidated through May 21, 2014. The Mortgage 2017 Note had an original balance of $3.8 million. The Mortgage 2017 Note was scheduled to expire in March 2017 and required monthly payments of $11,900, plus interest at a rate equal to the one-month LIBOR rate plus 1.25 percentage points (effective rate of 1.7% on July 31, 2016), with a final balloon payment due in March 2017. In connection with the Mortgage 2017 Note, the Company entered into an interest rate swap agreement to reduce the impact of changes in the interest rate (see Note 3 “Derivative Financial Instrument”). Effective August 23, 2016, the Company paid off the remaining balance of the Mortgage 2017 Note in the amount of $3.1 million, see Note 11 “Subsequent events.” In connection with the payoff of the Mortgage 2017 Note, the Company’s interest rate swap agreement was terminated.</w:t>
      </w:r>
    </w:p>
    <w:p>
      <w:pPr>
        <w:spacing w:after="0" w:line="162" w:lineRule="exact"/>
        <w:rPr>
          <w:sz w:val="20"/>
          <w:szCs w:val="20"/>
          <w:color w:val="auto"/>
        </w:rPr>
      </w:pPr>
    </w:p>
    <w:p>
      <w:pPr>
        <w:ind w:right="200" w:firstLine="428"/>
        <w:spacing w:after="0" w:line="261" w:lineRule="auto"/>
        <w:rPr>
          <w:sz w:val="20"/>
          <w:szCs w:val="20"/>
          <w:color w:val="auto"/>
        </w:rPr>
      </w:pPr>
      <w:r>
        <w:rPr>
          <w:rFonts w:ascii="Times New Roman" w:cs="Times New Roman" w:eastAsia="Times New Roman" w:hAnsi="Times New Roman"/>
          <w:sz w:val="18"/>
          <w:szCs w:val="18"/>
          <w:color w:val="auto"/>
        </w:rPr>
        <w:t>During fiscal 2014, the Company entered into a mortgage note (“Mortgage 2019 Note”) with an original balance of $0.6 million. The Mortgage 2019 Note was scheduled to expire in May 2019 and required monthly payments of $5,300 plus interest at 4%, with a final balloon payment due in May 2019. Effective August 15, 2016, the Company paid off the remaining balance of the Mortgage 2019 Note in the amount of $0.5 million, see Note 11 “Subsequent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Schlecht Retail Ventures LLC</w:t>
      </w:r>
    </w:p>
    <w:p>
      <w:pPr>
        <w:spacing w:after="0" w:line="189"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9" w:lineRule="exact"/>
        <w:rPr>
          <w:sz w:val="20"/>
          <w:szCs w:val="20"/>
          <w:color w:val="auto"/>
        </w:rPr>
      </w:pPr>
    </w:p>
    <w:p>
      <w:pPr>
        <w:ind w:right="60" w:firstLine="428"/>
        <w:spacing w:after="0" w:line="261" w:lineRule="auto"/>
        <w:rPr>
          <w:sz w:val="20"/>
          <w:szCs w:val="20"/>
          <w:color w:val="auto"/>
        </w:rPr>
      </w:pPr>
      <w:r>
        <w:rPr>
          <w:rFonts w:ascii="Times New Roman" w:cs="Times New Roman" w:eastAsia="Times New Roman" w:hAnsi="Times New Roman"/>
          <w:sz w:val="18"/>
          <w:szCs w:val="18"/>
          <w:color w:val="auto"/>
        </w:rPr>
        <w:t>SRV entered into a mortgage note (“SRV 2016 Note”) with an original balance of $0.5 million. The SRV 2016 Note expired in August 2016 and required monthly payments of $3,400, including interest at 4.5%, with a final balloon payment due in August</w:t>
      </w:r>
    </w:p>
    <w:p>
      <w:pPr>
        <w:ind w:right="60"/>
        <w:spacing w:after="0" w:line="261" w:lineRule="auto"/>
        <w:rPr>
          <w:sz w:val="20"/>
          <w:szCs w:val="20"/>
          <w:color w:val="auto"/>
        </w:rPr>
      </w:pPr>
      <w:r>
        <w:rPr>
          <w:rFonts w:ascii="Times New Roman" w:cs="Times New Roman" w:eastAsia="Times New Roman" w:hAnsi="Times New Roman"/>
          <w:sz w:val="18"/>
          <w:szCs w:val="18"/>
          <w:color w:val="auto"/>
        </w:rPr>
        <w:t>2016. Effective August 5, 2016, SRV paid off the remaining SRV 2016 Note in the amount of $0.4 million, see Note 11 “Subsequent events.”</w:t>
      </w:r>
    </w:p>
    <w:p>
      <w:pPr>
        <w:spacing w:after="0" w:line="139" w:lineRule="exact"/>
        <w:rPr>
          <w:sz w:val="20"/>
          <w:szCs w:val="20"/>
          <w:color w:val="auto"/>
        </w:rPr>
      </w:pPr>
    </w:p>
    <w:p>
      <w:pPr>
        <w:ind w:right="40" w:firstLine="428"/>
        <w:spacing w:after="0" w:line="282" w:lineRule="auto"/>
        <w:rPr>
          <w:sz w:val="20"/>
          <w:szCs w:val="20"/>
          <w:color w:val="auto"/>
        </w:rPr>
      </w:pPr>
      <w:r>
        <w:rPr>
          <w:rFonts w:ascii="Times New Roman" w:cs="Times New Roman" w:eastAsia="Times New Roman" w:hAnsi="Times New Roman"/>
          <w:sz w:val="18"/>
          <w:szCs w:val="18"/>
          <w:color w:val="auto"/>
        </w:rPr>
        <w:t>The SRV 2017 Note is guaranteed by the Company’s majority shareholder and collateralized by certain real property owned by SRV in Mt. Horeb, Wisconsin.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right="80" w:firstLine="428"/>
        <w:spacing w:after="0" w:line="258" w:lineRule="auto"/>
        <w:rPr>
          <w:sz w:val="20"/>
          <w:szCs w:val="20"/>
          <w:color w:val="auto"/>
        </w:rPr>
      </w:pPr>
      <w:r>
        <w:rPr>
          <w:rFonts w:ascii="Times New Roman" w:cs="Times New Roman" w:eastAsia="Times New Roman" w:hAnsi="Times New Roman"/>
          <w:sz w:val="18"/>
          <w:szCs w:val="18"/>
          <w:color w:val="auto"/>
        </w:rPr>
        <w:t>The Company has a revolving line of credit from a bank with availability of $40.0 million, subject to certain borrowing base limits, which expires July 2018 and bears interest, payable monthly, at a rate equal to the one-month LIBOR rate plus 1.25 percentage points (effective rate of 1.7% at July 31, 2016). The revolving line of credit is secured by essentially all Company assets and requires the Company to maintain compliance with certain financial and non-financial covenants, including a minimum tangible net worth and a minimum trailing twelve month EBITDA.</w:t>
      </w:r>
    </w:p>
    <w:p>
      <w:pPr>
        <w:spacing w:after="0" w:line="157" w:lineRule="exact"/>
        <w:rPr>
          <w:sz w:val="20"/>
          <w:szCs w:val="20"/>
          <w:color w:val="auto"/>
        </w:rPr>
      </w:pPr>
    </w:p>
    <w:p>
      <w:pPr>
        <w:ind w:right="280" w:firstLine="428"/>
        <w:spacing w:after="0" w:line="282" w:lineRule="auto"/>
        <w:rPr>
          <w:sz w:val="20"/>
          <w:szCs w:val="20"/>
          <w:color w:val="auto"/>
        </w:rPr>
      </w:pPr>
      <w:r>
        <w:rPr>
          <w:rFonts w:ascii="Times New Roman" w:cs="Times New Roman" w:eastAsia="Times New Roman" w:hAnsi="Times New Roman"/>
          <w:sz w:val="18"/>
          <w:szCs w:val="18"/>
          <w:color w:val="auto"/>
        </w:rPr>
        <w:t>As of July 31, 2016 and for the six months then ended, the Company was in compliance with all financial and non-financial covenants for all debts discussed above.</w:t>
      </w: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DERIVATIVE FINANCIAL INSTRUMENT</w:t>
      </w:r>
    </w:p>
    <w:p>
      <w:pPr>
        <w:spacing w:after="0" w:line="202" w:lineRule="exact"/>
        <w:rPr>
          <w:sz w:val="20"/>
          <w:szCs w:val="20"/>
          <w:color w:val="auto"/>
        </w:rPr>
      </w:pPr>
    </w:p>
    <w:p>
      <w:pPr>
        <w:ind w:firstLine="428"/>
        <w:spacing w:after="0" w:line="254" w:lineRule="auto"/>
        <w:rPr>
          <w:sz w:val="20"/>
          <w:szCs w:val="20"/>
          <w:color w:val="auto"/>
        </w:rPr>
      </w:pPr>
      <w:r>
        <w:rPr>
          <w:rFonts w:ascii="Times New Roman" w:cs="Times New Roman" w:eastAsia="Times New Roman" w:hAnsi="Times New Roman"/>
          <w:sz w:val="18"/>
          <w:szCs w:val="18"/>
          <w:color w:val="auto"/>
        </w:rPr>
        <w:t>The Company used an interest rate swap to manage its interest rate risk on the Mortgage 2017 Note. Effective August 23, 2016, in connection with the Company paying off the remaining balance of the Mortgage 2017 Note, the interest rate swap was terminated. The Company does not hold or issue derivative financial instruments for trading purposes. The interest rate swap agreement had a notional principal amount equal to the outstanding balance on the Mortgage 2017 Note and was scheduled to mature in March 2017. The agreement effectively changed the Company’s interest rate exposure on the entire outstanding balance of the mortgage note to a fixed rate of 3%. The interest rate swap was designated as a cash flow hedge and qualified for hedge accounting treatment using the shortcut method. Under the shortcut method, there are no gains or losses recognized due to hedge ineffectiveness and the change in the fair value of the interest rate swap is assumed to perfectly offset the change in fair value of the hedged debt. As a result, the Company reports changes in the fair value of the interest rate swap as other comprehensive income or loss in the period of change.</w:t>
      </w:r>
    </w:p>
    <w:p>
      <w:pPr>
        <w:spacing w:after="0" w:line="146" w:lineRule="exact"/>
        <w:rPr>
          <w:sz w:val="20"/>
          <w:szCs w:val="20"/>
          <w:color w:val="auto"/>
        </w:rPr>
      </w:pPr>
    </w:p>
    <w:p>
      <w:pPr>
        <w:ind w:right="800" w:firstLine="428"/>
        <w:spacing w:after="0" w:line="282" w:lineRule="auto"/>
        <w:rPr>
          <w:sz w:val="20"/>
          <w:szCs w:val="20"/>
          <w:color w:val="auto"/>
        </w:rPr>
      </w:pPr>
      <w:r>
        <w:rPr>
          <w:rFonts w:ascii="Times New Roman" w:cs="Times New Roman" w:eastAsia="Times New Roman" w:hAnsi="Times New Roman"/>
          <w:sz w:val="18"/>
          <w:szCs w:val="18"/>
          <w:color w:val="auto"/>
        </w:rPr>
        <w:t>The fair value of the interest rate swap agreement is recorded as a liability included in other accrued expenses on the accompanying Condensed Consolidated Balance Sheets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196"/>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780" w:type="dxa"/>
            <w:vAlign w:val="bottom"/>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00" w:lineRule="exact"/>
        <w:rPr>
          <w:sz w:val="20"/>
          <w:szCs w:val="20"/>
          <w:color w:val="auto"/>
        </w:rPr>
      </w:pPr>
    </w:p>
    <w:p>
      <w:pPr>
        <w:jc w:val="both"/>
        <w:ind w:right="160" w:firstLine="428"/>
        <w:spacing w:after="0" w:line="267"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has determined that it was the primary beneficiary of one variable interest entity (“VIE”) as of July 31, 2016 and January 31, 2016, as the Company absorbs significant economics of the entity and has the power to direct the activities that are considered most significant to the entity.</w:t>
      </w:r>
    </w:p>
    <w:p>
      <w:pPr>
        <w:spacing w:after="0" w:line="135" w:lineRule="exact"/>
        <w:rPr>
          <w:sz w:val="20"/>
          <w:szCs w:val="20"/>
          <w:color w:val="auto"/>
        </w:rPr>
      </w:pPr>
    </w:p>
    <w:p>
      <w:pPr>
        <w:ind w:right="120" w:firstLine="428"/>
        <w:spacing w:after="0" w:line="258" w:lineRule="auto"/>
        <w:rPr>
          <w:sz w:val="20"/>
          <w:szCs w:val="20"/>
          <w:color w:val="auto"/>
        </w:rPr>
      </w:pPr>
      <w:r>
        <w:rPr>
          <w:rFonts w:ascii="Times New Roman" w:cs="Times New Roman" w:eastAsia="Times New Roman" w:hAnsi="Times New Roman"/>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SRV as of July 31, 2016 and January 31,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January 31, 2016</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7" w:lineRule="exact"/>
        <w:rPr>
          <w:sz w:val="20"/>
          <w:szCs w:val="20"/>
          <w:color w:val="auto"/>
        </w:rPr>
      </w:pPr>
    </w:p>
    <w:p>
      <w:pPr>
        <w:jc w:val="both"/>
        <w:ind w:right="40" w:firstLine="428"/>
        <w:spacing w:after="0" w:line="259"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5"/>
                <w:szCs w:val="15"/>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19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attributable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r>
      <w:tr>
        <w:trPr>
          <w:trHeight w:val="22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and Class B)</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23,815</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shares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24,260</w:t>
            </w:r>
          </w:p>
        </w:tc>
      </w:tr>
      <w:tr>
        <w:trPr>
          <w:trHeight w:val="24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47"/>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00"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35"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during the three and six months ended July 31, 2016 was $0.3 million and $0.6 million, respectively. Total stock compensation expense associated with restricted stock recognized by the Company during the three and six months ended August 2, 2015 was $0.1 million and $0.3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million, respectively. The Company’s total stock compensation expense is included in selling, general and administrative expenses on the Condensed Consolidated Statements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July 31, 2016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3"/>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849,317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71" w:lineRule="exact"/>
        <w:rPr>
          <w:sz w:val="20"/>
          <w:szCs w:val="20"/>
          <w:color w:val="auto"/>
        </w:rPr>
      </w:pPr>
    </w:p>
    <w:p>
      <w:pPr>
        <w:ind w:right="100" w:firstLine="428"/>
        <w:spacing w:after="0" w:line="282" w:lineRule="auto"/>
        <w:rPr>
          <w:sz w:val="20"/>
          <w:szCs w:val="20"/>
          <w:color w:val="auto"/>
        </w:rPr>
      </w:pPr>
      <w:r>
        <w:rPr>
          <w:rFonts w:ascii="Times New Roman" w:cs="Times New Roman" w:eastAsia="Times New Roman" w:hAnsi="Times New Roman"/>
          <w:sz w:val="18"/>
          <w:szCs w:val="18"/>
          <w:color w:val="auto"/>
        </w:rPr>
        <w:t>At July 31, 2016, the Company had unrecognized compensation expense of $2.4 million related to the restricted stock awards, which is expected to be recognized over a weighted average period of 2.1 years.</w:t>
      </w: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196"/>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SEGMENT REPORTING</w:t>
      </w:r>
    </w:p>
    <w:p>
      <w:pPr>
        <w:spacing w:after="0" w:line="202" w:lineRule="exact"/>
        <w:rPr>
          <w:sz w:val="20"/>
          <w:szCs w:val="20"/>
          <w:color w:val="auto"/>
        </w:rPr>
      </w:pPr>
    </w:p>
    <w:p>
      <w:pPr>
        <w:ind w:right="28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3" w:lineRule="exact"/>
        <w:rPr>
          <w:sz w:val="20"/>
          <w:szCs w:val="20"/>
          <w:color w:val="auto"/>
        </w:rPr>
      </w:pP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Interest expense, income tax expense, and corporate expenses, which include but are not limited to: human resources, legal, finance, information technology, design and other corporate-related expenses are included in the Company’s direct segment.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3" w:lineRule="exact"/>
        <w:rPr>
          <w:sz w:val="20"/>
          <w:szCs w:val="20"/>
          <w:color w:val="auto"/>
        </w:rPr>
      </w:pPr>
    </w:p>
    <w:p>
      <w:pPr>
        <w:ind w:right="40" w:firstLine="428"/>
        <w:spacing w:after="0" w:line="282" w:lineRule="auto"/>
        <w:rPr>
          <w:sz w:val="20"/>
          <w:szCs w:val="20"/>
          <w:color w:val="auto"/>
        </w:rPr>
      </w:pPr>
      <w:r>
        <w:rPr>
          <w:rFonts w:ascii="Times New Roman" w:cs="Times New Roman" w:eastAsia="Times New Roman" w:hAnsi="Times New Roman"/>
          <w:sz w:val="18"/>
          <w:szCs w:val="18"/>
          <w:color w:val="auto"/>
        </w:rPr>
        <w:t>Variable allocations of assets are not made for segment reporting. The Company does not have any assets outside of the United States. Sales outside of the United States were insignificant.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information is presented in the following tables: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94,698</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108,484</w:t>
            </w: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10"/>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r>
    </w:tbl>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Segment total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January 31, 2016</w:t>
            </w:r>
          </w:p>
        </w:tc>
      </w:tr>
      <w:tr>
        <w:trPr>
          <w:trHeight w:val="18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2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5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106,733</w:t>
            </w: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w:t>
            </w:r>
          </w:p>
        </w:tc>
        <w:tc>
          <w:tcPr>
            <w:tcW w:w="1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w:t>
            </w:r>
          </w:p>
        </w:tc>
      </w:tr>
      <w:tr>
        <w:trPr>
          <w:trHeight w:val="217"/>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period end</w:t>
            </w:r>
          </w:p>
        </w:tc>
        <w:tc>
          <w:tcPr>
            <w:tcW w:w="1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November 25, 2015, the Company was taxed as an “S” corporation for federal income tax purposes under Section</w:t>
      </w:r>
    </w:p>
    <w:p>
      <w:pPr>
        <w:spacing w:after="0" w:line="27"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1362 of the Code, and therefore was not subject to federal and state income taxes. On November 25, 2015, the Company’s “S” corporation status terminated, and the Company became subject to corporate-level federal and state income taxes at prevailing corporate tax rates.</w:t>
      </w:r>
    </w:p>
    <w:p>
      <w:pPr>
        <w:spacing w:after="0" w:line="146" w:lineRule="exact"/>
        <w:rPr>
          <w:sz w:val="20"/>
          <w:szCs w:val="20"/>
          <w:color w:val="auto"/>
        </w:rPr>
      </w:pPr>
    </w:p>
    <w:p>
      <w:pPr>
        <w:ind w:right="80" w:firstLine="428"/>
        <w:spacing w:after="0" w:line="289" w:lineRule="auto"/>
        <w:rPr>
          <w:sz w:val="20"/>
          <w:szCs w:val="20"/>
          <w:color w:val="auto"/>
        </w:rPr>
      </w:pPr>
      <w:r>
        <w:rPr>
          <w:rFonts w:ascii="Times New Roman" w:cs="Times New Roman" w:eastAsia="Times New Roman" w:hAnsi="Times New Roman"/>
          <w:sz w:val="17"/>
          <w:szCs w:val="17"/>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for the three and six months ended July 31, 2016, was 39.1% and 39.0%, respectively.</w:t>
      </w:r>
    </w:p>
    <w:p>
      <w:pPr>
        <w:spacing w:after="0" w:line="200" w:lineRule="exact"/>
        <w:rPr>
          <w:sz w:val="20"/>
          <w:szCs w:val="20"/>
          <w:color w:val="auto"/>
        </w:rPr>
      </w:pPr>
    </w:p>
    <w:p>
      <w:pPr>
        <w:spacing w:after="0" w:line="319" w:lineRule="exact"/>
        <w:rPr>
          <w:sz w:val="20"/>
          <w:szCs w:val="20"/>
          <w:color w:val="auto"/>
        </w:rPr>
      </w:pPr>
    </w:p>
    <w:p>
      <w:pPr>
        <w:ind w:left="440" w:right="5320" w:hanging="432"/>
        <w:spacing w:after="0" w:line="490" w:lineRule="auto"/>
        <w:tabs>
          <w:tab w:leader="none" w:pos="417"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color w:val="auto"/>
        </w:rPr>
        <w:t>Revenue from Contracts with Customers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w:t>
      </w:r>
    </w:p>
    <w:p>
      <w:pPr>
        <w:spacing w:after="0" w:line="29"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(“ASU 2014-09”), which supersedes the revenue recognition requirements in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ASU</w:t>
      </w:r>
    </w:p>
    <w:p>
      <w:pPr>
        <w:spacing w:after="0" w:line="9" w:lineRule="exact"/>
        <w:rPr>
          <w:rFonts w:ascii="Times New Roman" w:cs="Times New Roman" w:eastAsia="Times New Roman" w:hAnsi="Times New Roman"/>
          <w:sz w:val="18"/>
          <w:szCs w:val="18"/>
          <w:i w:val="1"/>
          <w:iCs w:val="1"/>
          <w:color w:val="auto"/>
        </w:rPr>
      </w:pPr>
    </w:p>
    <w:p>
      <w:pPr>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 Accordingly, the Company will adopt ASU 2014-09 on January 29, 2018, the first day of the Company’s first quarter for the fiscal year ending February 3, 2019, the Company’s fiscal year 2018. The Company has not selected a method for adoption nor determined the potential effects on the Company’s consolidated financial statements.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Simplifying the Measurement of Inventory</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July 2015, the FASB issued Accounting Standards Update No. 2015-11, Simplifying the Measurement of Inventory (Topic</w:t>
      </w:r>
    </w:p>
    <w:p>
      <w:pPr>
        <w:spacing w:after="0" w:line="27" w:lineRule="exact"/>
        <w:rPr>
          <w:sz w:val="20"/>
          <w:szCs w:val="20"/>
          <w:color w:val="auto"/>
        </w:rPr>
      </w:pPr>
    </w:p>
    <w:p>
      <w:pPr>
        <w:ind w:right="40" w:firstLine="8"/>
        <w:spacing w:after="0" w:line="251"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the Company will adopt ASU 2015-11 on January 30, 2017, the first day of the Company’s first quarter for the fiscal year ending January 28, 2018, the Company’s fiscal year 2017. The Company has not determined the impact of this new accounting guidance on the Company’s consolidated financial statements.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w:t>
      </w:r>
    </w:p>
    <w:p>
      <w:pPr>
        <w:spacing w:after="0" w:line="185"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No. 2015-17, </w:t>
      </w:r>
      <w:r>
        <w:rPr>
          <w:rFonts w:ascii="Times New Roman" w:cs="Times New Roman" w:eastAsia="Times New Roman" w:hAnsi="Times New Roman"/>
          <w:sz w:val="18"/>
          <w:szCs w:val="18"/>
          <w:i w:val="1"/>
          <w:iCs w:val="1"/>
          <w:color w:val="auto"/>
        </w:rPr>
        <w:t>Balance Sheet Classification of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(Topic 740) (“ASU 2015-17”), which requires the classification of all deferred tax assets and liabilities as noncurrent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has adopted ASU 2015-17 as of January 31, 2016 and has reported deferred tax assets and liabilities as noncurrent on the consolidated balance sheets.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5" w:lineRule="exact"/>
        <w:rPr>
          <w:sz w:val="20"/>
          <w:szCs w:val="20"/>
          <w:color w:val="auto"/>
        </w:rPr>
      </w:pPr>
    </w:p>
    <w:p>
      <w:pPr>
        <w:ind w:right="60" w:firstLine="42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the Company will adopt ASU 2016-02 on February 4, 2019, the first day of the Company’s first quarter for the fiscal year ending February 2, 2020, the Company’s fiscal year 2019. The Company has not determined the impact of this new accounting guidance on the Company’s consolidated financial statements.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Improvements to Employee Share-Based Payment Accounting</w:t>
      </w:r>
    </w:p>
    <w:p>
      <w:pPr>
        <w:spacing w:after="0" w:line="198" w:lineRule="exact"/>
        <w:rPr>
          <w:sz w:val="20"/>
          <w:szCs w:val="20"/>
          <w:color w:val="auto"/>
        </w:rPr>
      </w:pPr>
    </w:p>
    <w:p>
      <w:pPr>
        <w:ind w:right="120" w:firstLine="42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has adopted ASU 2016-09 as of May 1, 2016 and there was no significant impact to the Company’s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SUBSEQUENT EVENTS</w:t>
      </w:r>
    </w:p>
    <w:p>
      <w:pPr>
        <w:spacing w:after="0" w:line="202" w:lineRule="exact"/>
        <w:rPr>
          <w:sz w:val="20"/>
          <w:szCs w:val="20"/>
          <w:color w:val="auto"/>
        </w:rPr>
      </w:pPr>
    </w:p>
    <w:p>
      <w:pPr>
        <w:ind w:right="800" w:firstLine="428"/>
        <w:spacing w:after="0" w:line="282" w:lineRule="auto"/>
        <w:rPr>
          <w:sz w:val="20"/>
          <w:szCs w:val="20"/>
          <w:color w:val="auto"/>
        </w:rPr>
      </w:pPr>
      <w:r>
        <w:rPr>
          <w:rFonts w:ascii="Times New Roman" w:cs="Times New Roman" w:eastAsia="Times New Roman" w:hAnsi="Times New Roman"/>
          <w:sz w:val="18"/>
          <w:szCs w:val="18"/>
          <w:color w:val="auto"/>
        </w:rPr>
        <w:t>The Company evaluated its July 31, 2016 unaudited consolidated financial statements for subsequent events through September 8, 2016, the date the unaudited consolidated financial statements were available to be issued.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5, 2016, SRV paid off the remaining outstanding balance of the SRV 2016 Note in the amount of $0.4 million.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August 15, 2016, the Company paid off the remaining balance of the Mortgage 2019 Note in the amount of $0.5 million.</w:t>
      </w:r>
    </w:p>
    <w:p>
      <w:pPr>
        <w:spacing w:after="0" w:line="210" w:lineRule="exact"/>
        <w:rPr>
          <w:sz w:val="20"/>
          <w:szCs w:val="20"/>
          <w:color w:val="auto"/>
        </w:rPr>
      </w:pPr>
    </w:p>
    <w:p>
      <w:pPr>
        <w:ind w:right="40" w:firstLine="428"/>
        <w:spacing w:after="0" w:line="282" w:lineRule="auto"/>
        <w:rPr>
          <w:sz w:val="20"/>
          <w:szCs w:val="20"/>
          <w:color w:val="auto"/>
        </w:rPr>
      </w:pPr>
      <w:r>
        <w:rPr>
          <w:rFonts w:ascii="Times New Roman" w:cs="Times New Roman" w:eastAsia="Times New Roman" w:hAnsi="Times New Roman"/>
          <w:sz w:val="18"/>
          <w:szCs w:val="18"/>
          <w:color w:val="auto"/>
        </w:rPr>
        <w:t>On August 23, 2016, the Company paid off the remaining balance of the Mortgage 2017 Note in the amount of $3.1 million and the Company’s interest rate swap was subsequently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00"/>
          </w:cols>
          <w:pgMar w:left="1140" w:top="297" w:right="13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60" w:firstLine="428"/>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2016 (“2015 Form 10-K”).</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The three and six months of fiscal 2016 and fiscal 2015 represent our 13 and 26-week periods ended July 31, 2016 and August 2, 2015, respectively.</w:t>
      </w:r>
    </w:p>
    <w:p>
      <w:pPr>
        <w:spacing w:after="0" w:line="163" w:lineRule="exact"/>
        <w:rPr>
          <w:sz w:val="20"/>
          <w:szCs w:val="20"/>
          <w:color w:val="auto"/>
        </w:rPr>
      </w:pPr>
    </w:p>
    <w:p>
      <w:pPr>
        <w:ind w:right="140" w:firstLine="428"/>
        <w:spacing w:after="0" w:line="265"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 and its subsidiary and affiliates on a consolidated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Annual Report on Form 10-K for the fiscal year ended January 31, 2016,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54" w:lineRule="exact"/>
        <w:rPr>
          <w:sz w:val="20"/>
          <w:szCs w:val="20"/>
          <w:color w:val="auto"/>
        </w:rPr>
      </w:pPr>
    </w:p>
    <w:p>
      <w:pPr>
        <w:ind w:right="640" w:firstLine="428"/>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these forward-looking statements, except as required under the federal securities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80" w:firstLine="428"/>
        <w:spacing w:after="0" w:line="255" w:lineRule="auto"/>
        <w:rPr>
          <w:sz w:val="20"/>
          <w:szCs w:val="20"/>
          <w:color w:val="auto"/>
        </w:rPr>
      </w:pPr>
      <w:r>
        <w:rPr>
          <w:rFonts w:ascii="Times New Roman" w:cs="Times New Roman" w:eastAsia="Times New Roman" w:hAnsi="Times New Roman"/>
          <w:sz w:val="18"/>
          <w:szCs w:val="18"/>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87.6% of our fiscal 2015 net sales. In 2010, we added retail to our omni-channel platform with the opening of our first store. Since then, we have expanded our retail presence, and as of July 31, 2016, we operated nine retail stores and two outlet stores. Net sales for the retail segment represented 18.2% and 15.1% of consolidated net sales for the three and six months ending July 31, 2016 respectively, and 16.1% and 12.7% of consolidated net sales for the three and six months ending August 2, 2015, respectively.</w:t>
      </w:r>
    </w:p>
    <w:p>
      <w:pPr>
        <w:spacing w:after="0" w:line="149" w:lineRule="exact"/>
        <w:rPr>
          <w:sz w:val="20"/>
          <w:szCs w:val="20"/>
          <w:color w:val="auto"/>
        </w:rPr>
      </w:pPr>
    </w:p>
    <w:p>
      <w:pPr>
        <w:ind w:right="100" w:firstLine="428"/>
        <w:spacing w:after="0" w:line="266"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 such as our Longtail 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7"/>
          <w:szCs w:val="7"/>
          <w:color w:val="auto"/>
        </w:rPr>
        <w:t>TM</w:t>
      </w:r>
      <w:r>
        <w:rPr>
          <w:rFonts w:ascii="Times New Roman" w:cs="Times New Roman" w:eastAsia="Times New Roman" w:hAnsi="Times New Roman"/>
          <w:sz w:val="18"/>
          <w:szCs w:val="18"/>
          <w:color w:val="auto"/>
        </w:rPr>
        <w:t xml:space="preserve"> underwear, and Fire Hose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36" w:lineRule="exact"/>
        <w:rPr>
          <w:sz w:val="20"/>
          <w:szCs w:val="20"/>
          <w:color w:val="auto"/>
        </w:rPr>
      </w:pPr>
    </w:p>
    <w:p>
      <w:pPr>
        <w:ind w:firstLine="428"/>
        <w:spacing w:after="0" w:line="261"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ind w:left="580" w:hanging="140"/>
        <w:spacing w:after="0" w:line="233" w:lineRule="auto"/>
        <w:tabs>
          <w:tab w:leader="none" w:pos="58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have increased year-over-year for 26 consecutive quarters through July 31, 2016;</w:t>
      </w:r>
    </w:p>
    <w:p>
      <w:pPr>
        <w:spacing w:after="0" w:line="96" w:lineRule="exact"/>
        <w:rPr>
          <w:rFonts w:ascii="Times New Roman" w:cs="Times New Roman" w:eastAsia="Times New Roman" w:hAnsi="Times New Roman"/>
          <w:sz w:val="29"/>
          <w:szCs w:val="29"/>
          <w:color w:val="auto"/>
          <w:vertAlign w:val="superscript"/>
        </w:rPr>
      </w:pPr>
    </w:p>
    <w:p>
      <w:pPr>
        <w:ind w:left="560" w:right="120" w:hanging="120"/>
        <w:spacing w:after="0" w:line="191" w:lineRule="auto"/>
        <w:tabs>
          <w:tab w:leader="none" w:pos="56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in fiscal 2016 second quarter increased by 27.4% over the prior year second quarter to $65.8 million and net sales in the first six months of fiscal 2016 increased by 23.9% over the first six months of the prior year to $134.5 million;</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97" w:right="11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right="80" w:hanging="120"/>
        <w:spacing w:after="0" w:line="230" w:lineRule="auto"/>
        <w:tabs>
          <w:tab w:leader="none" w:pos="5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income in fiscal 2016 second quarter decreased by 36.5% over the prior year second quarter to $3.6 million and net income in the first six months of fiscal 2016 decreased by 18.2% over the first six months of the prior year to $6.9 million; Adjusted for income taxes, as if we had been a “C” corporation at a combined federal, state and local effective income tax rate of 40.0%, net income in fiscal 2016 second quarter increased by 5.8% over the prior year second quarter pro forma net income and net income in the first six months of fiscal 2016 increased 36.3% over the first six months of the prior year pro forma net income;</w:t>
      </w:r>
    </w:p>
    <w:p>
      <w:pPr>
        <w:spacing w:after="0" w:line="79" w:lineRule="exact"/>
        <w:rPr>
          <w:rFonts w:ascii="Times New Roman" w:cs="Times New Roman" w:eastAsia="Times New Roman" w:hAnsi="Times New Roman"/>
          <w:sz w:val="29"/>
          <w:szCs w:val="29"/>
          <w:color w:val="auto"/>
          <w:vertAlign w:val="superscript"/>
        </w:rPr>
      </w:pPr>
    </w:p>
    <w:p>
      <w:pPr>
        <w:ind w:left="560" w:right="200" w:hanging="120"/>
        <w:spacing w:after="0" w:line="214" w:lineRule="auto"/>
        <w:tabs>
          <w:tab w:leader="none" w:pos="5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EBITDA in fiscal 2016 second quarter increased by 13.9% over the prior year second quarter to $7.5 million and adjusted EBITDA in the first six months of fiscal 2016 increased by 25.1% over the first six months of the prior year to $14.0 million; and</w:t>
      </w:r>
    </w:p>
    <w:p>
      <w:pPr>
        <w:ind w:left="580" w:hanging="140"/>
        <w:spacing w:after="0" w:line="223" w:lineRule="auto"/>
        <w:tabs>
          <w:tab w:leader="none" w:pos="58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retail stores have achieved an average payback of less than two years.</w:t>
      </w:r>
    </w:p>
    <w:p>
      <w:pPr>
        <w:spacing w:after="0" w:line="172" w:lineRule="exact"/>
        <w:rPr>
          <w:sz w:val="20"/>
          <w:szCs w:val="20"/>
          <w:color w:val="auto"/>
        </w:rPr>
      </w:pPr>
    </w:p>
    <w:p>
      <w:pPr>
        <w:ind w:right="360" w:firstLine="428"/>
        <w:spacing w:after="0" w:line="261" w:lineRule="auto"/>
        <w:rPr>
          <w:sz w:val="20"/>
          <w:szCs w:val="20"/>
          <w:color w:val="auto"/>
        </w:rPr>
      </w:pPr>
      <w:r>
        <w:rPr>
          <w:rFonts w:ascii="Times New Roman" w:cs="Times New Roman" w:eastAsia="Times New Roman" w:hAnsi="Times New Roman"/>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0" w:lineRule="exact"/>
        <w:rPr>
          <w:sz w:val="20"/>
          <w:szCs w:val="20"/>
          <w:color w:val="auto"/>
        </w:rPr>
      </w:pPr>
    </w:p>
    <w:p>
      <w:pPr>
        <w:ind w:right="180" w:firstLine="428"/>
        <w:spacing w:after="0" w:line="266" w:lineRule="auto"/>
        <w:rPr>
          <w:sz w:val="20"/>
          <w:szCs w:val="20"/>
          <w:color w:val="auto"/>
        </w:rPr>
      </w:pPr>
      <w:r>
        <w:rPr>
          <w:rFonts w:ascii="Times New Roman" w:cs="Times New Roman" w:eastAsia="Times New Roman" w:hAnsi="Times New Roman"/>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49" w:lineRule="exact"/>
        <w:rPr>
          <w:sz w:val="20"/>
          <w:szCs w:val="20"/>
          <w:color w:val="auto"/>
        </w:rPr>
      </w:pPr>
    </w:p>
    <w:p>
      <w:pPr>
        <w:ind w:right="60" w:firstLine="428"/>
        <w:spacing w:after="0" w:line="266" w:lineRule="auto"/>
        <w:rPr>
          <w:sz w:val="20"/>
          <w:szCs w:val="20"/>
          <w:color w:val="auto"/>
        </w:rPr>
      </w:pPr>
      <w:r>
        <w:rPr>
          <w:rFonts w:ascii="Times New Roman" w:cs="Times New Roman" w:eastAsia="Times New Roman" w:hAnsi="Times New Roman"/>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280" w:firstLine="428"/>
        <w:spacing w:after="0" w:line="282"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 sales are recognized upon customer receipt of the product, while retail sales are recognized at the point of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202"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21" w:lineRule="exact"/>
        <w:rPr>
          <w:sz w:val="20"/>
          <w:szCs w:val="20"/>
          <w:color w:val="auto"/>
        </w:rPr>
      </w:pPr>
    </w:p>
    <w:p>
      <w:pPr>
        <w:ind w:right="20" w:firstLine="428"/>
        <w:spacing w:after="0" w:line="255" w:lineRule="auto"/>
        <w:rPr>
          <w:sz w:val="20"/>
          <w:szCs w:val="20"/>
          <w:color w:val="auto"/>
        </w:rPr>
      </w:pPr>
      <w:r>
        <w:rPr>
          <w:rFonts w:ascii="Times New Roman" w:cs="Times New Roman" w:eastAsia="Times New Roman" w:hAnsi="Times New Roman"/>
          <w:sz w:val="18"/>
          <w:szCs w:val="18"/>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While we have experienced strong comparable store sales growth to date, we have excluded comparable store sales data from this Form 10-Q due to the limited number of comparable retail stores as of July 31, 2016. Although retail store expansion is part of our growth strategy, we expect a majority percentage of our net sales to come from our direct segment for the foreseeable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firstLine="428"/>
        <w:spacing w:after="0" w:line="254"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distribution network and store occupancy expenses in calculating gross profit, but instead we include them in selling,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180" w:firstLine="42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firstLine="428"/>
        <w:spacing w:after="0" w:line="261" w:lineRule="auto"/>
        <w:rPr>
          <w:sz w:val="20"/>
          <w:szCs w:val="20"/>
          <w:color w:val="auto"/>
        </w:rPr>
      </w:pPr>
      <w:r>
        <w:rPr>
          <w:rFonts w:ascii="Times New Roman" w:cs="Times New Roman" w:eastAsia="Times New Roman" w:hAnsi="Times New Roman"/>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2"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3" w:lineRule="exact"/>
        <w:rPr>
          <w:sz w:val="20"/>
          <w:szCs w:val="20"/>
          <w:color w:val="auto"/>
        </w:rPr>
      </w:pPr>
    </w:p>
    <w:p>
      <w:pPr>
        <w:ind w:right="380" w:firstLine="428"/>
        <w:spacing w:after="0" w:line="261" w:lineRule="auto"/>
        <w:rPr>
          <w:sz w:val="20"/>
          <w:szCs w:val="20"/>
          <w:color w:val="auto"/>
        </w:rPr>
      </w:pPr>
      <w:r>
        <w:rPr>
          <w:rFonts w:ascii="Times New Roman" w:cs="Times New Roman" w:eastAsia="Times New Roman" w:hAnsi="Times New Roman"/>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feel Adjusted EBITDA is less susceptible to variances in actual performance resulting from depreciation, amortization and other items.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 sales.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15"/>
                <w:szCs w:val="15"/>
                <w:color w:val="auto"/>
              </w:rPr>
            </w:pP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20" w:type="dxa"/>
            <w:vAlign w:val="bottom"/>
          </w:tcPr>
          <w:p>
            <w:pPr>
              <w:spacing w:after="0"/>
              <w:rPr>
                <w:sz w:val="15"/>
                <w:szCs w:val="15"/>
                <w:color w:val="auto"/>
              </w:rPr>
            </w:pP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43,343</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54,616</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3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5"/>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 Forma Net Income Information</w:t>
            </w:r>
            <w:r>
              <w:rPr>
                <w:rFonts w:ascii="Times New Roman" w:cs="Times New Roman" w:eastAsia="Times New Roman" w:hAnsi="Times New Roman"/>
                <w:sz w:val="7"/>
                <w:szCs w:val="7"/>
                <w:b w:val="1"/>
                <w:bCs w:val="1"/>
                <w:color w:val="auto"/>
              </w:rPr>
              <w:t>(1)</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controlling interest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before provision for income taxes</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provision for income taxes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Pro forma net income attributable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right="180" w:hanging="172"/>
        <w:spacing w:after="0" w:line="236" w:lineRule="auto"/>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net income information for the three and six months ended August 2, 2015, gives effect to an adjustment for income tax expense on the income attributable to controlling interest as if we had been a “C” corporation at an assumed combined federal, state and local effective income tax rate, which approximates our statutory income tax rate, of 40.0%. No pro forma income tax expense was calculated on the income attributable to noncontrolling interest because this entity did not convert to a “C” corporation.</w:t>
      </w:r>
    </w:p>
    <w:p>
      <w:pPr>
        <w:spacing w:after="0" w:line="150" w:lineRule="exact"/>
        <w:rPr>
          <w:sz w:val="20"/>
          <w:szCs w:val="20"/>
          <w:color w:val="auto"/>
        </w:rPr>
      </w:pPr>
    </w:p>
    <w:p>
      <w:pPr>
        <w:ind w:right="300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Three Months Ended July 31, 2016 Compared to Three Months Ended August 2, 2015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Net sales increased $14.1 million, or 27.4%, to $65.8 million in the three months ended July 31, 2016 compared to $51.7 million in the three months ended August 2, 2015, driven by gains in both direct and retail segments of $10.5 million, or 24.2%, and $3.6 million, or 43.8%, respectively, with gains achieved across the majority of all product categories.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customers continued to respond positively to our marketing efforts during the quarter, which resulted in greater e-commerce traffic to our website and sales through our call center. Our website visits increased 19.6% in the three months ended July 31, 2016 compared to the three months ended August 2, 2015. The increase in retail net sales was primarily attributable to the opening of two new retail stores during the second quarter of fiscal 2016 along with the opening of a retail store and outlet store in the prior year third and fourth quarters.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right="200" w:firstLine="428"/>
        <w:spacing w:after="0" w:line="256" w:lineRule="auto"/>
        <w:rPr>
          <w:sz w:val="20"/>
          <w:szCs w:val="20"/>
          <w:color w:val="auto"/>
        </w:rPr>
      </w:pPr>
      <w:r>
        <w:rPr>
          <w:rFonts w:ascii="Times New Roman" w:cs="Times New Roman" w:eastAsia="Times New Roman" w:hAnsi="Times New Roman"/>
          <w:sz w:val="18"/>
          <w:szCs w:val="18"/>
          <w:color w:val="auto"/>
        </w:rPr>
        <w:t>Gross profit increased $8.5 million, or 27.8%, to $38.9 million in the three months ended July 31, 2016 compared to $30.5 million in the three months ended August 2, 2015. As a percentage of net sales, gross margin increased 20 basis points to 59.1% of net sales in the three months ended July 31, 2016, compared to 58.9% of net sales in the three months ended August 2, 2015. The increase in gross profit was primarily driven by an increase in net sales as discussed above. The increase in gross margin rate was primarily attributable to improved initial product costs due to increased volume, a product mix shift to higher margin products, coupled with strategic management of promotions.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20" w:firstLine="42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$8.2 million, or 33.3%, to $32.9 million in the three months ended July 31, 2016 compared to $24.7 million in the three months ended August 2, 2015. Selling, general and administrative expenses as a percentage of net sales increased 220 basis points to 50.0% in the three months ended May 1, 2016, compared to 47.8% in the three months ended August 2, 2015. The increase in selling, general and administrative expenses was attributable to an increase of $3.8 million in advertising and marketing costs, $2.3 million in general and administrative expenses and $2.1 million in selling expenses.</w:t>
      </w:r>
    </w:p>
    <w:p>
      <w:pPr>
        <w:spacing w:after="0" w:line="157" w:lineRule="exact"/>
        <w:rPr>
          <w:sz w:val="20"/>
          <w:szCs w:val="20"/>
          <w:color w:val="auto"/>
        </w:rPr>
      </w:pPr>
    </w:p>
    <w:p>
      <w:pPr>
        <w:ind w:right="440" w:firstLine="428"/>
        <w:spacing w:after="0" w:line="261" w:lineRule="auto"/>
        <w:rPr>
          <w:sz w:val="20"/>
          <w:szCs w:val="20"/>
          <w:color w:val="auto"/>
        </w:rPr>
      </w:pPr>
      <w:r>
        <w:rPr>
          <w:rFonts w:ascii="Times New Roman" w:cs="Times New Roman" w:eastAsia="Times New Roman" w:hAnsi="Times New Roman"/>
          <w:sz w:val="18"/>
          <w:szCs w:val="18"/>
          <w:color w:val="auto"/>
        </w:rPr>
        <w:t>The $3.8 million increase in advertising and marketing costs was primarily driven by our continued marketing efforts, specifically in our women’s advertising campaign, which increased $2.1 million compared to the three months ended August 2,</w:t>
      </w:r>
    </w:p>
    <w:p>
      <w:pPr>
        <w:spacing w:after="0" w:line="253" w:lineRule="auto"/>
        <w:rPr>
          <w:sz w:val="20"/>
          <w:szCs w:val="20"/>
          <w:color w:val="auto"/>
        </w:rPr>
      </w:pPr>
      <w:r>
        <w:rPr>
          <w:rFonts w:ascii="Times New Roman" w:cs="Times New Roman" w:eastAsia="Times New Roman" w:hAnsi="Times New Roman"/>
          <w:sz w:val="18"/>
          <w:szCs w:val="18"/>
          <w:color w:val="auto"/>
        </w:rPr>
        <w:t>2015. As a percentage of net sales, advertising and marketing costs increased 160 basis points to 20.8% in the three months ended July 31, 2016, compared to 19.2% in the three months ended August 2, 2015. The 160 basis point increase in advertising and marketing costs as a percentage of net sales, was primarily driven by an increase in television advertising attributable to our women’s advertising campaign, which was partially offset by a decrease in catalog costs primarily due to our planned decrease in catalog spend as a percentage of net sales.</w:t>
      </w:r>
    </w:p>
    <w:p>
      <w:pPr>
        <w:spacing w:after="0" w:line="147" w:lineRule="exact"/>
        <w:rPr>
          <w:sz w:val="20"/>
          <w:szCs w:val="20"/>
          <w:color w:val="auto"/>
        </w:rPr>
      </w:pPr>
    </w:p>
    <w:p>
      <w:pPr>
        <w:ind w:right="80" w:firstLine="428"/>
        <w:spacing w:after="0" w:line="255" w:lineRule="auto"/>
        <w:rPr>
          <w:sz w:val="20"/>
          <w:szCs w:val="20"/>
          <w:color w:val="auto"/>
        </w:rPr>
      </w:pPr>
      <w:r>
        <w:rPr>
          <w:rFonts w:ascii="Times New Roman" w:cs="Times New Roman" w:eastAsia="Times New Roman" w:hAnsi="Times New Roman"/>
          <w:sz w:val="18"/>
          <w:szCs w:val="18"/>
          <w:color w:val="auto"/>
        </w:rPr>
        <w:t>The $2.3 million increase in general and administrative expenses was primarily due to $0.9 million increase in rent expense and related store opening costs, coupled with $0.6 million increase in personnel expenses. The $0.9 million increase in rent expense and related store opening costs was primarily attributable to an increase of four retail stores during the three months ended May 1, 2016, compared to May 3, 2015. As a percentage of net sales, general and administrative expenses increased 20 basis points to</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16.1% in the three months ended July 31, 2016, compared to 15.9% in the three months ended August 2, 2015. The 20 basis point increase in general and administrative expenses was primarily attributable to an increase of 90 basis points in rent expense and related store opening costs due to an increase in retail stores, and an increase of 40 basis points in depreciation, due to capital investments, which was partially offset by a decrease of 60 basis points in personnel and a decrease of 50 basis points in professional fees, which was attributable to higher net sales.</w:t>
      </w:r>
    </w:p>
    <w:p>
      <w:pPr>
        <w:spacing w:after="0" w:line="147" w:lineRule="exact"/>
        <w:rPr>
          <w:sz w:val="20"/>
          <w:szCs w:val="20"/>
          <w:color w:val="auto"/>
        </w:rPr>
      </w:pP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The $2.1 million increase in selling expenses was primarily due to $0.7 million increase in shipping expenses due to sales growth, $0.5 million increase in distribution costs due the use of two third party logistics providers (“3PLs”), coupled with a $0.5 million increase in customer service primarily attributable to the growth in retail. As a percentage of net sales, selling expenses increased 40 basis points to 13.1% in the three months ended July 31, 2016, compared to 12.7% in the three months ended August 2, 2015, primarily due distribution costs and customer service as discussed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320" w:firstLine="428"/>
        <w:spacing w:after="0" w:line="282" w:lineRule="auto"/>
        <w:rPr>
          <w:sz w:val="20"/>
          <w:szCs w:val="20"/>
          <w:color w:val="auto"/>
        </w:rPr>
      </w:pPr>
      <w:r>
        <w:rPr>
          <w:rFonts w:ascii="Times New Roman" w:cs="Times New Roman" w:eastAsia="Times New Roman" w:hAnsi="Times New Roman"/>
          <w:sz w:val="18"/>
          <w:szCs w:val="18"/>
          <w:color w:val="auto"/>
        </w:rPr>
        <w:t>Interest expense was $0.04 million in the three months ended July 31, 2016, compared to $0.06 million in the three months ended August 2,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color w:val="auto"/>
        </w:rPr>
        <w:t>Income tax expense was $2.3 million in the three months ended July 31, 2016 and our effective tax rate was 39.1%. Prior to November 25, 2015, we had been classified as an “S” corporation for federal and state income tax purposes and therefore, we had not been subject to income taxes. Prior to that date, our shareholders had been subject to income tax on their distributable share of our earnings. In connection with our IPO, we converted to a “C” corporation. On a pro forma basis, if we had been taxed as a “C” corporation at an estimated 40% effective tax rate, income taxes would have been $2.3 million for both the three months ended July 31, 2016 and the three months ended August 2, 2015.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9"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Net income decreased $2.1 million, or 36.5% to $3.6 million in the three months ended July 31, 2016 compared to $5.7 million in the three months ended August 2, 2015, primarily due to the factors discussed above. Applying a pro forma 40% “C” corporation effective tax rate to the three months ended August 2, 2015, rather than the “S” corporation tax rate that actually applied to us at that time, net income increased $0.2 million, or 5.8%, to $3.6 million in the three months ended July 31, 2016 from $3.4 million in the three months ended August 2, 2015.</w:t>
      </w:r>
    </w:p>
    <w:p>
      <w:pPr>
        <w:spacing w:after="0" w:line="200" w:lineRule="exact"/>
        <w:rPr>
          <w:sz w:val="20"/>
          <w:szCs w:val="20"/>
          <w:color w:val="auto"/>
        </w:rPr>
      </w:pPr>
    </w:p>
    <w:p>
      <w:pPr>
        <w:spacing w:after="0" w:line="345" w:lineRule="exact"/>
        <w:rPr>
          <w:sz w:val="20"/>
          <w:szCs w:val="20"/>
          <w:color w:val="auto"/>
        </w:rPr>
      </w:pPr>
    </w:p>
    <w:p>
      <w:pPr>
        <w:ind w:right="34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Six Months Ended July 31, 2016 Compared to Six Months Ended August 2, 2015 </w:t>
      </w:r>
      <w:r>
        <w:rPr>
          <w:rFonts w:ascii="Times New Roman" w:cs="Times New Roman" w:eastAsia="Times New Roman" w:hAnsi="Times New Roman"/>
          <w:sz w:val="18"/>
          <w:szCs w:val="18"/>
          <w:b w:val="1"/>
          <w:bCs w:val="1"/>
          <w:i w:val="1"/>
          <w:iCs w:val="1"/>
          <w:color w:val="auto"/>
        </w:rPr>
        <w:t>Net Sales</w:t>
      </w:r>
    </w:p>
    <w:p>
      <w:pPr>
        <w:ind w:right="140" w:firstLine="428"/>
        <w:spacing w:after="0" w:line="255" w:lineRule="auto"/>
        <w:rPr>
          <w:sz w:val="20"/>
          <w:szCs w:val="20"/>
          <w:color w:val="auto"/>
        </w:rPr>
      </w:pPr>
      <w:r>
        <w:rPr>
          <w:rFonts w:ascii="Times New Roman" w:cs="Times New Roman" w:eastAsia="Times New Roman" w:hAnsi="Times New Roman"/>
          <w:sz w:val="18"/>
          <w:szCs w:val="18"/>
          <w:color w:val="auto"/>
        </w:rPr>
        <w:t>Net sales increased $26.0 million, or 23.9%, to $134.5 million in the six months ended July 31, 2016 compared to $108.5 million in the six months ended August 2, 2015, driven by gains in both direct and retail segments of $19.5 million, or 20.6%, and $6.5 million, or 47.2%, respectively, with gains achieved across virtually all product categories. The direct net sales gains were due to customers continuing to respond positively to our marketing efforts, which resulted in greater e-commerce traffic to our website and sales through our call center. Our website visits increased 17.0% in the six months ended July 31, 2016 compared to the six months ended August 2, 2015. The increase in retail net sales was primarily attributable to the same factors discussed above for the three months ended July 31, 2016 compared to the three months ended August 2, 2015.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Gross profit increased $15.5 million, or 24.5%, to $78.6 million in the six months ended July 31, 2016 compared to $63.1 million in the six months ended August 2, 2015. As a percentage of net sales, gross margin increased 30 basis points to 58.5% of net sales in the six months ended July 31, 2016, compared to 58.2% of net sales in the six months ended August 2, 2015. The increase in gross profit was primarily driven by an increase in net sales as discussed above. The increase in gross margin rate was primarily due to the factors discussed above for the second quarter.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$12.7 million, or 23.2%, to $67.3 million in the six months ended July 31, 2016 compared to $54.6 million in the six months ended August 2, 2015. Selling, general and administrative expenses as a percentage of net sales decreased 30 basis points to 50.0% in the six months ended July 31, 2016, compared to 50.3% in the six months ended August 2, 2015. The increase in selling, general and administrative expenses of $12.7 million was attributable to an increase of $4.7 million in advertising and marketing costs, $4.2 million in general and administrative expenses and $3.8 million in selling expenses.</w:t>
      </w:r>
    </w:p>
    <w:p>
      <w:pPr>
        <w:spacing w:after="0" w:line="147" w:lineRule="exact"/>
        <w:rPr>
          <w:sz w:val="20"/>
          <w:szCs w:val="20"/>
          <w:color w:val="auto"/>
        </w:rPr>
      </w:pPr>
    </w:p>
    <w:p>
      <w:pPr>
        <w:ind w:right="200" w:firstLine="428"/>
        <w:spacing w:after="0" w:line="257" w:lineRule="auto"/>
        <w:rPr>
          <w:sz w:val="20"/>
          <w:szCs w:val="20"/>
          <w:color w:val="auto"/>
        </w:rPr>
      </w:pPr>
      <w:r>
        <w:rPr>
          <w:rFonts w:ascii="Times New Roman" w:cs="Times New Roman" w:eastAsia="Times New Roman" w:hAnsi="Times New Roman"/>
          <w:sz w:val="18"/>
          <w:szCs w:val="18"/>
          <w:color w:val="auto"/>
        </w:rPr>
        <w:t>The $4.7 million increase in advertising and marketing costs was primarily driven by our continued marketing efforts. As a percentage of net sales, advertising and marketing costs decreased 70 basis points to 21.5% in the six months ended July 31, 2016, compared to 22.2% in the six months ended August 2, 2015. The 70 basis points decline in advertising and marketing costs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were primarily attributable to a decrease of 60 and 40 basis points in catalog and in television advertising, respectively, primarily due to increased net sales and planned decrease in catalog spend as a percentage of net sales, which was partially offset by an increase in web advertising of 20 basis points.</w:t>
      </w:r>
    </w:p>
    <w:p>
      <w:pPr>
        <w:spacing w:after="0" w:line="159" w:lineRule="exact"/>
        <w:rPr>
          <w:sz w:val="20"/>
          <w:szCs w:val="20"/>
          <w:color w:val="auto"/>
        </w:rPr>
      </w:pPr>
    </w:p>
    <w:p>
      <w:pPr>
        <w:ind w:right="20" w:firstLine="428"/>
        <w:spacing w:after="0" w:line="254" w:lineRule="auto"/>
        <w:rPr>
          <w:sz w:val="20"/>
          <w:szCs w:val="20"/>
          <w:color w:val="auto"/>
        </w:rPr>
      </w:pPr>
      <w:r>
        <w:rPr>
          <w:rFonts w:ascii="Times New Roman" w:cs="Times New Roman" w:eastAsia="Times New Roman" w:hAnsi="Times New Roman"/>
          <w:sz w:val="18"/>
          <w:szCs w:val="18"/>
          <w:color w:val="auto"/>
        </w:rPr>
        <w:t>The $4.2 million increase in general and administrative expenses was primarily due to $1.2 million increase in consulting and professional fees, $1.2 million increase in rent expense and related store opening costs, and $0.8 million increase in depreciation expense. The increase in consulting and professional fees were primarily due to us becoming a public company. The $1.2 million increase in rent expense and related store opening costs and $0.8 million increase in depreciation expense were primarily attributable to factors discussed above for the three months ended July 31, 2016 compared to the three months ended August 2, 2015. As a percentage of net sales, general and administrative expenses increased 20 basis points to 15.1% in the six months ended July 31, 2016, compared to 14.9% in the six months ended August 2, 2015. The six months ended August 2, 2015 included a $1.1 million payment related to a portion of the grantees’ tax liabilities associated with the grant of restricted stock awards. Excluding this $1.1 million payment, as a percentage of net sales, general and administrative expenses increased 130 basis points primarily due to the factors discussed above.</w:t>
      </w:r>
    </w:p>
    <w:p>
      <w:pPr>
        <w:spacing w:after="0" w:line="146"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The $3.8 million increase in selling expenses was primarily due to an increase of $1.1 million in shipping expenses due to sales growth, and $1.3 million increase in distribution costs due to the use of two third party logistics providers (“3PLs”), coupled with a $0.8 million increase in customer service primarily attributable to the growth in retail. As a percentage of net sales, selling expenses increased 20 basis points to 13.4% in the six months ended July 31, 2016, compared to 13.2% in the six months ended August 2, 2015, primarily due to an increase in distribution costs and customer service of 40 and 20 basis points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respectively, as discussed above, which was partially offset by a decrease of 40 basis points in shipping expenses due to favorable shipping rates as result of being closer to our customers due to our use of the 3PLs.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240" w:firstLine="428"/>
        <w:spacing w:after="0" w:line="282" w:lineRule="auto"/>
        <w:rPr>
          <w:sz w:val="20"/>
          <w:szCs w:val="20"/>
          <w:color w:val="auto"/>
        </w:rPr>
      </w:pPr>
      <w:r>
        <w:rPr>
          <w:rFonts w:ascii="Times New Roman" w:cs="Times New Roman" w:eastAsia="Times New Roman" w:hAnsi="Times New Roman"/>
          <w:sz w:val="18"/>
          <w:szCs w:val="18"/>
          <w:color w:val="auto"/>
        </w:rPr>
        <w:t>Interest expense was $0.08 million in the six months ended July 31, 2016, compared to $0.1 million in the six months ended August 2,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right="200" w:firstLine="428"/>
        <w:spacing w:after="0" w:line="256" w:lineRule="auto"/>
        <w:rPr>
          <w:sz w:val="20"/>
          <w:szCs w:val="20"/>
          <w:color w:val="auto"/>
        </w:rPr>
      </w:pPr>
      <w:r>
        <w:rPr>
          <w:rFonts w:ascii="Times New Roman" w:cs="Times New Roman" w:eastAsia="Times New Roman" w:hAnsi="Times New Roman"/>
          <w:sz w:val="18"/>
          <w:szCs w:val="18"/>
          <w:color w:val="auto"/>
        </w:rPr>
        <w:t>Income tax expense was $4.4 million in the six months ended July 31, 2016 and our effective tax rate was 39.0%. Prior to November 25, 2015, we had been classified as an “S” corporation for federal and state income tax purposes and therefore, we had not been subject to income taxes. Prior to that date, our shareholders had been subject to income tax on their distributable share of our earnings. In connection with our IPO, we converted to a “C” corporation. On a pro forma basis, if we had been taxed as a “C” corporation at an estimated 40% effective tax rate, income taxes would have increased by $1.0 million, or 30.7%, to $4.4 in the six months ended July 31, 2016 from $3.4 million in the six months ended August 2,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9" w:lineRule="exact"/>
        <w:rPr>
          <w:sz w:val="20"/>
          <w:szCs w:val="20"/>
          <w:color w:val="auto"/>
        </w:rPr>
      </w:pPr>
    </w:p>
    <w:p>
      <w:pPr>
        <w:ind w:right="160" w:firstLine="428"/>
        <w:spacing w:after="0" w:line="258" w:lineRule="auto"/>
        <w:rPr>
          <w:sz w:val="20"/>
          <w:szCs w:val="20"/>
          <w:color w:val="auto"/>
        </w:rPr>
      </w:pPr>
      <w:r>
        <w:rPr>
          <w:rFonts w:ascii="Times New Roman" w:cs="Times New Roman" w:eastAsia="Times New Roman" w:hAnsi="Times New Roman"/>
          <w:sz w:val="18"/>
          <w:szCs w:val="18"/>
          <w:color w:val="auto"/>
        </w:rPr>
        <w:t>Net income decreased $1.5 million, or 18.2% to $6.9 million in the six months ended July 31, 2016 compared to $8.4 million in the six months ended August 2, 2015, primarily due to the factors discussed above. Applying a pro forma 40% “C” corporation effective tax rate to the six months ended August 2, 2015, rather than the “S” corporation tax rate that actually applied to us, net income increased $1.8 million, or 36.3%, to $6.9 million in the six months ended July 31, 2016 from $5.0 million in the six months ended August 2, 2015.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EBITDA to Adjusted EBITDA</w:t>
      </w:r>
    </w:p>
    <w:p>
      <w:pPr>
        <w:spacing w:after="0" w:line="189" w:lineRule="exact"/>
        <w:rPr>
          <w:sz w:val="20"/>
          <w:szCs w:val="20"/>
          <w:color w:val="auto"/>
        </w:rPr>
      </w:pPr>
    </w:p>
    <w:p>
      <w:pPr>
        <w:ind w:right="160" w:firstLine="428"/>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2, 2015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250"/>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5"/>
        </w:trPr>
        <w:tc>
          <w:tcPr>
            <w:tcW w:w="20" w:type="dxa"/>
            <w:vAlign w:val="bottom"/>
          </w:tcPr>
          <w:p>
            <w:pPr>
              <w:spacing w:after="0"/>
              <w:rPr>
                <w:sz w:val="19"/>
                <w:szCs w:val="19"/>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grantees' tax liabilities</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associated with grant of</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w:t>
            </w:r>
          </w:p>
        </w:tc>
      </w:tr>
    </w:tbl>
    <w:p>
      <w:pPr>
        <w:spacing w:after="0" w:line="171" w:lineRule="exact"/>
        <w:rPr>
          <w:sz w:val="20"/>
          <w:szCs w:val="20"/>
          <w:color w:val="auto"/>
        </w:rPr>
      </w:pPr>
    </w:p>
    <w:p>
      <w:pPr>
        <w:jc w:val="both"/>
        <w:ind w:right="10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$0.9 million, or 13.9%, to $7.5 million in the three months ended July 31, 2016 compared to $6.6 million in the three months ended August 2, 2015. As a percentage of net sales, adjusted EBITDA decreased 140 basis points to 11.3% of net sales in the three months ended July 31, 2016 compared to 12.7% of net sales in the three months ended August 2, 2015.</w:t>
      </w:r>
    </w:p>
    <w:p>
      <w:pPr>
        <w:spacing w:after="0" w:line="140"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$2.8 million, or 25.1%, to $14.0 million in the six months ended July 31, 2016 compared to $11.2 million in the six months ended August 2, 2015. As a percentage of net sales, adjusted EBITDA increased 10 basis points to 10.4% of net sales in the six months ended July 31, 2016 compared to 10.3% of net sales in the six months ended August 2, 2015.</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0" w:firstLine="428"/>
        <w:spacing w:after="0" w:line="261" w:lineRule="auto"/>
        <w:rPr>
          <w:sz w:val="20"/>
          <w:szCs w:val="20"/>
          <w:color w:val="auto"/>
        </w:rPr>
      </w:pPr>
      <w:r>
        <w:rPr>
          <w:rFonts w:ascii="Times New Roman" w:cs="Times New Roman" w:eastAsia="Times New Roman" w:hAnsi="Times New Roman"/>
          <w:sz w:val="18"/>
          <w:szCs w:val="18"/>
          <w:color w:val="auto"/>
        </w:rPr>
        <w:t>Our business relies on cash from operating activities as well as cash on hand and a $40 million revolving line of credit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40" w:lineRule="exact"/>
        <w:rPr>
          <w:sz w:val="20"/>
          <w:szCs w:val="20"/>
          <w:color w:val="auto"/>
        </w:rPr>
      </w:pPr>
    </w:p>
    <w:p>
      <w:pPr>
        <w:ind w:right="160" w:firstLine="428"/>
        <w:spacing w:after="0" w:line="255" w:lineRule="auto"/>
        <w:rPr>
          <w:sz w:val="20"/>
          <w:szCs w:val="20"/>
          <w:color w:val="auto"/>
        </w:rPr>
      </w:pPr>
      <w:r>
        <w:rPr>
          <w:rFonts w:ascii="Times New Roman" w:cs="Times New Roman" w:eastAsia="Times New Roman" w:hAnsi="Times New Roman"/>
          <w:sz w:val="18"/>
          <w:szCs w:val="18"/>
          <w:color w:val="auto"/>
        </w:rPr>
        <w:t>We expect to spend approximately $24.0 million to $25.0 million in fiscal 2016 on capital expenditures, including a total of approximately $10.0 million to $11.0 million for new retail store expansion. We expect it will take approximately $2.0 million to $2.6 million in capital expenditures and starting inventory to open a new store. At July 31, 2016, our net working capital was $62.3 million, including $23.3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45"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as of July 31, 2016,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August 2, 2015</w:t>
            </w:r>
          </w:p>
        </w:tc>
      </w:tr>
      <w:tr>
        <w:trPr>
          <w:trHeight w:val="250"/>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1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96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189" w:lineRule="exact"/>
        <w:rPr>
          <w:sz w:val="20"/>
          <w:szCs w:val="20"/>
          <w:color w:val="auto"/>
        </w:rPr>
      </w:pPr>
    </w:p>
    <w:p>
      <w:pPr>
        <w:ind w:right="60" w:firstLine="428"/>
        <w:spacing w:after="0" w:line="313" w:lineRule="auto"/>
        <w:rPr>
          <w:sz w:val="20"/>
          <w:szCs w:val="20"/>
          <w:color w:val="auto"/>
        </w:rPr>
      </w:pPr>
      <w:r>
        <w:rPr>
          <w:rFonts w:ascii="Times New Roman" w:cs="Times New Roman" w:eastAsia="Times New Roman" w:hAnsi="Times New Roman"/>
          <w:sz w:val="17"/>
          <w:szCs w:val="17"/>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98" w:lineRule="exact"/>
        <w:rPr>
          <w:sz w:val="20"/>
          <w:szCs w:val="20"/>
          <w:color w:val="auto"/>
        </w:rPr>
      </w:pPr>
    </w:p>
    <w:p>
      <w:pPr>
        <w:ind w:right="100" w:firstLine="428"/>
        <w:spacing w:after="0" w:line="256" w:lineRule="auto"/>
        <w:rPr>
          <w:sz w:val="20"/>
          <w:szCs w:val="20"/>
          <w:color w:val="auto"/>
        </w:rPr>
      </w:pPr>
      <w:r>
        <w:rPr>
          <w:rFonts w:ascii="Times New Roman" w:cs="Times New Roman" w:eastAsia="Times New Roman" w:hAnsi="Times New Roman"/>
          <w:sz w:val="18"/>
          <w:szCs w:val="18"/>
          <w:color w:val="auto"/>
        </w:rPr>
        <w:t>For the six months ended July 31, 2016, net cash provided operating activities was $1.1 million, which primarily consisted of net income of $7.0 million, non-cash depreciation and amortization of $2.0 million and stock based compensation of $0.6 million, offset by cash used in operating assets and liabilities of $8.3 million. The cash used in operating assets and liabilities of $8.3 million primarily consisted of $10.9 million increase in inventory, due to building up of inventory for our peak season, coupled with plans for opening of new retail stores in fiscal 2016, $2.8 million decrease in accrued expenses, which was partially offset by an increase of $5.6 in trade accounts payable primarily attributable to the timing.</w:t>
      </w:r>
    </w:p>
    <w:p>
      <w:pPr>
        <w:spacing w:after="0" w:line="161" w:lineRule="exact"/>
        <w:rPr>
          <w:sz w:val="20"/>
          <w:szCs w:val="20"/>
          <w:color w:val="auto"/>
        </w:rPr>
      </w:pPr>
    </w:p>
    <w:p>
      <w:pPr>
        <w:ind w:right="40" w:firstLine="428"/>
        <w:spacing w:after="0" w:line="255" w:lineRule="auto"/>
        <w:rPr>
          <w:sz w:val="20"/>
          <w:szCs w:val="20"/>
          <w:color w:val="auto"/>
        </w:rPr>
      </w:pPr>
      <w:r>
        <w:rPr>
          <w:rFonts w:ascii="Times New Roman" w:cs="Times New Roman" w:eastAsia="Times New Roman" w:hAnsi="Times New Roman"/>
          <w:sz w:val="18"/>
          <w:szCs w:val="18"/>
          <w:color w:val="auto"/>
        </w:rPr>
        <w:t>For the six months ended August 2, 2015, net cash used in operating activities was $1.0 million, which consisted of net income of $8.5 million, non-cash depreciation and amortization of $1.2 million and stock-based compensation of $0.3 million, offset by cash used in operating assets and liabilities of $11.0 million. The cash used in operating assets and liabilities of $11.0 million primarily consisted of $6.1 million increase in inventory and $4.5 million decrease in accrued expenses. The increase in inventory was due to seasonality and growth of our business. The $4.5 million decrease in accrued expenses, was due to a $1.1 million payment related to a portion of the grantees’ tax liabilities associated with the grant of restricted stock, coupled with timing of payments subsequent to our fiscal year 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120" w:firstLine="428"/>
        <w:spacing w:after="0" w:line="266"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information technology and enhancements for our distribution and corporate facilities, coupled with changes in restricted cash, which is related to a retail store lease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30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July 31, 2016, net cash used in investing activities was $15.3 million and was primarily driven by capital expenditures of $14.5 million for the expansion of our Belleville distribution center and additional new retail stores.</w:t>
      </w:r>
    </w:p>
    <w:p>
      <w:pPr>
        <w:spacing w:after="0" w:line="121" w:lineRule="exact"/>
        <w:rPr>
          <w:sz w:val="20"/>
          <w:szCs w:val="20"/>
          <w:color w:val="auto"/>
        </w:rPr>
      </w:pPr>
    </w:p>
    <w:p>
      <w:pPr>
        <w:ind w:right="26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August 2, 2015, net cash used in investing activities was $3.9 million and was primarily driven by capital expenditures for the opening of a new store and the implementation of a new warehouse management system.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entities and capital contributions to Schlecht Retail Ventures LLC.</w:t>
      </w:r>
    </w:p>
    <w:p>
      <w:pPr>
        <w:spacing w:after="0" w:line="136" w:lineRule="exact"/>
        <w:rPr>
          <w:sz w:val="20"/>
          <w:szCs w:val="20"/>
          <w:color w:val="auto"/>
        </w:rPr>
      </w:pPr>
    </w:p>
    <w:p>
      <w:pPr>
        <w:ind w:right="20" w:firstLine="428"/>
        <w:spacing w:after="0" w:line="266" w:lineRule="auto"/>
        <w:rPr>
          <w:sz w:val="20"/>
          <w:szCs w:val="20"/>
          <w:color w:val="auto"/>
        </w:rPr>
      </w:pPr>
      <w:r>
        <w:rPr>
          <w:rFonts w:ascii="Times New Roman" w:cs="Times New Roman" w:eastAsia="Times New Roman" w:hAnsi="Times New Roman"/>
          <w:sz w:val="18"/>
          <w:szCs w:val="18"/>
          <w:color w:val="auto"/>
        </w:rPr>
        <w:t>For the six months ended July 31, 2016, net cash used in financing activities was $0.3 million, primarily consisting of the final $0.2 million distributions to our then shareholders due to our “S” corporation status prior to our IPO and $0.1 million payments on long-term debt.</w:t>
      </w:r>
    </w:p>
    <w:p>
      <w:pPr>
        <w:spacing w:after="0" w:line="149"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For the six months ended August 2, 2015, net cash used in financing activities was $2.6 million, primarily consisting of uses of $9.9 million in tax distributions to our then shareholders due to our “S” corporation status prior to our IPO, $0.5 million for payments on mortgage notes and $0.3 million for payments on capital leases, offset by proceeds of $5.9 million, net from our revolving line of credit, $0.8 million from new long-term obligations, $1.0 million change in bank overdrafts and $0.3 million for capital contributions to variable interest entities.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right="60" w:firstLine="428"/>
        <w:spacing w:after="0" w:line="256" w:lineRule="auto"/>
        <w:rPr>
          <w:sz w:val="20"/>
          <w:szCs w:val="20"/>
          <w:color w:val="auto"/>
        </w:rPr>
      </w:pPr>
      <w:r>
        <w:rPr>
          <w:rFonts w:ascii="Times New Roman" w:cs="Times New Roman" w:eastAsia="Times New Roman" w:hAnsi="Times New Roman"/>
          <w:sz w:val="18"/>
          <w:szCs w:val="18"/>
          <w:color w:val="auto"/>
        </w:rPr>
        <w:t>We have a $40.0 million revolving line of credit (“LOC”) from BMO Harris Bank N.A., subject to certain borrowing base limits, which expires in July 2018 and bears interest, payable monthly, at a rate equal to the one-month LIBOR rate plus 1.25 percentage points. The LOC agreement is secured by essentially all Company assets and requires that we maintain certain financial and non-financial covenants, including a minimum tangible net worth and a minimum trailing twelve month EBITDA. As of and for the six months ended July 31, 2016, we were in compliance with all financial and non-financial covenants, and we expect to be in compliance with all financial and non-financial covenants for the remainder of fiscal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80" w:firstLine="42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31,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61"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Annual Report on Form 10-K for the fiscal year ended January 31,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w:t>
      </w:r>
    </w:p>
    <w:p>
      <w:pPr>
        <w:spacing w:after="0" w:line="29"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(“ASU 2014-09”), which supersedes the revenue recognition requirements in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ASU</w:t>
      </w:r>
    </w:p>
    <w:p>
      <w:pPr>
        <w:spacing w:after="0" w:line="9" w:lineRule="exact"/>
        <w:rPr>
          <w:rFonts w:ascii="Times New Roman" w:cs="Times New Roman" w:eastAsia="Times New Roman" w:hAnsi="Times New Roman"/>
          <w:sz w:val="18"/>
          <w:szCs w:val="18"/>
          <w:i w:val="1"/>
          <w:iCs w:val="1"/>
          <w:color w:val="auto"/>
        </w:rPr>
      </w:pPr>
    </w:p>
    <w:p>
      <w:pPr>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 Accordingly, we will adopt ASU 2014-09 on January 29, 2018, the first day of our first quarter for the fiscal year ending February 3, 2019, our fiscal year 2018. We have not selected a method for adoption nor determined the potential effects on our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Simplifying the Measurement of Inventory</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July 2015, the FASB issued Accounting Standards Update No. 2015-11, Simplifying the Measurement of Inventory (Topic</w:t>
      </w:r>
    </w:p>
    <w:p>
      <w:pPr>
        <w:spacing w:after="0" w:line="27" w:lineRule="exact"/>
        <w:rPr>
          <w:sz w:val="20"/>
          <w:szCs w:val="20"/>
          <w:color w:val="auto"/>
        </w:rPr>
      </w:pPr>
    </w:p>
    <w:p>
      <w:pPr>
        <w:ind w:firstLine="8"/>
        <w:spacing w:after="0" w:line="251"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we will adopt ASU 2015-11 on January 30, 2017, the first day of our first quarter for the fiscal year ending January 28, 2018, our fiscal year 2017. We have not determined the impact of this new accounting guidance on our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Deferred Taxes</w:t>
      </w:r>
    </w:p>
    <w:p>
      <w:pPr>
        <w:spacing w:after="0" w:line="187"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No. 2015-17, </w:t>
      </w:r>
      <w:r>
        <w:rPr>
          <w:rFonts w:ascii="Times New Roman" w:cs="Times New Roman" w:eastAsia="Times New Roman" w:hAnsi="Times New Roman"/>
          <w:sz w:val="18"/>
          <w:szCs w:val="18"/>
          <w:i w:val="1"/>
          <w:iCs w:val="1"/>
          <w:color w:val="auto"/>
        </w:rPr>
        <w:t>Balance Sheet Classification of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w:t>
      </w:r>
      <w:r>
        <w:rPr>
          <w:rFonts w:ascii="Times New Roman" w:cs="Times New Roman" w:eastAsia="Times New Roman" w:hAnsi="Times New Roman"/>
          <w:sz w:val="18"/>
          <w:szCs w:val="18"/>
          <w:color w:val="auto"/>
        </w:rPr>
        <w:t>(“ASU 2015-17”), which requires the classification of all deferred tax assets and liabilities as noncurrent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have adopted ASU 2015-17 as of January 31, 2016 and have reported deferred tax assets and liabilities as noncurrent on the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we will adopt ASU 2016-02 on February 4, 2019, the first day of our first quarter for the fiscal year ending February 2, 2020, our fiscal year 2019. We have not determined the impact of this new accounting guidance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Improvements to Employee Share-Based Payment Accounting</w:t>
      </w:r>
    </w:p>
    <w:p>
      <w:pPr>
        <w:spacing w:after="0" w:line="200" w:lineRule="exact"/>
        <w:rPr>
          <w:sz w:val="20"/>
          <w:szCs w:val="20"/>
          <w:color w:val="auto"/>
        </w:rPr>
      </w:pPr>
    </w:p>
    <w:p>
      <w:pPr>
        <w:ind w:right="80" w:firstLine="42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have adopted ASU 2016-09 as of May 1, 2016 and there was no significant impact to our consolidated financial statements. .</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297" w:right="11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42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Interest Risk Factors</w:t>
      </w:r>
    </w:p>
    <w:p>
      <w:pPr>
        <w:spacing w:after="0" w:line="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borrowings under our revolving line of credit, which bears interest at a rate equal to the one-month LIBOR rate plus 1.25 percentage points as of July 31, 2016. As of July 31, 2016, no balance was outstanding under the revolving line of credit. As of July 31, 2016, the undrawn borrowing availability under the revolving line of credit, subject to certain borrowing base limits was $33.5 million. Based on the average interest rate on the revolving line of credit during the first six months of fiscal 2016, and to the extent that borrowings were outstanding, we do not believe that a 10% change in the interest rate would have a material effect on our consolidated results of operations or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ind w:right="180" w:firstLine="428"/>
        <w:spacing w:after="0" w:line="25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340" w:firstLine="42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320" w:firstLine="428"/>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140" w:firstLine="441"/>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Annual Report on Form 10-K for the fiscal year ended January 31, 2016. There have been no material changes to our risk factors as previously disclosed in our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On November 25, 2015, we closed our IPO, in which we registered and sold 7,666,667 shares of Class B common stock at a price of $12.00 per share. The aggregate offering price for shares sold in the offering was approximately $92.0 million. The offer and sale of all the shares in the IPO were registered under the Securities Act pursuant to a registration statement on Form S-1 (File No. 333-207300), which was declared effective by the SEC on November 19, 2015. We raised approximately $83.9 million in net proceeds after deducting underwriting discounts and commissions of approximately $6.4 million and other offering expenses of approximately $1.7 million.</w:t>
      </w:r>
    </w:p>
    <w:p>
      <w:pPr>
        <w:spacing w:after="0" w:line="147" w:lineRule="exact"/>
        <w:rPr>
          <w:sz w:val="20"/>
          <w:szCs w:val="20"/>
          <w:color w:val="auto"/>
        </w:rPr>
      </w:pPr>
    </w:p>
    <w:p>
      <w:pPr>
        <w:jc w:val="both"/>
        <w:ind w:right="140" w:firstLine="428"/>
        <w:spacing w:after="0" w:line="255" w:lineRule="auto"/>
        <w:rPr>
          <w:sz w:val="20"/>
          <w:szCs w:val="20"/>
          <w:color w:val="auto"/>
        </w:rPr>
      </w:pPr>
      <w:r>
        <w:rPr>
          <w:rFonts w:ascii="Times New Roman" w:cs="Times New Roman" w:eastAsia="Times New Roman" w:hAnsi="Times New Roman"/>
          <w:sz w:val="18"/>
          <w:szCs w:val="18"/>
          <w:color w:val="auto"/>
        </w:rPr>
        <w:t>Through July 31, 2016, the net proceeds from our IPO have been applied as follows: $46.3 million to pay in full a short term note previously borrowed from a bank to pay a portion of the distribution of 100% of the cumulative undistributed taxable earnings to our then existing shareholders from the date of our formation through the date of termination of our “S” corporation status, $8.1 million for infrastructure and technology, $6.4 million for retail stores, and $0.3 million for our final “S” corporation distribution.</w:t>
      </w:r>
    </w:p>
    <w:p>
      <w:pPr>
        <w:spacing w:after="0" w:line="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regards to the remaining proceeds, there has been no material change in the planned use of proceeds from our IPO as described in the final prospectus filed with the SEC pursuant to Rule 424(b)(4).</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the Exhibit Index.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September 9, 2016</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(Registrant)</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 MARK M. DEORIO</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97" w:right="1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10"/>
        </w:trPr>
        <w:tc>
          <w:tcPr>
            <w:tcW w:w="1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85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25"/>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and Rule 15d-14(a) of the Securities and Exchange Act, as</w:t>
            </w:r>
          </w:p>
        </w:tc>
      </w:tr>
      <w:tr>
        <w:trPr>
          <w:trHeight w:val="210"/>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amended.*</w:t>
            </w:r>
          </w:p>
        </w:tc>
      </w:tr>
      <w:tr>
        <w:trPr>
          <w:trHeight w:val="208"/>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and Rule 15d-14(a) of the Securities and Exchange Act of</w:t>
            </w:r>
          </w:p>
        </w:tc>
      </w:tr>
      <w:tr>
        <w:trPr>
          <w:trHeight w:val="210"/>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1934, as amended.*</w:t>
            </w:r>
          </w:p>
        </w:tc>
      </w:tr>
      <w:tr>
        <w:trPr>
          <w:trHeight w:val="208"/>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w:t>
            </w:r>
          </w:p>
        </w:tc>
      </w:tr>
      <w:tr>
        <w:trPr>
          <w:trHeight w:val="210"/>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208"/>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w:t>
            </w:r>
          </w:p>
        </w:tc>
      </w:tr>
      <w:tr>
        <w:trPr>
          <w:trHeight w:val="210"/>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208"/>
        </w:trPr>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8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3"/>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8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216" w:lineRule="exact"/>
        <w:rPr>
          <w:sz w:val="20"/>
          <w:szCs w:val="20"/>
          <w:color w:val="auto"/>
        </w:rPr>
      </w:pPr>
    </w:p>
    <w:p>
      <w:pPr>
        <w:ind w:left="1480" w:hanging="1355"/>
        <w:spacing w:after="0"/>
        <w:tabs>
          <w:tab w:leader="none" w:pos="1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ind w:left="1480" w:right="320" w:hanging="1355"/>
        <w:spacing w:after="0" w:line="298" w:lineRule="auto"/>
        <w:tabs>
          <w:tab w:leader="none" w:pos="1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0"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1020" w:hanging="363"/>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03" w:lineRule="exact"/>
        <w:rPr>
          <w:rFonts w:ascii="Times New Roman" w:cs="Times New Roman" w:eastAsia="Times New Roman" w:hAnsi="Times New Roman"/>
          <w:sz w:val="18"/>
          <w:szCs w:val="18"/>
          <w:color w:val="auto"/>
        </w:rPr>
      </w:pPr>
    </w:p>
    <w:p>
      <w:pPr>
        <w:ind w:left="980" w:right="300" w:hanging="323"/>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2016</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Stephanie L. Pugliese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 DeOrio,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0"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1020" w:hanging="36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03" w:lineRule="exact"/>
        <w:rPr>
          <w:rFonts w:ascii="Times New Roman" w:cs="Times New Roman" w:eastAsia="Times New Roman" w:hAnsi="Times New Roman"/>
          <w:sz w:val="18"/>
          <w:szCs w:val="18"/>
          <w:color w:val="auto"/>
        </w:rPr>
      </w:pPr>
    </w:p>
    <w:p>
      <w:pPr>
        <w:ind w:left="980" w:right="300" w:hanging="323"/>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6"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2016</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Mark M. DeOrio</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31, 2016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460" w:right="700" w:hanging="134"/>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as amended (the “Exchange Act”); and</w:t>
      </w:r>
    </w:p>
    <w:p>
      <w:pPr>
        <w:spacing w:after="0" w:line="40" w:lineRule="exact"/>
        <w:rPr>
          <w:sz w:val="20"/>
          <w:szCs w:val="20"/>
          <w:color w:val="auto"/>
        </w:rPr>
      </w:pPr>
    </w:p>
    <w:p>
      <w:pPr>
        <w:ind w:left="460" w:right="74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 Stephanie L. Pugliese</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9, 2016</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31, 2016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800" w:right="380" w:hanging="134"/>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as amended (the “Exchange Act”); and</w:t>
      </w:r>
    </w:p>
    <w:p>
      <w:pPr>
        <w:spacing w:after="0" w:line="40" w:lineRule="exact"/>
        <w:rPr>
          <w:sz w:val="20"/>
          <w:szCs w:val="20"/>
          <w:color w:val="auto"/>
        </w:rPr>
      </w:pPr>
    </w:p>
    <w:p>
      <w:pPr>
        <w:ind w:left="800" w:right="420" w:hanging="134"/>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Mark M. DeOrio</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9, 2016</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1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0"/>
    </w:lvl>
  </w:abstractNum>
  <w:abstractNum w:abstractNumId="3">
    <w:nsid w:val="5BD062C2"/>
    <w:multiLevelType w:val="hybridMultilevel"/>
    <w:lvl w:ilvl="0">
      <w:lvlJc w:val="left"/>
      <w:lvlText w:val="%1)"/>
      <w:numFmt w:val="decimal"/>
      <w:start w:val="606"/>
    </w:lvl>
  </w:abstractNum>
  <w:abstractNum w:abstractNumId="4">
    <w:nsid w:val="12200854"/>
    <w:multiLevelType w:val="hybridMultilevel"/>
    <w:lvl w:ilvl="0">
      <w:lvlJc w:val="left"/>
      <w:lvlText w:val="%1)"/>
      <w:numFmt w:val="decimal"/>
      <w:start w:val="330"/>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606"/>
    </w:lvl>
  </w:abstractNum>
  <w:abstractNum w:abstractNumId="9">
    <w:nsid w:val="66EF438D"/>
    <w:multiLevelType w:val="hybridMultilevel"/>
    <w:lvl w:ilvl="0">
      <w:lvlJc w:val="left"/>
      <w:lvlText w:val="%1)"/>
      <w:numFmt w:val="decimal"/>
      <w:start w:val="330"/>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2019-12-29T11:11:27Z</dcterms:created>
  <dcterms:modified xsi:type="dcterms:W3CDTF">2019-12-29T11:11:27Z</dcterms:modified>
</cp:coreProperties>
</file>