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9"/>
        <w:spacing w:after="0" w:line="228" w:lineRule="auto"/>
        <w:rPr>
          <w:sz w:val="20"/>
          <w:szCs w:val="20"/>
          <w:color w:val="auto"/>
        </w:rPr>
      </w:pPr>
      <w:r>
        <w:rPr>
          <w:rFonts w:ascii="Arial" w:cs="Arial" w:eastAsia="Arial" w:hAnsi="Arial"/>
          <w:sz w:val="22"/>
          <w:szCs w:val="22"/>
          <w:b w:val="1"/>
          <w:bCs w:val="1"/>
          <w:color w:val="auto"/>
        </w:rPr>
        <w:t>Washington, D.C. 20549</w:t>
      </w:r>
    </w:p>
    <w:p>
      <w:pPr>
        <w:ind w:left="3300"/>
        <w:spacing w:after="0" w:line="231" w:lineRule="auto"/>
        <w:rPr>
          <w:sz w:val="20"/>
          <w:szCs w:val="20"/>
          <w:color w:val="auto"/>
        </w:rPr>
      </w:pPr>
      <w:r>
        <w:rPr>
          <w:rFonts w:ascii="Arial" w:cs="Arial" w:eastAsia="Arial" w:hAnsi="Arial"/>
          <w:sz w:val="14"/>
          <w:szCs w:val="14"/>
          <w:color w:val="auto"/>
        </w:rPr>
        <w:t>_________________________________________</w:t>
      </w:r>
    </w:p>
    <w:p>
      <w:pPr>
        <w:jc w:val="center"/>
        <w:ind w:right="-39"/>
        <w:spacing w:after="0" w:line="238" w:lineRule="auto"/>
        <w:rPr>
          <w:sz w:val="20"/>
          <w:szCs w:val="20"/>
          <w:color w:val="auto"/>
        </w:rPr>
      </w:pPr>
      <w:r>
        <w:rPr>
          <w:rFonts w:ascii="Arial" w:cs="Arial" w:eastAsia="Arial" w:hAnsi="Arial"/>
          <w:sz w:val="29"/>
          <w:szCs w:val="29"/>
          <w:b w:val="1"/>
          <w:bCs w:val="1"/>
          <w:color w:val="auto"/>
        </w:rPr>
        <w:t>FORM 10-Q</w:t>
      </w:r>
    </w:p>
    <w:p>
      <w:pPr>
        <w:spacing w:after="0" w:line="1" w:lineRule="exact"/>
        <w:rPr>
          <w:sz w:val="24"/>
          <w:szCs w:val="24"/>
          <w:color w:val="auto"/>
        </w:rPr>
      </w:pPr>
    </w:p>
    <w:p>
      <w:pPr>
        <w:ind w:left="3300"/>
        <w:spacing w:after="0"/>
        <w:rPr>
          <w:sz w:val="20"/>
          <w:szCs w:val="20"/>
          <w:color w:val="auto"/>
        </w:rPr>
      </w:pPr>
      <w:r>
        <w:rPr>
          <w:rFonts w:ascii="Arial" w:cs="Arial" w:eastAsia="Arial" w:hAnsi="Arial"/>
          <w:sz w:val="14"/>
          <w:szCs w:val="14"/>
          <w:color w:val="auto"/>
        </w:rPr>
        <w:t>_________________________________________</w:t>
      </w:r>
    </w:p>
    <w:p>
      <w:pPr>
        <w:spacing w:after="0" w:line="129" w:lineRule="exact"/>
        <w:rPr>
          <w:sz w:val="24"/>
          <w:szCs w:val="24"/>
          <w:color w:val="auto"/>
        </w:rPr>
      </w:pPr>
    </w:p>
    <w:p>
      <w:pPr>
        <w:ind w:left="820" w:right="360" w:hanging="695"/>
        <w:spacing w:after="0" w:line="256" w:lineRule="auto"/>
        <w:tabs>
          <w:tab w:leader="none" w:pos="8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April 30, 2017</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84" w:lineRule="exact"/>
        <w:rPr>
          <w:sz w:val="24"/>
          <w:szCs w:val="24"/>
          <w:color w:val="auto"/>
        </w:rPr>
      </w:pPr>
    </w:p>
    <w:p>
      <w:pPr>
        <w:ind w:left="920" w:right="260" w:hanging="795"/>
        <w:spacing w:after="0" w:line="256" w:lineRule="auto"/>
        <w:tabs>
          <w:tab w:leader="none" w:pos="9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2940"/>
        <w:spacing w:after="0"/>
        <w:tabs>
          <w:tab w:leader="none" w:pos="5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3368040</wp:posOffset>
            </wp:positionH>
            <wp:positionV relativeFrom="paragraph">
              <wp:posOffset>-7620</wp:posOffset>
            </wp:positionV>
            <wp:extent cx="8096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09625"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001-37641</w:t>
      </w:r>
    </w:p>
    <w:p>
      <w:pPr>
        <w:spacing w:after="0" w:line="13"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_________________________________________</w:t>
      </w:r>
    </w:p>
    <w:p>
      <w:pPr>
        <w:jc w:val="center"/>
        <w:ind w:right="-39"/>
        <w:spacing w:after="0" w:line="234" w:lineRule="auto"/>
        <w:rPr>
          <w:sz w:val="20"/>
          <w:szCs w:val="20"/>
          <w:color w:val="auto"/>
        </w:rPr>
      </w:pPr>
      <w:r>
        <w:rPr>
          <w:rFonts w:ascii="Arial" w:cs="Arial" w:eastAsia="Arial" w:hAnsi="Arial"/>
          <w:sz w:val="40"/>
          <w:szCs w:val="40"/>
          <w:b w:val="1"/>
          <w:bCs w:val="1"/>
          <w:color w:val="auto"/>
        </w:rPr>
        <w:t>DULUTH HOLDINGS INC.</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3320"/>
        <w:spacing w:after="0"/>
        <w:rPr>
          <w:sz w:val="20"/>
          <w:szCs w:val="20"/>
          <w:color w:val="auto"/>
        </w:rPr>
      </w:pPr>
      <w:r>
        <w:rPr>
          <w:rFonts w:ascii="Arial" w:cs="Arial" w:eastAsia="Arial" w:hAnsi="Arial"/>
          <w:sz w:val="14"/>
          <w:szCs w:val="14"/>
          <w:color w:val="auto"/>
        </w:rPr>
        <w:t>_________________________________________</w:t>
      </w:r>
    </w:p>
    <w:p>
      <w:pPr>
        <w:spacing w:after="0" w:line="138" w:lineRule="exact"/>
        <w:rPr>
          <w:sz w:val="24"/>
          <w:szCs w:val="24"/>
          <w:color w:val="auto"/>
        </w:rPr>
      </w:pPr>
    </w:p>
    <w:tbl>
      <w:tblPr>
        <w:tblLayout w:type="fixed"/>
        <w:tblInd w:w="1200" w:type="dxa"/>
        <w:tblCellMar>
          <w:top w:w="0" w:type="dxa"/>
          <w:left w:w="0" w:type="dxa"/>
          <w:bottom w:w="0" w:type="dxa"/>
          <w:right w:w="0" w:type="dxa"/>
        </w:tblCellMar>
      </w:tblPr>
      <w:tr>
        <w:trPr>
          <w:trHeight w:val="212"/>
        </w:trPr>
        <w:tc>
          <w:tcPr>
            <w:tcW w:w="5180" w:type="dxa"/>
            <w:vAlign w:val="bottom"/>
          </w:tcPr>
          <w:p>
            <w:pPr>
              <w:jc w:val="center"/>
              <w:ind w:right="2721"/>
              <w:spacing w:after="0"/>
              <w:rPr>
                <w:sz w:val="20"/>
                <w:szCs w:val="20"/>
                <w:color w:val="auto"/>
              </w:rPr>
            </w:pPr>
            <w:r>
              <w:rPr>
                <w:rFonts w:ascii="Arial" w:cs="Arial" w:eastAsia="Arial" w:hAnsi="Arial"/>
                <w:sz w:val="18"/>
                <w:szCs w:val="18"/>
                <w:b w:val="1"/>
                <w:bCs w:val="1"/>
                <w:color w:val="auto"/>
                <w:w w:val="86"/>
              </w:rPr>
              <w:t>Wisconsin</w:t>
            </w:r>
          </w:p>
        </w:tc>
        <w:tc>
          <w:tcPr>
            <w:tcW w:w="1500" w:type="dxa"/>
            <w:vAlign w:val="bottom"/>
          </w:tcPr>
          <w:p>
            <w:pPr>
              <w:jc w:val="right"/>
              <w:ind w:right="201"/>
              <w:spacing w:after="0"/>
              <w:rPr>
                <w:sz w:val="20"/>
                <w:szCs w:val="20"/>
                <w:color w:val="auto"/>
              </w:rPr>
            </w:pPr>
            <w:r>
              <w:rPr>
                <w:rFonts w:ascii="Arial" w:cs="Arial" w:eastAsia="Arial" w:hAnsi="Arial"/>
                <w:sz w:val="18"/>
                <w:szCs w:val="18"/>
                <w:b w:val="1"/>
                <w:bCs w:val="1"/>
                <w:color w:val="auto"/>
              </w:rPr>
              <w:t>39-1564801</w:t>
            </w:r>
          </w:p>
        </w:tc>
      </w:tr>
      <w:tr>
        <w:trPr>
          <w:trHeight w:val="149"/>
        </w:trPr>
        <w:tc>
          <w:tcPr>
            <w:tcW w:w="5180" w:type="dxa"/>
            <w:vAlign w:val="bottom"/>
          </w:tcPr>
          <w:p>
            <w:pPr>
              <w:jc w:val="center"/>
              <w:ind w:right="270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180" w:type="dxa"/>
            <w:vAlign w:val="bottom"/>
          </w:tcPr>
          <w:p>
            <w:pPr>
              <w:jc w:val="center"/>
              <w:ind w:right="2701"/>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Number)</w:t>
            </w:r>
          </w:p>
        </w:tc>
      </w:tr>
      <w:tr>
        <w:trPr>
          <w:trHeight w:val="399"/>
        </w:trPr>
        <w:tc>
          <w:tcPr>
            <w:tcW w:w="5180" w:type="dxa"/>
            <w:vAlign w:val="bottom"/>
          </w:tcPr>
          <w:p>
            <w:pPr>
              <w:jc w:val="center"/>
              <w:ind w:right="2721"/>
              <w:spacing w:after="0"/>
              <w:rPr>
                <w:sz w:val="20"/>
                <w:szCs w:val="20"/>
                <w:color w:val="auto"/>
              </w:rPr>
            </w:pPr>
            <w:r>
              <w:rPr>
                <w:rFonts w:ascii="Arial" w:cs="Arial" w:eastAsia="Arial" w:hAnsi="Arial"/>
                <w:sz w:val="18"/>
                <w:szCs w:val="18"/>
                <w:b w:val="1"/>
                <w:bCs w:val="1"/>
                <w:color w:val="auto"/>
                <w:w w:val="91"/>
              </w:rPr>
              <w:t>170 Countryside Drive</w:t>
            </w:r>
          </w:p>
        </w:tc>
        <w:tc>
          <w:tcPr>
            <w:tcW w:w="1500" w:type="dxa"/>
            <w:vAlign w:val="bottom"/>
          </w:tcPr>
          <w:p>
            <w:pPr>
              <w:spacing w:after="0"/>
              <w:rPr>
                <w:sz w:val="24"/>
                <w:szCs w:val="24"/>
                <w:color w:val="auto"/>
              </w:rPr>
            </w:pPr>
          </w:p>
        </w:tc>
      </w:tr>
      <w:tr>
        <w:trPr>
          <w:trHeight w:val="216"/>
        </w:trPr>
        <w:tc>
          <w:tcPr>
            <w:tcW w:w="5180" w:type="dxa"/>
            <w:vAlign w:val="bottom"/>
          </w:tcPr>
          <w:p>
            <w:pPr>
              <w:jc w:val="center"/>
              <w:ind w:right="2721"/>
              <w:spacing w:after="0"/>
              <w:rPr>
                <w:sz w:val="20"/>
                <w:szCs w:val="20"/>
                <w:color w:val="auto"/>
              </w:rPr>
            </w:pPr>
            <w:r>
              <w:rPr>
                <w:rFonts w:ascii="Arial" w:cs="Arial" w:eastAsia="Arial" w:hAnsi="Arial"/>
                <w:sz w:val="18"/>
                <w:szCs w:val="18"/>
                <w:b w:val="1"/>
                <w:bCs w:val="1"/>
                <w:color w:val="auto"/>
                <w:w w:val="89"/>
              </w:rPr>
              <w:t>P.O. Box 409</w:t>
            </w:r>
          </w:p>
        </w:tc>
        <w:tc>
          <w:tcPr>
            <w:tcW w:w="1500" w:type="dxa"/>
            <w:vAlign w:val="bottom"/>
          </w:tcPr>
          <w:p>
            <w:pPr>
              <w:jc w:val="right"/>
              <w:ind w:right="421"/>
              <w:spacing w:after="0"/>
              <w:rPr>
                <w:sz w:val="20"/>
                <w:szCs w:val="20"/>
                <w:color w:val="auto"/>
              </w:rPr>
            </w:pPr>
            <w:r>
              <w:rPr>
                <w:rFonts w:ascii="Arial" w:cs="Arial" w:eastAsia="Arial" w:hAnsi="Arial"/>
                <w:sz w:val="18"/>
                <w:szCs w:val="18"/>
                <w:b w:val="1"/>
                <w:bCs w:val="1"/>
                <w:color w:val="auto"/>
              </w:rPr>
              <w:t>53508</w:t>
            </w:r>
          </w:p>
        </w:tc>
      </w:tr>
      <w:tr>
        <w:trPr>
          <w:trHeight w:val="212"/>
        </w:trPr>
        <w:tc>
          <w:tcPr>
            <w:tcW w:w="5180" w:type="dxa"/>
            <w:vAlign w:val="bottom"/>
          </w:tcPr>
          <w:p>
            <w:pPr>
              <w:jc w:val="center"/>
              <w:ind w:right="2721"/>
              <w:spacing w:after="0"/>
              <w:rPr>
                <w:sz w:val="20"/>
                <w:szCs w:val="20"/>
                <w:color w:val="auto"/>
              </w:rPr>
            </w:pPr>
            <w:r>
              <w:rPr>
                <w:rFonts w:ascii="Arial" w:cs="Arial" w:eastAsia="Arial" w:hAnsi="Arial"/>
                <w:sz w:val="18"/>
                <w:szCs w:val="18"/>
                <w:b w:val="1"/>
                <w:bCs w:val="1"/>
                <w:color w:val="auto"/>
                <w:w w:val="88"/>
              </w:rPr>
              <w:t>Belleville, Wisconsin</w:t>
            </w:r>
          </w:p>
        </w:tc>
        <w:tc>
          <w:tcPr>
            <w:tcW w:w="1500" w:type="dxa"/>
            <w:vAlign w:val="bottom"/>
          </w:tcPr>
          <w:p>
            <w:pPr>
              <w:spacing w:after="0"/>
              <w:rPr>
                <w:sz w:val="18"/>
                <w:szCs w:val="18"/>
                <w:color w:val="auto"/>
              </w:rPr>
            </w:pPr>
          </w:p>
        </w:tc>
      </w:tr>
      <w:tr>
        <w:trPr>
          <w:trHeight w:val="186"/>
        </w:trPr>
        <w:tc>
          <w:tcPr>
            <w:tcW w:w="5180" w:type="dxa"/>
            <w:vAlign w:val="bottom"/>
          </w:tcPr>
          <w:p>
            <w:pPr>
              <w:jc w:val="center"/>
              <w:ind w:right="27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8"/>
              </w:rPr>
              <w:t>(Zip Code)</w:t>
            </w:r>
          </w:p>
        </w:tc>
      </w:tr>
      <w:tr>
        <w:trPr>
          <w:trHeight w:val="367"/>
        </w:trPr>
        <w:tc>
          <w:tcPr>
            <w:tcW w:w="5180" w:type="dxa"/>
            <w:vAlign w:val="bottom"/>
          </w:tcPr>
          <w:p>
            <w:pPr>
              <w:jc w:val="right"/>
              <w:ind w:right="1141"/>
              <w:spacing w:after="0"/>
              <w:rPr>
                <w:sz w:val="20"/>
                <w:szCs w:val="20"/>
                <w:color w:val="auto"/>
              </w:rPr>
            </w:pPr>
            <w:r>
              <w:rPr>
                <w:rFonts w:ascii="Arial" w:cs="Arial" w:eastAsia="Arial" w:hAnsi="Arial"/>
                <w:sz w:val="14"/>
                <w:szCs w:val="14"/>
                <w:b w:val="1"/>
                <w:bCs w:val="1"/>
                <w:color w:val="auto"/>
              </w:rPr>
              <w:t>(608) 424-1544</w:t>
            </w:r>
          </w:p>
        </w:tc>
        <w:tc>
          <w:tcPr>
            <w:tcW w:w="1500" w:type="dxa"/>
            <w:vAlign w:val="bottom"/>
          </w:tcPr>
          <w:p>
            <w:pPr>
              <w:spacing w:after="0"/>
              <w:rPr>
                <w:sz w:val="24"/>
                <w:szCs w:val="24"/>
                <w:color w:val="auto"/>
              </w:rPr>
            </w:pPr>
          </w:p>
        </w:tc>
      </w:tr>
      <w:tr>
        <w:trPr>
          <w:trHeight w:val="166"/>
        </w:trPr>
        <w:tc>
          <w:tcPr>
            <w:tcW w:w="5180" w:type="dxa"/>
            <w:vAlign w:val="bottom"/>
          </w:tcPr>
          <w:p>
            <w:pPr>
              <w:jc w:val="center"/>
              <w:ind w:left="174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4"/>
                <w:szCs w:val="14"/>
                <w:color w:val="auto"/>
              </w:rPr>
            </w:pPr>
          </w:p>
        </w:tc>
      </w:tr>
      <w:tr>
        <w:trPr>
          <w:trHeight w:val="171"/>
        </w:trPr>
        <w:tc>
          <w:tcPr>
            <w:tcW w:w="5180" w:type="dxa"/>
            <w:vAlign w:val="bottom"/>
          </w:tcPr>
          <w:p>
            <w:pPr>
              <w:jc w:val="right"/>
              <w:ind w:right="41"/>
              <w:spacing w:after="0"/>
              <w:rPr>
                <w:sz w:val="20"/>
                <w:szCs w:val="20"/>
                <w:color w:val="auto"/>
              </w:rPr>
            </w:pPr>
            <w:r>
              <w:rPr>
                <w:rFonts w:ascii="Arial" w:cs="Arial" w:eastAsia="Arial" w:hAnsi="Arial"/>
                <w:sz w:val="14"/>
                <w:szCs w:val="14"/>
                <w:color w:val="auto"/>
              </w:rPr>
              <w:t>_________________________________________</w:t>
            </w:r>
          </w:p>
        </w:tc>
        <w:tc>
          <w:tcPr>
            <w:tcW w:w="1500" w:type="dxa"/>
            <w:vAlign w:val="bottom"/>
          </w:tcPr>
          <w:p>
            <w:pPr>
              <w:spacing w:after="0"/>
              <w:rPr>
                <w:sz w:val="14"/>
                <w:szCs w:val="14"/>
                <w:color w:val="auto"/>
              </w:rPr>
            </w:pPr>
          </w:p>
        </w:tc>
      </w:tr>
    </w:tbl>
    <w:p>
      <w:pPr>
        <w:ind w:firstLine="428"/>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120" w:firstLine="42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140" w:firstLine="42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54"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38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108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Non-accelerated filer</w:t>
            </w:r>
          </w:p>
        </w:tc>
        <w:tc>
          <w:tcPr>
            <w:tcW w:w="138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108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00" w:type="dxa"/>
            <w:vAlign w:val="bottom"/>
          </w:tcPr>
          <w:p>
            <w:pPr>
              <w:spacing w:after="0"/>
              <w:rPr>
                <w:sz w:val="20"/>
                <w:szCs w:val="20"/>
                <w:color w:val="auto"/>
              </w:rPr>
            </w:pPr>
            <w:r>
              <w:rPr>
                <w:rFonts w:ascii="Arial" w:cs="Arial" w:eastAsia="Arial" w:hAnsi="Arial"/>
                <w:sz w:val="13"/>
                <w:szCs w:val="13"/>
                <w:color w:val="auto"/>
                <w:w w:val="94"/>
              </w:rPr>
              <w:t>(Do not check if smaller reporting company)</w:t>
            </w:r>
          </w:p>
        </w:tc>
        <w:tc>
          <w:tcPr>
            <w:tcW w:w="1380" w:type="dxa"/>
            <w:vAlign w:val="bottom"/>
          </w:tcPr>
          <w:p>
            <w:pPr>
              <w:spacing w:after="0"/>
              <w:rPr>
                <w:sz w:val="22"/>
                <w:szCs w:val="22"/>
                <w:color w:val="auto"/>
              </w:rPr>
            </w:pPr>
          </w:p>
        </w:tc>
        <w:tc>
          <w:tcPr>
            <w:tcW w:w="3180" w:type="dxa"/>
            <w:vAlign w:val="bottom"/>
          </w:tcPr>
          <w:p>
            <w:pPr>
              <w:ind w:left="108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4" w:lineRule="exact"/>
        <w:rPr>
          <w:sz w:val="24"/>
          <w:szCs w:val="24"/>
          <w:color w:val="auto"/>
        </w:rPr>
      </w:pPr>
    </w:p>
    <w:p>
      <w:pPr>
        <w:ind w:right="20" w:firstLine="432"/>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5" w:lineRule="exact"/>
        <w:rPr>
          <w:sz w:val="24"/>
          <w:szCs w:val="24"/>
          <w:color w:val="auto"/>
        </w:rPr>
      </w:pPr>
    </w:p>
    <w:p>
      <w:pPr>
        <w:ind w:left="440"/>
        <w:spacing w:after="0" w:line="184" w:lineRule="exact"/>
        <w:tabs>
          <w:tab w:leader="none" w:pos="7940" w:val="left"/>
          <w:tab w:leader="none" w:pos="85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51" w:lineRule="exact"/>
        <w:rPr>
          <w:sz w:val="24"/>
          <w:szCs w:val="24"/>
          <w:color w:val="auto"/>
        </w:rPr>
      </w:pPr>
    </w:p>
    <w:p>
      <w:pPr>
        <w:ind w:left="440"/>
        <w:spacing w:after="0"/>
        <w:rPr>
          <w:sz w:val="20"/>
          <w:szCs w:val="20"/>
          <w:color w:val="auto"/>
        </w:rPr>
      </w:pPr>
      <w:r>
        <w:rPr>
          <w:rFonts w:ascii="Arial" w:cs="Arial" w:eastAsia="Arial" w:hAnsi="Arial"/>
          <w:sz w:val="16"/>
          <w:szCs w:val="16"/>
          <w:color w:val="auto"/>
        </w:rPr>
        <w:t>The number of shares outstanding of the Registrant’s Class A common stock, no par value, as of June 5, 2017, was 3,364,200.</w:t>
      </w:r>
    </w:p>
    <w:p>
      <w:pPr>
        <w:spacing w:after="0" w:line="22" w:lineRule="exact"/>
        <w:rPr>
          <w:sz w:val="24"/>
          <w:szCs w:val="24"/>
          <w:color w:val="auto"/>
        </w:rPr>
      </w:pPr>
    </w:p>
    <w:p>
      <w:pPr>
        <w:ind w:left="440"/>
        <w:spacing w:after="0"/>
        <w:rPr>
          <w:sz w:val="20"/>
          <w:szCs w:val="20"/>
          <w:color w:val="auto"/>
        </w:rPr>
      </w:pPr>
      <w:r>
        <w:rPr>
          <w:rFonts w:ascii="Arial" w:cs="Arial" w:eastAsia="Arial" w:hAnsi="Arial"/>
          <w:sz w:val="15"/>
          <w:szCs w:val="15"/>
          <w:color w:val="auto"/>
        </w:rPr>
        <w:t>The number of shares outstanding of the Registrant’s Class B common stock, no par value, as of June 5, 2017, was 29,090,197.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756285</wp:posOffset>
            </wp:positionV>
            <wp:extent cx="6139815"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20"/>
          </w:cols>
          <w:pgMar w:left="1140" w:top="215" w:right="1239" w:bottom="1440" w:gutter="0" w:footer="0" w:header="0"/>
        </w:sectPr>
      </w:pPr>
    </w:p>
    <w:bookmarkStart w:id="1" w:name="page2"/>
    <w:bookmarkEnd w:id="1"/>
    <w:p>
      <w:pPr>
        <w:ind w:left="3600"/>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FOR QUARTER ENDED April 30, 2017</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Borders>
              <w:bottom w:val="single" w:sz="8" w:color="0000EE"/>
            </w:tcBorders>
            <w:gridSpan w:val="7"/>
          </w:tcPr>
          <w:p>
            <w:pPr>
              <w:jc w:val="cente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Part I—Financial Information</w:t>
              </w:r>
            </w:hyperlink>
          </w:p>
        </w:tc>
        <w:tc>
          <w:tcPr>
            <w:tcW w:w="2780" w:type="dxa"/>
            <w:vAlign w:val="bottom"/>
            <w:gridSpan w:val="8"/>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Page</w:t>
            </w:r>
          </w:p>
        </w:tc>
      </w:tr>
      <w:tr>
        <w:trPr>
          <w:trHeight w:val="412"/>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780" w:type="dxa"/>
            <w:vAlign w:val="bottom"/>
            <w:gridSpan w:val="3"/>
          </w:tcPr>
          <w:p>
            <w:pPr>
              <w:spacing w:after="0"/>
              <w:rPr>
                <w:sz w:val="24"/>
                <w:szCs w:val="24"/>
                <w:color w:val="auto"/>
              </w:rPr>
            </w:pPr>
          </w:p>
        </w:tc>
        <w:tc>
          <w:tcPr>
            <w:tcW w:w="722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2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April 30, 2017 and January 29, 2017</w:t>
              </w:r>
            </w:hyperlink>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(Unaudited)</w:t>
              </w:r>
            </w:hyperlink>
          </w:p>
        </w:tc>
        <w:tc>
          <w:tcPr>
            <w:tcW w:w="5120" w:type="dxa"/>
            <w:vAlign w:val="bottom"/>
            <w:tcBorders>
              <w:top w:val="single" w:sz="8" w:color="0000EE"/>
            </w:tcBorders>
            <w:gridSpan w:val="16"/>
          </w:tcPr>
          <w:p>
            <w:pPr>
              <w:spacing w:after="0"/>
              <w:rPr>
                <w:sz w:val="17"/>
                <w:szCs w:val="17"/>
                <w:color w:val="auto"/>
              </w:rPr>
            </w:pPr>
          </w:p>
        </w:tc>
        <w:tc>
          <w:tcPr>
            <w:tcW w:w="1260" w:type="dxa"/>
            <w:vAlign w:val="bottom"/>
            <w:gridSpan w:val="6"/>
          </w:tcPr>
          <w:p>
            <w:pPr>
              <w:spacing w:after="0"/>
              <w:rPr>
                <w:sz w:val="17"/>
                <w:szCs w:val="17"/>
                <w:color w:val="auto"/>
              </w:rPr>
            </w:pPr>
          </w:p>
        </w:tc>
        <w:tc>
          <w:tcPr>
            <w:tcW w:w="940" w:type="dxa"/>
            <w:vAlign w:val="bottom"/>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70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ended April 30, 2017</w:t>
              </w:r>
            </w:hyperlink>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and May 1, 2016 (Unaudited)</w:t>
              </w:r>
            </w:hyperlink>
          </w:p>
        </w:tc>
        <w:tc>
          <w:tcPr>
            <w:tcW w:w="5120" w:type="dxa"/>
            <w:vAlign w:val="bottom"/>
            <w:gridSpan w:val="16"/>
          </w:tcPr>
          <w:p>
            <w:pPr>
              <w:spacing w:after="0"/>
              <w:rPr>
                <w:sz w:val="17"/>
                <w:szCs w:val="17"/>
                <w:color w:val="auto"/>
              </w:rPr>
            </w:pPr>
          </w:p>
        </w:tc>
        <w:tc>
          <w:tcPr>
            <w:tcW w:w="940" w:type="dxa"/>
            <w:vAlign w:val="bottom"/>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52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 for the three months ended</w:t>
              </w:r>
            </w:hyperlink>
          </w:p>
        </w:tc>
        <w:tc>
          <w:tcPr>
            <w:tcW w:w="700" w:type="dxa"/>
            <w:vAlign w:val="bottom"/>
            <w:gridSpan w:val="3"/>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April 30, 2017 and May 1, 2016 (Unaudited)</w:t>
              </w:r>
            </w:hyperlink>
          </w:p>
        </w:tc>
        <w:tc>
          <w:tcPr>
            <w:tcW w:w="4020" w:type="dxa"/>
            <w:vAlign w:val="bottom"/>
            <w:gridSpan w:val="12"/>
          </w:tcPr>
          <w:p>
            <w:pPr>
              <w:spacing w:after="0"/>
              <w:rPr>
                <w:sz w:val="17"/>
                <w:szCs w:val="17"/>
                <w:color w:val="auto"/>
              </w:rPr>
            </w:pPr>
          </w:p>
        </w:tc>
        <w:tc>
          <w:tcPr>
            <w:tcW w:w="940" w:type="dxa"/>
            <w:vAlign w:val="bottom"/>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20" w:type="dxa"/>
            <w:vAlign w:val="bottom"/>
            <w:gridSpan w:val="24"/>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 of Shareholders’ Equity for the three months ended April</w:t>
              </w:r>
            </w:hyperlink>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30, 2017 (Unaudited)</w:t>
              </w:r>
            </w:hyperlink>
          </w:p>
        </w:tc>
        <w:tc>
          <w:tcPr>
            <w:tcW w:w="54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20" w:type="dxa"/>
            <w:vAlign w:val="bottom"/>
            <w:gridSpan w:val="2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three months ended April 30,</w:t>
              </w:r>
            </w:hyperlink>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3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2017 and May 1, 2016 (Unaudited)</w:t>
              </w:r>
            </w:hyperlink>
          </w:p>
        </w:tc>
        <w:tc>
          <w:tcPr>
            <w:tcW w:w="88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8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 (Unaudited)</w:t>
              </w:r>
            </w:hyperlink>
          </w:p>
        </w:tc>
        <w:tc>
          <w:tcPr>
            <w:tcW w:w="2340" w:type="dxa"/>
            <w:vAlign w:val="bottom"/>
            <w:gridSpan w:val="7"/>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412"/>
        </w:trPr>
        <w:tc>
          <w:tcPr>
            <w:tcW w:w="520" w:type="dxa"/>
            <w:vAlign w:val="bottom"/>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2.</w:t>
              </w:r>
            </w:hyperlink>
          </w:p>
        </w:tc>
        <w:tc>
          <w:tcPr>
            <w:tcW w:w="780" w:type="dxa"/>
            <w:vAlign w:val="bottom"/>
            <w:gridSpan w:val="3"/>
          </w:tcPr>
          <w:p>
            <w:pPr>
              <w:spacing w:after="0"/>
              <w:rPr>
                <w:sz w:val="24"/>
                <w:szCs w:val="24"/>
                <w:color w:val="auto"/>
              </w:rPr>
            </w:pPr>
          </w:p>
        </w:tc>
        <w:tc>
          <w:tcPr>
            <w:tcW w:w="7220" w:type="dxa"/>
            <w:vAlign w:val="bottom"/>
            <w:gridSpan w:val="2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3.</w:t>
              </w:r>
            </w:hyperlink>
          </w:p>
        </w:tc>
        <w:tc>
          <w:tcPr>
            <w:tcW w:w="780" w:type="dxa"/>
            <w:vAlign w:val="bottom"/>
            <w:gridSpan w:val="3"/>
          </w:tcPr>
          <w:p>
            <w:pPr>
              <w:spacing w:after="0"/>
              <w:rPr>
                <w:sz w:val="24"/>
                <w:szCs w:val="24"/>
                <w:color w:val="auto"/>
              </w:rPr>
            </w:pPr>
          </w:p>
        </w:tc>
        <w:tc>
          <w:tcPr>
            <w:tcW w:w="6420" w:type="dxa"/>
            <w:vAlign w:val="bottom"/>
            <w:tcBorders>
              <w:top w:val="single" w:sz="8" w:color="0000EE"/>
            </w:tcBorders>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800" w:type="dxa"/>
            <w:vAlign w:val="bottom"/>
            <w:gridSpan w:val="4"/>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780" w:type="dxa"/>
            <w:vAlign w:val="bottom"/>
            <w:gridSpan w:val="3"/>
          </w:tcPr>
          <w:p>
            <w:pPr>
              <w:spacing w:after="0"/>
              <w:rPr>
                <w:sz w:val="24"/>
                <w:szCs w:val="24"/>
                <w:color w:val="auto"/>
              </w:rPr>
            </w:pPr>
          </w:p>
        </w:tc>
        <w:tc>
          <w:tcPr>
            <w:tcW w:w="4320" w:type="dxa"/>
            <w:vAlign w:val="bottom"/>
            <w:tcBorders>
              <w:top w:val="single" w:sz="8" w:color="0000EE"/>
            </w:tcBorders>
            <w:gridSpan w:val="1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2900" w:type="dxa"/>
            <w:vAlign w:val="bottom"/>
            <w:gridSpan w:val="10"/>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Borders>
              <w:bottom w:val="single" w:sz="8" w:color="0000EE"/>
            </w:tcBorders>
            <w:gridSpan w:val="5"/>
          </w:tcPr>
          <w:p>
            <w:pPr>
              <w:jc w:val="center"/>
              <w:spacing w:after="0"/>
              <w:rPr>
                <w:rFonts w:ascii="Arial" w:cs="Arial" w:eastAsia="Arial" w:hAnsi="Arial"/>
                <w:sz w:val="18"/>
                <w:szCs w:val="18"/>
                <w:color w:val="0000EE"/>
                <w:w w:val="95"/>
              </w:rPr>
            </w:pPr>
            <w:hyperlink w:anchor="page25">
              <w:r>
                <w:rPr>
                  <w:rFonts w:ascii="Arial" w:cs="Arial" w:eastAsia="Arial" w:hAnsi="Arial"/>
                  <w:sz w:val="18"/>
                  <w:szCs w:val="18"/>
                  <w:color w:val="0000EE"/>
                  <w:w w:val="95"/>
                </w:rPr>
                <w:t>Part II—Other Information</w:t>
              </w:r>
            </w:hyperlink>
          </w:p>
        </w:tc>
        <w:tc>
          <w:tcPr>
            <w:tcW w:w="2880" w:type="dxa"/>
            <w:vAlign w:val="bottom"/>
            <w:gridSpan w:val="9"/>
          </w:tcPr>
          <w:p>
            <w:pPr>
              <w:spacing w:after="0"/>
              <w:rPr>
                <w:sz w:val="24"/>
                <w:szCs w:val="24"/>
                <w:color w:val="auto"/>
              </w:rPr>
            </w:pPr>
          </w:p>
        </w:tc>
        <w:tc>
          <w:tcPr>
            <w:tcW w:w="94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1.</w:t>
              </w:r>
            </w:hyperlink>
          </w:p>
        </w:tc>
        <w:tc>
          <w:tcPr>
            <w:tcW w:w="780" w:type="dxa"/>
            <w:vAlign w:val="bottom"/>
            <w:gridSpan w:val="3"/>
          </w:tcPr>
          <w:p>
            <w:pPr>
              <w:spacing w:after="0"/>
              <w:rPr>
                <w:sz w:val="24"/>
                <w:szCs w:val="24"/>
                <w:color w:val="auto"/>
              </w:rPr>
            </w:pPr>
          </w:p>
        </w:tc>
        <w:tc>
          <w:tcPr>
            <w:tcW w:w="130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25">
              <w:r>
                <w:rPr>
                  <w:rFonts w:ascii="Arial" w:cs="Arial" w:eastAsia="Arial" w:hAnsi="Arial"/>
                  <w:sz w:val="18"/>
                  <w:szCs w:val="18"/>
                  <w:color w:val="0000EE"/>
                  <w:w w:val="85"/>
                </w:rPr>
                <w:t>Legal Proceedings</w:t>
              </w:r>
            </w:hyperlink>
          </w:p>
        </w:tc>
        <w:tc>
          <w:tcPr>
            <w:tcW w:w="5920" w:type="dxa"/>
            <w:vAlign w:val="bottom"/>
            <w:gridSpan w:val="20"/>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412"/>
        </w:trPr>
        <w:tc>
          <w:tcPr>
            <w:tcW w:w="1300" w:type="dxa"/>
            <w:vAlign w:val="bottom"/>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1A.</w:t>
              </w:r>
            </w:hyperlink>
          </w:p>
        </w:tc>
        <w:tc>
          <w:tcPr>
            <w:tcW w:w="7220" w:type="dxa"/>
            <w:vAlign w:val="bottom"/>
            <w:gridSpan w:val="2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2920" w:type="dxa"/>
            <w:vAlign w:val="bottom"/>
            <w:gridSpan w:val="1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660" w:type="dxa"/>
            <w:vAlign w:val="bottom"/>
            <w:gridSpan w:val="2"/>
          </w:tcPr>
          <w:p>
            <w:pPr>
              <w:spacing w:after="0"/>
              <w:rPr>
                <w:sz w:val="24"/>
                <w:szCs w:val="24"/>
                <w:color w:val="auto"/>
              </w:rPr>
            </w:pPr>
          </w:p>
        </w:tc>
        <w:tc>
          <w:tcPr>
            <w:tcW w:w="7220" w:type="dxa"/>
            <w:vAlign w:val="bottom"/>
            <w:gridSpan w:val="2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6.</w:t>
              </w:r>
            </w:hyperlink>
          </w:p>
        </w:tc>
        <w:tc>
          <w:tcPr>
            <w:tcW w:w="780" w:type="dxa"/>
            <w:vAlign w:val="bottom"/>
            <w:gridSpan w:val="3"/>
          </w:tcPr>
          <w:p>
            <w:pPr>
              <w:spacing w:after="0"/>
              <w:rPr>
                <w:sz w:val="24"/>
                <w:szCs w:val="24"/>
                <w:color w:val="auto"/>
              </w:rPr>
            </w:pPr>
          </w:p>
        </w:tc>
        <w:tc>
          <w:tcPr>
            <w:tcW w:w="4300" w:type="dxa"/>
            <w:vAlign w:val="bottom"/>
            <w:tcBorders>
              <w:top w:val="single" w:sz="8" w:color="0000EE"/>
            </w:tcBorders>
            <w:gridSpan w:val="1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2920" w:type="dxa"/>
            <w:vAlign w:val="bottom"/>
            <w:gridSpan w:val="11"/>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844"/>
        </w:trPr>
        <w:tc>
          <w:tcPr>
            <w:tcW w:w="1300" w:type="dxa"/>
            <w:vAlign w:val="bottom"/>
            <w:gridSpan w:val="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-3026410</wp:posOffset>
            </wp:positionV>
            <wp:extent cx="28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208280</wp:posOffset>
            </wp:positionV>
            <wp:extent cx="6139815"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460"/>
          </w:cols>
          <w:pgMar w:left="1260" w:top="121" w:right="11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vMerge w:val="restart"/>
          </w:tcPr>
          <w:p>
            <w:pPr>
              <w:ind w:left="286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January 29, 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Cash</w:t>
            </w: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13,584</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Other receivables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Inventory, less reserve for excess and obsolete items</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of $1,596 and $1,242, respectively</w:t>
            </w: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75,716</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Prepaid expenses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5,060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catalog costs</w:t>
            </w: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95,873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 net</w:t>
            </w:r>
          </w:p>
        </w:tc>
        <w:tc>
          <w:tcPr>
            <w:tcW w:w="3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159,990</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1240"/>
              <w:spacing w:after="0" w:line="203" w:lineRule="exact"/>
              <w:rPr>
                <w:sz w:val="20"/>
                <w:szCs w:val="20"/>
                <w:color w:val="auto"/>
              </w:rPr>
            </w:pPr>
            <w:r>
              <w:rPr>
                <w:rFonts w:ascii="Arial" w:cs="Arial" w:eastAsia="Arial" w:hAnsi="Arial"/>
                <w:sz w:val="18"/>
                <w:szCs w:val="18"/>
                <w:b w:val="1"/>
                <w:bCs w:val="1"/>
                <w:color w:val="auto"/>
              </w:rPr>
              <w:t>LIABILITIES AND SHAREHOLDERS' EQUITY</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Trade accounts payable</w:t>
            </w: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10,662</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Income taxes payable</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5,478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maturities of long-term debt</w:t>
            </w: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36,737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 under build-to-suit leases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Deferred rent obligations, less current maturities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tax liabilities</w:t>
            </w:r>
          </w:p>
        </w:tc>
        <w:tc>
          <w:tcPr>
            <w:tcW w:w="3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tcPr>
          <w:p>
            <w:pPr>
              <w:spacing w:after="0" w:line="201" w:lineRule="exact"/>
              <w:rPr>
                <w:sz w:val="20"/>
                <w:szCs w:val="20"/>
                <w:color w:val="auto"/>
              </w:rPr>
            </w:pPr>
            <w:r>
              <w:rPr>
                <w:rFonts w:ascii="Arial" w:cs="Arial" w:eastAsia="Arial" w:hAnsi="Arial"/>
                <w:sz w:val="18"/>
                <w:szCs w:val="18"/>
                <w:color w:val="auto"/>
              </w:rPr>
              <w:t>Preferred stock, no par value; 10,000 shares authorized; no shares</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120"/>
              <w:spacing w:after="0"/>
              <w:rPr>
                <w:sz w:val="20"/>
                <w:szCs w:val="20"/>
                <w:color w:val="auto"/>
              </w:rPr>
            </w:pPr>
            <w:r>
              <w:rPr>
                <w:rFonts w:ascii="Arial" w:cs="Arial" w:eastAsia="Arial" w:hAnsi="Arial"/>
                <w:sz w:val="18"/>
                <w:szCs w:val="18"/>
                <w:color w:val="auto"/>
              </w:rPr>
              <w:t>issued or outstanding as of April 30, 2017 and January 29, 2017</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(Class A), no par value; 10,000 shares authorized;</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3,364 shares issued and outstanding as of April 30, 2017 and January 29, 2017</w:t>
            </w: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Common stock (Class B), no par value; 200,000 shares authorized;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20"/>
              <w:spacing w:after="0"/>
              <w:rPr>
                <w:sz w:val="20"/>
                <w:szCs w:val="20"/>
                <w:color w:val="auto"/>
              </w:rPr>
            </w:pPr>
            <w:r>
              <w:rPr>
                <w:rFonts w:ascii="Arial" w:cs="Arial" w:eastAsia="Arial" w:hAnsi="Arial"/>
                <w:sz w:val="18"/>
                <w:szCs w:val="18"/>
                <w:color w:val="auto"/>
              </w:rPr>
              <w:t>29,078 and 29,012 shares issued and outstanding as of April 30, 2017 and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120"/>
              <w:spacing w:after="0"/>
              <w:rPr>
                <w:sz w:val="20"/>
                <w:szCs w:val="20"/>
                <w:color w:val="auto"/>
              </w:rPr>
            </w:pPr>
            <w:r>
              <w:rPr>
                <w:rFonts w:ascii="Arial" w:cs="Arial" w:eastAsia="Arial" w:hAnsi="Arial"/>
                <w:sz w:val="18"/>
                <w:szCs w:val="18"/>
                <w:color w:val="auto"/>
              </w:rPr>
              <w:t>January 29, 2017, respectively</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Retained earnings</w:t>
            </w:r>
          </w:p>
        </w:tc>
        <w:tc>
          <w:tcPr>
            <w:tcW w:w="3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shareholders' equity of Duluth Holdings Inc.</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111,858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Noncontrolling interest</w:t>
            </w:r>
          </w:p>
        </w:tc>
        <w:tc>
          <w:tcPr>
            <w:tcW w:w="3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114,796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159,990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figures)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5"/>
          </w:tcPr>
          <w:p>
            <w:pPr>
              <w:jc w:val="right"/>
              <w:ind w:right="105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30, 2017</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ind w:right="411"/>
              <w:spacing w:after="0"/>
              <w:rPr>
                <w:sz w:val="20"/>
                <w:szCs w:val="20"/>
                <w:color w:val="auto"/>
              </w:rPr>
            </w:pPr>
            <w:r>
              <w:rPr>
                <w:rFonts w:ascii="Arial" w:cs="Arial" w:eastAsia="Arial" w:hAnsi="Arial"/>
                <w:sz w:val="14"/>
                <w:szCs w:val="14"/>
                <w:b w:val="1"/>
                <w:bCs w:val="1"/>
                <w:color w:val="auto"/>
              </w:rPr>
              <w:t>May 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83,687</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 (excluding depreciation and amortization)</w:t>
            </w:r>
          </w:p>
        </w:tc>
        <w:tc>
          <w:tcPr>
            <w:tcW w:w="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47,894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8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7"/>
        </w:trPr>
        <w:tc>
          <w:tcPr>
            <w:tcW w:w="5240" w:type="dxa"/>
            <w:vAlign w:val="bottom"/>
            <w:gridSpan w:val="2"/>
          </w:tcPr>
          <w:p>
            <w:pPr>
              <w:spacing w:after="0"/>
              <w:rPr>
                <w:sz w:val="20"/>
                <w:szCs w:val="20"/>
                <w:color w:val="auto"/>
              </w:rPr>
            </w:pPr>
            <w:r>
              <w:rPr>
                <w:rFonts w:ascii="Arial" w:cs="Arial" w:eastAsia="Arial" w:hAnsi="Arial"/>
                <w:sz w:val="18"/>
                <w:szCs w:val="18"/>
                <w:color w:val="auto"/>
              </w:rPr>
              <w:t>Net income attributable to controlling interest</w:t>
            </w:r>
          </w:p>
        </w:tc>
        <w:tc>
          <w:tcPr>
            <w:tcW w:w="8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 (Class A and Class B):</w:t>
            </w:r>
          </w:p>
        </w:tc>
        <w:tc>
          <w:tcPr>
            <w:tcW w:w="8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Weighted average shares of</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common stock outstanding</w:t>
            </w:r>
          </w:p>
        </w:tc>
        <w:tc>
          <w:tcPr>
            <w:tcW w:w="8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31,822</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attributable</w:t>
            </w:r>
          </w:p>
        </w:tc>
        <w:tc>
          <w:tcPr>
            <w:tcW w:w="108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300" w:type="dxa"/>
            <w:vAlign w:val="bottom"/>
            <w:gridSpan w:val="2"/>
            <w:vMerge w:val="restart"/>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controlling interest</w:t>
            </w:r>
          </w:p>
        </w:tc>
        <w:tc>
          <w:tcPr>
            <w:tcW w:w="1080" w:type="dxa"/>
            <w:vAlign w:val="bottom"/>
            <w:gridSpan w:val="2"/>
            <w:vMerge w:val="continue"/>
            <w:shd w:val="clear" w:color="auto" w:fill="CCEEFF"/>
          </w:tcPr>
          <w:p>
            <w:pPr>
              <w:spacing w:after="0"/>
              <w:rPr>
                <w:sz w:val="20"/>
                <w:szCs w:val="20"/>
                <w:color w:val="auto"/>
              </w:rPr>
            </w:pPr>
          </w:p>
        </w:tc>
        <w:tc>
          <w:tcPr>
            <w:tcW w:w="14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Diluted earnings per share (Class A and Class B):</w:t>
            </w:r>
          </w:p>
        </w:tc>
        <w:tc>
          <w:tcPr>
            <w:tcW w:w="8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and</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equivalents outstanding</w:t>
            </w:r>
          </w:p>
        </w:tc>
        <w:tc>
          <w:tcPr>
            <w:tcW w:w="8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32,320</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32,253</w:t>
            </w:r>
          </w:p>
        </w:tc>
        <w:tc>
          <w:tcPr>
            <w:tcW w:w="0" w:type="dxa"/>
            <w:vAlign w:val="bottom"/>
          </w:tcPr>
          <w:p>
            <w:pPr>
              <w:spacing w:after="0"/>
              <w:rPr>
                <w:sz w:val="1"/>
                <w:szCs w:val="1"/>
                <w:color w:val="auto"/>
              </w:rPr>
            </w:pPr>
          </w:p>
        </w:tc>
      </w:tr>
      <w:tr>
        <w:trPr>
          <w:trHeight w:val="209"/>
        </w:trPr>
        <w:tc>
          <w:tcPr>
            <w:tcW w:w="5240" w:type="dxa"/>
            <w:vAlign w:val="bottom"/>
            <w:gridSpan w:val="2"/>
          </w:tcPr>
          <w:p>
            <w:pPr>
              <w:spacing w:after="0"/>
              <w:rPr>
                <w:sz w:val="20"/>
                <w:szCs w:val="20"/>
                <w:color w:val="auto"/>
              </w:rPr>
            </w:pPr>
            <w:r>
              <w:rPr>
                <w:rFonts w:ascii="Arial" w:cs="Arial" w:eastAsia="Arial" w:hAnsi="Arial"/>
                <w:sz w:val="18"/>
                <w:szCs w:val="18"/>
                <w:color w:val="auto"/>
              </w:rPr>
              <w:t>Net income per share attributable</w:t>
            </w:r>
          </w:p>
        </w:tc>
        <w:tc>
          <w:tcPr>
            <w:tcW w:w="800" w:type="dxa"/>
            <w:vAlign w:val="bottom"/>
            <w:vMerge w:val="restart"/>
          </w:tcPr>
          <w:p>
            <w:pPr>
              <w:spacing w:after="0"/>
              <w:rPr>
                <w:sz w:val="18"/>
                <w:szCs w:val="18"/>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300" w:type="dxa"/>
            <w:vAlign w:val="bottom"/>
            <w:gridSpan w:val="2"/>
            <w:vMerge w:val="restart"/>
          </w:tcPr>
          <w:p>
            <w:pPr>
              <w:jc w:val="right"/>
              <w:ind w:right="125"/>
              <w:spacing w:after="0"/>
              <w:rPr>
                <w:sz w:val="20"/>
                <w:szCs w:val="20"/>
                <w:color w:val="auto"/>
              </w:rPr>
            </w:pPr>
            <w:r>
              <w:rPr>
                <w:rFonts w:ascii="Arial" w:cs="Arial" w:eastAsia="Arial" w:hAnsi="Arial"/>
                <w:sz w:val="18"/>
                <w:szCs w:val="18"/>
                <w:color w:val="auto"/>
                <w:w w:val="79"/>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to controlling interest</w:t>
            </w:r>
          </w:p>
        </w:tc>
        <w:tc>
          <w:tcPr>
            <w:tcW w:w="800" w:type="dxa"/>
            <w:vAlign w:val="bottom"/>
            <w:vMerge w:val="continue"/>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gridSpan w:val="2"/>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80" w:type="dxa"/>
            <w:vAlign w:val="bottom"/>
            <w:tcBorders>
              <w:bottom w:val="single" w:sz="8" w:color="auto"/>
            </w:tcBorders>
            <w:gridSpan w:val="4"/>
          </w:tcPr>
          <w:p>
            <w:pPr>
              <w:jc w:val="right"/>
              <w:ind w:right="683"/>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8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April 30, 2017</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May 1, 2016</w:t>
            </w: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28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jc w:val="right"/>
              <w:ind w:right="1203"/>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value of interest rate swap agreement</w:t>
            </w:r>
          </w:p>
        </w:tc>
        <w:tc>
          <w:tcPr>
            <w:tcW w:w="1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5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Comprehensive income</w:t>
            </w:r>
          </w:p>
        </w:tc>
        <w:tc>
          <w:tcPr>
            <w:tcW w:w="11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3,318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Comprehensive income attributable</w:t>
            </w:r>
          </w:p>
        </w:tc>
        <w:tc>
          <w:tcPr>
            <w:tcW w:w="1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noncontrolling interest</w:t>
            </w:r>
          </w:p>
        </w:tc>
        <w:tc>
          <w:tcPr>
            <w:tcW w:w="1140" w:type="dxa"/>
            <w:vAlign w:val="bottom"/>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right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line="182" w:lineRule="exact"/>
              <w:rPr>
                <w:sz w:val="20"/>
                <w:szCs w:val="20"/>
                <w:color w:val="auto"/>
              </w:rPr>
            </w:pPr>
            <w:r>
              <w:rPr>
                <w:rFonts w:ascii="Arial" w:cs="Arial" w:eastAsia="Arial" w:hAnsi="Arial"/>
                <w:sz w:val="18"/>
                <w:szCs w:val="18"/>
                <w:color w:val="auto"/>
              </w:rPr>
              <w:t>Comprehensive income attributable</w:t>
            </w:r>
          </w:p>
        </w:tc>
        <w:tc>
          <w:tcPr>
            <w:tcW w:w="2580" w:type="dxa"/>
            <w:vAlign w:val="bottom"/>
            <w:gridSpan w:val="2"/>
            <w:vMerge w:val="restart"/>
          </w:tcPr>
          <w:p>
            <w:pPr>
              <w:jc w:val="right"/>
              <w:ind w:right="1287"/>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5"/>
                <w:szCs w:val="15"/>
                <w:color w:val="auto"/>
              </w:rPr>
            </w:pPr>
          </w:p>
        </w:tc>
        <w:tc>
          <w:tcPr>
            <w:tcW w:w="1320" w:type="dxa"/>
            <w:vAlign w:val="bottom"/>
            <w:vMerge w:val="restart"/>
          </w:tcPr>
          <w:p>
            <w:pPr>
              <w:jc w:val="right"/>
              <w:ind w:right="1203"/>
              <w:spacing w:after="0"/>
              <w:rPr>
                <w:sz w:val="20"/>
                <w:szCs w:val="20"/>
                <w:color w:val="auto"/>
              </w:rPr>
            </w:pPr>
            <w:r>
              <w:rPr>
                <w:rFonts w:ascii="Arial" w:cs="Arial" w:eastAsia="Arial" w:hAnsi="Arial"/>
                <w:sz w:val="10"/>
                <w:szCs w:val="10"/>
                <w:color w:val="auto"/>
                <w:w w:val="71"/>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3"/>
              </w:rPr>
              <w:t>3,247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to controlling interest</w:t>
            </w:r>
          </w:p>
        </w:tc>
        <w:tc>
          <w:tcPr>
            <w:tcW w:w="2580" w:type="dxa"/>
            <w:vAlign w:val="bottom"/>
            <w:gridSpan w:val="2"/>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Noncontrolling</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 in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Arial" w:cs="Arial" w:eastAsia="Arial" w:hAnsi="Arial"/>
                <w:sz w:val="14"/>
                <w:szCs w:val="14"/>
                <w:b w:val="1"/>
                <w:bCs w:val="1"/>
                <w:color w:val="auto"/>
                <w:w w:val="95"/>
              </w:rPr>
              <w:t>Total</w:t>
            </w:r>
          </w:p>
        </w:tc>
      </w:tr>
      <w:tr>
        <w:trPr>
          <w:trHeight w:val="188"/>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04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Capital stock</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94"/>
              <w:spacing w:after="0"/>
              <w:rPr>
                <w:sz w:val="20"/>
                <w:szCs w:val="20"/>
                <w:color w:val="auto"/>
              </w:rPr>
            </w:pPr>
            <w:r>
              <w:rPr>
                <w:rFonts w:ascii="Arial" w:cs="Arial" w:eastAsia="Arial" w:hAnsi="Arial"/>
                <w:sz w:val="14"/>
                <w:szCs w:val="14"/>
                <w:b w:val="1"/>
                <w:bCs w:val="1"/>
                <w:color w:val="auto"/>
                <w:w w:val="98"/>
              </w:rPr>
              <w:t>Retained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variable interest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shareholders'</w:t>
            </w:r>
          </w:p>
        </w:tc>
      </w:tr>
      <w:tr>
        <w:trPr>
          <w:trHeight w:val="183"/>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000" w:type="dxa"/>
            <w:vAlign w:val="bottom"/>
          </w:tcPr>
          <w:p>
            <w:pPr>
              <w:jc w:val="right"/>
              <w:ind w:right="19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14"/>
              <w:spacing w:after="0"/>
              <w:rPr>
                <w:sz w:val="20"/>
                <w:szCs w:val="20"/>
                <w:color w:val="auto"/>
              </w:rPr>
            </w:pPr>
            <w:r>
              <w:rPr>
                <w:rFonts w:ascii="Arial" w:cs="Arial" w:eastAsia="Arial" w:hAnsi="Arial"/>
                <w:sz w:val="14"/>
                <w:szCs w:val="14"/>
                <w:b w:val="1"/>
                <w:bCs w:val="1"/>
                <w:color w:val="auto"/>
                <w:w w:val="95"/>
              </w:rPr>
              <w:t>earnings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entity</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55"/>
              <w:spacing w:after="0"/>
              <w:rPr>
                <w:sz w:val="20"/>
                <w:szCs w:val="20"/>
                <w:color w:val="auto"/>
              </w:rPr>
            </w:pPr>
            <w:r>
              <w:rPr>
                <w:rFonts w:ascii="Arial" w:cs="Arial" w:eastAsia="Arial" w:hAnsi="Arial"/>
                <w:sz w:val="14"/>
                <w:szCs w:val="14"/>
                <w:b w:val="1"/>
                <w:bCs w:val="1"/>
                <w:color w:val="auto"/>
                <w:w w:val="92"/>
              </w:rPr>
              <w:t>equity</w:t>
            </w: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29, 2017</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113,788</w:t>
            </w:r>
          </w:p>
        </w:tc>
      </w:tr>
      <w:tr>
        <w:trPr>
          <w:trHeight w:val="216"/>
        </w:trPr>
        <w:tc>
          <w:tcPr>
            <w:tcW w:w="20" w:type="dxa"/>
            <w:vAlign w:val="bottom"/>
          </w:tcPr>
          <w:p>
            <w:pPr>
              <w:spacing w:after="0"/>
              <w:rPr>
                <w:sz w:val="18"/>
                <w:szCs w:val="18"/>
                <w:color w:val="auto"/>
              </w:rPr>
            </w:pPr>
          </w:p>
        </w:tc>
        <w:tc>
          <w:tcPr>
            <w:tcW w:w="3940" w:type="dxa"/>
            <w:vAlign w:val="bottom"/>
          </w:tcPr>
          <w:p>
            <w:pPr>
              <w:ind w:left="100"/>
              <w:spacing w:after="0"/>
              <w:rPr>
                <w:sz w:val="20"/>
                <w:szCs w:val="20"/>
                <w:color w:val="auto"/>
              </w:rPr>
            </w:pPr>
            <w:r>
              <w:rPr>
                <w:rFonts w:ascii="Arial" w:cs="Arial" w:eastAsia="Arial" w:hAnsi="Arial"/>
                <w:sz w:val="18"/>
                <w:szCs w:val="18"/>
                <w:color w:val="auto"/>
              </w:rPr>
              <w:t>Issuance of common stock</w:t>
            </w: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Restricted stock forfeitures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40" w:type="dxa"/>
            <w:vAlign w:val="bottom"/>
          </w:tcPr>
          <w:p>
            <w:pPr>
              <w:ind w:left="100"/>
              <w:spacing w:after="0"/>
              <w:rPr>
                <w:sz w:val="20"/>
                <w:szCs w:val="20"/>
                <w:color w:val="auto"/>
              </w:rPr>
            </w:pPr>
            <w:r>
              <w:rPr>
                <w:rFonts w:ascii="Arial" w:cs="Arial" w:eastAsia="Arial" w:hAnsi="Arial"/>
                <w:sz w:val="18"/>
                <w:szCs w:val="18"/>
                <w:color w:val="auto"/>
              </w:rPr>
              <w:t>Amortization of stock-based compensation</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 contributions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16"/>
        </w:trPr>
        <w:tc>
          <w:tcPr>
            <w:tcW w:w="20" w:type="dxa"/>
            <w:vAlign w:val="bottom"/>
          </w:tcPr>
          <w:p>
            <w:pPr>
              <w:spacing w:after="0"/>
              <w:rPr>
                <w:sz w:val="18"/>
                <w:szCs w:val="18"/>
                <w:color w:val="auto"/>
              </w:rPr>
            </w:pPr>
          </w:p>
        </w:tc>
        <w:tc>
          <w:tcPr>
            <w:tcW w:w="3940" w:type="dxa"/>
            <w:vAlign w:val="bottom"/>
          </w:tcPr>
          <w:p>
            <w:pPr>
              <w:ind w:left="100"/>
              <w:spacing w:after="0"/>
              <w:rPr>
                <w:sz w:val="20"/>
                <w:szCs w:val="20"/>
                <w:color w:val="auto"/>
              </w:rPr>
            </w:pPr>
            <w:r>
              <w:rPr>
                <w:rFonts w:ascii="Arial" w:cs="Arial" w:eastAsia="Arial" w:hAnsi="Arial"/>
                <w:sz w:val="18"/>
                <w:szCs w:val="18"/>
                <w:color w:val="auto"/>
              </w:rPr>
              <w:t>Distributions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17"/>
        </w:trPr>
        <w:tc>
          <w:tcPr>
            <w:tcW w:w="3960" w:type="dxa"/>
            <w:vAlign w:val="bottom"/>
            <w:gridSpan w:val="2"/>
          </w:tcPr>
          <w:p>
            <w:pPr>
              <w:spacing w:after="0"/>
              <w:rPr>
                <w:sz w:val="20"/>
                <w:szCs w:val="20"/>
                <w:color w:val="auto"/>
              </w:rPr>
            </w:pPr>
            <w:r>
              <w:rPr>
                <w:rFonts w:ascii="Arial" w:cs="Arial" w:eastAsia="Arial" w:hAnsi="Arial"/>
                <w:sz w:val="18"/>
                <w:szCs w:val="18"/>
                <w:color w:val="auto"/>
              </w:rPr>
              <w:t>Balance at April 30, 2017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86,770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25,088</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114,796</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4"/>
                <w:szCs w:val="14"/>
                <w:b w:val="1"/>
                <w:bCs w:val="1"/>
                <w:color w:val="auto"/>
              </w:rPr>
              <w:t>Three Months Ended</w:t>
            </w:r>
          </w:p>
        </w:tc>
      </w:tr>
      <w:tr>
        <w:trPr>
          <w:trHeight w:val="183"/>
        </w:trPr>
        <w:tc>
          <w:tcPr>
            <w:tcW w:w="20" w:type="dxa"/>
            <w:vAlign w:val="bottom"/>
          </w:tcPr>
          <w:p>
            <w:pPr>
              <w:spacing w:after="0"/>
              <w:rPr>
                <w:sz w:val="15"/>
                <w:szCs w:val="15"/>
                <w:color w:val="auto"/>
              </w:rPr>
            </w:pPr>
          </w:p>
        </w:tc>
        <w:tc>
          <w:tcPr>
            <w:tcW w:w="532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April 30, 2017</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May 1, 2016</w:t>
            </w:r>
          </w:p>
        </w:tc>
      </w:tr>
      <w:tr>
        <w:trPr>
          <w:trHeight w:val="196"/>
        </w:trPr>
        <w:tc>
          <w:tcPr>
            <w:tcW w:w="20" w:type="dxa"/>
            <w:vAlign w:val="bottom"/>
          </w:tcPr>
          <w:p>
            <w:pPr>
              <w:spacing w:after="0"/>
              <w:rPr>
                <w:sz w:val="17"/>
                <w:szCs w:val="17"/>
                <w:color w:val="auto"/>
              </w:rPr>
            </w:pPr>
          </w:p>
        </w:tc>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income</w:t>
            </w:r>
          </w:p>
        </w:tc>
        <w:tc>
          <w:tcPr>
            <w:tcW w:w="1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415</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3,312</w:t>
            </w:r>
          </w:p>
        </w:tc>
      </w:tr>
      <w:tr>
        <w:trPr>
          <w:trHeight w:val="202"/>
        </w:trPr>
        <w:tc>
          <w:tcPr>
            <w:tcW w:w="20" w:type="dxa"/>
            <w:vAlign w:val="bottom"/>
          </w:tcPr>
          <w:p>
            <w:pPr>
              <w:spacing w:after="0"/>
              <w:rPr>
                <w:sz w:val="17"/>
                <w:szCs w:val="17"/>
                <w:color w:val="auto"/>
              </w:rPr>
            </w:pPr>
          </w:p>
        </w:tc>
        <w:tc>
          <w:tcPr>
            <w:tcW w:w="5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income to net cash used</w:t>
            </w: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 operating activities:</w:t>
            </w: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stock-based compensation</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Accounts receivable</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receivables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16"/>
        </w:trPr>
        <w:tc>
          <w:tcPr>
            <w:tcW w:w="2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Inventory</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(4,453)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(2,786)</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Deferred catalog costs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1,781</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Trade accounts payable</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r>
      <w:tr>
        <w:trPr>
          <w:trHeight w:val="216"/>
        </w:trPr>
        <w:tc>
          <w:tcPr>
            <w:tcW w:w="2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Income taxes payable</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 and deferred rent obligations</w:t>
            </w:r>
          </w:p>
        </w:tc>
        <w:tc>
          <w:tcPr>
            <w:tcW w:w="10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w:t>
            </w:r>
          </w:p>
        </w:tc>
      </w:tr>
      <w:tr>
        <w:trPr>
          <w:trHeight w:val="210"/>
        </w:trPr>
        <w:tc>
          <w:tcPr>
            <w:tcW w:w="20" w:type="dxa"/>
            <w:vAlign w:val="bottom"/>
          </w:tcPr>
          <w:p>
            <w:pPr>
              <w:spacing w:after="0"/>
              <w:rPr>
                <w:sz w:val="18"/>
                <w:szCs w:val="18"/>
                <w:color w:val="auto"/>
              </w:rPr>
            </w:pPr>
          </w:p>
        </w:tc>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10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(3,544)</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w:t>
            </w:r>
          </w:p>
        </w:tc>
      </w:tr>
      <w:tr>
        <w:trPr>
          <w:trHeight w:val="196"/>
        </w:trPr>
        <w:tc>
          <w:tcPr>
            <w:tcW w:w="20" w:type="dxa"/>
            <w:vAlign w:val="bottom"/>
          </w:tcPr>
          <w:p>
            <w:pPr>
              <w:spacing w:after="0"/>
              <w:rPr>
                <w:sz w:val="17"/>
                <w:szCs w:val="17"/>
                <w:color w:val="auto"/>
              </w:rPr>
            </w:pPr>
          </w:p>
        </w:tc>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(8,327)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(3,476)</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Change in restricted cash</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Purchases of other assets</w:t>
            </w:r>
          </w:p>
        </w:tc>
        <w:tc>
          <w:tcPr>
            <w:tcW w:w="10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w:t>
            </w:r>
          </w:p>
        </w:tc>
      </w:tr>
      <w:tr>
        <w:trPr>
          <w:trHeight w:val="196"/>
        </w:trPr>
        <w:tc>
          <w:tcPr>
            <w:tcW w:w="20" w:type="dxa"/>
            <w:vAlign w:val="bottom"/>
          </w:tcPr>
          <w:p>
            <w:pPr>
              <w:spacing w:after="0"/>
              <w:rPr>
                <w:sz w:val="17"/>
                <w:szCs w:val="17"/>
                <w:color w:val="auto"/>
              </w:rPr>
            </w:pPr>
          </w:p>
        </w:tc>
        <w:tc>
          <w:tcPr>
            <w:tcW w:w="532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Payments on long term debt</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Payments on capital lease obligations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shareholders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Proceeds from finance lease obligations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contributions to variable interest entity</w:t>
            </w: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10"/>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Decrease in cash</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(10,458)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(7,570)</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10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24,042</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37,873</w:t>
            </w:r>
          </w:p>
        </w:tc>
      </w:tr>
      <w:tr>
        <w:trPr>
          <w:trHeight w:val="217"/>
        </w:trPr>
        <w:tc>
          <w:tcPr>
            <w:tcW w:w="5340" w:type="dxa"/>
            <w:vAlign w:val="bottom"/>
            <w:gridSpan w:val="2"/>
          </w:tcPr>
          <w:p>
            <w:pPr>
              <w:spacing w:after="0"/>
              <w:rPr>
                <w:sz w:val="20"/>
                <w:szCs w:val="20"/>
                <w:color w:val="auto"/>
              </w:rPr>
            </w:pPr>
            <w:r>
              <w:rPr>
                <w:rFonts w:ascii="Arial" w:cs="Arial" w:eastAsia="Arial" w:hAnsi="Arial"/>
                <w:sz w:val="18"/>
                <w:szCs w:val="18"/>
                <w:color w:val="auto"/>
              </w:rPr>
              <w:t>Cash at end of period</w:t>
            </w:r>
          </w:p>
        </w:tc>
        <w:tc>
          <w:tcPr>
            <w:tcW w:w="10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13,584</w:t>
            </w:r>
          </w:p>
        </w:tc>
        <w:tc>
          <w:tcPr>
            <w:tcW w:w="1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30,303</w:t>
            </w:r>
          </w:p>
        </w:tc>
      </w:tr>
      <w:tr>
        <w:trPr>
          <w:trHeight w:val="203"/>
        </w:trPr>
        <w:tc>
          <w:tcPr>
            <w:tcW w:w="20" w:type="dxa"/>
            <w:vAlign w:val="bottom"/>
          </w:tcPr>
          <w:p>
            <w:pPr>
              <w:spacing w:after="0"/>
              <w:rPr>
                <w:sz w:val="17"/>
                <w:szCs w:val="17"/>
                <w:color w:val="auto"/>
              </w:rPr>
            </w:pPr>
          </w:p>
        </w:tc>
        <w:tc>
          <w:tcPr>
            <w:tcW w:w="5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0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Interest paid</w:t>
            </w:r>
          </w:p>
        </w:tc>
        <w:tc>
          <w:tcPr>
            <w:tcW w:w="1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140</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Property and equipment acquired under build-to-suit leases</w:t>
            </w:r>
          </w:p>
        </w:tc>
        <w:tc>
          <w:tcPr>
            <w:tcW w:w="1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903</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Unpaid liability to acquire property and equipment</w:t>
            </w:r>
          </w:p>
        </w:tc>
        <w:tc>
          <w:tcPr>
            <w:tcW w:w="1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right="4300"/>
        <w:spacing w:after="0" w:line="456" w:lineRule="auto"/>
        <w:rPr>
          <w:sz w:val="20"/>
          <w:szCs w:val="20"/>
          <w:color w:val="auto"/>
        </w:rPr>
      </w:pPr>
      <w:r>
        <w:rPr>
          <w:rFonts w:ascii="Arial" w:cs="Arial" w:eastAsia="Arial" w:hAnsi="Arial"/>
          <w:sz w:val="18"/>
          <w:szCs w:val="18"/>
          <w:b w:val="1"/>
          <w:bCs w:val="1"/>
          <w:color w:val="auto"/>
        </w:rPr>
        <w:t xml:space="preserve">1. NATURE OF OPERATIONS AND BASIS OF PRESENTATION </w:t>
      </w:r>
      <w:r>
        <w:rPr>
          <w:rFonts w:ascii="Arial" w:cs="Arial" w:eastAsia="Arial" w:hAnsi="Arial"/>
          <w:sz w:val="18"/>
          <w:szCs w:val="18"/>
          <w:b w:val="1"/>
          <w:bCs w:val="1"/>
          <w:i w:val="1"/>
          <w:iCs w:val="1"/>
          <w:color w:val="auto"/>
        </w:rPr>
        <w:t>A. Nature of Operations</w:t>
      </w:r>
    </w:p>
    <w:p>
      <w:pPr>
        <w:spacing w:after="0" w:line="1" w:lineRule="exact"/>
        <w:rPr>
          <w:sz w:val="20"/>
          <w:szCs w:val="20"/>
          <w:color w:val="auto"/>
        </w:rPr>
      </w:pPr>
    </w:p>
    <w:p>
      <w:pPr>
        <w:ind w:right="140" w:firstLine="428"/>
        <w:spacing w:after="0" w:line="255" w:lineRule="auto"/>
        <w:rPr>
          <w:sz w:val="20"/>
          <w:szCs w:val="20"/>
          <w:color w:val="auto"/>
        </w:rPr>
      </w:pPr>
      <w:r>
        <w:rPr>
          <w:rFonts w:ascii="Arial" w:cs="Arial" w:eastAsia="Arial" w:hAnsi="Arial"/>
          <w:sz w:val="18"/>
          <w:szCs w:val="18"/>
          <w:color w:val="auto"/>
        </w:rPr>
        <w:t>Duluth Holdings Inc. (“Duluth Trading” or the “Company”), a Wisconsin corporation, is a lifestyle brand of men’s and women’s casual wear, workwear and accessories sold exclusively through the Company’s own direct and retail channels. The direct segment, consisting of the Company’s website and catalogs, offers products nationwide. In 2010, the Company added retail to its omni-channel platform with the opening of its first store. Since then, Duluth Trading has expanded its retail presence, and as of April 30, 2017, the Company operated 18 retail stores and two outlet stores across the Midwestern and Eastern United States. The Company’s products are marketed under the Duluth Trading brand, with the majority of products being exclusively developed and sold as Duluth Trading branded merchandise.</w:t>
      </w:r>
    </w:p>
    <w:p>
      <w:pPr>
        <w:spacing w:after="0" w:line="162" w:lineRule="exact"/>
        <w:rPr>
          <w:sz w:val="20"/>
          <w:szCs w:val="20"/>
          <w:color w:val="auto"/>
        </w:rPr>
      </w:pPr>
    </w:p>
    <w:p>
      <w:pPr>
        <w:ind w:right="60" w:firstLine="428"/>
        <w:spacing w:after="0" w:line="257" w:lineRule="auto"/>
        <w:rPr>
          <w:sz w:val="20"/>
          <w:szCs w:val="20"/>
          <w:color w:val="auto"/>
        </w:rPr>
      </w:pPr>
      <w:r>
        <w:rPr>
          <w:rFonts w:ascii="Arial" w:cs="Arial" w:eastAsia="Arial" w:hAnsi="Arial"/>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Basis of Presentation</w:t>
      </w:r>
    </w:p>
    <w:p>
      <w:pPr>
        <w:spacing w:after="0" w:line="185" w:lineRule="exact"/>
        <w:rPr>
          <w:sz w:val="20"/>
          <w:szCs w:val="20"/>
          <w:color w:val="auto"/>
        </w:rPr>
      </w:pPr>
    </w:p>
    <w:p>
      <w:pPr>
        <w:ind w:right="140" w:firstLine="428"/>
        <w:spacing w:after="0" w:line="273" w:lineRule="auto"/>
        <w:rPr>
          <w:sz w:val="20"/>
          <w:szCs w:val="20"/>
          <w:color w:val="auto"/>
        </w:rPr>
      </w:pPr>
      <w:r>
        <w:rPr>
          <w:rFonts w:ascii="Arial" w:cs="Arial" w:eastAsia="Arial" w:hAnsi="Arial"/>
          <w:sz w:val="17"/>
          <w:szCs w:val="17"/>
          <w:color w:val="auto"/>
        </w:rPr>
        <w:t>The condensed consolidated financial statements are prepared in accordance with U.S. Generally Accepted Accounting Principles (“U.S. GAAP”). The accompanying condensed consolidated financial statements include the accounts of the parent, Duluth Holdings Inc., and its wholly-owned subsidiary, Duluth Trading Company, LLC. Effective October 3, 2016, Duluth Trading Company, LLC was dissolved and no longer consolidated, which did not impact the Company’s consolidated financial statements. The Company also consolidates Schlecht Retail Ventures LLC (“SRV”) as a variable interest entity (see Note 4 “Variable Interest Entity”). All intercompany balances and transactions have been eliminated.</w:t>
      </w:r>
    </w:p>
    <w:p>
      <w:pPr>
        <w:spacing w:after="0" w:line="151" w:lineRule="exact"/>
        <w:rPr>
          <w:sz w:val="20"/>
          <w:szCs w:val="20"/>
          <w:color w:val="auto"/>
        </w:rPr>
      </w:pPr>
    </w:p>
    <w:p>
      <w:pPr>
        <w:jc w:val="both"/>
        <w:ind w:right="220" w:firstLine="428"/>
        <w:spacing w:after="0" w:line="312" w:lineRule="auto"/>
        <w:rPr>
          <w:sz w:val="20"/>
          <w:szCs w:val="20"/>
          <w:color w:val="auto"/>
        </w:rPr>
      </w:pPr>
      <w:r>
        <w:rPr>
          <w:rFonts w:ascii="Arial" w:cs="Arial" w:eastAsia="Arial" w:hAnsi="Arial"/>
          <w:sz w:val="16"/>
          <w:szCs w:val="16"/>
          <w:color w:val="auto"/>
        </w:rPr>
        <w:t>The Company’s fiscal year ends on the Sunday nearest to January 31 of the following year. Fiscal 2017 is a 52-week period and ends on January 28, 2018. Fiscal 2016 was a 52-week period and ended on January 29, 2017. The three months of fiscal 2017 and fiscal 2016 represent the Company’s 13-week periods ended April 30, 2017 and May 1, 2016, respectively.</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accompanying condensed consolidated financial statements as of and for the three months ended April 30, 2017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May 1, 2016 have been prepared by the Company, without audit, pursuant to the rules and regulations of the Securities and Exchange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Commission (“SEC”) and, in the opinion of the Company, include all adjustments (which are normal and recurring in nature)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necessary to present fairly the financial position, results of operations and cash flows of the Company for the interim periods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presented. Certain information and note disclosures normally included in consolidated financial statements prepared in accordance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U.S. GAAP have been condensed or omitted pursuant to such SEC rules and regulations as of and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April 30, 2017 and May 1, 2016. These interim condensed consolidated financial statements should be read in conjunction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financial statements and notes included in the Company’s annual report on Form 10-K for the fiscal year ended January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29, 2017.</w:t>
      </w:r>
    </w:p>
    <w:p>
      <w:pPr>
        <w:spacing w:after="0" w:line="17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Seasonality of Business</w:t>
      </w:r>
    </w:p>
    <w:p>
      <w:pPr>
        <w:spacing w:after="0" w:line="198" w:lineRule="exact"/>
        <w:rPr>
          <w:sz w:val="20"/>
          <w:szCs w:val="20"/>
          <w:color w:val="auto"/>
        </w:rPr>
      </w:pPr>
    </w:p>
    <w:p>
      <w:pPr>
        <w:jc w:val="both"/>
        <w:ind w:right="180" w:firstLine="428"/>
        <w:spacing w:after="0" w:line="264" w:lineRule="auto"/>
        <w:rPr>
          <w:sz w:val="20"/>
          <w:szCs w:val="20"/>
          <w:color w:val="auto"/>
        </w:rPr>
      </w:pPr>
      <w:r>
        <w:rPr>
          <w:rFonts w:ascii="Arial" w:cs="Arial" w:eastAsia="Arial" w:hAnsi="Arial"/>
          <w:sz w:val="18"/>
          <w:szCs w:val="18"/>
          <w:color w:val="auto"/>
        </w:rPr>
        <w:t>The Company’s business is affected by the pattern of seasonality common to most retail apparel businesses. Historically, the Company has recognized a significant portion of its revenue and operating profit in the fourth fiscal quarter of each year as a result of increased sales during the holiday season.</w:t>
      </w:r>
    </w:p>
    <w:p>
      <w:pPr>
        <w:spacing w:after="0" w:line="14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Restricted Cash</w:t>
      </w:r>
    </w:p>
    <w:p>
      <w:pPr>
        <w:spacing w:after="0" w:line="185" w:lineRule="exact"/>
        <w:rPr>
          <w:sz w:val="20"/>
          <w:szCs w:val="20"/>
          <w:color w:val="auto"/>
        </w:rPr>
      </w:pPr>
    </w:p>
    <w:p>
      <w:pPr>
        <w:ind w:right="60" w:firstLine="428"/>
        <w:spacing w:after="0" w:line="286" w:lineRule="auto"/>
        <w:rPr>
          <w:sz w:val="20"/>
          <w:szCs w:val="20"/>
          <w:color w:val="auto"/>
        </w:rPr>
      </w:pPr>
      <w:r>
        <w:rPr>
          <w:rFonts w:ascii="Arial" w:cs="Arial" w:eastAsia="Arial" w:hAnsi="Arial"/>
          <w:sz w:val="17"/>
          <w:szCs w:val="17"/>
          <w:color w:val="auto"/>
        </w:rPr>
        <w:t>The Company’s restricted cash is held in escrow accounts and is used to pay a portion of the construction loans entered into by third party landlords (the “Landlords”) in connection with the Company’s retail store leases. The restricted cash is disbursed based on the escrow agreements entered into by and among the Landlords, the Company and the escrow agent.</w:t>
      </w:r>
    </w:p>
    <w:p>
      <w:pPr>
        <w:spacing w:after="0" w:line="13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E</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Build-to-Suit Lease</w:t>
      </w:r>
    </w:p>
    <w:p>
      <w:pPr>
        <w:spacing w:after="0" w:line="185" w:lineRule="exact"/>
        <w:rPr>
          <w:sz w:val="20"/>
          <w:szCs w:val="20"/>
          <w:color w:val="auto"/>
        </w:rPr>
      </w:pPr>
    </w:p>
    <w:p>
      <w:pPr>
        <w:ind w:right="240" w:firstLine="428"/>
        <w:spacing w:after="0" w:line="297" w:lineRule="auto"/>
        <w:rPr>
          <w:sz w:val="20"/>
          <w:szCs w:val="20"/>
          <w:color w:val="auto"/>
        </w:rPr>
      </w:pPr>
      <w:r>
        <w:rPr>
          <w:rFonts w:ascii="Arial" w:cs="Arial" w:eastAsia="Arial" w:hAnsi="Arial"/>
          <w:sz w:val="16"/>
          <w:szCs w:val="16"/>
          <w:color w:val="auto"/>
        </w:rPr>
        <w:t>The Company may at times be involved in the construction of stores to be leased by the Company and, depending on the extent to which the Company is involved, the Company may be deemed the owner of the leased premises for accounting purposes during the store construction period. For leases that the Company is deemed the owner of the property during the construction period, upon commencement of the construction project, the Company is required to capitalize the cash and non-cash assets contributed by the landlord for construction as property and equipment on the Company’s Condensed Consolidated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Balance Sheets. Upon the completion of the construction project, the Company performs an analysis on the lease to determine if the Company qualifies for sale-leaseback treatment. For those qualifying leases, the finance lease obligation and the associated property and equipment are removed and the difference is reclassified to either prepaid or deferred rent and amortized over the lease term as an increase or decrease to rent expense. If the lease does not qualify for sale-leaseback treatment, the finance lease obligation is amortized over the lease term based on the rent payments in the lease agreement and the associated property and equipment are depreciated over the estimated useful life.</w:t>
      </w:r>
    </w:p>
    <w:p>
      <w:pPr>
        <w:spacing w:after="0" w:line="138" w:lineRule="exact"/>
        <w:rPr>
          <w:sz w:val="20"/>
          <w:szCs w:val="20"/>
          <w:color w:val="auto"/>
        </w:rPr>
      </w:pPr>
    </w:p>
    <w:p>
      <w:pPr>
        <w:ind w:right="280" w:firstLine="428"/>
        <w:spacing w:after="0" w:line="276" w:lineRule="auto"/>
        <w:rPr>
          <w:sz w:val="20"/>
          <w:szCs w:val="20"/>
          <w:color w:val="auto"/>
        </w:rPr>
      </w:pPr>
      <w:r>
        <w:rPr>
          <w:rFonts w:ascii="Arial" w:cs="Arial" w:eastAsia="Arial" w:hAnsi="Arial"/>
          <w:sz w:val="17"/>
          <w:szCs w:val="17"/>
          <w:color w:val="auto"/>
        </w:rPr>
        <w:t>As of April 30, 2017, the Company capitalized $9.6 million in property and equipment and $0.04 million in accumulated depreciation and recorded a $4.8 million non-current liability related to build-to-suit transactions in which the Company is considered the owner for accounting purposes. As of January 29, 2017, the Company capitalized $6.6 million in property and equipment and $0.01 million in accumulated depreciation and recorded a $3.3 million non-current liability related to build-to-suit transactions in which the Company is considered the owner for accounting purposes.</w:t>
      </w:r>
    </w:p>
    <w:p>
      <w:pPr>
        <w:spacing w:after="0" w:line="200" w:lineRule="exact"/>
        <w:rPr>
          <w:sz w:val="20"/>
          <w:szCs w:val="20"/>
          <w:color w:val="auto"/>
        </w:rPr>
      </w:pPr>
    </w:p>
    <w:p>
      <w:pPr>
        <w:spacing w:after="0" w:line="33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DEBT AND LINE OF CREDIT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Debt consists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April 30, 2017</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January 29, 2017</w:t>
            </w:r>
          </w:p>
        </w:tc>
      </w:tr>
      <w:tr>
        <w:trPr>
          <w:trHeight w:val="196"/>
        </w:trPr>
        <w:tc>
          <w:tcPr>
            <w:tcW w:w="47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SRV Mortgage Note due September 2017</w:t>
            </w:r>
          </w:p>
        </w:tc>
        <w:tc>
          <w:tcPr>
            <w:tcW w:w="1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16"/>
        </w:trPr>
        <w:tc>
          <w:tcPr>
            <w:tcW w:w="2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Capitalized lease obligations</w:t>
            </w:r>
          </w:p>
        </w:tc>
        <w:tc>
          <w:tcPr>
            <w:tcW w:w="17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r>
      <w:tr>
        <w:trPr>
          <w:trHeight w:val="216"/>
        </w:trPr>
        <w:tc>
          <w:tcPr>
            <w:tcW w:w="2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w:t>
            </w:r>
          </w:p>
        </w:tc>
        <w:tc>
          <w:tcPr>
            <w:tcW w:w="17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r>
      <w:tr>
        <w:trPr>
          <w:trHeight w:val="217"/>
        </w:trPr>
        <w:tc>
          <w:tcPr>
            <w:tcW w:w="20" w:type="dxa"/>
            <w:vAlign w:val="bottom"/>
          </w:tcPr>
          <w:p>
            <w:pPr>
              <w:spacing w:after="0"/>
              <w:rPr>
                <w:sz w:val="18"/>
                <w:szCs w:val="18"/>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Schlecht Retail Ventures LLC</w:t>
      </w:r>
    </w:p>
    <w:p>
      <w:pPr>
        <w:spacing w:after="0" w:line="185" w:lineRule="exact"/>
        <w:rPr>
          <w:sz w:val="20"/>
          <w:szCs w:val="20"/>
          <w:color w:val="auto"/>
        </w:rPr>
      </w:pPr>
    </w:p>
    <w:p>
      <w:pPr>
        <w:ind w:right="80" w:firstLine="428"/>
        <w:spacing w:after="0" w:line="264" w:lineRule="auto"/>
        <w:rPr>
          <w:sz w:val="20"/>
          <w:szCs w:val="20"/>
          <w:color w:val="auto"/>
        </w:rPr>
      </w:pPr>
      <w:r>
        <w:rPr>
          <w:rFonts w:ascii="Arial" w:cs="Arial" w:eastAsia="Arial" w:hAnsi="Arial"/>
          <w:sz w:val="18"/>
          <w:szCs w:val="18"/>
          <w:color w:val="auto"/>
        </w:rPr>
        <w:t>SRV entered into a mortgage note (“SRV 2017 Note”) with an original balance of $0.8 million. The SRV 2017 Note expires in September 2017 and requires monthly payments of $3,300 plus interest at 3.1%, with a final balloon payment due in September 2017.</w:t>
      </w:r>
    </w:p>
    <w:p>
      <w:pPr>
        <w:spacing w:after="0" w:line="141" w:lineRule="exact"/>
        <w:rPr>
          <w:sz w:val="20"/>
          <w:szCs w:val="20"/>
          <w:color w:val="auto"/>
        </w:rPr>
      </w:pPr>
    </w:p>
    <w:p>
      <w:pPr>
        <w:ind w:right="40" w:firstLine="428"/>
        <w:spacing w:after="0" w:line="277" w:lineRule="auto"/>
        <w:rPr>
          <w:sz w:val="20"/>
          <w:szCs w:val="20"/>
          <w:color w:val="auto"/>
        </w:rPr>
      </w:pPr>
      <w:r>
        <w:rPr>
          <w:rFonts w:ascii="Arial" w:cs="Arial" w:eastAsia="Arial" w:hAnsi="Arial"/>
          <w:sz w:val="18"/>
          <w:szCs w:val="18"/>
          <w:color w:val="auto"/>
        </w:rPr>
        <w:t>The SRV 2017 Note is guaranteed by the Company’s majority shareholder and collateralized by certain real property owned by SRV in Mt. Horeb, Wisconsin.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85" w:lineRule="exact"/>
        <w:rPr>
          <w:sz w:val="20"/>
          <w:szCs w:val="20"/>
          <w:color w:val="auto"/>
        </w:rPr>
      </w:pPr>
    </w:p>
    <w:p>
      <w:pPr>
        <w:ind w:right="120" w:firstLine="428"/>
        <w:spacing w:after="0" w:line="270" w:lineRule="auto"/>
        <w:rPr>
          <w:sz w:val="20"/>
          <w:szCs w:val="20"/>
          <w:color w:val="auto"/>
        </w:rPr>
      </w:pPr>
      <w:r>
        <w:rPr>
          <w:rFonts w:ascii="Arial" w:cs="Arial" w:eastAsia="Arial" w:hAnsi="Arial"/>
          <w:sz w:val="17"/>
          <w:szCs w:val="17"/>
          <w:color w:val="auto"/>
        </w:rPr>
        <w:t>On October 7, 2016, the Company amended and restated its Amended and Restated Loan Agreement dated as of June 13, 2011, as amended (the “Amended and Restated Agreement”). The Amended and Restated Agreement provides for borrowing availability of up to $40.0 million from October 7, 2016 through July 31, 2017, up to $50.0 million from August 1, 2017 through July 31, 2018, and up to $60.0 million from August 1, 2018 through July 31, 2019. The Amended and Restated Agreement matures on July 31, 2019, and bears interest, payable monthly, at a rate equal to the adjusted LIBOR rate, as defined in the Amended and Restated Agreement (effective rate of 2.2% at April 30, 2017). The Amended and Restated Agreement is secured by essentially all Company assets and requires the Company to maintain compliance with certain financial and non-financial covenants, including minimum tangible net worth and a minimum trailing twelve month EBITDA. In addition, the Amended and Restated Agreement does not contain borrowing base limits.</w:t>
      </w:r>
    </w:p>
    <w:p>
      <w:pPr>
        <w:spacing w:after="0" w:line="141" w:lineRule="exact"/>
        <w:rPr>
          <w:sz w:val="20"/>
          <w:szCs w:val="20"/>
          <w:color w:val="auto"/>
        </w:rPr>
      </w:pPr>
    </w:p>
    <w:p>
      <w:pPr>
        <w:ind w:right="40" w:firstLine="428"/>
        <w:spacing w:after="0" w:line="277" w:lineRule="auto"/>
        <w:rPr>
          <w:sz w:val="20"/>
          <w:szCs w:val="20"/>
          <w:color w:val="auto"/>
        </w:rPr>
      </w:pPr>
      <w:r>
        <w:rPr>
          <w:rFonts w:ascii="Arial" w:cs="Arial" w:eastAsia="Arial" w:hAnsi="Arial"/>
          <w:sz w:val="18"/>
          <w:szCs w:val="18"/>
          <w:color w:val="auto"/>
        </w:rPr>
        <w:t>As of April 30, 2017 and for the three months then ended, the Company was in compliance with all financial and non-financial covenants for all debts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2" w:lineRule="exact"/>
        <w:rPr>
          <w:sz w:val="20"/>
          <w:szCs w:val="20"/>
          <w:color w:val="auto"/>
        </w:rPr>
      </w:pPr>
    </w:p>
    <w:p>
      <w:pPr>
        <w:ind w:left="440" w:right="4020" w:hanging="432"/>
        <w:spacing w:after="0" w:line="490" w:lineRule="auto"/>
        <w:tabs>
          <w:tab w:leader="none" w:pos="318"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ACCRUED EXPENSES AND OTHER CURRENT LIABILITIES </w:t>
      </w:r>
      <w:r>
        <w:rPr>
          <w:rFonts w:ascii="Arial" w:cs="Arial" w:eastAsia="Arial" w:hAnsi="Arial"/>
          <w:sz w:val="16"/>
          <w:szCs w:val="16"/>
          <w:color w:val="auto"/>
        </w:rPr>
        <w:t>Accrued expenses and other current liabilities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April 30, 2017</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January 29, 2017</w:t>
            </w:r>
          </w:p>
        </w:tc>
      </w:tr>
      <w:tr>
        <w:trPr>
          <w:trHeight w:val="196"/>
        </w:trPr>
        <w:tc>
          <w:tcPr>
            <w:tcW w:w="50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6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Deferred revenue</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5,590</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Freight</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Product returns</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1,088</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Catalog costs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Unpaid purchases of property &amp; equipment</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3,485</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w:t>
            </w:r>
          </w:p>
        </w:tc>
      </w:tr>
      <w:tr>
        <w:trPr>
          <w:trHeight w:val="217"/>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19,869</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VARIABLE INTEREST ENTITY</w:t>
      </w:r>
    </w:p>
    <w:p>
      <w:pPr>
        <w:spacing w:after="0" w:line="189" w:lineRule="exact"/>
        <w:rPr>
          <w:sz w:val="20"/>
          <w:szCs w:val="20"/>
          <w:color w:val="auto"/>
        </w:rPr>
      </w:pPr>
    </w:p>
    <w:p>
      <w:pPr>
        <w:jc w:val="both"/>
        <w:ind w:right="140" w:firstLine="428"/>
        <w:spacing w:after="0" w:line="286" w:lineRule="auto"/>
        <w:rPr>
          <w:sz w:val="20"/>
          <w:szCs w:val="20"/>
          <w:color w:val="auto"/>
        </w:rPr>
      </w:pPr>
      <w:r>
        <w:rPr>
          <w:rFonts w:ascii="Arial" w:cs="Arial" w:eastAsia="Arial" w:hAnsi="Arial"/>
          <w:sz w:val="17"/>
          <w:szCs w:val="17"/>
          <w:color w:val="auto"/>
        </w:rPr>
        <w:t xml:space="preserve">Based upon the criteria set forth in ASC 810, </w:t>
      </w:r>
      <w:r>
        <w:rPr>
          <w:rFonts w:ascii="Arial" w:cs="Arial" w:eastAsia="Arial" w:hAnsi="Arial"/>
          <w:sz w:val="17"/>
          <w:szCs w:val="17"/>
          <w:i w:val="1"/>
          <w:iCs w:val="1"/>
          <w:color w:val="auto"/>
        </w:rPr>
        <w:t>Consolidation</w:t>
      </w:r>
      <w:r>
        <w:rPr>
          <w:rFonts w:ascii="Arial" w:cs="Arial" w:eastAsia="Arial" w:hAnsi="Arial"/>
          <w:sz w:val="17"/>
          <w:szCs w:val="17"/>
          <w:color w:val="auto"/>
        </w:rPr>
        <w:t>, the Company has determined that it was the primary beneficiary of one variable interest entity (“VIE”) as of April 30, 2017 and January 29, 2017, as the Company absorbs significant economics of the entity and has the power to direct the activities that are considered most significant to the entity.</w:t>
      </w:r>
    </w:p>
    <w:p>
      <w:pPr>
        <w:spacing w:after="0" w:line="139" w:lineRule="exact"/>
        <w:rPr>
          <w:sz w:val="20"/>
          <w:szCs w:val="20"/>
          <w:color w:val="auto"/>
        </w:rPr>
      </w:pPr>
    </w:p>
    <w:p>
      <w:pPr>
        <w:ind w:right="120" w:firstLine="428"/>
        <w:spacing w:after="0" w:line="257" w:lineRule="auto"/>
        <w:rPr>
          <w:sz w:val="20"/>
          <w:szCs w:val="20"/>
          <w:color w:val="auto"/>
        </w:rPr>
      </w:pPr>
      <w:r>
        <w:rPr>
          <w:rFonts w:ascii="Arial" w:cs="Arial" w:eastAsia="Arial" w:hAnsi="Arial"/>
          <w:sz w:val="18"/>
          <w:szCs w:val="18"/>
          <w:color w:val="auto"/>
        </w:rPr>
        <w:t>The Company leases certain retail store facilities and office buildings from SRV, a VIE whose primary purpose and activity is to own this real property. SRV is a Wisconsin limited liability company that is owned by the majority shareholder of the Company. The Company considers itself the primary beneficiary for SRV as the Company is expected to receive a majority of SRV’s expected residual returns based on the activity of SRV. As the Company is the primary beneficiary, it consolidates SRV and the leases are eliminated in consolidation.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condensed consolidated balance sheets include the following amounts as a result of the consolidation of SRV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April 30, 2017 and January 29, 2017:</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April 30, 2017</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January 29, 2017</w:t>
            </w:r>
          </w:p>
        </w:tc>
        <w:tc>
          <w:tcPr>
            <w:tcW w:w="0" w:type="dxa"/>
            <w:vAlign w:val="bottom"/>
          </w:tcPr>
          <w:p>
            <w:pPr>
              <w:spacing w:after="0"/>
              <w:rPr>
                <w:sz w:val="1"/>
                <w:szCs w:val="1"/>
                <w:color w:val="auto"/>
              </w:rPr>
            </w:pPr>
          </w:p>
        </w:tc>
      </w:tr>
      <w:tr>
        <w:trPr>
          <w:trHeight w:val="196"/>
        </w:trPr>
        <w:tc>
          <w:tcPr>
            <w:tcW w:w="46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8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receivables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 net</w:t>
            </w:r>
          </w:p>
        </w:tc>
        <w:tc>
          <w:tcPr>
            <w:tcW w:w="1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1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8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Noncontrolling interest in VIE</w:t>
            </w:r>
          </w:p>
        </w:tc>
        <w:tc>
          <w:tcPr>
            <w:tcW w:w="1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liabilities and shareholders' equity</w:t>
            </w:r>
          </w:p>
        </w:tc>
        <w:tc>
          <w:tcPr>
            <w:tcW w:w="1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EARNINGS PER SHARE</w:t>
      </w:r>
    </w:p>
    <w:p>
      <w:pPr>
        <w:spacing w:after="0" w:line="189" w:lineRule="exact"/>
        <w:rPr>
          <w:sz w:val="20"/>
          <w:szCs w:val="20"/>
          <w:color w:val="auto"/>
        </w:rPr>
      </w:pPr>
    </w:p>
    <w:p>
      <w:pPr>
        <w:jc w:val="both"/>
        <w:ind w:right="40" w:firstLine="428"/>
        <w:spacing w:after="0" w:line="276" w:lineRule="auto"/>
        <w:rPr>
          <w:sz w:val="20"/>
          <w:szCs w:val="20"/>
          <w:color w:val="auto"/>
        </w:rPr>
      </w:pPr>
      <w:r>
        <w:rPr>
          <w:rFonts w:ascii="Arial" w:cs="Arial" w:eastAsia="Arial" w:hAnsi="Arial"/>
          <w:sz w:val="17"/>
          <w:szCs w:val="17"/>
          <w:color w:val="auto"/>
        </w:rPr>
        <w:t>Earnings per share is computed under the provisions of ASC 260</w:t>
      </w:r>
      <w:r>
        <w:rPr>
          <w:rFonts w:ascii="Arial" w:cs="Arial" w:eastAsia="Arial" w:hAnsi="Arial"/>
          <w:sz w:val="17"/>
          <w:szCs w:val="17"/>
          <w:i w:val="1"/>
          <w:iCs w:val="1"/>
          <w:color w:val="auto"/>
        </w:rPr>
        <w:t>, Earnings Per Share</w:t>
      </w:r>
      <w:r>
        <w:rPr>
          <w:rFonts w:ascii="Arial" w:cs="Arial" w:eastAsia="Arial" w:hAnsi="Arial"/>
          <w:sz w:val="17"/>
          <w:szCs w:val="17"/>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The reconciliation of the numerator and denominator of the basic and diluted earnings per share calculation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4"/>
          </w:tcPr>
          <w:p>
            <w:pPr>
              <w:jc w:val="right"/>
              <w:ind w:right="1113"/>
              <w:spacing w:after="0"/>
              <w:rPr>
                <w:sz w:val="20"/>
                <w:szCs w:val="20"/>
                <w:color w:val="auto"/>
              </w:rPr>
            </w:pPr>
            <w:r>
              <w:rPr>
                <w:rFonts w:ascii="Arial" w:cs="Arial" w:eastAsia="Arial" w:hAnsi="Arial"/>
                <w:sz w:val="14"/>
                <w:szCs w:val="14"/>
                <w:b w:val="1"/>
                <w:bCs w:val="1"/>
                <w:color w:val="auto"/>
              </w:rPr>
              <w:t>Three Months Ended</w:t>
            </w:r>
          </w:p>
        </w:tc>
      </w:tr>
      <w:tr>
        <w:trPr>
          <w:trHeight w:val="18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April 30, 2017</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May 1, 2016</w:t>
            </w:r>
          </w:p>
        </w:tc>
      </w:tr>
      <w:tr>
        <w:trPr>
          <w:trHeight w:val="196"/>
        </w:trPr>
        <w:tc>
          <w:tcPr>
            <w:tcW w:w="446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income attributable</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controlling interest</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r>
      <w:tr>
        <w:trPr>
          <w:trHeight w:val="229"/>
        </w:trPr>
        <w:tc>
          <w:tcPr>
            <w:tcW w:w="4460" w:type="dxa"/>
            <w:vAlign w:val="bottom"/>
            <w:gridSpan w:val="2"/>
          </w:tcPr>
          <w:p>
            <w:pPr>
              <w:spacing w:after="0"/>
              <w:rPr>
                <w:sz w:val="20"/>
                <w:szCs w:val="20"/>
                <w:color w:val="auto"/>
              </w:rPr>
            </w:pPr>
            <w:r>
              <w:rPr>
                <w:rFonts w:ascii="Arial" w:cs="Arial" w:eastAsia="Arial" w:hAnsi="Arial"/>
                <w:sz w:val="18"/>
                <w:szCs w:val="18"/>
                <w:color w:val="auto"/>
              </w:rPr>
              <w:t>Denominator - weighted average shares</w:t>
            </w: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(Class A and Class B)</w:t>
            </w: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31,520</w:t>
            </w: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Dilutive shares</w:t>
            </w:r>
          </w:p>
        </w:tc>
        <w:tc>
          <w:tcPr>
            <w:tcW w:w="14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r>
      <w:tr>
        <w:trPr>
          <w:trHeight w:val="230"/>
        </w:trPr>
        <w:tc>
          <w:tcPr>
            <w:tcW w:w="20" w:type="dxa"/>
            <w:vAlign w:val="bottom"/>
          </w:tcPr>
          <w:p>
            <w:pPr>
              <w:spacing w:after="0"/>
              <w:rPr>
                <w:sz w:val="19"/>
                <w:szCs w:val="19"/>
                <w:color w:val="auto"/>
              </w:rPr>
            </w:pPr>
          </w:p>
        </w:tc>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4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32,253</w:t>
            </w:r>
          </w:p>
        </w:tc>
      </w:tr>
      <w:tr>
        <w:trPr>
          <w:trHeight w:val="244"/>
        </w:trPr>
        <w:tc>
          <w:tcPr>
            <w:tcW w:w="4460" w:type="dxa"/>
            <w:vAlign w:val="bottom"/>
            <w:gridSpan w:val="2"/>
          </w:tcPr>
          <w:p>
            <w:pPr>
              <w:spacing w:after="0"/>
              <w:rPr>
                <w:sz w:val="20"/>
                <w:szCs w:val="20"/>
                <w:color w:val="auto"/>
              </w:rPr>
            </w:pPr>
            <w:r>
              <w:rPr>
                <w:rFonts w:ascii="Arial" w:cs="Arial" w:eastAsia="Arial" w:hAnsi="Arial"/>
                <w:sz w:val="18"/>
                <w:szCs w:val="18"/>
                <w:color w:val="auto"/>
              </w:rPr>
              <w:t>Earnings per share (Class A and Class B)</w:t>
            </w: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4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30"/>
        </w:trPr>
        <w:tc>
          <w:tcPr>
            <w:tcW w:w="2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8"/>
                <w:szCs w:val="18"/>
                <w:color w:val="auto"/>
              </w:rPr>
              <w:t>Diluted</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0.01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STOCK-BASED COMPENSATION</w:t>
      </w:r>
    </w:p>
    <w:p>
      <w:pPr>
        <w:spacing w:after="0" w:line="202" w:lineRule="exact"/>
        <w:rPr>
          <w:sz w:val="20"/>
          <w:szCs w:val="20"/>
          <w:color w:val="auto"/>
        </w:rPr>
      </w:pPr>
    </w:p>
    <w:p>
      <w:pPr>
        <w:ind w:right="180" w:firstLine="428"/>
        <w:spacing w:after="0" w:line="264" w:lineRule="auto"/>
        <w:rPr>
          <w:sz w:val="20"/>
          <w:szCs w:val="20"/>
          <w:color w:val="auto"/>
        </w:rPr>
      </w:pPr>
      <w:r>
        <w:rPr>
          <w:rFonts w:ascii="Arial" w:cs="Arial" w:eastAsia="Arial" w:hAnsi="Arial"/>
          <w:sz w:val="18"/>
          <w:szCs w:val="18"/>
          <w:color w:val="auto"/>
        </w:rPr>
        <w:t xml:space="preserve">The Company accounts for its stock-based compensation plan in accordance with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which requires the Company to measure all share-based payments at grant date fair value and recognize the cost over the requisite service period of the award.</w:t>
      </w:r>
    </w:p>
    <w:p>
      <w:pPr>
        <w:spacing w:after="0" w:line="141" w:lineRule="exact"/>
        <w:rPr>
          <w:sz w:val="20"/>
          <w:szCs w:val="20"/>
          <w:color w:val="auto"/>
        </w:rPr>
      </w:pPr>
    </w:p>
    <w:p>
      <w:pPr>
        <w:ind w:right="220" w:firstLine="428"/>
        <w:spacing w:after="0" w:line="264" w:lineRule="auto"/>
        <w:rPr>
          <w:sz w:val="20"/>
          <w:szCs w:val="20"/>
          <w:color w:val="auto"/>
        </w:rPr>
      </w:pPr>
      <w:r>
        <w:rPr>
          <w:rFonts w:ascii="Arial" w:cs="Arial" w:eastAsia="Arial" w:hAnsi="Arial"/>
          <w:sz w:val="18"/>
          <w:szCs w:val="18"/>
          <w:color w:val="auto"/>
        </w:rPr>
        <w:t>Total stock compensation expense associated with restricted stock recognized by the Company was $0.3 million for both the three months ended April 30, 2017 and May 1, 2016. The Company’s total stock compensation expense is included in selling, general and administrative expenses on the Condensed Consolidated Statements of Operations.</w:t>
      </w:r>
    </w:p>
    <w:p>
      <w:pPr>
        <w:spacing w:after="0" w:line="141" w:lineRule="exact"/>
        <w:rPr>
          <w:sz w:val="20"/>
          <w:szCs w:val="20"/>
          <w:color w:val="auto"/>
        </w:rPr>
      </w:pPr>
    </w:p>
    <w:p>
      <w:pPr>
        <w:ind w:right="460" w:firstLine="428"/>
        <w:spacing w:after="0" w:line="277" w:lineRule="auto"/>
        <w:rPr>
          <w:sz w:val="20"/>
          <w:szCs w:val="20"/>
          <w:color w:val="auto"/>
        </w:rPr>
      </w:pPr>
      <w:r>
        <w:rPr>
          <w:rFonts w:ascii="Arial" w:cs="Arial" w:eastAsia="Arial" w:hAnsi="Arial"/>
          <w:sz w:val="18"/>
          <w:szCs w:val="18"/>
          <w:color w:val="auto"/>
        </w:rPr>
        <w:t>A summary of the activity in the Company’s unvested restricted stock during the three months ended April 30, 2017 is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Weighted</w:t>
            </w:r>
          </w:p>
        </w:tc>
      </w:tr>
      <w:tr>
        <w:trPr>
          <w:trHeight w:val="203"/>
        </w:trPr>
        <w:tc>
          <w:tcPr>
            <w:tcW w:w="2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average</w:t>
            </w: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98"/>
              <w:spacing w:after="0"/>
              <w:rPr>
                <w:sz w:val="20"/>
                <w:szCs w:val="20"/>
                <w:color w:val="auto"/>
              </w:rPr>
            </w:pPr>
            <w:r>
              <w:rPr>
                <w:rFonts w:ascii="Arial" w:cs="Arial" w:eastAsia="Arial" w:hAnsi="Arial"/>
                <w:sz w:val="14"/>
                <w:szCs w:val="14"/>
                <w:b w:val="1"/>
                <w:bCs w:val="1"/>
                <w:color w:val="auto"/>
                <w:w w:val="97"/>
              </w:rPr>
              <w:t>fair value</w:t>
            </w:r>
          </w:p>
        </w:tc>
      </w:tr>
      <w:tr>
        <w:trPr>
          <w:trHeight w:val="215"/>
        </w:trPr>
        <w:tc>
          <w:tcPr>
            <w:tcW w:w="20" w:type="dxa"/>
            <w:vAlign w:val="bottom"/>
          </w:tcPr>
          <w:p>
            <w:pPr>
              <w:spacing w:after="0"/>
              <w:rPr>
                <w:sz w:val="18"/>
                <w:szCs w:val="18"/>
                <w:color w:val="auto"/>
              </w:rPr>
            </w:pPr>
          </w:p>
        </w:tc>
        <w:tc>
          <w:tcPr>
            <w:tcW w:w="71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1"/>
              </w:rPr>
              <w:t>per share</w:t>
            </w: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29, 2017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794,712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30"/>
        </w:trPr>
        <w:tc>
          <w:tcPr>
            <w:tcW w:w="20" w:type="dxa"/>
            <w:vAlign w:val="bottom"/>
          </w:tcPr>
          <w:p>
            <w:pPr>
              <w:spacing w:after="0"/>
              <w:rPr>
                <w:sz w:val="19"/>
                <w:szCs w:val="19"/>
                <w:color w:val="auto"/>
              </w:rPr>
            </w:pPr>
          </w:p>
        </w:tc>
        <w:tc>
          <w:tcPr>
            <w:tcW w:w="7160" w:type="dxa"/>
            <w:vAlign w:val="bottom"/>
          </w:tcPr>
          <w:p>
            <w:pPr>
              <w:ind w:left="10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72,706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19.48</w:t>
            </w:r>
          </w:p>
        </w:tc>
      </w:tr>
      <w:tr>
        <w:trPr>
          <w:trHeight w:val="230"/>
        </w:trPr>
        <w:tc>
          <w:tcPr>
            <w:tcW w:w="20" w:type="dxa"/>
            <w:vAlign w:val="bottom"/>
          </w:tcPr>
          <w:p>
            <w:pPr>
              <w:spacing w:after="0"/>
              <w:rPr>
                <w:sz w:val="19"/>
                <w:szCs w:val="19"/>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(246,708)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Forfeited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(6,841)</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w:t>
            </w:r>
          </w:p>
        </w:tc>
      </w:tr>
      <w:tr>
        <w:trPr>
          <w:trHeight w:val="217"/>
        </w:trPr>
        <w:tc>
          <w:tcPr>
            <w:tcW w:w="20" w:type="dxa"/>
            <w:vAlign w:val="bottom"/>
          </w:tcPr>
          <w:p>
            <w:pPr>
              <w:spacing w:after="0"/>
              <w:rPr>
                <w:sz w:val="18"/>
                <w:szCs w:val="18"/>
                <w:color w:val="auto"/>
              </w:rPr>
            </w:pPr>
          </w:p>
        </w:tc>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April 30, 2017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613,869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r>
    </w:tbl>
    <w:p>
      <w:pPr>
        <w:spacing w:after="0" w:line="175" w:lineRule="exact"/>
        <w:rPr>
          <w:sz w:val="20"/>
          <w:szCs w:val="20"/>
          <w:color w:val="auto"/>
        </w:rPr>
      </w:pPr>
    </w:p>
    <w:p>
      <w:pPr>
        <w:jc w:val="both"/>
        <w:ind w:right="20" w:firstLine="428"/>
        <w:spacing w:after="0" w:line="277" w:lineRule="auto"/>
        <w:rPr>
          <w:sz w:val="20"/>
          <w:szCs w:val="20"/>
          <w:color w:val="auto"/>
        </w:rPr>
      </w:pPr>
      <w:r>
        <w:rPr>
          <w:rFonts w:ascii="Arial" w:cs="Arial" w:eastAsia="Arial" w:hAnsi="Arial"/>
          <w:sz w:val="18"/>
          <w:szCs w:val="18"/>
          <w:color w:val="auto"/>
        </w:rPr>
        <w:t>At April 30, 2017, the Company had unrecognized compensation expense of $2.9 million related to the restricted stock awards, which is expected to be recognized over a weighted average period of 2.0 years.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PROPERTY AND EQUIPMENT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consist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April 30, 2017</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8"/>
              </w:rPr>
              <w:t>January 29, 2017</w:t>
            </w:r>
          </w:p>
        </w:tc>
      </w:tr>
      <w:tr>
        <w:trPr>
          <w:trHeight w:val="196"/>
        </w:trPr>
        <w:tc>
          <w:tcPr>
            <w:tcW w:w="47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8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12,752</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16,178</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Vehicles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Warehouse equipment</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11,125</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Software</w:t>
            </w:r>
          </w:p>
        </w:tc>
        <w:tc>
          <w:tcPr>
            <w:tcW w:w="16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6,659</w:t>
            </w: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56,325</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 and amortization</w:t>
            </w:r>
          </w:p>
        </w:tc>
        <w:tc>
          <w:tcPr>
            <w:tcW w:w="16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(15,529)</w:t>
            </w: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40,796</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6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11,636</w:t>
            </w:r>
          </w:p>
        </w:tc>
      </w:tr>
      <w:tr>
        <w:trPr>
          <w:trHeight w:val="217"/>
        </w:trPr>
        <w:tc>
          <w:tcPr>
            <w:tcW w:w="2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62,480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52,432</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SEGMENT REPORTING</w:t>
      </w:r>
    </w:p>
    <w:p>
      <w:pPr>
        <w:spacing w:after="0" w:line="189" w:lineRule="exact"/>
        <w:rPr>
          <w:sz w:val="20"/>
          <w:szCs w:val="20"/>
          <w:color w:val="auto"/>
        </w:rPr>
      </w:pPr>
    </w:p>
    <w:p>
      <w:pPr>
        <w:ind w:right="280" w:firstLine="428"/>
        <w:spacing w:after="0" w:line="257" w:lineRule="auto"/>
        <w:rPr>
          <w:sz w:val="20"/>
          <w:szCs w:val="20"/>
          <w:color w:val="auto"/>
        </w:rPr>
      </w:pPr>
      <w:r>
        <w:rPr>
          <w:rFonts w:ascii="Arial" w:cs="Arial" w:eastAsia="Arial" w:hAnsi="Arial"/>
          <w:sz w:val="18"/>
          <w:szCs w:val="18"/>
          <w:color w:val="auto"/>
        </w:rPr>
        <w:t>The Company has two operating segments, which are also its reportable segments: direct and retail. The direct segment includes net sales from the Company’s website and catalogs. The retail segment includes net sales from the Company’s retail and outlet stores. These two operating segments are components of the Company for which separate financial information is available and for which operating results are evaluated on a regular basis by the chief operating decision maker in deciding how to allocate resources and in assessing performance of the segments.</w:t>
      </w:r>
    </w:p>
    <w:p>
      <w:pPr>
        <w:spacing w:after="0" w:line="161" w:lineRule="exact"/>
        <w:rPr>
          <w:sz w:val="20"/>
          <w:szCs w:val="20"/>
          <w:color w:val="auto"/>
        </w:rPr>
      </w:pPr>
    </w:p>
    <w:p>
      <w:pPr>
        <w:ind w:right="60" w:firstLine="428"/>
        <w:spacing w:after="0" w:line="257" w:lineRule="auto"/>
        <w:rPr>
          <w:sz w:val="20"/>
          <w:szCs w:val="20"/>
          <w:color w:val="auto"/>
        </w:rPr>
      </w:pPr>
      <w:r>
        <w:rPr>
          <w:rFonts w:ascii="Arial" w:cs="Arial" w:eastAsia="Arial" w:hAnsi="Arial"/>
          <w:sz w:val="18"/>
          <w:szCs w:val="18"/>
          <w:color w:val="auto"/>
        </w:rPr>
        <w:t>Interest expense, income tax expense, and corporate expenses, which include but are not limited to: human resources, legal, finance, information technology, design and other corporate-related expenses are included in the Company’s direct segment. Depreciation and amortization, and property and equipment expenditures, are recognized in each segment. Advertising expenses are generally included in the Company’s direct segment, except for specific store advertising, which is included in the Company’s retail segment.</w:t>
      </w:r>
    </w:p>
    <w:p>
      <w:pPr>
        <w:spacing w:after="0" w:line="148" w:lineRule="exact"/>
        <w:rPr>
          <w:sz w:val="20"/>
          <w:szCs w:val="20"/>
          <w:color w:val="auto"/>
        </w:rPr>
      </w:pPr>
    </w:p>
    <w:p>
      <w:pPr>
        <w:jc w:val="both"/>
        <w:ind w:right="40" w:firstLine="428"/>
        <w:spacing w:after="0" w:line="264" w:lineRule="auto"/>
        <w:rPr>
          <w:sz w:val="20"/>
          <w:szCs w:val="20"/>
          <w:color w:val="auto"/>
        </w:rPr>
      </w:pPr>
      <w:r>
        <w:rPr>
          <w:rFonts w:ascii="Arial" w:cs="Arial" w:eastAsia="Arial" w:hAnsi="Arial"/>
          <w:sz w:val="18"/>
          <w:szCs w:val="18"/>
          <w:color w:val="auto"/>
        </w:rPr>
        <w:t>Net sales by product is not presented because providing the information is impracticable. Net sales outside of the United States were insignificant. Variable allocations of assets are not made for segment reporting. The Company does not have any assets outside of the United States.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Segment information is presented in the following tables: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6"/>
          </w:tcPr>
          <w:p>
            <w:pPr>
              <w:jc w:val="right"/>
              <w:ind w:right="1313"/>
              <w:spacing w:after="0"/>
              <w:rPr>
                <w:sz w:val="20"/>
                <w:szCs w:val="20"/>
                <w:color w:val="auto"/>
              </w:rPr>
            </w:pPr>
            <w:r>
              <w:rPr>
                <w:rFonts w:ascii="Arial" w:cs="Arial" w:eastAsia="Arial" w:hAnsi="Arial"/>
                <w:sz w:val="14"/>
                <w:szCs w:val="14"/>
                <w:b w:val="1"/>
                <w:bCs w:val="1"/>
                <w:color w:val="auto"/>
              </w:rPr>
              <w:t>Three Months Ended</w:t>
            </w: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April 30, 2017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May 1, 2016</w:t>
            </w:r>
          </w:p>
        </w:tc>
      </w:tr>
      <w:tr>
        <w:trPr>
          <w:trHeight w:val="210"/>
        </w:trPr>
        <w:tc>
          <w:tcPr>
            <w:tcW w:w="36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1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Direct</w:t>
            </w:r>
          </w:p>
        </w:tc>
        <w:tc>
          <w:tcPr>
            <w:tcW w:w="214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63,775</w:t>
            </w:r>
          </w:p>
        </w:tc>
        <w:tc>
          <w:tcPr>
            <w:tcW w:w="500" w:type="dxa"/>
            <w:vAlign w:val="bottom"/>
            <w:gridSpan w:val="4"/>
          </w:tcPr>
          <w:p>
            <w:pPr>
              <w:jc w:val="right"/>
              <w:ind w:right="105"/>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60,325</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8,307</w:t>
            </w:r>
          </w:p>
        </w:tc>
      </w:tr>
      <w:tr>
        <w:trPr>
          <w:trHeight w:val="217"/>
        </w:trPr>
        <w:tc>
          <w:tcPr>
            <w:tcW w:w="20" w:type="dxa"/>
            <w:vAlign w:val="bottom"/>
          </w:tcPr>
          <w:p>
            <w:pPr>
              <w:spacing w:after="0"/>
              <w:rPr>
                <w:sz w:val="18"/>
                <w:szCs w:val="18"/>
                <w:color w:val="auto"/>
              </w:rPr>
            </w:pPr>
          </w:p>
        </w:tc>
        <w:tc>
          <w:tcPr>
            <w:tcW w:w="36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net sales</w:t>
            </w:r>
          </w:p>
        </w:tc>
        <w:tc>
          <w:tcPr>
            <w:tcW w:w="17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83,687</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68,632</w:t>
            </w: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income</w:t>
            </w:r>
          </w:p>
        </w:tc>
        <w:tc>
          <w:tcPr>
            <w:tcW w:w="1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Direct</w:t>
            </w:r>
          </w:p>
        </w:tc>
        <w:tc>
          <w:tcPr>
            <w:tcW w:w="214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(157)</w:t>
            </w:r>
          </w:p>
        </w:tc>
        <w:tc>
          <w:tcPr>
            <w:tcW w:w="500" w:type="dxa"/>
            <w:vAlign w:val="bottom"/>
            <w:gridSpan w:val="4"/>
          </w:tcPr>
          <w:p>
            <w:pPr>
              <w:jc w:val="right"/>
              <w:ind w:right="105"/>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4,191</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r>
      <w:tr>
        <w:trPr>
          <w:trHeight w:val="210"/>
        </w:trPr>
        <w:tc>
          <w:tcPr>
            <w:tcW w:w="20" w:type="dxa"/>
            <w:vAlign w:val="bottom"/>
          </w:tcPr>
          <w:p>
            <w:pPr>
              <w:spacing w:after="0"/>
              <w:rPr>
                <w:sz w:val="18"/>
                <w:szCs w:val="18"/>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rPr>
              <w:t>Total operating income</w:t>
            </w: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749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5,341</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17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Income before income taxes</w:t>
            </w:r>
          </w:p>
        </w:tc>
        <w:tc>
          <w:tcPr>
            <w:tcW w:w="17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w:t>
            </w:r>
          </w:p>
        </w:tc>
      </w:tr>
      <w:tr>
        <w:trPr>
          <w:trHeight w:val="784"/>
        </w:trPr>
        <w:tc>
          <w:tcPr>
            <w:tcW w:w="2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18"/>
                <w:szCs w:val="18"/>
                <w:color w:val="auto"/>
              </w:rPr>
              <w:t>Segment total assets</w:t>
            </w: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April 30, 2017</w:t>
            </w: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January 29, 2017</w:t>
            </w:r>
          </w:p>
        </w:tc>
      </w:tr>
      <w:tr>
        <w:trPr>
          <w:trHeight w:val="183"/>
        </w:trPr>
        <w:tc>
          <w:tcPr>
            <w:tcW w:w="36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214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108,245</w:t>
            </w:r>
          </w:p>
        </w:tc>
        <w:tc>
          <w:tcPr>
            <w:tcW w:w="500" w:type="dxa"/>
            <w:vAlign w:val="bottom"/>
            <w:gridSpan w:val="4"/>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115,239</w:t>
            </w: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Retail</w:t>
            </w:r>
          </w:p>
        </w:tc>
        <w:tc>
          <w:tcPr>
            <w:tcW w:w="17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51,745</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40,728</w:t>
            </w:r>
          </w:p>
        </w:tc>
      </w:tr>
      <w:tr>
        <w:trPr>
          <w:trHeight w:val="217"/>
        </w:trPr>
        <w:tc>
          <w:tcPr>
            <w:tcW w:w="20" w:type="dxa"/>
            <w:vAlign w:val="bottom"/>
          </w:tcPr>
          <w:p>
            <w:pPr>
              <w:spacing w:after="0"/>
              <w:rPr>
                <w:sz w:val="18"/>
                <w:szCs w:val="18"/>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period end</w:t>
            </w:r>
          </w:p>
        </w:tc>
        <w:tc>
          <w:tcPr>
            <w:tcW w:w="17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159,990</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155,967</w:t>
            </w:r>
          </w:p>
        </w:tc>
      </w:tr>
    </w:tbl>
    <w:p>
      <w:pPr>
        <w:spacing w:after="0" w:line="200" w:lineRule="exact"/>
        <w:rPr>
          <w:sz w:val="20"/>
          <w:szCs w:val="20"/>
          <w:color w:val="auto"/>
        </w:rPr>
      </w:pPr>
    </w:p>
    <w:p>
      <w:pPr>
        <w:spacing w:after="0" w:line="2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INCOME TAXES</w:t>
      </w:r>
    </w:p>
    <w:p>
      <w:pPr>
        <w:spacing w:after="0" w:line="202" w:lineRule="exact"/>
        <w:rPr>
          <w:sz w:val="20"/>
          <w:szCs w:val="20"/>
          <w:color w:val="auto"/>
        </w:rPr>
      </w:pPr>
    </w:p>
    <w:p>
      <w:pPr>
        <w:ind w:right="80" w:firstLine="428"/>
        <w:spacing w:after="0" w:line="257" w:lineRule="auto"/>
        <w:rPr>
          <w:sz w:val="20"/>
          <w:szCs w:val="20"/>
          <w:color w:val="auto"/>
        </w:rPr>
      </w:pPr>
      <w:r>
        <w:rPr>
          <w:rFonts w:ascii="Arial" w:cs="Arial" w:eastAsia="Arial" w:hAnsi="Arial"/>
          <w:sz w:val="18"/>
          <w:szCs w:val="18"/>
          <w:color w:val="auto"/>
        </w:rPr>
        <w:t>The provision for income taxes for the interim period is based on an estimate of the annual effective tax rate adjusted to reflect the impact of discrete items. Management judgment is required in projecting ordinary income to estimate the Company’s annual effective tax rate. The effective tax rate related to controlling interest was 39% for both the three months ended April 30, 2017, and May 1, 2017. The income from SRV was excluded from the calculation of the Company’s effective tax rate, as SRV is an “S” corporation and not subject to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40" w:right="5320" w:hanging="432"/>
        <w:spacing w:after="0" w:line="460" w:lineRule="auto"/>
        <w:tabs>
          <w:tab w:leader="none" w:pos="40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i w:val="1"/>
          <w:iCs w:val="1"/>
          <w:u w:val="single" w:color="auto"/>
          <w:color w:val="auto"/>
        </w:rPr>
        <w:t xml:space="preserve">Recently Adopted Accounting Pronouncements </w:t>
      </w:r>
      <w:r>
        <w:rPr>
          <w:rFonts w:ascii="Arial" w:cs="Arial" w:eastAsia="Arial" w:hAnsi="Arial"/>
          <w:sz w:val="18"/>
          <w:szCs w:val="18"/>
          <w:i w:val="1"/>
          <w:iCs w:val="1"/>
          <w:color w:val="auto"/>
        </w:rPr>
        <w:t>Simplifying the Measurement of Inventory</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In July 2015, the FASB issued Accounting Standards Update No. 2015-11, </w:t>
      </w:r>
      <w:r>
        <w:rPr>
          <w:rFonts w:ascii="Arial" w:cs="Arial" w:eastAsia="Arial" w:hAnsi="Arial"/>
          <w:sz w:val="16"/>
          <w:szCs w:val="16"/>
          <w:i w:val="1"/>
          <w:iCs w:val="1"/>
          <w:color w:val="auto"/>
        </w:rPr>
        <w:t>Simplifying the Measurement of Inventory (Topic</w:t>
      </w:r>
    </w:p>
    <w:p>
      <w:pPr>
        <w:spacing w:after="0" w:line="46" w:lineRule="exact"/>
        <w:rPr>
          <w:sz w:val="20"/>
          <w:szCs w:val="20"/>
          <w:color w:val="auto"/>
        </w:rPr>
      </w:pPr>
    </w:p>
    <w:p>
      <w:pPr>
        <w:ind w:right="40" w:firstLine="8"/>
        <w:spacing w:after="0" w:line="268" w:lineRule="auto"/>
        <w:tabs>
          <w:tab w:leader="none" w:pos="375" w:val="left"/>
        </w:tabs>
        <w:numPr>
          <w:ilvl w:val="0"/>
          <w:numId w:val="5"/>
        </w:numPr>
        <w:rPr>
          <w:rFonts w:ascii="Arial" w:cs="Arial" w:eastAsia="Arial" w:hAnsi="Arial"/>
          <w:sz w:val="17"/>
          <w:szCs w:val="17"/>
          <w:i w:val="1"/>
          <w:iCs w:val="1"/>
          <w:color w:val="auto"/>
        </w:rPr>
      </w:pPr>
      <w:r>
        <w:rPr>
          <w:rFonts w:ascii="Arial" w:cs="Arial" w:eastAsia="Arial" w:hAnsi="Arial"/>
          <w:sz w:val="17"/>
          <w:szCs w:val="17"/>
          <w:color w:val="auto"/>
        </w:rPr>
        <w:t>(“ASU 2015-11”), which changes the measurement principle for inventory from the lower of cost or market to the lower of cost and net realizable value. Net realizable value is defined as the “estimated selling prices in the ordinary course of business, less reasonably predictable costs of completion, disposal and transportation.” ASU 2015-11 eliminates the guidance that entities consider replacement cost or net realizable value less an approximately normal profit margin in the subsequent measurement of inventory when cost is determined on a first-in, first-out or average cost basis. The provisions of ASU 2015-11 are effective for public entities with fiscal years beginning after December 15, 2016, and interim periods within those fiscal years, with early adoption permitted. The Company adopted ASU 2015-11 as of January 30, 2017, the first day of the Company’s fiscal year 2017 and there was no significant impact to the Company’s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Improvements to Employee Share-Based Payment Accounting</w:t>
      </w:r>
    </w:p>
    <w:p>
      <w:pPr>
        <w:spacing w:after="0" w:line="185" w:lineRule="exact"/>
        <w:rPr>
          <w:sz w:val="20"/>
          <w:szCs w:val="20"/>
          <w:color w:val="auto"/>
        </w:rPr>
      </w:pPr>
    </w:p>
    <w:p>
      <w:pPr>
        <w:ind w:right="120" w:firstLine="428"/>
        <w:spacing w:after="0" w:line="270" w:lineRule="auto"/>
        <w:rPr>
          <w:sz w:val="20"/>
          <w:szCs w:val="20"/>
          <w:color w:val="auto"/>
        </w:rPr>
      </w:pPr>
      <w:r>
        <w:rPr>
          <w:rFonts w:ascii="Arial" w:cs="Arial" w:eastAsia="Arial" w:hAnsi="Arial"/>
          <w:sz w:val="17"/>
          <w:szCs w:val="17"/>
          <w:color w:val="auto"/>
        </w:rPr>
        <w:t xml:space="preserve">In March 2016, the FASB issued Accounting Standards Update No. 2016-09,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(Topic 718):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xml:space="preserve"> (“ASU 2016-09”), which is intended to improve the accounting for share-based payment transactions. ASU 2016-09 changes certain aspects of the accounting for share-based payment award transactions, including: (1) accounting for income taxes; (2) classification of excess tax benefits on the statement of cash flows; (3) forfeitures; (4) minimum statutory tax withholding requirements; and (5) classification of employee taxes paid on the statement of cash flows when an employer withholds shares for tax-withholding purposes. The provisions of ASU 2016-09 are effective for public entities with fiscal years beginning after December 15, 2016, and interim periods within those years, early adoption is permitted. The Company adopted ASU 2016-09 as of May 1, 2016 and there was no significant impact to the Company’s consolidated financial statements.</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Balance Sheet Classification of Deferred Taxes</w:t>
      </w:r>
    </w:p>
    <w:p>
      <w:pPr>
        <w:spacing w:after="0" w:line="185" w:lineRule="exact"/>
        <w:rPr>
          <w:sz w:val="20"/>
          <w:szCs w:val="20"/>
          <w:color w:val="auto"/>
        </w:rPr>
      </w:pPr>
    </w:p>
    <w:p>
      <w:pPr>
        <w:ind w:right="160" w:firstLine="441"/>
        <w:spacing w:after="0" w:line="291" w:lineRule="auto"/>
        <w:rPr>
          <w:sz w:val="20"/>
          <w:szCs w:val="20"/>
          <w:color w:val="auto"/>
        </w:rPr>
      </w:pPr>
      <w:r>
        <w:rPr>
          <w:rFonts w:ascii="Arial" w:cs="Arial" w:eastAsia="Arial" w:hAnsi="Arial"/>
          <w:sz w:val="16"/>
          <w:szCs w:val="16"/>
          <w:color w:val="auto"/>
        </w:rPr>
        <w:t xml:space="preserve">In November 2015, the FASB issued Accounting Standards Update No. 2015-17, </w:t>
      </w:r>
      <w:r>
        <w:rPr>
          <w:rFonts w:ascii="Arial" w:cs="Arial" w:eastAsia="Arial" w:hAnsi="Arial"/>
          <w:sz w:val="16"/>
          <w:szCs w:val="16"/>
          <w:i w:val="1"/>
          <w:iCs w:val="1"/>
          <w:color w:val="auto"/>
        </w:rPr>
        <w:t>Balance Sheet Classification of Deferred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w:t>
      </w:r>
      <w:r>
        <w:rPr>
          <w:rFonts w:ascii="Arial" w:cs="Arial" w:eastAsia="Arial" w:hAnsi="Arial"/>
          <w:sz w:val="16"/>
          <w:szCs w:val="16"/>
          <w:color w:val="auto"/>
        </w:rPr>
        <w:t>(Topic 740) (“ASU 2015-17”), which requires the classification of all deferred tax assets and liabilities as noncurrent on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instead of separating deferred taxes into current and noncurrent amounts. In addition, an allocation of valuation allowances between current and noncurrent deferred tax assets is not required, because the allowances will be classified as noncurrent. The provisions of ASU 2015-17 are effective for public entities with fiscal years beginning after December 15, 2016, and interim periods within those fiscal years, with early adoption permitted. The Company adopted ASU 2015-17 as of January 31, 2016 and has reported deferred tax assets and liabilities as noncurrent on the balance sheet.</w:t>
      </w:r>
    </w:p>
    <w:p>
      <w:pPr>
        <w:spacing w:after="0" w:line="200" w:lineRule="exact"/>
        <w:rPr>
          <w:sz w:val="20"/>
          <w:szCs w:val="20"/>
          <w:color w:val="auto"/>
        </w:rPr>
      </w:pPr>
    </w:p>
    <w:p>
      <w:pPr>
        <w:spacing w:after="0" w:line="332"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Recently Issued Accounting Pronouncements Not Yet Adopted</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 (Topic</w:t>
      </w:r>
    </w:p>
    <w:p>
      <w:pPr>
        <w:spacing w:after="0" w:line="46"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7"/>
          <w:szCs w:val="17"/>
          <w:i w:val="1"/>
          <w:iCs w:val="1"/>
          <w:color w:val="auto"/>
        </w:rPr>
      </w:pPr>
      <w:r>
        <w:rPr>
          <w:rFonts w:ascii="Arial" w:cs="Arial" w:eastAsia="Arial" w:hAnsi="Arial"/>
          <w:sz w:val="17"/>
          <w:szCs w:val="17"/>
          <w:color w:val="auto"/>
        </w:rPr>
        <w:t xml:space="preserve">(“ASU 2014-09”), which supersedes the revenue recognition requirements in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ASU</w:t>
      </w:r>
    </w:p>
    <w:p>
      <w:pPr>
        <w:spacing w:after="0" w:line="20" w:lineRule="exact"/>
        <w:rPr>
          <w:rFonts w:ascii="Arial" w:cs="Arial" w:eastAsia="Arial" w:hAnsi="Arial"/>
          <w:sz w:val="17"/>
          <w:szCs w:val="17"/>
          <w:i w:val="1"/>
          <w:iCs w:val="1"/>
          <w:color w:val="auto"/>
        </w:rPr>
      </w:pPr>
    </w:p>
    <w:p>
      <w:pPr>
        <w:spacing w:after="0" w:line="267" w:lineRule="auto"/>
        <w:rPr>
          <w:rFonts w:ascii="Arial" w:cs="Arial" w:eastAsia="Arial" w:hAnsi="Arial"/>
          <w:sz w:val="17"/>
          <w:szCs w:val="17"/>
          <w:i w:val="1"/>
          <w:iCs w:val="1"/>
          <w:color w:val="auto"/>
        </w:rPr>
      </w:pPr>
      <w:r>
        <w:rPr>
          <w:rFonts w:ascii="Arial" w:cs="Arial" w:eastAsia="Arial" w:hAnsi="Arial"/>
          <w:sz w:val="17"/>
          <w:szCs w:val="17"/>
          <w:color w:val="auto"/>
        </w:rPr>
        <w:t>2014-09 requires revenue recognition to depict the transfer of goods or services to customers in an amount that reflects the consideration to which the entity expects to be entitled in exchange for those goods or services. The new revenue recognition model requires identifying the contract, identifying the performance obligations, determining the transaction price, allocating the transaction price to performance obligations and recognizing the revenue upon satisfaction of the performance obligations. ASU 2014-09 also requires additional disclosure about the nature, amount, timing and uncertainty of revenue and cash flows arising from customer contracts, including significant judgments and change in judgments, and assets recognized from costs incurred to obtain or fulfill a contract. ASU 2014-09 can be applied either retrospectively to each prior reporting period presented or retrospectively with the cumulative effect of initially applying the update recognized at the date of the initial application along with additional disclosures. On July 9, 2015, the FASB deferred the effective date of ASU 2014-09 for one year. ASU 2014-09 is effective for annual reporting periods beginning after December 15, 2017. Accordingly, the Company will adopt ASU 2014-09 on January 29, 2018, the first day of the Company’s first quarter for the fiscal year ending February 3, 2019, the Company’s fiscal year 2018. The Company expects to adopt ASU 2014-09 retrospectively with the cumulative effect of initially applying the update recognized at the date of the adoption along with additional disclosures. The Company’s review is ongoing and the Company has not yet identified any material changes in the timing of revenue recognition. The Company continues to evaluate the new disclosure requirements of ASU 2014-09 on its consolidated financial statements.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Leases</w:t>
      </w:r>
    </w:p>
    <w:p>
      <w:pPr>
        <w:spacing w:after="0" w:line="185"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 xml:space="preserve">In February 2016, the FASB issued Accounting Standards Update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(“ASU 2016-02”), which requires lessees to recognize most leases on the balance sheets (right-of-use asset and lease liability), but recognize expenses on the income statements in a manner which is similar to the current lease standard. The provisions of ASU 2016-02 are effective for public entities with fiscal years beginning after December 15, 2018, and interim periods within those years, with early adoption permitted. The Company expects to early adopt ASU 2016-02 on January 29, 2018, the first day of the Company’s first quarter for the fiscal year ending February 3, 2019, the Company’s fiscal year 2018. The Company conducts its retail operations through leased stores and therefore, the Company expects the adoption of ASU 2016-02 to have a significant impact on its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Statement of Cash Flows</w:t>
      </w:r>
    </w:p>
    <w:p>
      <w:pPr>
        <w:spacing w:after="0" w:line="18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In November 2016, the FASB issued Accounting Standards Update No. 2016-18,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(Topic 230</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(“ASU 2016-18”), which requires companies to include cash and cash equivalents that have restrictions on</w:t>
      </w:r>
      <w:r>
        <w:rPr>
          <w:rFonts w:ascii="Arial" w:cs="Arial" w:eastAsia="Arial" w:hAnsi="Arial"/>
          <w:sz w:val="18"/>
          <w:szCs w:val="18"/>
          <w:i w:val="1"/>
          <w:iCs w:val="1"/>
          <w:color w:val="auto"/>
        </w:rPr>
        <w:t xml:space="preserve"> </w:t>
      </w:r>
      <w:r>
        <w:rPr>
          <w:rFonts w:ascii="Arial" w:cs="Arial" w:eastAsia="Arial" w:hAnsi="Arial"/>
          <w:sz w:val="18"/>
          <w:szCs w:val="18"/>
          <w:color w:val="auto"/>
        </w:rPr>
        <w:t>withdrawal or use in total cash and cash equivalents on the statement of cash flows. ASU 2016-18 is effective for public entities with fiscal years beginning after December 15, 2017, and interim periods within those years, with early adoption permitted. The Company expects to adopt ASU 2016-18 on January 29, 2018, the first day of the Company’s first quarter for the fiscal year ending February 3, 2019, the Company’s fiscal year 2018. The Company is evaluating the level of impact of adopting ASU 2016-18 will have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4" w:lineRule="exact"/>
        <w:rPr>
          <w:sz w:val="20"/>
          <w:szCs w:val="20"/>
          <w:color w:val="auto"/>
        </w:rPr>
      </w:pPr>
    </w:p>
    <w:p>
      <w:pPr>
        <w:ind w:right="100" w:firstLine="428"/>
        <w:spacing w:after="0" w:line="238" w:lineRule="auto"/>
        <w:rPr>
          <w:sz w:val="20"/>
          <w:szCs w:val="20"/>
          <w:color w:val="auto"/>
        </w:rPr>
      </w:pPr>
      <w:r>
        <w:rPr>
          <w:rFonts w:ascii="Arial" w:cs="Arial" w:eastAsia="Arial" w:hAnsi="Arial"/>
          <w:sz w:val="14"/>
          <w:szCs w:val="14"/>
          <w:i w:val="1"/>
          <w:iCs w:val="1"/>
          <w:color w:val="auto"/>
        </w:rPr>
        <w:t>The following discussion and analysis of the financial condition and results of our operations should be read in conjunction with the financial statements and related notes of Duluth Holdings Inc. included in Item 1of this Quarterly Report on Form 10-Q and with our audited financial statements and the related notes included in our Annual Report on Form 10-K for the fiscal year ended January 29, 2017 (“2016 Form 10-K”).</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The three months of fiscal 2017 and fiscal 2016 represent our 13-week periods ended April 30, 2017 and May 1, 2016, respectively.</w:t>
      </w:r>
    </w:p>
    <w:p>
      <w:pPr>
        <w:spacing w:after="0" w:line="163" w:lineRule="exact"/>
        <w:rPr>
          <w:sz w:val="20"/>
          <w:szCs w:val="20"/>
          <w:color w:val="auto"/>
        </w:rPr>
      </w:pPr>
    </w:p>
    <w:p>
      <w:pPr>
        <w:ind w:right="180" w:firstLine="428"/>
        <w:spacing w:after="0" w:line="253" w:lineRule="auto"/>
        <w:rPr>
          <w:sz w:val="20"/>
          <w:szCs w:val="20"/>
          <w:color w:val="auto"/>
        </w:rPr>
      </w:pPr>
      <w:r>
        <w:rPr>
          <w:rFonts w:ascii="Arial" w:cs="Arial" w:eastAsia="Arial" w:hAnsi="Arial"/>
          <w:sz w:val="14"/>
          <w:szCs w:val="14"/>
          <w:i w:val="1"/>
          <w:iCs w:val="1"/>
          <w:color w:val="auto"/>
        </w:rPr>
        <w:t>Unless the context indicates otherwise, the terms the “Company,” “Duluth,” “Duluth Trading,” “we,” “our,” or “us” are used to refer to Duluth Holdings Inc. and its subsidiary and affiliates on a consolidated basis.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40" w:firstLine="428"/>
        <w:spacing w:after="0" w:line="285"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including the risks and uncertainties described under Part I, Item 1A “Risk Factors,” in our Annual Report on Form 10-K for the fiscal year ended January 29, 2017, which factors are incorporated by reference herein. 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135" w:lineRule="exact"/>
        <w:rPr>
          <w:sz w:val="20"/>
          <w:szCs w:val="20"/>
          <w:color w:val="auto"/>
        </w:rPr>
      </w:pPr>
    </w:p>
    <w:p>
      <w:pPr>
        <w:ind w:right="680" w:firstLine="428"/>
        <w:spacing w:after="0" w:line="277" w:lineRule="auto"/>
        <w:rPr>
          <w:sz w:val="20"/>
          <w:szCs w:val="20"/>
          <w:color w:val="auto"/>
        </w:rPr>
      </w:pPr>
      <w:r>
        <w:rPr>
          <w:rFonts w:ascii="Arial" w:cs="Arial" w:eastAsia="Arial" w:hAnsi="Arial"/>
          <w:sz w:val="18"/>
          <w:szCs w:val="18"/>
          <w:color w:val="auto"/>
        </w:rPr>
        <w:t>We undertake no obligation to update or revise these forward-looking statements, except as required under the federal securities laws.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firstLine="428"/>
        <w:spacing w:after="0" w:line="293" w:lineRule="auto"/>
        <w:rPr>
          <w:sz w:val="20"/>
          <w:szCs w:val="20"/>
          <w:color w:val="auto"/>
        </w:rPr>
      </w:pPr>
      <w:r>
        <w:rPr>
          <w:rFonts w:ascii="Arial" w:cs="Arial" w:eastAsia="Arial" w:hAnsi="Arial"/>
          <w:sz w:val="16"/>
          <w:szCs w:val="16"/>
          <w:color w:val="auto"/>
        </w:rPr>
        <w:t>We are a rapidly growing lifestyle brand of men’s and women’s casual wear, workwear and accessories sold exclusively through our own direct and retail channels. The direct segment, consisting of our website and catalogs, offers products nationwide and represented 76.2% and 87.9% of our consolidated net sales for the three months ended April 30, 2017 and May 1, 2016. In 2010, we added retail to our omni-channel platform with the opening of our first store. Since then, we have expanded our retail presence, and as of April 30, 2017, we operated 18 retail stores and two outlet stores. Net sales for our retail segment represented 23.8% and 12.1% of consolidated net sales for the three months ended April 30, 2017 and May 1, 2016.</w:t>
      </w:r>
    </w:p>
    <w:p>
      <w:pPr>
        <w:spacing w:after="0" w:line="124" w:lineRule="exact"/>
        <w:rPr>
          <w:sz w:val="20"/>
          <w:szCs w:val="20"/>
          <w:color w:val="auto"/>
        </w:rPr>
      </w:pPr>
    </w:p>
    <w:p>
      <w:pPr>
        <w:ind w:right="140" w:firstLine="428"/>
        <w:spacing w:after="0" w:line="312" w:lineRule="auto"/>
        <w:rPr>
          <w:sz w:val="20"/>
          <w:szCs w:val="20"/>
          <w:color w:val="auto"/>
        </w:rPr>
      </w:pPr>
      <w:r>
        <w:rPr>
          <w:rFonts w:ascii="Arial" w:cs="Arial" w:eastAsia="Arial" w:hAnsi="Arial"/>
          <w:sz w:val="16"/>
          <w:szCs w:val="16"/>
          <w:color w:val="auto"/>
        </w:rPr>
        <w:t>We offer a comprehensive line of innovative, durable and functional products, such as our Longtail T</w:t>
      </w:r>
      <w:r>
        <w:rPr>
          <w:rFonts w:ascii="Arial" w:cs="Arial" w:eastAsia="Arial" w:hAnsi="Arial"/>
          <w:sz w:val="7"/>
          <w:szCs w:val="7"/>
          <w:color w:val="auto"/>
        </w:rPr>
        <w:t>®</w:t>
      </w:r>
      <w:r>
        <w:rPr>
          <w:rFonts w:ascii="Arial" w:cs="Arial" w:eastAsia="Arial" w:hAnsi="Arial"/>
          <w:sz w:val="16"/>
          <w:szCs w:val="16"/>
          <w:color w:val="auto"/>
        </w:rPr>
        <w:t xml:space="preserve"> shirts, Buck Naked</w:t>
      </w:r>
      <w:r>
        <w:rPr>
          <w:rFonts w:ascii="Arial" w:cs="Arial" w:eastAsia="Arial" w:hAnsi="Arial"/>
          <w:sz w:val="7"/>
          <w:szCs w:val="7"/>
          <w:color w:val="auto"/>
        </w:rPr>
        <w:t>TM</w:t>
      </w:r>
      <w:r>
        <w:rPr>
          <w:rFonts w:ascii="Arial" w:cs="Arial" w:eastAsia="Arial" w:hAnsi="Arial"/>
          <w:sz w:val="16"/>
          <w:szCs w:val="16"/>
          <w:color w:val="auto"/>
        </w:rPr>
        <w:t xml:space="preserve"> underwear, and Fire Hose</w:t>
      </w:r>
      <w:r>
        <w:rPr>
          <w:rFonts w:ascii="Arial" w:cs="Arial" w:eastAsia="Arial" w:hAnsi="Arial"/>
          <w:sz w:val="7"/>
          <w:szCs w:val="7"/>
          <w:color w:val="auto"/>
        </w:rPr>
        <w:t>®</w:t>
      </w:r>
      <w:r>
        <w:rPr>
          <w:rFonts w:ascii="Arial" w:cs="Arial" w:eastAsia="Arial" w:hAnsi="Arial"/>
          <w:sz w:val="16"/>
          <w:szCs w:val="16"/>
          <w:color w:val="auto"/>
        </w:rPr>
        <w:t xml:space="preserve"> work pants, which reflect our position as the Modern, Self-Reliant American Lifestyle brand. Our brand has a heritage in workwear that transcends tradesmen and appeals to a broad demographic for everyday and on-the-job use.</w:t>
      </w:r>
    </w:p>
    <w:p>
      <w:pPr>
        <w:spacing w:after="0" w:line="106" w:lineRule="exact"/>
        <w:rPr>
          <w:sz w:val="20"/>
          <w:szCs w:val="20"/>
          <w:color w:val="auto"/>
        </w:rPr>
      </w:pPr>
    </w:p>
    <w:p>
      <w:pPr>
        <w:ind w:right="40" w:firstLine="428"/>
        <w:spacing w:after="0" w:line="279" w:lineRule="auto"/>
        <w:rPr>
          <w:sz w:val="20"/>
          <w:szCs w:val="20"/>
          <w:color w:val="auto"/>
        </w:rPr>
      </w:pPr>
      <w:r>
        <w:rPr>
          <w:rFonts w:ascii="Arial" w:cs="Arial" w:eastAsia="Arial" w:hAnsi="Arial"/>
          <w:sz w:val="17"/>
          <w:szCs w:val="17"/>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financial results is as follows:</w:t>
      </w:r>
    </w:p>
    <w:p>
      <w:pPr>
        <w:ind w:left="580" w:hanging="140"/>
        <w:spacing w:after="0" w:line="230" w:lineRule="auto"/>
        <w:tabs>
          <w:tab w:leader="none" w:pos="58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Net sales have increased year-over-year for 29 consecutive quarters through April 30, 2017;</w:t>
      </w:r>
    </w:p>
    <w:p>
      <w:pPr>
        <w:spacing w:after="0" w:line="97" w:lineRule="exact"/>
        <w:rPr>
          <w:rFonts w:ascii="Arial" w:cs="Arial" w:eastAsia="Arial" w:hAnsi="Arial"/>
          <w:sz w:val="29"/>
          <w:szCs w:val="29"/>
          <w:color w:val="auto"/>
          <w:vertAlign w:val="superscript"/>
        </w:rPr>
      </w:pPr>
    </w:p>
    <w:p>
      <w:pPr>
        <w:ind w:left="560" w:hanging="120"/>
        <w:spacing w:after="0" w:line="186" w:lineRule="auto"/>
        <w:tabs>
          <w:tab w:leader="none" w:pos="56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Net sales in fiscal 2017 first quarter increased by 21.9% over the prior year first quarter to $83.7 million;</w:t>
      </w:r>
    </w:p>
    <w:p>
      <w:pPr>
        <w:spacing w:after="0" w:line="96" w:lineRule="exact"/>
        <w:rPr>
          <w:rFonts w:ascii="Arial" w:cs="Arial" w:eastAsia="Arial" w:hAnsi="Arial"/>
          <w:sz w:val="24"/>
          <w:szCs w:val="24"/>
          <w:color w:val="auto"/>
          <w:vertAlign w:val="superscript"/>
        </w:rPr>
      </w:pPr>
    </w:p>
    <w:p>
      <w:pPr>
        <w:ind w:left="560" w:hanging="120"/>
        <w:spacing w:after="0" w:line="186" w:lineRule="auto"/>
        <w:tabs>
          <w:tab w:leader="none" w:pos="56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Net income in fiscal 2017 first quarter decreased by 89.0% over the prior year first quarter to $0.4 million;</w:t>
      </w:r>
    </w:p>
    <w:p>
      <w:pPr>
        <w:spacing w:after="0" w:line="96" w:lineRule="exact"/>
        <w:rPr>
          <w:rFonts w:ascii="Arial" w:cs="Arial" w:eastAsia="Arial" w:hAnsi="Arial"/>
          <w:sz w:val="24"/>
          <w:szCs w:val="24"/>
          <w:color w:val="auto"/>
          <w:vertAlign w:val="superscript"/>
        </w:rPr>
      </w:pPr>
    </w:p>
    <w:p>
      <w:pPr>
        <w:ind w:left="560" w:hanging="120"/>
        <w:spacing w:after="0" w:line="186" w:lineRule="auto"/>
        <w:tabs>
          <w:tab w:leader="none" w:pos="56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Adjusted EBITDA in fiscal 2017 first quarter decreased by 59.1% over the prior year first quarter to $2.7 million; and</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92" w:lineRule="exact"/>
        <w:rPr>
          <w:sz w:val="20"/>
          <w:szCs w:val="20"/>
          <w:color w:val="auto"/>
        </w:rPr>
      </w:pPr>
    </w:p>
    <w:p>
      <w:pPr>
        <w:ind w:left="580" w:hanging="140"/>
        <w:spacing w:after="0"/>
        <w:tabs>
          <w:tab w:leader="none" w:pos="58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Our retail stores have achieved an average payback of less than two years.</w:t>
      </w:r>
    </w:p>
    <w:p>
      <w:pPr>
        <w:spacing w:after="0" w:line="175" w:lineRule="exact"/>
        <w:rPr>
          <w:sz w:val="20"/>
          <w:szCs w:val="20"/>
          <w:color w:val="auto"/>
        </w:rPr>
      </w:pPr>
    </w:p>
    <w:p>
      <w:pPr>
        <w:ind w:right="360" w:firstLine="428"/>
        <w:spacing w:after="0" w:line="259" w:lineRule="auto"/>
        <w:rPr>
          <w:sz w:val="20"/>
          <w:szCs w:val="20"/>
          <w:color w:val="auto"/>
        </w:rPr>
      </w:pPr>
      <w:r>
        <w:rPr>
          <w:rFonts w:ascii="Arial" w:cs="Arial" w:eastAsia="Arial" w:hAnsi="Arial"/>
          <w:sz w:val="18"/>
          <w:szCs w:val="18"/>
          <w:color w:val="auto"/>
        </w:rPr>
        <w:t>See “Reconciliation of Net Income to EBITDA and EBITDA to Adjusted EBITDA” section for a reconciliation of our net income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46" w:lineRule="exact"/>
        <w:rPr>
          <w:sz w:val="20"/>
          <w:szCs w:val="20"/>
          <w:color w:val="auto"/>
        </w:rPr>
      </w:pPr>
    </w:p>
    <w:p>
      <w:pPr>
        <w:ind w:right="180" w:firstLine="428"/>
        <w:spacing w:after="0" w:line="264" w:lineRule="auto"/>
        <w:rPr>
          <w:sz w:val="20"/>
          <w:szCs w:val="20"/>
          <w:color w:val="auto"/>
        </w:rPr>
      </w:pPr>
      <w:r>
        <w:rPr>
          <w:rFonts w:ascii="Arial" w:cs="Arial" w:eastAsia="Arial" w:hAnsi="Arial"/>
          <w:sz w:val="18"/>
          <w:szCs w:val="18"/>
          <w:color w:val="auto"/>
        </w:rPr>
        <w:t>Our business is seasonal, and as a result, our net sales fluctuate from quarter to quarter, which often affects the comparability of our results between quarters. Net sales are historically higher in the fourth quarter of our fiscal year due to the holiday selling season.</w:t>
      </w:r>
    </w:p>
    <w:p>
      <w:pPr>
        <w:spacing w:after="0" w:line="154" w:lineRule="exact"/>
        <w:rPr>
          <w:sz w:val="20"/>
          <w:szCs w:val="20"/>
          <w:color w:val="auto"/>
        </w:rPr>
      </w:pPr>
    </w:p>
    <w:p>
      <w:pPr>
        <w:ind w:right="60" w:firstLine="428"/>
        <w:spacing w:after="0" w:line="264" w:lineRule="auto"/>
        <w:rPr>
          <w:sz w:val="20"/>
          <w:szCs w:val="20"/>
          <w:color w:val="auto"/>
        </w:rPr>
      </w:pPr>
      <w:r>
        <w:rPr>
          <w:rFonts w:ascii="Arial" w:cs="Arial" w:eastAsia="Arial" w:hAnsi="Arial"/>
          <w:sz w:val="18"/>
          <w:szCs w:val="18"/>
          <w:color w:val="auto"/>
        </w:rPr>
        <w:t>We are pursuing several strategies to continue our profitable growth, including building brand awareness to continue customer acquisition, accelerating retail expansion, selectively broadening assortments in certain men’s product categories and growing our women’s business.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89" w:lineRule="exact"/>
        <w:rPr>
          <w:sz w:val="20"/>
          <w:szCs w:val="20"/>
          <w:color w:val="auto"/>
        </w:rPr>
      </w:pPr>
    </w:p>
    <w:p>
      <w:pPr>
        <w:ind w:right="660" w:firstLine="428"/>
        <w:spacing w:after="0" w:line="277" w:lineRule="auto"/>
        <w:rPr>
          <w:sz w:val="20"/>
          <w:szCs w:val="20"/>
          <w:color w:val="auto"/>
        </w:rPr>
      </w:pPr>
      <w:r>
        <w:rPr>
          <w:rFonts w:ascii="Arial" w:cs="Arial" w:eastAsia="Arial" w:hAnsi="Arial"/>
          <w:sz w:val="18"/>
          <w:szCs w:val="18"/>
          <w:color w:val="auto"/>
        </w:rPr>
        <w:t>In assessing the performance of our business, we consider a variety of financial and operating measures that affect our operating results.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85" w:lineRule="exact"/>
        <w:rPr>
          <w:sz w:val="20"/>
          <w:szCs w:val="20"/>
          <w:color w:val="auto"/>
        </w:rPr>
      </w:pPr>
    </w:p>
    <w:p>
      <w:pPr>
        <w:ind w:right="80" w:firstLine="428"/>
        <w:spacing w:after="0" w:line="259" w:lineRule="auto"/>
        <w:rPr>
          <w:sz w:val="20"/>
          <w:szCs w:val="20"/>
          <w:color w:val="auto"/>
        </w:rPr>
      </w:pPr>
      <w:r>
        <w:rPr>
          <w:rFonts w:ascii="Arial" w:cs="Arial" w:eastAsia="Arial" w:hAnsi="Arial"/>
          <w:sz w:val="18"/>
          <w:szCs w:val="18"/>
          <w:color w:val="auto"/>
        </w:rPr>
        <w:t>Net sales reflect our sale of merchandise plus shipping and handling revenue collected from our customers, less returns and discounts. Direct sales are recognized upon customer receipt of the product, while retail sales are recognized at the point of sale. We also use net sales as one of the key financial metrics we measure against in determining our annual bonus compensation for our employees.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Store Sales</w:t>
      </w:r>
    </w:p>
    <w:p>
      <w:pPr>
        <w:spacing w:after="0" w:line="198" w:lineRule="exact"/>
        <w:rPr>
          <w:sz w:val="20"/>
          <w:szCs w:val="20"/>
          <w:color w:val="auto"/>
        </w:rPr>
      </w:pPr>
    </w:p>
    <w:p>
      <w:pPr>
        <w:ind w:right="120" w:firstLine="428"/>
        <w:spacing w:after="0" w:line="308" w:lineRule="auto"/>
        <w:rPr>
          <w:sz w:val="20"/>
          <w:szCs w:val="20"/>
          <w:color w:val="auto"/>
        </w:rPr>
      </w:pPr>
      <w:r>
        <w:rPr>
          <w:rFonts w:ascii="Arial" w:cs="Arial" w:eastAsia="Arial" w:hAnsi="Arial"/>
          <w:sz w:val="17"/>
          <w:szCs w:val="17"/>
          <w:color w:val="auto"/>
        </w:rPr>
        <w:t>Comparable store sales are generally calculated based upon retail stores that were open at least twelve full fiscal months as of the end of the reporting period. Our outlet stores are not included in the comparable store sales calculations.</w:t>
      </w:r>
    </w:p>
    <w:p>
      <w:pPr>
        <w:spacing w:after="0" w:line="106" w:lineRule="exact"/>
        <w:rPr>
          <w:sz w:val="20"/>
          <w:szCs w:val="20"/>
          <w:color w:val="auto"/>
        </w:rPr>
      </w:pPr>
    </w:p>
    <w:p>
      <w:pPr>
        <w:ind w:right="40" w:firstLine="428"/>
        <w:spacing w:after="0" w:line="273" w:lineRule="auto"/>
        <w:rPr>
          <w:sz w:val="20"/>
          <w:szCs w:val="20"/>
          <w:color w:val="auto"/>
        </w:rPr>
      </w:pPr>
      <w:r>
        <w:rPr>
          <w:rFonts w:ascii="Arial" w:cs="Arial" w:eastAsia="Arial" w:hAnsi="Arial"/>
          <w:sz w:val="17"/>
          <w:szCs w:val="17"/>
          <w:color w:val="auto"/>
        </w:rPr>
        <w:t>Comparable store sales allow us to evaluate how our retail store base is performing by measuring the change in period over-period net sales in stores that have been open for twelve fiscal months or more. Some of our competitors and other retailers calculate comparable store sales differently than we do; as a result, our comparable store sales may not be comparable to similar data made available by other companies. We have excluded comparable store sales data from this Form 10-Q due to the limited number of comparable retail stores as of April 30, 2017. Although retail store expansion is part of our growth strategy, we expect a majority of our net sales to come from our direct segment for the foreseeable future.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8" w:lineRule="exact"/>
        <w:rPr>
          <w:sz w:val="20"/>
          <w:szCs w:val="20"/>
          <w:color w:val="auto"/>
        </w:rPr>
      </w:pPr>
    </w:p>
    <w:p>
      <w:pPr>
        <w:ind w:firstLine="428"/>
        <w:spacing w:after="0" w:line="287" w:lineRule="auto"/>
        <w:rPr>
          <w:sz w:val="20"/>
          <w:szCs w:val="20"/>
          <w:color w:val="auto"/>
        </w:rPr>
      </w:pPr>
      <w:r>
        <w:rPr>
          <w:rFonts w:ascii="Arial" w:cs="Arial" w:eastAsia="Arial" w:hAnsi="Arial"/>
          <w:sz w:val="16"/>
          <w:szCs w:val="16"/>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or market reserves; inbound freight; and freight from our distribution centers to our retail stores. The primary drivers of the costs of individual goods are raw material costs. We expect gross profit to increase to the extent that we successfully grow our net sales. Given the size of our direct segment sales relative to our total net sales, shipping and handling revenue has had a significant impact on our gross profit and gross profit margin. Historically, this revenue has partially offset shipping and handling expense included in selling, general and administrative expenses. Declines in shipping and handling revenues may have a material adverse effect on our gross profit and gross profit margin, as well as Adjusted EBITDA to the extent there are not commensurate declines, or if there are increases, in our shipping and handling expense. Our gross profit may not be comparable to other retailers, as we do not include distribution network and store occupancy expenses in calculating gross profit, but instead we include them in selling, general and administrative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right="160" w:firstLine="428"/>
        <w:spacing w:after="0" w:line="297" w:lineRule="auto"/>
        <w:rPr>
          <w:sz w:val="20"/>
          <w:szCs w:val="20"/>
          <w:color w:val="auto"/>
        </w:rPr>
      </w:pPr>
      <w:r>
        <w:rPr>
          <w:rFonts w:ascii="Arial" w:cs="Arial" w:eastAsia="Arial" w:hAnsi="Arial"/>
          <w:sz w:val="16"/>
          <w:szCs w:val="16"/>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television advertising, catalog production, mailing and print advertising costs, as well as all logistics costs associated with shipping product to our customers, consulting and software expenses and professional services fees. Selling, general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administrative expenses as a percentage of net sales is usually higher in lower-volume quarters and lower in higher-volume quarters because a portion of the costs are relatively fixed.</w:t>
      </w:r>
    </w:p>
    <w:p>
      <w:pPr>
        <w:spacing w:after="0" w:line="130" w:lineRule="exact"/>
        <w:rPr>
          <w:sz w:val="20"/>
          <w:szCs w:val="20"/>
          <w:color w:val="auto"/>
        </w:rPr>
      </w:pPr>
    </w:p>
    <w:p>
      <w:pPr>
        <w:ind w:firstLine="428"/>
        <w:spacing w:after="0" w:line="259" w:lineRule="auto"/>
        <w:rPr>
          <w:sz w:val="20"/>
          <w:szCs w:val="20"/>
          <w:color w:val="auto"/>
        </w:rPr>
      </w:pPr>
      <w:r>
        <w:rPr>
          <w:rFonts w:ascii="Arial" w:cs="Arial" w:eastAsia="Arial" w:hAnsi="Arial"/>
          <w:sz w:val="18"/>
          <w:szCs w:val="18"/>
          <w:color w:val="auto"/>
        </w:rPr>
        <w:t>Our historical sales growth has been accompanied by increased selling, general and administrative expenses. The most significant components of these increases are advertising, marketing and payroll costs. While we expect these expenses to increase as we continue to open new stores, increase brand awareness and grow our organization to support our growing business, we believe these expenses will decrease as a percentage of sales over time.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85" w:lineRule="exact"/>
        <w:rPr>
          <w:sz w:val="20"/>
          <w:szCs w:val="20"/>
          <w:color w:val="auto"/>
        </w:rPr>
      </w:pPr>
    </w:p>
    <w:p>
      <w:pPr>
        <w:ind w:firstLine="428"/>
        <w:spacing w:after="0" w:line="273" w:lineRule="auto"/>
        <w:rPr>
          <w:sz w:val="20"/>
          <w:szCs w:val="20"/>
          <w:color w:val="auto"/>
        </w:rPr>
      </w:pPr>
      <w:r>
        <w:rPr>
          <w:rFonts w:ascii="Arial" w:cs="Arial" w:eastAsia="Arial" w:hAnsi="Arial"/>
          <w:sz w:val="17"/>
          <w:szCs w:val="17"/>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 We also use Adjusted EBITDA as one of the key financial metrics we measure against in determining our annual bonus compensation for our employees.</w:t>
      </w:r>
    </w:p>
    <w:p>
      <w:pPr>
        <w:spacing w:after="0" w:line="138" w:lineRule="exact"/>
        <w:rPr>
          <w:sz w:val="20"/>
          <w:szCs w:val="20"/>
          <w:color w:val="auto"/>
        </w:rPr>
      </w:pPr>
    </w:p>
    <w:p>
      <w:pPr>
        <w:ind w:right="380" w:firstLine="428"/>
        <w:spacing w:after="0" w:line="259" w:lineRule="auto"/>
        <w:rPr>
          <w:sz w:val="20"/>
          <w:szCs w:val="20"/>
          <w:color w:val="auto"/>
        </w:rPr>
      </w:pPr>
      <w:r>
        <w:rPr>
          <w:rFonts w:ascii="Arial" w:cs="Arial" w:eastAsia="Arial" w:hAnsi="Arial"/>
          <w:sz w:val="18"/>
          <w:szCs w:val="18"/>
          <w:color w:val="auto"/>
        </w:rPr>
        <w:t>We define Adjusted EBITDA as consolidated net income (loss)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right="120" w:firstLine="428"/>
        <w:spacing w:after="0" w:line="277" w:lineRule="auto"/>
        <w:rPr>
          <w:sz w:val="20"/>
          <w:szCs w:val="20"/>
          <w:color w:val="auto"/>
        </w:rPr>
      </w:pPr>
      <w:r>
        <w:rPr>
          <w:rFonts w:ascii="Arial" w:cs="Arial" w:eastAsia="Arial" w:hAnsi="Arial"/>
          <w:sz w:val="18"/>
          <w:szCs w:val="18"/>
          <w:color w:val="auto"/>
        </w:rPr>
        <w:t>The following table summarizes our unaudited consolidated results of operations for the periods indicated, both in dollars and as a percentage of net sales.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5"/>
          </w:tcPr>
          <w:p>
            <w:pPr>
              <w:jc w:val="right"/>
              <w:ind w:right="1071"/>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April 30, 2017</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jc w:val="right"/>
              <w:ind w:right="690"/>
              <w:spacing w:after="0"/>
              <w:rPr>
                <w:sz w:val="20"/>
                <w:szCs w:val="20"/>
                <w:color w:val="auto"/>
              </w:rPr>
            </w:pPr>
            <w:r>
              <w:rPr>
                <w:rFonts w:ascii="Arial" w:cs="Arial" w:eastAsia="Arial" w:hAnsi="Arial"/>
                <w:sz w:val="14"/>
                <w:szCs w:val="14"/>
                <w:b w:val="1"/>
                <w:bCs w:val="1"/>
                <w:color w:val="auto"/>
              </w:rPr>
              <w:t>May 1, 2016</w:t>
            </w:r>
          </w:p>
        </w:tc>
      </w:tr>
      <w:tr>
        <w:trPr>
          <w:trHeight w:val="196"/>
        </w:trPr>
        <w:tc>
          <w:tcPr>
            <w:tcW w:w="50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6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Direct net sales</w:t>
            </w: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63,775</w:t>
            </w:r>
          </w:p>
        </w:tc>
        <w:tc>
          <w:tcPr>
            <w:tcW w:w="1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60,325</w:t>
            </w:r>
          </w:p>
        </w:tc>
        <w:tc>
          <w:tcPr>
            <w:tcW w:w="3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Retail net sales</w:t>
            </w:r>
          </w:p>
        </w:tc>
        <w:tc>
          <w:tcPr>
            <w:tcW w:w="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19,912</w:t>
            </w: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8,307</w:t>
            </w:r>
          </w:p>
        </w:tc>
        <w:tc>
          <w:tcPr>
            <w:tcW w:w="30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83,687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68,632</w:t>
            </w:r>
          </w:p>
        </w:tc>
        <w:tc>
          <w:tcPr>
            <w:tcW w:w="3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 (excluding depreciation and amortization)</w:t>
            </w:r>
          </w:p>
        </w:tc>
        <w:tc>
          <w:tcPr>
            <w:tcW w:w="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35,044</w:t>
            </w: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28,941</w:t>
            </w:r>
          </w:p>
        </w:tc>
        <w:tc>
          <w:tcPr>
            <w:tcW w:w="30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39,691</w:t>
            </w:r>
          </w:p>
        </w:tc>
        <w:tc>
          <w:tcPr>
            <w:tcW w:w="3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47,894</w:t>
            </w: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34,350</w:t>
            </w:r>
          </w:p>
        </w:tc>
        <w:tc>
          <w:tcPr>
            <w:tcW w:w="30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3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6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5,373</w:t>
            </w:r>
          </w:p>
        </w:tc>
        <w:tc>
          <w:tcPr>
            <w:tcW w:w="3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30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3,312</w:t>
            </w:r>
          </w:p>
        </w:tc>
        <w:tc>
          <w:tcPr>
            <w:tcW w:w="3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w:t>
            </w: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 interest</w:t>
            </w:r>
          </w:p>
        </w:tc>
        <w:tc>
          <w:tcPr>
            <w:tcW w:w="6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20"/>
                <w:szCs w:val="20"/>
                <w:color w:val="auto"/>
              </w:rPr>
            </w:pPr>
          </w:p>
        </w:tc>
      </w:tr>
      <w:tr>
        <w:trPr>
          <w:trHeight w:val="217"/>
        </w:trPr>
        <w:tc>
          <w:tcPr>
            <w:tcW w:w="5060" w:type="dxa"/>
            <w:vAlign w:val="bottom"/>
            <w:gridSpan w:val="2"/>
          </w:tcPr>
          <w:p>
            <w:pPr>
              <w:spacing w:after="0"/>
              <w:rPr>
                <w:sz w:val="20"/>
                <w:szCs w:val="20"/>
                <w:color w:val="auto"/>
              </w:rPr>
            </w:pPr>
            <w:r>
              <w:rPr>
                <w:rFonts w:ascii="Arial" w:cs="Arial" w:eastAsia="Arial" w:hAnsi="Arial"/>
                <w:sz w:val="18"/>
                <w:szCs w:val="18"/>
                <w:color w:val="auto"/>
              </w:rPr>
              <w:t>Net income attributable to controlling interest</w:t>
            </w:r>
          </w:p>
        </w:tc>
        <w:tc>
          <w:tcPr>
            <w:tcW w:w="6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3,241</w:t>
            </w:r>
          </w:p>
        </w:tc>
        <w:tc>
          <w:tcPr>
            <w:tcW w:w="30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Percentage of Net sales:</w:t>
            </w:r>
          </w:p>
        </w:tc>
        <w:tc>
          <w:tcPr>
            <w:tcW w:w="6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 net sales</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76.2 %</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jc w:val="right"/>
              <w:ind w:right="70"/>
              <w:spacing w:after="0"/>
              <w:rPr>
                <w:sz w:val="20"/>
                <w:szCs w:val="20"/>
                <w:color w:val="auto"/>
              </w:rPr>
            </w:pPr>
            <w:r>
              <w:rPr>
                <w:rFonts w:ascii="Arial" w:cs="Arial" w:eastAsia="Arial" w:hAnsi="Arial"/>
                <w:sz w:val="18"/>
                <w:szCs w:val="18"/>
                <w:color w:val="auto"/>
              </w:rPr>
              <w:t>87.9 %</w:t>
            </w:r>
          </w:p>
        </w:tc>
      </w:tr>
      <w:tr>
        <w:trPr>
          <w:trHeight w:val="230"/>
        </w:trPr>
        <w:tc>
          <w:tcPr>
            <w:tcW w:w="2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Retail net sales</w:t>
            </w: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12.1 %</w:t>
            </w:r>
          </w:p>
        </w:tc>
      </w:tr>
      <w:tr>
        <w:trPr>
          <w:trHeight w:val="210"/>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sales</w:t>
            </w:r>
          </w:p>
        </w:tc>
        <w:tc>
          <w:tcPr>
            <w:tcW w:w="6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r>
      <w:tr>
        <w:trPr>
          <w:trHeight w:val="230"/>
        </w:trPr>
        <w:tc>
          <w:tcPr>
            <w:tcW w:w="2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(excluding depreciation and amortization)</w:t>
            </w: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41.9 %</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42.2 %</w:t>
            </w:r>
          </w:p>
        </w:tc>
      </w:tr>
      <w:tr>
        <w:trPr>
          <w:trHeight w:val="210"/>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Gross profit</w:t>
            </w:r>
          </w:p>
        </w:tc>
        <w:tc>
          <w:tcPr>
            <w:tcW w:w="6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r>
      <w:tr>
        <w:trPr>
          <w:trHeight w:val="230"/>
        </w:trPr>
        <w:tc>
          <w:tcPr>
            <w:tcW w:w="2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57.2 %</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50.0 %</w:t>
            </w:r>
          </w:p>
        </w:tc>
      </w:tr>
      <w:tr>
        <w:trPr>
          <w:trHeight w:val="210"/>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Operating income</w:t>
            </w:r>
          </w:p>
        </w:tc>
        <w:tc>
          <w:tcPr>
            <w:tcW w:w="6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r>
      <w:tr>
        <w:trPr>
          <w:trHeight w:val="230"/>
        </w:trPr>
        <w:tc>
          <w:tcPr>
            <w:tcW w:w="2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0.1 %</w:t>
            </w: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Other income, net</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jc w:val="right"/>
              <w:ind w:right="70"/>
              <w:spacing w:after="0"/>
              <w:rPr>
                <w:sz w:val="20"/>
                <w:szCs w:val="20"/>
                <w:color w:val="auto"/>
              </w:rPr>
            </w:pPr>
            <w:r>
              <w:rPr>
                <w:rFonts w:ascii="Arial" w:cs="Arial" w:eastAsia="Arial" w:hAnsi="Arial"/>
                <w:sz w:val="18"/>
                <w:szCs w:val="18"/>
                <w:color w:val="auto"/>
              </w:rPr>
              <w:t>0.1 %</w:t>
            </w: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Income tax expense</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jc w:val="right"/>
              <w:ind w:right="70"/>
              <w:spacing w:after="0"/>
              <w:rPr>
                <w:sz w:val="20"/>
                <w:szCs w:val="20"/>
                <w:color w:val="auto"/>
              </w:rPr>
            </w:pPr>
            <w:r>
              <w:rPr>
                <w:rFonts w:ascii="Arial" w:cs="Arial" w:eastAsia="Arial" w:hAnsi="Arial"/>
                <w:sz w:val="18"/>
                <w:szCs w:val="18"/>
                <w:color w:val="auto"/>
              </w:rPr>
              <w:t>3.0 %</w:t>
            </w: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r>
      <w:tr>
        <w:trPr>
          <w:trHeight w:val="229"/>
        </w:trPr>
        <w:tc>
          <w:tcPr>
            <w:tcW w:w="5060" w:type="dxa"/>
            <w:vAlign w:val="bottom"/>
            <w:gridSpan w:val="2"/>
          </w:tcPr>
          <w:p>
            <w:pPr>
              <w:spacing w:after="0"/>
              <w:rPr>
                <w:sz w:val="20"/>
                <w:szCs w:val="20"/>
                <w:color w:val="auto"/>
              </w:rPr>
            </w:pPr>
            <w:r>
              <w:rPr>
                <w:rFonts w:ascii="Arial" w:cs="Arial" w:eastAsia="Arial" w:hAnsi="Arial"/>
                <w:sz w:val="18"/>
                <w:szCs w:val="18"/>
                <w:color w:val="auto"/>
              </w:rPr>
              <w:t>Less: Net income attributable to</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noncontrolling interest</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2"/>
          </w:tcPr>
          <w:p>
            <w:pPr>
              <w:jc w:val="right"/>
              <w:ind w:right="70"/>
              <w:spacing w:after="0"/>
              <w:rPr>
                <w:sz w:val="20"/>
                <w:szCs w:val="20"/>
                <w:color w:val="auto"/>
              </w:rPr>
            </w:pPr>
            <w:r>
              <w:rPr>
                <w:rFonts w:ascii="Arial" w:cs="Arial" w:eastAsia="Arial" w:hAnsi="Arial"/>
                <w:sz w:val="18"/>
                <w:szCs w:val="18"/>
                <w:color w:val="auto"/>
              </w:rPr>
              <w:t>0.1 %</w:t>
            </w:r>
          </w:p>
        </w:tc>
      </w:tr>
      <w:tr>
        <w:trPr>
          <w:trHeight w:val="217"/>
        </w:trPr>
        <w:tc>
          <w:tcPr>
            <w:tcW w:w="20" w:type="dxa"/>
            <w:vAlign w:val="bottom"/>
          </w:tcPr>
          <w:p>
            <w:pPr>
              <w:spacing w:after="0"/>
              <w:rPr>
                <w:sz w:val="18"/>
                <w:szCs w:val="18"/>
                <w:color w:val="auto"/>
              </w:rPr>
            </w:pPr>
          </w:p>
        </w:tc>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controlling interest</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120"/>
        <w:spacing w:after="0" w:line="464" w:lineRule="auto"/>
        <w:rPr>
          <w:sz w:val="20"/>
          <w:szCs w:val="20"/>
          <w:color w:val="auto"/>
        </w:rPr>
      </w:pPr>
      <w:r>
        <w:rPr>
          <w:rFonts w:ascii="Arial" w:cs="Arial" w:eastAsia="Arial" w:hAnsi="Arial"/>
          <w:sz w:val="18"/>
          <w:szCs w:val="18"/>
          <w:b w:val="1"/>
          <w:bCs w:val="1"/>
          <w:color w:val="auto"/>
        </w:rPr>
        <w:t xml:space="preserve">Three Months Ended April 30, 2017 Compared to Three Months Ended May 1, 2016 </w:t>
      </w:r>
      <w:r>
        <w:rPr>
          <w:rFonts w:ascii="Arial" w:cs="Arial" w:eastAsia="Arial" w:hAnsi="Arial"/>
          <w:sz w:val="18"/>
          <w:szCs w:val="18"/>
          <w:b w:val="1"/>
          <w:bCs w:val="1"/>
          <w:i w:val="1"/>
          <w:iCs w:val="1"/>
          <w:color w:val="auto"/>
        </w:rPr>
        <w:t>Net Sales</w:t>
      </w:r>
    </w:p>
    <w:p>
      <w:pPr>
        <w:ind w:right="20" w:firstLine="428"/>
        <w:spacing w:after="0" w:line="255" w:lineRule="auto"/>
        <w:rPr>
          <w:sz w:val="20"/>
          <w:szCs w:val="20"/>
          <w:color w:val="auto"/>
        </w:rPr>
      </w:pPr>
      <w:r>
        <w:rPr>
          <w:rFonts w:ascii="Arial" w:cs="Arial" w:eastAsia="Arial" w:hAnsi="Arial"/>
          <w:sz w:val="18"/>
          <w:szCs w:val="18"/>
          <w:color w:val="auto"/>
        </w:rPr>
        <w:t>Net sales increased $15.1 million, or 21.9%, to $83.7 million in the three months ended April 30, 2017 compared to $68.6 million in the three months ended May 1, 2016, driven by gains in both direct and retail segments of $3.5 million, or 5.7%, and $11.6 million, or 139.7%, respectively, with gains achieved across the majority of product categories. Our website visits increased 16.5% in the three months ended April 30, 2017 compared to the three months ended May 1, 2016. The increase in retail net sales was primarily due to having 11 more stores during the three months ended April 30, 2017 as compared to the three months ended May 1, 2016.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85" w:lineRule="exact"/>
        <w:rPr>
          <w:sz w:val="20"/>
          <w:szCs w:val="20"/>
          <w:color w:val="auto"/>
        </w:rPr>
      </w:pPr>
    </w:p>
    <w:p>
      <w:pPr>
        <w:ind w:right="280" w:firstLine="428"/>
        <w:spacing w:after="0" w:line="342" w:lineRule="auto"/>
        <w:rPr>
          <w:sz w:val="20"/>
          <w:szCs w:val="20"/>
          <w:color w:val="auto"/>
        </w:rPr>
      </w:pPr>
      <w:r>
        <w:rPr>
          <w:rFonts w:ascii="Arial" w:cs="Arial" w:eastAsia="Arial" w:hAnsi="Arial"/>
          <w:sz w:val="16"/>
          <w:szCs w:val="16"/>
          <w:color w:val="auto"/>
        </w:rPr>
        <w:t>Gross profit increased $9.0 million, or 22.6%, to $48.6 million in the three months ended April 30, 2017 compared to $39.7 million in the three months ended May 1, 2016. As a percentage of net sales, gross margin increased 30 basis points to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58.1% of net sales in the three months ended April 30, 2017, compared to 57.8% of net sales in the three months ended May 1, 2016. The increase in gross profit was primarily driven by an increase in net sales as discussed above. The increase in gross margin rate reflected a strong product margin, due to product mix coupled with strategic promotions, which was partially offset by a decline in shipping revenues.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8" w:lineRule="exact"/>
        <w:rPr>
          <w:sz w:val="20"/>
          <w:szCs w:val="20"/>
          <w:color w:val="auto"/>
        </w:rPr>
      </w:pPr>
    </w:p>
    <w:p>
      <w:pPr>
        <w:ind w:right="60" w:firstLine="428"/>
        <w:spacing w:after="0" w:line="255" w:lineRule="auto"/>
        <w:rPr>
          <w:sz w:val="20"/>
          <w:szCs w:val="20"/>
          <w:color w:val="auto"/>
        </w:rPr>
      </w:pPr>
      <w:r>
        <w:rPr>
          <w:rFonts w:ascii="Arial" w:cs="Arial" w:eastAsia="Arial" w:hAnsi="Arial"/>
          <w:sz w:val="18"/>
          <w:szCs w:val="18"/>
          <w:color w:val="auto"/>
        </w:rPr>
        <w:t>Selling, general and administrative expenses increased $13.5 million, or 39.4%, to $47.9 million in the three months ended April 30, 2017 compared to $34.4 million in the three months ended May 1, 2016. Selling, general and administrative expenses as a percentage of net sales increased 720 basis points to 57.2% in the three months ended April 30, 2017, compared to 50.0% in the three months ended May 1, 2016. The increase in selling, general and administrative expenses was attributable to an increase of $5.9 million in advertising and marketing costs, $4.9 million in general and administrative expenses and $2.7 million in selling expenses.</w:t>
      </w:r>
    </w:p>
    <w:p>
      <w:pPr>
        <w:spacing w:after="0" w:line="153" w:lineRule="exact"/>
        <w:rPr>
          <w:sz w:val="20"/>
          <w:szCs w:val="20"/>
          <w:color w:val="auto"/>
        </w:rPr>
      </w:pPr>
    </w:p>
    <w:p>
      <w:pPr>
        <w:ind w:right="120" w:firstLine="428"/>
        <w:spacing w:after="0" w:line="279" w:lineRule="auto"/>
        <w:rPr>
          <w:sz w:val="20"/>
          <w:szCs w:val="20"/>
          <w:color w:val="auto"/>
        </w:rPr>
      </w:pPr>
      <w:r>
        <w:rPr>
          <w:rFonts w:ascii="Arial" w:cs="Arial" w:eastAsia="Arial" w:hAnsi="Arial"/>
          <w:sz w:val="17"/>
          <w:szCs w:val="17"/>
          <w:color w:val="auto"/>
        </w:rPr>
        <w:t>As a percentage of net sales, advertising and marketing costs increased 320 basis points to 25.2% in the three months ended April 30, 2017, compared to 22.0% in the three months ended May 1, 2016. The 320 basis point increase in advertising and marketing costs as a percentage of net sales was primarily attributable to launching our women’s television advertising campaign in the first quarter of fiscal 2017, as compared to the second quarter of fiscal 2016.</w:t>
      </w:r>
    </w:p>
    <w:p>
      <w:pPr>
        <w:spacing w:after="0" w:line="131" w:lineRule="exact"/>
        <w:rPr>
          <w:sz w:val="20"/>
          <w:szCs w:val="20"/>
          <w:color w:val="auto"/>
        </w:rPr>
      </w:pPr>
    </w:p>
    <w:p>
      <w:pPr>
        <w:ind w:right="40" w:firstLine="428"/>
        <w:spacing w:after="0" w:line="255" w:lineRule="auto"/>
        <w:rPr>
          <w:sz w:val="20"/>
          <w:szCs w:val="20"/>
          <w:color w:val="auto"/>
        </w:rPr>
      </w:pPr>
      <w:r>
        <w:rPr>
          <w:rFonts w:ascii="Arial" w:cs="Arial" w:eastAsia="Arial" w:hAnsi="Arial"/>
          <w:sz w:val="18"/>
          <w:szCs w:val="18"/>
          <w:color w:val="auto"/>
        </w:rPr>
        <w:t>As a percentage of net sales, general and administrative expenses increased 320 basis points to 17.4% in the three months ended April 30, 2017, compared to 14.2% in the three months ended May 1, 2016. The 320 basis point increase was primarily attributable to an increase of 210 basis points in rent expense and related store opening costs, an increase of 60 basis points in depreciation and an increase of 30 basis points in personnel expense as a result of increase in headcount to support the growth of our business. In the three months ended April 30, 2017, we opened four new stores compared to none in the prior-year three months ended May 1, 2016.</w:t>
      </w:r>
    </w:p>
    <w:p>
      <w:pPr>
        <w:spacing w:after="0" w:line="166" w:lineRule="exact"/>
        <w:rPr>
          <w:sz w:val="20"/>
          <w:szCs w:val="20"/>
          <w:color w:val="auto"/>
        </w:rPr>
      </w:pPr>
    </w:p>
    <w:p>
      <w:pPr>
        <w:ind w:right="80" w:firstLine="428"/>
        <w:spacing w:after="0" w:line="312" w:lineRule="auto"/>
        <w:rPr>
          <w:sz w:val="20"/>
          <w:szCs w:val="20"/>
          <w:color w:val="auto"/>
        </w:rPr>
      </w:pPr>
      <w:r>
        <w:rPr>
          <w:rFonts w:ascii="Arial" w:cs="Arial" w:eastAsia="Arial" w:hAnsi="Arial"/>
          <w:sz w:val="16"/>
          <w:szCs w:val="16"/>
          <w:color w:val="auto"/>
        </w:rPr>
        <w:t>As a percentage of net sales, selling expenses increased 80 basis points to 14.6% in the three months ended April 30, 2017, compared to 13.8% in the three months ended May 1, 2016, primarily due to an increase of 140 basis points in customer service due to growth in retail, offset by a decrease of 50 basis points in shipping expenses due to leverage from increase in retail net sales.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p>
      <w:pPr>
        <w:ind w:right="320" w:firstLine="428"/>
        <w:spacing w:after="0" w:line="308" w:lineRule="auto"/>
        <w:rPr>
          <w:sz w:val="20"/>
          <w:szCs w:val="20"/>
          <w:color w:val="auto"/>
        </w:rPr>
      </w:pPr>
      <w:r>
        <w:rPr>
          <w:rFonts w:ascii="Arial" w:cs="Arial" w:eastAsia="Arial" w:hAnsi="Arial"/>
          <w:sz w:val="17"/>
          <w:szCs w:val="17"/>
          <w:color w:val="auto"/>
        </w:rPr>
        <w:t>Interest expense was $0.2 million in the three months ended April 30, 2017, compared to $0.04 million in the three months ended May 1, 2016. The increase in interest expense was primarily attributable to our build-to-suit retail stores.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p>
      <w:pPr>
        <w:ind w:right="140" w:firstLine="428"/>
        <w:spacing w:after="0" w:line="264" w:lineRule="auto"/>
        <w:rPr>
          <w:sz w:val="20"/>
          <w:szCs w:val="20"/>
          <w:color w:val="auto"/>
        </w:rPr>
      </w:pPr>
      <w:r>
        <w:rPr>
          <w:rFonts w:ascii="Arial" w:cs="Arial" w:eastAsia="Arial" w:hAnsi="Arial"/>
          <w:sz w:val="18"/>
          <w:szCs w:val="18"/>
          <w:color w:val="auto"/>
        </w:rPr>
        <w:t>Income tax expense was $0.2 million in the three months ended April 30, 2017, compared to $2.1 million in the three months ended May 1, 2016. Our effective tax rate related to controlling interest was 39%, for both the three months ended April 30, 2017 and May 1, 2016.</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98" w:lineRule="exact"/>
        <w:rPr>
          <w:sz w:val="20"/>
          <w:szCs w:val="20"/>
          <w:color w:val="auto"/>
        </w:rPr>
      </w:pPr>
    </w:p>
    <w:p>
      <w:pPr>
        <w:ind w:right="400" w:firstLine="428"/>
        <w:spacing w:after="0" w:line="277" w:lineRule="auto"/>
        <w:rPr>
          <w:sz w:val="20"/>
          <w:szCs w:val="20"/>
          <w:color w:val="auto"/>
        </w:rPr>
      </w:pPr>
      <w:r>
        <w:rPr>
          <w:rFonts w:ascii="Arial" w:cs="Arial" w:eastAsia="Arial" w:hAnsi="Arial"/>
          <w:sz w:val="18"/>
          <w:szCs w:val="18"/>
          <w:color w:val="auto"/>
        </w:rPr>
        <w:t>Net income decreased $2.9 million, or 89.0%, to $0.4 million in the three months ended April 30, 2017, compared to $3.2 million in the three months ended May 1, 2016, primarily due to the factors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EBITDA and EBITDA to Adjusted EBITDA</w:t>
      </w:r>
    </w:p>
    <w:p>
      <w:pPr>
        <w:spacing w:after="0" w:line="189" w:lineRule="exact"/>
        <w:rPr>
          <w:sz w:val="20"/>
          <w:szCs w:val="20"/>
          <w:color w:val="auto"/>
        </w:rPr>
      </w:pPr>
    </w:p>
    <w:p>
      <w:pPr>
        <w:ind w:right="160" w:firstLine="428"/>
        <w:spacing w:after="0" w:line="264" w:lineRule="auto"/>
        <w:rPr>
          <w:sz w:val="20"/>
          <w:szCs w:val="20"/>
          <w:color w:val="auto"/>
        </w:rPr>
      </w:pPr>
      <w:r>
        <w:rPr>
          <w:rFonts w:ascii="Arial" w:cs="Arial" w:eastAsia="Arial" w:hAnsi="Arial"/>
          <w:sz w:val="18"/>
          <w:szCs w:val="18"/>
          <w:color w:val="auto"/>
        </w:rPr>
        <w:t>The following table presents reconciliations of net income to EBITDA and EBITDA to Adjusted EBITDA, both of which are non-GAAP financial measures, for the periods indicated below. See the above section titled “How We Assess the Performance of Our Business,” for our definition of Adjusted EBITDA.</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138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2017</w:t>
            </w: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7"/>
              </w:rPr>
              <w:t>May 1, 2016</w:t>
            </w:r>
          </w:p>
        </w:tc>
      </w:tr>
      <w:tr>
        <w:trPr>
          <w:trHeight w:val="250"/>
        </w:trPr>
        <w:tc>
          <w:tcPr>
            <w:tcW w:w="41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0" w:type="dxa"/>
            <w:vAlign w:val="bottom"/>
            <w:gridSpan w:val="2"/>
            <w:shd w:val="clear" w:color="auto" w:fill="CCEEFF"/>
          </w:tcPr>
          <w:p>
            <w:pPr>
              <w:jc w:val="right"/>
              <w:ind w:right="126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80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r>
      <w:tr>
        <w:trPr>
          <w:trHeight w:val="216"/>
        </w:trPr>
        <w:tc>
          <w:tcPr>
            <w:tcW w:w="2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1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1,552</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Income tax expense</w:t>
            </w:r>
          </w:p>
        </w:tc>
        <w:tc>
          <w:tcPr>
            <w:tcW w:w="13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w:t>
            </w:r>
          </w:p>
        </w:tc>
      </w:tr>
      <w:tr>
        <w:trPr>
          <w:trHeight w:val="237"/>
        </w:trPr>
        <w:tc>
          <w:tcPr>
            <w:tcW w:w="20" w:type="dxa"/>
            <w:vAlign w:val="bottom"/>
          </w:tcPr>
          <w:p>
            <w:pPr>
              <w:spacing w:after="0"/>
              <w:rPr>
                <w:sz w:val="20"/>
                <w:szCs w:val="20"/>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800" w:type="dxa"/>
            <w:vAlign w:val="bottom"/>
            <w:gridSpan w:val="2"/>
            <w:shd w:val="clear" w:color="auto" w:fill="CCEEFF"/>
          </w:tcPr>
          <w:p>
            <w:pPr>
              <w:jc w:val="right"/>
              <w:ind w:right="126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80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Non-cash stock based compensation</w:t>
            </w:r>
          </w:p>
        </w:tc>
        <w:tc>
          <w:tcPr>
            <w:tcW w:w="13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r>
      <w:tr>
        <w:trPr>
          <w:trHeight w:val="217"/>
        </w:trPr>
        <w:tc>
          <w:tcPr>
            <w:tcW w:w="20" w:type="dxa"/>
            <w:vAlign w:val="bottom"/>
          </w:tcPr>
          <w:p>
            <w:pPr>
              <w:spacing w:after="0"/>
              <w:rPr>
                <w:sz w:val="18"/>
                <w:szCs w:val="18"/>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3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26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2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w:t>
            </w:r>
          </w:p>
        </w:tc>
      </w:tr>
    </w:tbl>
    <w:p>
      <w:pPr>
        <w:spacing w:after="0" w:line="161" w:lineRule="exact"/>
        <w:rPr>
          <w:sz w:val="20"/>
          <w:szCs w:val="20"/>
          <w:color w:val="auto"/>
        </w:rPr>
      </w:pPr>
    </w:p>
    <w:p>
      <w:pPr>
        <w:ind w:right="80" w:firstLine="428"/>
        <w:spacing w:after="0" w:line="259" w:lineRule="auto"/>
        <w:rPr>
          <w:sz w:val="20"/>
          <w:szCs w:val="20"/>
          <w:color w:val="auto"/>
        </w:rPr>
      </w:pPr>
      <w:r>
        <w:rPr>
          <w:rFonts w:ascii="Arial" w:cs="Arial" w:eastAsia="Arial" w:hAnsi="Arial"/>
          <w:sz w:val="18"/>
          <w:szCs w:val="18"/>
          <w:color w:val="auto"/>
        </w:rPr>
        <w:t>As a result of the factors discussed above in the “Results of Operations” section, Adjusted EBITDA decreased $3.9 million, or 59.1%, to $2.7 million in the three months ended April 30, 2017 compared to $6.6 million in the three months ended May 1, 2016. As a percentage of net sales, Adjusted EBITDA decreased 640 basis points to 3.2% of net sales in the three months ended April 30, 2017 compared to 9.6% of net sales in the three months ended May 1, 2016.</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85" w:lineRule="exact"/>
        <w:rPr>
          <w:sz w:val="20"/>
          <w:szCs w:val="20"/>
          <w:color w:val="auto"/>
        </w:rPr>
      </w:pPr>
    </w:p>
    <w:p>
      <w:pPr>
        <w:ind w:right="20" w:firstLine="428"/>
        <w:spacing w:after="0" w:line="297" w:lineRule="auto"/>
        <w:rPr>
          <w:sz w:val="20"/>
          <w:szCs w:val="20"/>
          <w:color w:val="auto"/>
        </w:rPr>
      </w:pPr>
      <w:r>
        <w:rPr>
          <w:rFonts w:ascii="Arial" w:cs="Arial" w:eastAsia="Arial" w:hAnsi="Arial"/>
          <w:sz w:val="16"/>
          <w:szCs w:val="16"/>
          <w:color w:val="auto"/>
        </w:rPr>
        <w:t>Our business relies on cash from operating activities as well as cash on hand and a $40.0 million revolving line of credit as our primary sources of liquidity. Effective August 1, 2017, our revolving line of credit increases by $10.0 million allowing borrowings of up to $50.0 million through July 31, 2018. Our primary cash needs have been for inventory, marketing and advertising, payroll, store leases, capital expenditures associated with opening new stores, infrastructure and information technology. The most significant components of our working capital are cash, inventory, accounts payable and other current liabilities.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expect to spend approximately $31.0 million to $35.0 million in fiscal 2017 on capital expenditures, including a total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approximately $23.0 million to $27.0 million for new retail store expansion. We expect it will take approximately $2.0 million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 million in capital expenditures and starting inventory to open a new store. At April 30, 2017, our net working capital was $59.1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including $13.6 million of cash. Due to the seasonality of our business, a significant amount of cash from operating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activities is generated during the fourth quarter of our fiscal year. During the first three quarters of our fiscal year, we typically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users of cash in our operating activities as we acquire inventory in anticipation of our peak selling season, which occurs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fourth quarter of our fiscal year. We also use cash in our investing activities for capital expenditures throughout all four quarters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w:t>
      </w:r>
    </w:p>
    <w:p>
      <w:pPr>
        <w:spacing w:after="0" w:line="170" w:lineRule="exact"/>
        <w:rPr>
          <w:sz w:val="20"/>
          <w:szCs w:val="20"/>
          <w:color w:val="auto"/>
        </w:rPr>
      </w:pPr>
    </w:p>
    <w:p>
      <w:pPr>
        <w:ind w:right="200" w:firstLine="428"/>
        <w:spacing w:after="0" w:line="264" w:lineRule="auto"/>
        <w:rPr>
          <w:sz w:val="20"/>
          <w:szCs w:val="20"/>
          <w:color w:val="auto"/>
        </w:rPr>
      </w:pPr>
      <w:r>
        <w:rPr>
          <w:rFonts w:ascii="Arial" w:cs="Arial" w:eastAsia="Arial" w:hAnsi="Arial"/>
          <w:sz w:val="18"/>
          <w:szCs w:val="18"/>
          <w:color w:val="auto"/>
        </w:rPr>
        <w:t>We believe that our cash balance as of April 30, 2017, combined with cash flow from operating activities and the availability of cash under our revolving line of credit will be sufficient to cover working capital requirements and anticipated capital expenditures and for funding our growth strategy for the foreseeable future.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operating, investing and financing activities is shown in the following table.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30, 2017</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60" w:type="dxa"/>
            <w:vAlign w:val="bottom"/>
          </w:tcPr>
          <w:p>
            <w:pPr>
              <w:jc w:val="right"/>
              <w:ind w:right="494"/>
              <w:spacing w:after="0"/>
              <w:rPr>
                <w:sz w:val="20"/>
                <w:szCs w:val="20"/>
                <w:color w:val="auto"/>
              </w:rPr>
            </w:pPr>
            <w:r>
              <w:rPr>
                <w:rFonts w:ascii="Arial" w:cs="Arial" w:eastAsia="Arial" w:hAnsi="Arial"/>
                <w:sz w:val="14"/>
                <w:szCs w:val="14"/>
                <w:b w:val="1"/>
                <w:bCs w:val="1"/>
                <w:color w:val="auto"/>
                <w:w w:val="97"/>
              </w:rPr>
              <w:t>May 1, 2016</w:t>
            </w:r>
          </w:p>
        </w:tc>
      </w:tr>
      <w:tr>
        <w:trPr>
          <w:trHeight w:val="250"/>
        </w:trPr>
        <w:tc>
          <w:tcPr>
            <w:tcW w:w="46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2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w:t>
            </w: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(7,687)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(3,476)</w:t>
            </w:r>
          </w:p>
        </w:tc>
      </w:tr>
      <w:tr>
        <w:trPr>
          <w:trHeight w:val="230"/>
        </w:trPr>
        <w:tc>
          <w:tcPr>
            <w:tcW w:w="2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17"/>
        </w:trPr>
        <w:tc>
          <w:tcPr>
            <w:tcW w:w="4600" w:type="dxa"/>
            <w:vAlign w:val="bottom"/>
            <w:gridSpan w:val="2"/>
          </w:tcPr>
          <w:p>
            <w:pPr>
              <w:spacing w:after="0"/>
              <w:rPr>
                <w:sz w:val="20"/>
                <w:szCs w:val="20"/>
                <w:color w:val="auto"/>
              </w:rPr>
            </w:pPr>
            <w:r>
              <w:rPr>
                <w:rFonts w:ascii="Arial" w:cs="Arial" w:eastAsia="Arial" w:hAnsi="Arial"/>
                <w:sz w:val="18"/>
                <w:szCs w:val="18"/>
                <w:color w:val="auto"/>
              </w:rPr>
              <w:t>Decrease in cash</w:t>
            </w:r>
          </w:p>
        </w:tc>
        <w:tc>
          <w:tcPr>
            <w:tcW w:w="96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85" w:lineRule="exact"/>
        <w:rPr>
          <w:sz w:val="20"/>
          <w:szCs w:val="20"/>
          <w:color w:val="auto"/>
        </w:rPr>
      </w:pPr>
    </w:p>
    <w:p>
      <w:pPr>
        <w:ind w:right="60" w:firstLine="428"/>
        <w:spacing w:after="0" w:line="342" w:lineRule="auto"/>
        <w:rPr>
          <w:sz w:val="20"/>
          <w:szCs w:val="20"/>
          <w:color w:val="auto"/>
        </w:rPr>
      </w:pPr>
      <w:r>
        <w:rPr>
          <w:rFonts w:ascii="Arial" w:cs="Arial" w:eastAsia="Arial" w:hAnsi="Arial"/>
          <w:sz w:val="16"/>
          <w:szCs w:val="16"/>
          <w:color w:val="auto"/>
        </w:rPr>
        <w:t>Operating activities consist primarily of net income adjusted for non-cash items that include depreciation and amortization, loss on disposal of property, equipment and other assets, stock-based compensation and the effect of changes in assets and liabilities.</w:t>
      </w:r>
    </w:p>
    <w:p>
      <w:pPr>
        <w:spacing w:after="0" w:line="83" w:lineRule="exact"/>
        <w:rPr>
          <w:sz w:val="20"/>
          <w:szCs w:val="20"/>
          <w:color w:val="auto"/>
        </w:rPr>
      </w:pPr>
    </w:p>
    <w:p>
      <w:pPr>
        <w:ind w:right="20" w:firstLine="428"/>
        <w:spacing w:after="0" w:line="259" w:lineRule="auto"/>
        <w:rPr>
          <w:sz w:val="20"/>
          <w:szCs w:val="20"/>
          <w:color w:val="auto"/>
        </w:rPr>
      </w:pPr>
      <w:r>
        <w:rPr>
          <w:rFonts w:ascii="Arial" w:cs="Arial" w:eastAsia="Arial" w:hAnsi="Arial"/>
          <w:sz w:val="18"/>
          <w:szCs w:val="18"/>
          <w:color w:val="auto"/>
        </w:rPr>
        <w:t>While our cash flows from operations for the three months ended April 30, 2017 is negative, primarily driven by the seasonal nature of our business, we expect cash flows from operations for the full year fiscal 2017 to be positive from normal operating performance and seasonal reductions in working capital during the fourth quarter of our fiscal year, which is consistent with previous full fiscal years.</w:t>
      </w:r>
    </w:p>
    <w:p>
      <w:pPr>
        <w:spacing w:after="0" w:line="160" w:lineRule="exact"/>
        <w:rPr>
          <w:sz w:val="20"/>
          <w:szCs w:val="20"/>
          <w:color w:val="auto"/>
        </w:rPr>
      </w:pPr>
    </w:p>
    <w:p>
      <w:pPr>
        <w:ind w:right="20" w:firstLine="428"/>
        <w:spacing w:after="0" w:line="255" w:lineRule="auto"/>
        <w:rPr>
          <w:sz w:val="20"/>
          <w:szCs w:val="20"/>
          <w:color w:val="auto"/>
        </w:rPr>
      </w:pPr>
      <w:r>
        <w:rPr>
          <w:rFonts w:ascii="Arial" w:cs="Arial" w:eastAsia="Arial" w:hAnsi="Arial"/>
          <w:sz w:val="18"/>
          <w:szCs w:val="18"/>
          <w:color w:val="auto"/>
        </w:rPr>
        <w:t>For the three months ended April 30, 2017, net cash used in operating activities was $3.5 million, which consisted of net income of $0.4 million, non-cash depreciation and amortization of $1.6 million and stock based compensation of $0.3 million, offset by cash used in operating assets and liabilities of $5.8 million. The cash used in operating assets and liabilities of $5.8 million primarily consisted of $4.5 million increase in inventory, primarily due to sales increase and building up of inventory for the opening of new retail stores during fiscal 2017, which was partially offset by decreases in deferred catalog costs and accrued expenses of $1.4 million and $2.7 million, respectively, primarily due to timing.</w:t>
      </w:r>
    </w:p>
    <w:p>
      <w:pPr>
        <w:spacing w:after="0" w:line="153" w:lineRule="exact"/>
        <w:rPr>
          <w:sz w:val="20"/>
          <w:szCs w:val="20"/>
          <w:color w:val="auto"/>
        </w:rPr>
      </w:pPr>
    </w:p>
    <w:p>
      <w:pPr>
        <w:ind w:right="40" w:firstLine="428"/>
        <w:spacing w:after="0" w:line="271" w:lineRule="auto"/>
        <w:rPr>
          <w:sz w:val="20"/>
          <w:szCs w:val="20"/>
          <w:color w:val="auto"/>
        </w:rPr>
      </w:pPr>
      <w:r>
        <w:rPr>
          <w:rFonts w:ascii="Arial" w:cs="Arial" w:eastAsia="Arial" w:hAnsi="Arial"/>
          <w:sz w:val="17"/>
          <w:szCs w:val="17"/>
          <w:color w:val="auto"/>
        </w:rPr>
        <w:t>For the three months ended May 1, 2016, net cash used in operating activities was $3.8 million, which consisted of net income of $3.3 million, non-cash depreciation and amortization of $0.9 million and stock based compensation of $0.3 million, offset by cash used in operating assets and liabilities of $8.3 million. The cash used in operating assets and liabilities of $8.3 million primarily consisted of $2.8 million increase in inventory, due to building up of inventory for the opening of new retail stores in fiscal 2016, which was partially offset by decreases in deferred catalog costs, trade accounts payable and accrued expenses of $1.8 million, $4.6 million and $3.1 million, respectively. The decrease in deferred catalog costs were primarily attributable to the timing and number of catalogs shipped compared to fiscal year end. The decreases in trade accounts payable and accrued expenses were primarily attributable to the timing of payments subsequent to our fiscal year end.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98" w:lineRule="exact"/>
        <w:rPr>
          <w:sz w:val="20"/>
          <w:szCs w:val="20"/>
          <w:color w:val="auto"/>
        </w:rPr>
      </w:pPr>
    </w:p>
    <w:p>
      <w:pPr>
        <w:jc w:val="both"/>
        <w:ind w:right="120" w:firstLine="428"/>
        <w:spacing w:after="0" w:line="264"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information technology and enhancements for our distribution and corporate facilities, coupled with changes in restricted cash, which is related to our retail store leasing agreements.</w:t>
      </w:r>
    </w:p>
    <w:p>
      <w:pPr>
        <w:spacing w:after="0" w:line="141" w:lineRule="exact"/>
        <w:rPr>
          <w:sz w:val="20"/>
          <w:szCs w:val="20"/>
          <w:color w:val="auto"/>
        </w:rPr>
      </w:pPr>
    </w:p>
    <w:p>
      <w:pPr>
        <w:ind w:right="20" w:firstLine="428"/>
        <w:spacing w:after="0" w:line="264" w:lineRule="auto"/>
        <w:rPr>
          <w:sz w:val="20"/>
          <w:szCs w:val="20"/>
          <w:color w:val="auto"/>
        </w:rPr>
      </w:pPr>
      <w:r>
        <w:rPr>
          <w:rFonts w:ascii="Arial" w:cs="Arial" w:eastAsia="Arial" w:hAnsi="Arial"/>
          <w:sz w:val="18"/>
          <w:szCs w:val="18"/>
          <w:color w:val="auto"/>
        </w:rPr>
        <w:t>For the three months ended April 30, 2017, net cash used in investing activities was $7.7 million and was primarily driven by capital expenditures of $8.3 million for the opening of four new retail stores, which was partially offset by a change in restricted cash of $0.7 million.</w:t>
      </w:r>
    </w:p>
    <w:p>
      <w:pPr>
        <w:spacing w:after="0" w:line="141" w:lineRule="exact"/>
        <w:rPr>
          <w:sz w:val="20"/>
          <w:szCs w:val="20"/>
          <w:color w:val="auto"/>
        </w:rPr>
      </w:pPr>
    </w:p>
    <w:p>
      <w:pPr>
        <w:jc w:val="both"/>
        <w:ind w:right="300" w:firstLine="428"/>
        <w:spacing w:after="0" w:line="264" w:lineRule="auto"/>
        <w:rPr>
          <w:sz w:val="20"/>
          <w:szCs w:val="20"/>
          <w:color w:val="auto"/>
        </w:rPr>
      </w:pPr>
      <w:r>
        <w:rPr>
          <w:rFonts w:ascii="Arial" w:cs="Arial" w:eastAsia="Arial" w:hAnsi="Arial"/>
          <w:sz w:val="18"/>
          <w:szCs w:val="18"/>
          <w:color w:val="auto"/>
        </w:rPr>
        <w:t>For the three months ended May 1, 2016, net cash used in investing activities was $3.5 million and was primarily driven by capital expenditures of $1.4 million for the expansion of our Belleville distribution center and $1.7 million for our two new retail stores, which are expected to open during our fiscal second quarter.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85" w:lineRule="exact"/>
        <w:rPr>
          <w:sz w:val="20"/>
          <w:szCs w:val="20"/>
          <w:color w:val="auto"/>
        </w:rPr>
      </w:pPr>
    </w:p>
    <w:p>
      <w:pPr>
        <w:ind w:firstLine="428"/>
        <w:spacing w:after="0" w:line="312" w:lineRule="auto"/>
        <w:rPr>
          <w:sz w:val="20"/>
          <w:szCs w:val="20"/>
          <w:color w:val="auto"/>
        </w:rPr>
      </w:pPr>
      <w:r>
        <w:rPr>
          <w:rFonts w:ascii="Arial" w:cs="Arial" w:eastAsia="Arial" w:hAnsi="Arial"/>
          <w:sz w:val="16"/>
          <w:szCs w:val="16"/>
          <w:color w:val="auto"/>
        </w:rPr>
        <w:t>Financing activities consist primarily of borrowings and payments related to our revolving line of credit and other long-term debts, as well as distributions to the individuals and entities that were our shareholders prior to our IPO and holders of noncontrolling interest in variable interest entity, proceeds from finance lease obligations and capital contributions to Schlecht Retail Ventures LLC.</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80" w:firstLine="428"/>
        <w:spacing w:after="0" w:line="264" w:lineRule="auto"/>
        <w:rPr>
          <w:sz w:val="20"/>
          <w:szCs w:val="20"/>
          <w:color w:val="auto"/>
        </w:rPr>
      </w:pPr>
      <w:r>
        <w:rPr>
          <w:rFonts w:ascii="Arial" w:cs="Arial" w:eastAsia="Arial" w:hAnsi="Arial"/>
          <w:sz w:val="18"/>
          <w:szCs w:val="18"/>
          <w:color w:val="auto"/>
        </w:rPr>
        <w:t>For the three months ended April 30, 2017, net cash provided by financing activities was $0.8 million, primarily consisting of proceeds of $0.5 million from our finance lease obligations in connection with our build-to-suit lease transactions and $0.3 million for capital contributions to SRV.</w:t>
      </w:r>
    </w:p>
    <w:p>
      <w:pPr>
        <w:spacing w:after="0" w:line="141" w:lineRule="exact"/>
        <w:rPr>
          <w:sz w:val="20"/>
          <w:szCs w:val="20"/>
          <w:color w:val="auto"/>
        </w:rPr>
      </w:pPr>
    </w:p>
    <w:p>
      <w:pPr>
        <w:ind w:right="60" w:firstLine="428"/>
        <w:spacing w:after="0" w:line="264" w:lineRule="auto"/>
        <w:rPr>
          <w:sz w:val="20"/>
          <w:szCs w:val="20"/>
          <w:color w:val="auto"/>
        </w:rPr>
      </w:pPr>
      <w:r>
        <w:rPr>
          <w:rFonts w:ascii="Arial" w:cs="Arial" w:eastAsia="Arial" w:hAnsi="Arial"/>
          <w:sz w:val="18"/>
          <w:szCs w:val="18"/>
          <w:color w:val="auto"/>
        </w:rPr>
        <w:t>For the three months ended May 1, 2016, net cash used in financing activities was $0.3 million, primarily consisting of the final $0.2 million distributions to our then shareholders due to our “S” corporation status prior to our IPO and $0.1 million payments on long-term debt.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85" w:lineRule="exact"/>
        <w:rPr>
          <w:sz w:val="20"/>
          <w:szCs w:val="20"/>
          <w:color w:val="auto"/>
        </w:rPr>
      </w:pPr>
    </w:p>
    <w:p>
      <w:pPr>
        <w:ind w:right="60" w:firstLine="428"/>
        <w:spacing w:after="0" w:line="288" w:lineRule="auto"/>
        <w:rPr>
          <w:sz w:val="20"/>
          <w:szCs w:val="20"/>
          <w:color w:val="auto"/>
        </w:rPr>
      </w:pPr>
      <w:r>
        <w:rPr>
          <w:rFonts w:ascii="Arial" w:cs="Arial" w:eastAsia="Arial" w:hAnsi="Arial"/>
          <w:sz w:val="16"/>
          <w:szCs w:val="16"/>
          <w:color w:val="auto"/>
        </w:rPr>
        <w:t>On October 7, 2016, we amended and restated our Amended and Restated Loan Agreement dated as of June 13, 2011, as amended (the “Amended and Restated Agreement”). The Amended and Restated Agreement provides for borrowing availability of up to $40.0 million from October 7, 2016 through July 31, 2017, up to $50.0 million from August 1, 2017 through July 31, 2018 and up to $60.0 million from August 1, 2018 through July 31, 2019. The Amended and Restated Agreement matures on July 31, 2019, and bears interest, payable monthly, at a rate equal to the adjusted LIBOR rate, as defined in the Amended and Restated Agreement (effective rate of 2.2% at April 30, 2017). The Amended and Restated Agreement is secured by essentially all Company assets and requires that we maintain compliance with certain financial and non-financial covenants, including minimum tangible net worth and a minimum trailing twelve month EBITDA. In addition, the Amended and Restated Agreement does not contain borrowing base limits. As of April 30, 2017 and for the three months then ended, we were in compliance with all financial and non-financial covenants, and we expect to be in compliance with all financial and non-financial covenants for the remainder of fiscal 2017.</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right="80" w:firstLine="428"/>
        <w:spacing w:after="0" w:line="277" w:lineRule="auto"/>
        <w:rPr>
          <w:sz w:val="20"/>
          <w:szCs w:val="20"/>
          <w:color w:val="auto"/>
        </w:rPr>
      </w:pPr>
      <w:r>
        <w:rPr>
          <w:rFonts w:ascii="Arial" w:cs="Arial" w:eastAsia="Arial" w:hAnsi="Arial"/>
          <w:sz w:val="18"/>
          <w:szCs w:val="18"/>
          <w:color w:val="auto"/>
        </w:rPr>
        <w:t>There have been no significant changes to our contractual obligations as described in our Annual Report on Form 10-K for the fiscal year ended January 29,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a party to any off-balance sheet arrangements, except for operating leases.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Critical Accounting Estimates</w:t>
      </w:r>
    </w:p>
    <w:p>
      <w:pPr>
        <w:spacing w:after="0" w:line="189" w:lineRule="exact"/>
        <w:rPr>
          <w:sz w:val="20"/>
          <w:szCs w:val="20"/>
          <w:color w:val="auto"/>
        </w:rPr>
      </w:pPr>
    </w:p>
    <w:p>
      <w:pPr>
        <w:ind w:right="40" w:firstLine="428"/>
        <w:spacing w:after="0" w:line="273" w:lineRule="auto"/>
        <w:rPr>
          <w:sz w:val="20"/>
          <w:szCs w:val="20"/>
          <w:color w:val="auto"/>
        </w:rPr>
      </w:pPr>
      <w:r>
        <w:rPr>
          <w:rFonts w:ascii="Arial" w:cs="Arial" w:eastAsia="Arial" w:hAnsi="Arial"/>
          <w:sz w:val="17"/>
          <w:szCs w:val="17"/>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51" w:lineRule="exact"/>
        <w:rPr>
          <w:sz w:val="20"/>
          <w:szCs w:val="20"/>
          <w:color w:val="auto"/>
        </w:rPr>
      </w:pPr>
    </w:p>
    <w:p>
      <w:pPr>
        <w:ind w:right="60" w:firstLine="428"/>
        <w:spacing w:after="0" w:line="277" w:lineRule="auto"/>
        <w:rPr>
          <w:sz w:val="20"/>
          <w:szCs w:val="20"/>
          <w:color w:val="auto"/>
        </w:rPr>
      </w:pPr>
      <w:r>
        <w:rPr>
          <w:rFonts w:ascii="Arial" w:cs="Arial" w:eastAsia="Arial" w:hAnsi="Arial"/>
          <w:sz w:val="18"/>
          <w:szCs w:val="18"/>
          <w:color w:val="auto"/>
        </w:rPr>
        <w:t>As of the date of this filing, there were no significant changes to any of the critical accounting policies and estimates described in our Annual Report on Form 10-K for the fiscal year ended January 29,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 (Topic</w:t>
      </w:r>
    </w:p>
    <w:p>
      <w:pPr>
        <w:spacing w:after="0" w:line="46"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7"/>
          <w:szCs w:val="17"/>
          <w:i w:val="1"/>
          <w:iCs w:val="1"/>
          <w:color w:val="auto"/>
        </w:rPr>
      </w:pPr>
      <w:r>
        <w:rPr>
          <w:rFonts w:ascii="Arial" w:cs="Arial" w:eastAsia="Arial" w:hAnsi="Arial"/>
          <w:sz w:val="17"/>
          <w:szCs w:val="17"/>
          <w:color w:val="auto"/>
        </w:rPr>
        <w:t xml:space="preserve">(“ASU 2014-09”), which supersedes the revenue recognition requirements in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ASU</w:t>
      </w:r>
    </w:p>
    <w:p>
      <w:pPr>
        <w:spacing w:after="0" w:line="20" w:lineRule="exact"/>
        <w:rPr>
          <w:rFonts w:ascii="Arial" w:cs="Arial" w:eastAsia="Arial" w:hAnsi="Arial"/>
          <w:sz w:val="17"/>
          <w:szCs w:val="17"/>
          <w:i w:val="1"/>
          <w:iCs w:val="1"/>
          <w:color w:val="auto"/>
        </w:rPr>
      </w:pPr>
    </w:p>
    <w:p>
      <w:pPr>
        <w:spacing w:after="0" w:line="267" w:lineRule="auto"/>
        <w:rPr>
          <w:rFonts w:ascii="Arial" w:cs="Arial" w:eastAsia="Arial" w:hAnsi="Arial"/>
          <w:sz w:val="17"/>
          <w:szCs w:val="17"/>
          <w:i w:val="1"/>
          <w:iCs w:val="1"/>
          <w:color w:val="auto"/>
        </w:rPr>
      </w:pPr>
      <w:r>
        <w:rPr>
          <w:rFonts w:ascii="Arial" w:cs="Arial" w:eastAsia="Arial" w:hAnsi="Arial"/>
          <w:sz w:val="17"/>
          <w:szCs w:val="17"/>
          <w:color w:val="auto"/>
        </w:rPr>
        <w:t>2014-09 requires revenue recognition to depict the transfer of goods or services to customers in an amount that reflects the consideration to which the entity expects to be entitled in exchange for those goods or services. The new revenue recognition model requires identifying the contract, identifying the performance obligations, determining the transaction price, allocating the transaction price to performance obligations and recognizing the revenue upon satisfaction of the performance obligations. ASU 2014-09 also requires additional disclosure about the nature, amount, timing and uncertainty of revenue and cash flows arising from customer contracts, including significant judgments and change in judgments, and assets recognized from costs incurred to obtain or fulfill a contract. ASU 2014-09 can be applied either retrospectively to each prior reporting period presented or retrospectively with the cumulative effect of initially applying the update recognized at the date of the initial application along with additional disclosures. On July 9, 2015, the FASB deferred the effective date of ASU 2014-09 for one year. ASU 2014-09 is effective for annual reporting periods beginning after December 15, 2017. Accordingly, we will adopt ASU 2014-09 on January 29, 2018, the first day of our first quarter for the fiscal year ending February 3,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fiscal year 2018. We expect to adopt ASU 2014-09 retrospectively with the cumulative effect of initially applying the update recognized at the date of the adoption along with additional disclosures. Our review is ongoing and we have not yet identified any material changes in the timing of revenue recognition. We continue to evaluate the new disclosure requirements of ASU 2014-09 on our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Simplifying the Measurement of Inventory</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In July 2015, the FASB issued Accounting Standards Update No. 2015-11, </w:t>
      </w:r>
      <w:r>
        <w:rPr>
          <w:rFonts w:ascii="Arial" w:cs="Arial" w:eastAsia="Arial" w:hAnsi="Arial"/>
          <w:sz w:val="16"/>
          <w:szCs w:val="16"/>
          <w:i w:val="1"/>
          <w:iCs w:val="1"/>
          <w:color w:val="auto"/>
        </w:rPr>
        <w:t>Simplifying the Measurement of Inventory (Topic</w:t>
      </w:r>
    </w:p>
    <w:p>
      <w:pPr>
        <w:spacing w:after="0" w:line="46" w:lineRule="exact"/>
        <w:rPr>
          <w:sz w:val="20"/>
          <w:szCs w:val="20"/>
          <w:color w:val="auto"/>
        </w:rPr>
      </w:pPr>
    </w:p>
    <w:p>
      <w:pPr>
        <w:ind w:firstLine="8"/>
        <w:spacing w:after="0" w:line="268" w:lineRule="auto"/>
        <w:tabs>
          <w:tab w:leader="none" w:pos="375" w:val="left"/>
        </w:tabs>
        <w:numPr>
          <w:ilvl w:val="0"/>
          <w:numId w:val="10"/>
        </w:numPr>
        <w:rPr>
          <w:rFonts w:ascii="Arial" w:cs="Arial" w:eastAsia="Arial" w:hAnsi="Arial"/>
          <w:sz w:val="17"/>
          <w:szCs w:val="17"/>
          <w:i w:val="1"/>
          <w:iCs w:val="1"/>
          <w:color w:val="auto"/>
        </w:rPr>
      </w:pPr>
      <w:r>
        <w:rPr>
          <w:rFonts w:ascii="Arial" w:cs="Arial" w:eastAsia="Arial" w:hAnsi="Arial"/>
          <w:sz w:val="17"/>
          <w:szCs w:val="17"/>
          <w:color w:val="auto"/>
        </w:rPr>
        <w:t>(“ASU 2015-11”), which changes the measurement principle for inventory from the lower of cost or market to the lower of cost and net realizable value. Net realizable value is defined as the “estimated selling prices in the ordinary course of business, less reasonably predictable costs of completion, disposal and transportation.” ASU 2015-11 eliminates the guidance that entities consider replacement cost or net realizable value less an approximately normal profit margin in the subsequent measurement of inventory when cost is determined on a first-in, first-out or average cost basis. The provisions of ASU 2015-11 are effective for public entities with fiscal years beginning after December 15, 2016, and interim periods within those fiscal years, with early adoption permitted. We adopted ASU 2015-11 as of January 30, 2017, the first day of our fiscal year 2017 and there was no significant impact to our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Classification of Deferred Taxes</w:t>
      </w:r>
    </w:p>
    <w:p>
      <w:pPr>
        <w:spacing w:after="0" w:line="185" w:lineRule="exact"/>
        <w:rPr>
          <w:sz w:val="20"/>
          <w:szCs w:val="20"/>
          <w:color w:val="auto"/>
        </w:rPr>
      </w:pPr>
    </w:p>
    <w:p>
      <w:pPr>
        <w:ind w:right="240" w:firstLine="441"/>
        <w:spacing w:after="0" w:line="291" w:lineRule="auto"/>
        <w:rPr>
          <w:sz w:val="20"/>
          <w:szCs w:val="20"/>
          <w:color w:val="auto"/>
        </w:rPr>
      </w:pPr>
      <w:r>
        <w:rPr>
          <w:rFonts w:ascii="Arial" w:cs="Arial" w:eastAsia="Arial" w:hAnsi="Arial"/>
          <w:sz w:val="16"/>
          <w:szCs w:val="16"/>
          <w:color w:val="auto"/>
        </w:rPr>
        <w:t xml:space="preserve">In November 2015, the FASB issued Accounting Standards Update No. 2015-17, </w:t>
      </w:r>
      <w:r>
        <w:rPr>
          <w:rFonts w:ascii="Arial" w:cs="Arial" w:eastAsia="Arial" w:hAnsi="Arial"/>
          <w:sz w:val="16"/>
          <w:szCs w:val="16"/>
          <w:i w:val="1"/>
          <w:iCs w:val="1"/>
          <w:color w:val="auto"/>
        </w:rPr>
        <w:t>Balance Sheet Classification of Deferred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(Topic 740) </w:t>
      </w:r>
      <w:r>
        <w:rPr>
          <w:rFonts w:ascii="Arial" w:cs="Arial" w:eastAsia="Arial" w:hAnsi="Arial"/>
          <w:sz w:val="16"/>
          <w:szCs w:val="16"/>
          <w:color w:val="auto"/>
        </w:rPr>
        <w:t>(“ASU 2015-17”), which requires the classification of all deferred tax assets and liabilities as noncurrent on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instead of separating deferred taxes into current and noncurrent amounts. In addition, an allocation of valuation allowances between current and noncurrent deferred tax assets is not required, because the allowances will be classified as noncurrent. The provisions of ASU 2015-17 are effective for public entities with fiscal years beginning after December 15, 2016, and interim periods within those fiscal years, with early adoption permitted. We adopted ASU 2015-17 as of January 31, 2016 and have reported deferred tax assets and liabilities as noncurrent on the consolidated balance sheets.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In February 2016, the FASB issued Accounting Standards Update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(“ASU 2016-02”), which requires lessees to recognize most leases on the balance sheets, but recognize expenses on the income statements in a manner which is similar to the current lease standard. The provisions of ASU 2016-02 are effective for public entities with fiscal years beginning after December 15, 2018, and interim periods within those years, with early adoption permitted. We expect to early adopt ASU 2016-02 on January 29, 2018, the first day of our first quarter for the fiscal year ending February 3, 2019, our fiscal year 2018. We conduct our retail operations through leased stores and therefore, we expect the adoption of ASU 2016-02 to have a significant impact on our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Improvements to Employee Share-Based Payment Accounting</w:t>
      </w:r>
    </w:p>
    <w:p>
      <w:pPr>
        <w:spacing w:after="0" w:line="198" w:lineRule="exact"/>
        <w:rPr>
          <w:sz w:val="20"/>
          <w:szCs w:val="20"/>
          <w:color w:val="auto"/>
        </w:rPr>
      </w:pPr>
    </w:p>
    <w:p>
      <w:pPr>
        <w:ind w:right="40" w:firstLine="428"/>
        <w:spacing w:after="0" w:line="290" w:lineRule="auto"/>
        <w:rPr>
          <w:sz w:val="20"/>
          <w:szCs w:val="20"/>
          <w:color w:val="auto"/>
        </w:rPr>
      </w:pPr>
      <w:r>
        <w:rPr>
          <w:rFonts w:ascii="Arial" w:cs="Arial" w:eastAsia="Arial" w:hAnsi="Arial"/>
          <w:sz w:val="16"/>
          <w:szCs w:val="16"/>
          <w:color w:val="auto"/>
        </w:rPr>
        <w:t xml:space="preserve">In March 2016, the FASB issued Accounting Standards Update No. 2016-09,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(Topic 718):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(“ASU 2016-09”), which is intended to improve the accounting for share-based payment transactions. ASU 2016-09 changes certain aspects of the accounting for share-based payment award transactions, including: (1) accounting for income taxes; (2) classification of excess tax benefits on the statement of cash flows; (3) forfeitures; (4) minimum statutory tax withholding requirements; and (5) classification of employee taxes paid on the statement of cash flows when an employer withholds shares for tax-withholding purposes. The provisions of ASU 2016-09 are effective for public entities with fiscal years beginning after December 15, 2016, and interim periods within those years, early adoption is permitted. We adopted ASU 2016-09 as of May 1, 2016 and there was no significant impact to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Cash Flows</w:t>
      </w:r>
    </w:p>
    <w:p>
      <w:pPr>
        <w:spacing w:after="0" w:line="185"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 xml:space="preserve">In November 2016, the FASB issued Accounting Standards Update No. 2016-18,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(Topic 230</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Restricted Cash </w:t>
      </w:r>
      <w:r>
        <w:rPr>
          <w:rFonts w:ascii="Arial" w:cs="Arial" w:eastAsia="Arial" w:hAnsi="Arial"/>
          <w:sz w:val="16"/>
          <w:szCs w:val="16"/>
          <w:color w:val="auto"/>
        </w:rPr>
        <w:t>(“ASU 2016-18”), which requires companies to include cash and cash equivalents that have restrictions on</w:t>
      </w:r>
      <w:r>
        <w:rPr>
          <w:rFonts w:ascii="Arial" w:cs="Arial" w:eastAsia="Arial" w:hAnsi="Arial"/>
          <w:sz w:val="16"/>
          <w:szCs w:val="16"/>
          <w:i w:val="1"/>
          <w:iCs w:val="1"/>
          <w:color w:val="auto"/>
        </w:rPr>
        <w:t xml:space="preserve"> </w:t>
      </w:r>
      <w:r>
        <w:rPr>
          <w:rFonts w:ascii="Arial" w:cs="Arial" w:eastAsia="Arial" w:hAnsi="Arial"/>
          <w:sz w:val="16"/>
          <w:szCs w:val="16"/>
          <w:color w:val="auto"/>
        </w:rPr>
        <w:t>withdrawal or use in total cash and cash equivalents on the statement of cash flows. ASU 2016-18 is effective for public entities with fiscal years beginning after December 15, 2017, and interim periods within those years, with early adoption permitted. We expect to adopt ASU 2016-18 on January 29, 2018, the first day of our first quarter for the fiscal year ending February 3, 2019, our fiscal year 2018. We are evaluating the level of impact of adopting ASU 2016-18 will have on our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right="4220"/>
        <w:spacing w:after="0" w:line="417"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i w:val="1"/>
          <w:iCs w:val="1"/>
          <w:color w:val="auto"/>
        </w:rPr>
        <w:t>Interest Risk Factors</w:t>
      </w:r>
    </w:p>
    <w:p>
      <w:pPr>
        <w:spacing w:after="0" w:line="1"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We are subject to interest rate risk in connection with borrowings under our revolving line of credit, which bears interest at a rate equal to the adjusted LIBOR rate, as defined in the Amended and Restated Agreement (effective rate of 2.2% at April 30, 2017). As of April 30, 2017, no balance was outstanding under the revolving line of credit. As of April 30, 2017, the undrawn borrowing availability under the revolving line of credit was $40.0 million. Based on the average interest rate on the revolving line of credit during the first three months of fiscal 2017, and to the extent that borrowings were outstanding, we do not believe that a 10% change in the interest rate would have a material effect on our consolidated results of operations or financial condition.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1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 Risk</w:t>
      </w:r>
    </w:p>
    <w:p>
      <w:pPr>
        <w:spacing w:after="0" w:line="117"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We source a substantial majority of our merchandise from various suppliers in Asia and the vast majority of purchases are denominated in U.S. dollars. We do not hedge foreign currency risk using any derivative instruments, and historically we have not been impacted by changes in exchange rates.</w:t>
      </w:r>
    </w:p>
    <w:p>
      <w:pPr>
        <w:spacing w:after="0" w:line="200" w:lineRule="exact"/>
        <w:rPr>
          <w:sz w:val="20"/>
          <w:szCs w:val="20"/>
          <w:color w:val="auto"/>
        </w:rPr>
      </w:pPr>
    </w:p>
    <w:p>
      <w:pPr>
        <w:spacing w:after="0" w:line="3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8" w:lineRule="exact"/>
        <w:rPr>
          <w:sz w:val="20"/>
          <w:szCs w:val="20"/>
          <w:color w:val="auto"/>
        </w:rPr>
      </w:pPr>
    </w:p>
    <w:p>
      <w:pPr>
        <w:ind w:right="180" w:firstLine="428"/>
        <w:spacing w:after="0" w:line="297" w:lineRule="auto"/>
        <w:rPr>
          <w:sz w:val="20"/>
          <w:szCs w:val="20"/>
          <w:color w:val="auto"/>
        </w:rPr>
      </w:pPr>
      <w:r>
        <w:rPr>
          <w:rFonts w:ascii="Arial" w:cs="Arial" w:eastAsia="Arial" w:hAnsi="Arial"/>
          <w:sz w:val="16"/>
          <w:szCs w:val="16"/>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such date, our disclosure controls and procedures were effective.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jc w:val="both"/>
        <w:ind w:right="340" w:firstLine="428"/>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 13a-15(d) and 15d-15(d) under the Exchange Act) that occurred during the period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ind w:right="320" w:firstLine="428"/>
        <w:spacing w:after="0" w:line="279" w:lineRule="auto"/>
        <w:rPr>
          <w:sz w:val="20"/>
          <w:szCs w:val="20"/>
          <w:color w:val="auto"/>
        </w:rPr>
      </w:pPr>
      <w:r>
        <w:rPr>
          <w:rFonts w:ascii="Arial" w:cs="Arial" w:eastAsia="Arial" w:hAnsi="Arial"/>
          <w:sz w:val="17"/>
          <w:szCs w:val="17"/>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40" w:firstLine="441"/>
        <w:spacing w:after="0" w:line="279" w:lineRule="auto"/>
        <w:rPr>
          <w:sz w:val="20"/>
          <w:szCs w:val="20"/>
          <w:color w:val="auto"/>
        </w:rPr>
      </w:pPr>
      <w:r>
        <w:rPr>
          <w:rFonts w:ascii="Arial" w:cs="Arial" w:eastAsia="Arial" w:hAnsi="Arial"/>
          <w:sz w:val="17"/>
          <w:szCs w:val="17"/>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Annual Report on Form 10-K for the fiscal year ended January 29, 2017. There have been no material changes to our risk factors as previously disclosed in our Annual Report on Form 10-K.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did not sell any equity securities during the quarter ended April 30, 2017, which were not registered under the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00" w:lineRule="exact"/>
        <w:rPr>
          <w:sz w:val="20"/>
          <w:szCs w:val="20"/>
          <w:color w:val="auto"/>
        </w:rPr>
      </w:pPr>
    </w:p>
    <w:p>
      <w:pPr>
        <w:spacing w:after="0" w:line="3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Please refer to the Exhibit Index.</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380"/>
          </w:cols>
          <w:pgMar w:left="1140" w:top="301" w:right="137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42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June 7, 2017</w:t>
      </w:r>
    </w:p>
    <w:p>
      <w:pPr>
        <w:spacing w:after="0" w:line="2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DULUTH HOLDINGS INC.</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(Registrant)</w:t>
      </w:r>
    </w:p>
    <w:p>
      <w:pPr>
        <w:spacing w:after="0" w:line="34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 MARK M. DEORIO</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Mark M. DeOrio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-130810</wp:posOffset>
            </wp:positionV>
            <wp:extent cx="28727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b w:val="1"/>
          <w:bCs w:val="1"/>
          <w:i w:val="1"/>
          <w:iCs w:val="1"/>
          <w:color w:val="auto"/>
        </w:rPr>
        <w:t>Senior Vice President and Chief Financial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i w:val="1"/>
          <w:iCs w:val="1"/>
          <w:color w:val="auto"/>
        </w:rPr>
        <w:t>(On behalf of the Registrant as Principal Financial</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i w:val="1"/>
          <w:iCs w:val="1"/>
          <w:color w:val="auto"/>
        </w:rPr>
        <w:t>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20"/>
          </w:cols>
          <w:pgMar w:left="1140" w:top="301" w:right="1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560" w:type="dxa"/>
            <w:vAlign w:val="bottom"/>
          </w:tcPr>
          <w:p>
            <w:pPr>
              <w:ind w:left="3060"/>
              <w:spacing w:after="0"/>
              <w:rPr>
                <w:sz w:val="20"/>
                <w:szCs w:val="20"/>
                <w:color w:val="auto"/>
              </w:rPr>
            </w:pPr>
            <w:r>
              <w:rPr>
                <w:rFonts w:ascii="Arial" w:cs="Arial" w:eastAsia="Arial" w:hAnsi="Arial"/>
                <w:sz w:val="18"/>
                <w:szCs w:val="18"/>
                <w:b w:val="1"/>
                <w:bCs w:val="1"/>
                <w:color w:val="auto"/>
              </w:rPr>
              <w:t>EXHIBIT INDEX</w:t>
            </w:r>
          </w:p>
        </w:tc>
      </w:tr>
      <w:tr>
        <w:trPr>
          <w:trHeight w:val="810"/>
        </w:trPr>
        <w:tc>
          <w:tcPr>
            <w:tcW w:w="12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Exhibit No.</w:t>
            </w:r>
          </w:p>
        </w:tc>
        <w:tc>
          <w:tcPr>
            <w:tcW w:w="856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r>
      <w:tr>
        <w:trPr>
          <w:trHeight w:val="429"/>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31.1</w:t>
            </w:r>
          </w:p>
        </w:tc>
        <w:tc>
          <w:tcPr>
            <w:tcW w:w="180" w:type="dxa"/>
            <w:vAlign w:val="bottom"/>
          </w:tcPr>
          <w:p>
            <w:pPr>
              <w:spacing w:after="0"/>
              <w:rPr>
                <w:sz w:val="24"/>
                <w:szCs w:val="24"/>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w w:val="94"/>
              </w:rPr>
              <w:t>Certification of Chief Executive Officer pursuant to Rule 13a-14(a) and Rule 15d-14(a) of the Securities and Exchange Act, as</w:t>
            </w:r>
          </w:p>
        </w:tc>
      </w:tr>
      <w:tr>
        <w:trPr>
          <w:trHeight w:val="20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amended.*</w:t>
            </w:r>
          </w:p>
        </w:tc>
      </w:tr>
      <w:tr>
        <w:trPr>
          <w:trHeight w:val="280"/>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31.2</w:t>
            </w:r>
          </w:p>
        </w:tc>
        <w:tc>
          <w:tcPr>
            <w:tcW w:w="180" w:type="dxa"/>
            <w:vAlign w:val="bottom"/>
          </w:tcPr>
          <w:p>
            <w:pPr>
              <w:spacing w:after="0"/>
              <w:rPr>
                <w:sz w:val="24"/>
                <w:szCs w:val="24"/>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w w:val="95"/>
              </w:rPr>
              <w:t>Certification of Chief Financial Officer pursuant to Rule 13a-14(a) and Rule 15d-14(a) of the Securities and Exchange Act of</w:t>
            </w:r>
          </w:p>
        </w:tc>
      </w:tr>
      <w:tr>
        <w:trPr>
          <w:trHeight w:val="20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1934, as amended.*</w:t>
            </w:r>
          </w:p>
        </w:tc>
      </w:tr>
      <w:tr>
        <w:trPr>
          <w:trHeight w:val="266"/>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32.1</w:t>
            </w:r>
          </w:p>
        </w:tc>
        <w:tc>
          <w:tcPr>
            <w:tcW w:w="180" w:type="dxa"/>
            <w:vAlign w:val="bottom"/>
          </w:tcPr>
          <w:p>
            <w:pPr>
              <w:spacing w:after="0"/>
              <w:rPr>
                <w:sz w:val="23"/>
                <w:szCs w:val="23"/>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Certification of Chief Executive Officer pursuant to 18 U.S.C. Section 1350, as adopted pursuant to Section 906 of the</w:t>
            </w:r>
          </w:p>
        </w:tc>
      </w:tr>
      <w:tr>
        <w:trPr>
          <w:trHeight w:val="20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Sarbanes-Oxley Act of 2002.*</w:t>
            </w:r>
          </w:p>
        </w:tc>
      </w:tr>
      <w:tr>
        <w:trPr>
          <w:trHeight w:val="212"/>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32.2</w:t>
            </w:r>
          </w:p>
        </w:tc>
        <w:tc>
          <w:tcPr>
            <w:tcW w:w="18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Certification of Chief Financial Officer pursuant to 18 U.S.C. Section 1350, as adopted pursuant to Section 906 of the</w:t>
            </w:r>
          </w:p>
        </w:tc>
      </w:tr>
      <w:tr>
        <w:trPr>
          <w:trHeight w:val="20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Sarbanes-Oxley Act of 2002.*</w:t>
            </w:r>
          </w:p>
        </w:tc>
      </w:tr>
      <w:tr>
        <w:trPr>
          <w:trHeight w:val="212"/>
        </w:trPr>
        <w:tc>
          <w:tcPr>
            <w:tcW w:w="1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560" w:type="dxa"/>
            <w:vAlign w:val="bottom"/>
          </w:tcPr>
          <w:p>
            <w:pPr>
              <w:ind w:left="160"/>
              <w:spacing w:after="0"/>
              <w:rPr>
                <w:sz w:val="20"/>
                <w:szCs w:val="20"/>
                <w:color w:val="auto"/>
              </w:rPr>
            </w:pPr>
            <w:r>
              <w:rPr>
                <w:rFonts w:ascii="Arial" w:cs="Arial" w:eastAsia="Arial" w:hAnsi="Arial"/>
                <w:sz w:val="16"/>
                <w:szCs w:val="16"/>
                <w:color w:val="auto"/>
              </w:rPr>
              <w:t>XBRL Instance Document**</w:t>
            </w:r>
          </w:p>
        </w:tc>
      </w:tr>
      <w:tr>
        <w:trPr>
          <w:trHeight w:val="203"/>
        </w:trPr>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560" w:type="dxa"/>
            <w:vAlign w:val="bottom"/>
          </w:tcPr>
          <w:p>
            <w:pPr>
              <w:ind w:left="160"/>
              <w:spacing w:after="0"/>
              <w:rPr>
                <w:sz w:val="20"/>
                <w:szCs w:val="20"/>
                <w:color w:val="auto"/>
              </w:rPr>
            </w:pPr>
            <w:r>
              <w:rPr>
                <w:rFonts w:ascii="Arial" w:cs="Arial" w:eastAsia="Arial" w:hAnsi="Arial"/>
                <w:sz w:val="16"/>
                <w:szCs w:val="16"/>
                <w:color w:val="auto"/>
              </w:rPr>
              <w:t>XBRL Taxonomy Extension Schema Document**</w:t>
            </w:r>
          </w:p>
        </w:tc>
      </w:tr>
      <w:tr>
        <w:trPr>
          <w:trHeight w:val="203"/>
        </w:trPr>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560" w:type="dxa"/>
            <w:vAlign w:val="bottom"/>
          </w:tcPr>
          <w:p>
            <w:pPr>
              <w:ind w:left="16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03"/>
        </w:trPr>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560" w:type="dxa"/>
            <w:vAlign w:val="bottom"/>
          </w:tcPr>
          <w:p>
            <w:pPr>
              <w:ind w:left="160"/>
              <w:spacing w:after="0"/>
              <w:rPr>
                <w:sz w:val="20"/>
                <w:szCs w:val="20"/>
                <w:color w:val="auto"/>
              </w:rPr>
            </w:pPr>
            <w:r>
              <w:rPr>
                <w:rFonts w:ascii="Arial" w:cs="Arial" w:eastAsia="Arial" w:hAnsi="Arial"/>
                <w:sz w:val="16"/>
                <w:szCs w:val="16"/>
                <w:color w:val="auto"/>
              </w:rPr>
              <w:t>XBRL Taxonomy Extension Definition Document**</w:t>
            </w:r>
          </w:p>
        </w:tc>
      </w:tr>
      <w:tr>
        <w:trPr>
          <w:trHeight w:val="203"/>
        </w:trPr>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560" w:type="dxa"/>
            <w:vAlign w:val="bottom"/>
          </w:tcPr>
          <w:p>
            <w:pPr>
              <w:ind w:left="160"/>
              <w:spacing w:after="0"/>
              <w:rPr>
                <w:sz w:val="20"/>
                <w:szCs w:val="20"/>
                <w:color w:val="auto"/>
              </w:rPr>
            </w:pPr>
            <w:r>
              <w:rPr>
                <w:rFonts w:ascii="Arial" w:cs="Arial" w:eastAsia="Arial" w:hAnsi="Arial"/>
                <w:sz w:val="16"/>
                <w:szCs w:val="16"/>
                <w:color w:val="auto"/>
              </w:rPr>
              <w:t>XBRL Taxonomy Extension Label Linkbase Document**</w:t>
            </w:r>
          </w:p>
        </w:tc>
      </w:tr>
      <w:tr>
        <w:trPr>
          <w:trHeight w:val="209"/>
        </w:trPr>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101.PRE</w:t>
            </w:r>
          </w:p>
        </w:tc>
        <w:tc>
          <w:tcPr>
            <w:tcW w:w="85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20" w:lineRule="exact"/>
        <w:rPr>
          <w:sz w:val="20"/>
          <w:szCs w:val="20"/>
          <w:color w:val="auto"/>
        </w:rPr>
      </w:pPr>
    </w:p>
    <w:p>
      <w:pPr>
        <w:ind w:left="1480" w:hanging="1355"/>
        <w:spacing w:after="0"/>
        <w:tabs>
          <w:tab w:leader="none" w:pos="1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35" w:lineRule="exact"/>
        <w:rPr>
          <w:sz w:val="20"/>
          <w:szCs w:val="20"/>
          <w:color w:val="auto"/>
        </w:rPr>
      </w:pPr>
    </w:p>
    <w:p>
      <w:pPr>
        <w:ind w:left="1480" w:right="320" w:hanging="1355"/>
        <w:spacing w:after="0" w:line="293" w:lineRule="auto"/>
        <w:tabs>
          <w:tab w:leader="none" w:pos="1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accordance with Regulation S-T, the XBRL-related information in Exhibit 101 to this Quarterly Report on Form 10-Q shall be deemed to be “furnished” and not “filed.”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Stephanie L. Pugliese, Chief Executive Officer, certify that:</w:t>
      </w:r>
    </w:p>
    <w:p>
      <w:pPr>
        <w:spacing w:after="0" w:line="171" w:lineRule="exact"/>
        <w:rPr>
          <w:sz w:val="20"/>
          <w:szCs w:val="20"/>
          <w:color w:val="auto"/>
        </w:rPr>
      </w:pPr>
    </w:p>
    <w:p>
      <w:pPr>
        <w:ind w:left="680" w:hanging="348"/>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ind w:left="660" w:right="100" w:hanging="328"/>
        <w:spacing w:after="0" w:line="264"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jc w:val="both"/>
        <w:ind w:left="660" w:right="140" w:hanging="328"/>
        <w:spacing w:after="0" w:line="264"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jc w:val="both"/>
        <w:ind w:left="660" w:right="320" w:hanging="328"/>
        <w:spacing w:after="0" w:line="286" w:lineRule="auto"/>
        <w:tabs>
          <w:tab w:leader="none" w:pos="68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0" w:hanging="323"/>
        <w:spacing w:after="0" w:line="259" w:lineRule="auto"/>
        <w:tabs>
          <w:tab w:leader="none" w:pos="10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980" w:right="120" w:hanging="323"/>
        <w:spacing w:after="0" w:line="312" w:lineRule="auto"/>
        <w:tabs>
          <w:tab w:leader="none" w:pos="1022"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ind w:left="980" w:right="300" w:hanging="323"/>
        <w:spacing w:after="0" w:line="264" w:lineRule="auto"/>
        <w:tabs>
          <w:tab w:leader="none" w:pos="10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ind w:left="980" w:right="100" w:hanging="323"/>
        <w:spacing w:after="0" w:line="259" w:lineRule="auto"/>
        <w:tabs>
          <w:tab w:leader="none" w:pos="102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660" w:right="40" w:hanging="328"/>
        <w:spacing w:after="0" w:line="264"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6" w:lineRule="exact"/>
        <w:rPr>
          <w:rFonts w:ascii="Arial" w:cs="Arial" w:eastAsia="Arial" w:hAnsi="Arial"/>
          <w:sz w:val="18"/>
          <w:szCs w:val="18"/>
          <w:color w:val="auto"/>
        </w:rPr>
      </w:pPr>
    </w:p>
    <w:p>
      <w:pPr>
        <w:ind w:left="980" w:right="460" w:hanging="323"/>
        <w:spacing w:after="0" w:line="264" w:lineRule="auto"/>
        <w:tabs>
          <w:tab w:leader="none" w:pos="10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8"/>
          <w:szCs w:val="18"/>
          <w:color w:val="auto"/>
        </w:rPr>
      </w:pPr>
    </w:p>
    <w:p>
      <w:pPr>
        <w:ind w:left="980" w:right="240" w:hanging="323"/>
        <w:spacing w:after="0" w:line="277" w:lineRule="auto"/>
        <w:tabs>
          <w:tab w:leader="none" w:pos="102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7, 2017</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Stephanie L. Pugliese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M. DeOrio, Chief Financial Officer, certify that:</w:t>
      </w:r>
    </w:p>
    <w:p>
      <w:pPr>
        <w:spacing w:after="0" w:line="171" w:lineRule="exact"/>
        <w:rPr>
          <w:sz w:val="20"/>
          <w:szCs w:val="20"/>
          <w:color w:val="auto"/>
        </w:rPr>
      </w:pPr>
    </w:p>
    <w:p>
      <w:pPr>
        <w:ind w:left="680" w:hanging="348"/>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ind w:left="660" w:right="100" w:hanging="328"/>
        <w:spacing w:after="0" w:line="264"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jc w:val="both"/>
        <w:ind w:left="660" w:right="140" w:hanging="328"/>
        <w:spacing w:after="0" w:line="264"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jc w:val="both"/>
        <w:ind w:left="660" w:right="320" w:hanging="328"/>
        <w:spacing w:after="0" w:line="286" w:lineRule="auto"/>
        <w:tabs>
          <w:tab w:leader="none" w:pos="687"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0" w:hanging="323"/>
        <w:spacing w:after="0" w:line="259" w:lineRule="auto"/>
        <w:tabs>
          <w:tab w:leader="none" w:pos="10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980" w:right="120" w:hanging="323"/>
        <w:spacing w:after="0" w:line="312" w:lineRule="auto"/>
        <w:tabs>
          <w:tab w:leader="none" w:pos="1022"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ind w:left="980" w:right="300" w:hanging="323"/>
        <w:spacing w:after="0" w:line="264" w:lineRule="auto"/>
        <w:tabs>
          <w:tab w:leader="none" w:pos="10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ind w:left="980" w:right="100" w:hanging="323"/>
        <w:spacing w:after="0" w:line="264" w:lineRule="auto"/>
        <w:tabs>
          <w:tab w:leader="none" w:pos="1022"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6" w:lineRule="exact"/>
        <w:rPr>
          <w:rFonts w:ascii="Arial" w:cs="Arial" w:eastAsia="Arial" w:hAnsi="Arial"/>
          <w:sz w:val="18"/>
          <w:szCs w:val="18"/>
          <w:color w:val="auto"/>
        </w:rPr>
      </w:pPr>
    </w:p>
    <w:p>
      <w:pPr>
        <w:ind w:left="980" w:right="460" w:hanging="323"/>
        <w:spacing w:after="0" w:line="264" w:lineRule="auto"/>
        <w:tabs>
          <w:tab w:leader="none" w:pos="10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8"/>
          <w:szCs w:val="18"/>
          <w:color w:val="auto"/>
        </w:rPr>
      </w:pPr>
    </w:p>
    <w:p>
      <w:pPr>
        <w:ind w:left="980" w:right="240" w:hanging="323"/>
        <w:spacing w:after="0" w:line="277" w:lineRule="auto"/>
        <w:tabs>
          <w:tab w:leader="none" w:pos="1022"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7, 2017</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Mark M. DeOrio</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 M. DeOrio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380" w:firstLine="432"/>
        <w:spacing w:after="0" w:line="279" w:lineRule="auto"/>
        <w:rPr>
          <w:sz w:val="20"/>
          <w:szCs w:val="20"/>
          <w:color w:val="auto"/>
        </w:rPr>
      </w:pPr>
      <w:r>
        <w:rPr>
          <w:rFonts w:ascii="Arial" w:cs="Arial" w:eastAsia="Arial" w:hAnsi="Arial"/>
          <w:sz w:val="17"/>
          <w:szCs w:val="17"/>
          <w:color w:val="auto"/>
        </w:rPr>
        <w:t>In connection with the Quarterly Report on Form 10-Q of Duluth Holdings Inc. (the “Company”) for the quarterly period ended April 30, 2017 as filed with the Securities and Exchange Commission on the date hereof (the “Report”), I, Stephanie L. Pugliese, as Chief Executive Officer of the Company, hereby certify, pursuant to 18 U.S.C. Section 1350, as adopted pursuant to Section 906 of the Sarbanes-Oxley Act of 2002, that, to the best of my knowledge:</w:t>
      </w:r>
    </w:p>
    <w:p>
      <w:pPr>
        <w:spacing w:after="0" w:line="50" w:lineRule="exact"/>
        <w:rPr>
          <w:sz w:val="20"/>
          <w:szCs w:val="20"/>
          <w:color w:val="auto"/>
        </w:rPr>
      </w:pPr>
    </w:p>
    <w:p>
      <w:pPr>
        <w:ind w:left="460" w:right="700" w:hanging="134"/>
        <w:spacing w:after="0" w:line="277" w:lineRule="auto"/>
        <w:rPr>
          <w:sz w:val="20"/>
          <w:szCs w:val="20"/>
          <w:color w:val="auto"/>
        </w:rPr>
      </w:pPr>
      <w:r>
        <w:rPr>
          <w:rFonts w:ascii="Arial" w:cs="Arial" w:eastAsia="Arial" w:hAnsi="Arial"/>
          <w:sz w:val="18"/>
          <w:szCs w:val="18"/>
          <w:color w:val="auto"/>
        </w:rPr>
        <w:t>1.The Report fully complies with the requirements of Section 13(a) or 15(d) of the Securities Exchange Act of 1934, as amended (the “Exchange Act”); and</w:t>
      </w:r>
    </w:p>
    <w:p>
      <w:pPr>
        <w:spacing w:after="0" w:line="49" w:lineRule="exact"/>
        <w:rPr>
          <w:sz w:val="20"/>
          <w:szCs w:val="20"/>
          <w:color w:val="auto"/>
        </w:rPr>
      </w:pPr>
    </w:p>
    <w:p>
      <w:pPr>
        <w:ind w:left="460" w:right="740" w:hanging="134"/>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356"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/s/ Stephanie L. Pugliese</w:t>
      </w:r>
    </w:p>
    <w:p>
      <w:pPr>
        <w:spacing w:after="0" w:line="2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June 7, 2017</w:t>
      </w:r>
    </w:p>
    <w:p>
      <w:pPr>
        <w:spacing w:after="0" w:line="386" w:lineRule="exact"/>
        <w:rPr>
          <w:sz w:val="20"/>
          <w:szCs w:val="20"/>
          <w:color w:val="auto"/>
        </w:rPr>
      </w:pPr>
    </w:p>
    <w:p>
      <w:pPr>
        <w:ind w:right="80" w:firstLine="432"/>
        <w:spacing w:after="0" w:line="26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6139815"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connection with the Quarterly Report on Form 10-Q of Duluth Holdings Inc. (the “Company”) for the quarterly period ended April 30, 2017 as filed with the Securities and Exchange Commission on the date hereof (the “Report”), I, Mark M. DeOrio, as Chief Financial Officer of the Company, hereby certify, pursuant to 18 U.S.C. Section 1350, as adopted pursuant to Section 906 of the Sarbanes-Oxley Act of 2002, that, to the best of my knowledge:</w:t>
      </w:r>
    </w:p>
    <w:p>
      <w:pPr>
        <w:spacing w:after="0" w:line="65" w:lineRule="exact"/>
        <w:rPr>
          <w:sz w:val="20"/>
          <w:szCs w:val="20"/>
          <w:color w:val="auto"/>
        </w:rPr>
      </w:pPr>
    </w:p>
    <w:p>
      <w:pPr>
        <w:ind w:left="800" w:right="380" w:hanging="134"/>
        <w:spacing w:after="0" w:line="277" w:lineRule="auto"/>
        <w:rPr>
          <w:sz w:val="20"/>
          <w:szCs w:val="20"/>
          <w:color w:val="auto"/>
        </w:rPr>
      </w:pPr>
      <w:r>
        <w:rPr>
          <w:rFonts w:ascii="Arial" w:cs="Arial" w:eastAsia="Arial" w:hAnsi="Arial"/>
          <w:sz w:val="18"/>
          <w:szCs w:val="18"/>
          <w:color w:val="auto"/>
        </w:rPr>
        <w:t>1.The Report fully complies with the requirements of Section 13(a) or 15(d) of the Securities Exchange Act of 1934, as amended (the “Exchange Act”); and</w:t>
      </w:r>
    </w:p>
    <w:p>
      <w:pPr>
        <w:spacing w:after="0" w:line="49" w:lineRule="exact"/>
        <w:rPr>
          <w:sz w:val="20"/>
          <w:szCs w:val="20"/>
          <w:color w:val="auto"/>
        </w:rPr>
      </w:pPr>
    </w:p>
    <w:p>
      <w:pPr>
        <w:ind w:left="800" w:right="420" w:hanging="134"/>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3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 Mark M. DeOrio</w:t>
      </w:r>
    </w:p>
    <w:p>
      <w:pPr>
        <w:spacing w:after="0" w:line="2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Mark M. DeOrio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June 7, 2017</w:t>
      </w:r>
    </w:p>
    <w:p>
      <w:pPr>
        <w:spacing w:after="0" w:line="386" w:lineRule="exact"/>
        <w:rPr>
          <w:sz w:val="20"/>
          <w:szCs w:val="20"/>
          <w:color w:val="auto"/>
        </w:rPr>
      </w:pPr>
    </w:p>
    <w:p>
      <w:pPr>
        <w:ind w:right="80" w:firstLine="432"/>
        <w:spacing w:after="0" w:line="26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6139815"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sectPr>
      <w:pgSz w:w="11900" w:h="16838" w:orient="portrait"/>
      <w:cols w:equalWidth="0" w:num="1">
        <w:col w:w="9620"/>
      </w:cols>
      <w:pgMar w:left="1140" w:top="121"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10"/>
    </w:lvl>
  </w:abstractNum>
  <w:abstractNum w:abstractNumId="4">
    <w:nsid w:val="12200854"/>
    <w:multiLevelType w:val="hybridMultilevel"/>
    <w:lvl w:ilvl="0">
      <w:lvlJc w:val="left"/>
      <w:lvlText w:val="%1)"/>
      <w:numFmt w:val="decimal"/>
      <w:start w:val="330"/>
    </w:lvl>
  </w:abstractNum>
  <w:abstractNum w:abstractNumId="5">
    <w:nsid w:val="4DB127F8"/>
    <w:multiLevelType w:val="hybridMultilevel"/>
    <w:lvl w:ilvl="0">
      <w:lvlJc w:val="left"/>
      <w:lvlText w:val="%1)"/>
      <w:numFmt w:val="decimal"/>
      <w:start w:val="606"/>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606"/>
    </w:lvl>
  </w:abstractNum>
  <w:abstractNum w:abstractNumId="9">
    <w:nsid w:val="66EF438D"/>
    <w:multiLevelType w:val="hybridMultilevel"/>
    <w:lvl w:ilvl="0">
      <w:lvlJc w:val="left"/>
      <w:lvlText w:val="%1)"/>
      <w:numFmt w:val="decimal"/>
      <w:start w:val="330"/>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2019-12-29T06:14:18Z</dcterms:created>
  <dcterms:modified xsi:type="dcterms:W3CDTF">2019-12-29T06:14:18Z</dcterms:modified>
</cp:coreProperties>
</file>