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79"/>
        <w:spacing w:after="0" w:line="214"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140"/>
        <w:spacing w:after="0" w:line="232" w:lineRule="auto"/>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8" w:lineRule="auto"/>
        <w:rPr>
          <w:sz w:val="20"/>
          <w:szCs w:val="20"/>
          <w:color w:val="auto"/>
        </w:rPr>
      </w:pPr>
      <w:r>
        <w:rPr>
          <w:rFonts w:ascii="Times New Roman" w:cs="Times New Roman" w:eastAsia="Times New Roman" w:hAnsi="Times New Roman"/>
          <w:sz w:val="29"/>
          <w:szCs w:val="29"/>
          <w:b w:val="1"/>
          <w:bCs w:val="1"/>
          <w:color w:val="auto"/>
        </w:rPr>
        <w:t>FORM 10-Q</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38" w:lineRule="exact"/>
        <w:rPr>
          <w:sz w:val="24"/>
          <w:szCs w:val="24"/>
          <w:color w:val="auto"/>
        </w:rPr>
      </w:pPr>
    </w:p>
    <w:p>
      <w:pPr>
        <w:ind w:left="480" w:right="180" w:hanging="472"/>
        <w:spacing w:after="0" w:line="249"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28, 2024</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500" w:right="140" w:hanging="492"/>
        <w:spacing w:after="0" w:line="262" w:lineRule="auto"/>
        <w:tabs>
          <w:tab w:leader="none" w:pos="50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u w:val="single" w:color="auto"/>
          <w:color w:val="auto"/>
        </w:rPr>
        <w:t>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u w:val="single" w:color="auto"/>
          <w:color w:val="auto"/>
        </w:rPr>
        <w:t>_______</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001-37641</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7" w:lineRule="auto"/>
        <w:rPr>
          <w:sz w:val="20"/>
          <w:szCs w:val="20"/>
          <w:color w:val="auto"/>
        </w:rPr>
      </w:pPr>
      <w:r>
        <w:rPr>
          <w:rFonts w:ascii="Times New Roman" w:cs="Times New Roman" w:eastAsia="Times New Roman" w:hAnsi="Times New Roman"/>
          <w:sz w:val="40"/>
          <w:szCs w:val="40"/>
          <w:b w:val="1"/>
          <w:bCs w:val="1"/>
          <w:color w:val="auto"/>
        </w:rPr>
        <w:t>DULUTH HOLDINGS INC.</w:t>
      </w:r>
    </w:p>
    <w:p>
      <w:pPr>
        <w:jc w:val="center"/>
        <w:ind w:right="-79"/>
        <w:spacing w:after="0" w:line="225"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16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27"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6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39-1564801</w:t>
            </w:r>
          </w:p>
        </w:tc>
        <w:tc>
          <w:tcPr>
            <w:tcW w:w="0" w:type="dxa"/>
            <w:vAlign w:val="bottom"/>
          </w:tcPr>
          <w:p>
            <w:pPr>
              <w:spacing w:after="0"/>
              <w:rPr>
                <w:sz w:val="1"/>
                <w:szCs w:val="1"/>
                <w:color w:val="auto"/>
              </w:rPr>
            </w:pPr>
          </w:p>
        </w:tc>
      </w:tr>
      <w:tr>
        <w:trPr>
          <w:trHeight w:val="162"/>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6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98"/>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201 East Front Street</w:t>
            </w:r>
          </w:p>
        </w:tc>
        <w:tc>
          <w:tcPr>
            <w:tcW w:w="1660" w:type="dxa"/>
            <w:vAlign w:val="bottom"/>
            <w:vMerge w:val="restart"/>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53572</w:t>
            </w:r>
          </w:p>
        </w:tc>
        <w:tc>
          <w:tcPr>
            <w:tcW w:w="0" w:type="dxa"/>
            <w:vAlign w:val="bottom"/>
          </w:tcPr>
          <w:p>
            <w:pPr>
              <w:spacing w:after="0"/>
              <w:rPr>
                <w:sz w:val="1"/>
                <w:szCs w:val="1"/>
                <w:color w:val="auto"/>
              </w:rPr>
            </w:pPr>
          </w:p>
        </w:tc>
      </w:tr>
      <w:tr>
        <w:trPr>
          <w:trHeight w:val="214"/>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Mount Horeb, Wisconsin</w:t>
            </w: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5"/>
        </w:trPr>
        <w:tc>
          <w:tcPr>
            <w:tcW w:w="5860" w:type="dxa"/>
            <w:vAlign w:val="bottom"/>
          </w:tcPr>
          <w:p>
            <w:pPr>
              <w:jc w:val="right"/>
              <w:ind w:right="1322"/>
              <w:spacing w:after="0"/>
              <w:rPr>
                <w:sz w:val="20"/>
                <w:szCs w:val="20"/>
                <w:color w:val="auto"/>
              </w:rPr>
            </w:pPr>
            <w:r>
              <w:rPr>
                <w:rFonts w:ascii="Times New Roman" w:cs="Times New Roman" w:eastAsia="Times New Roman" w:hAnsi="Times New Roman"/>
                <w:sz w:val="14"/>
                <w:szCs w:val="14"/>
                <w:b w:val="1"/>
                <w:bCs w:val="1"/>
                <w:color w:val="auto"/>
              </w:rPr>
              <w:t>(608) 424-1544</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jc w:val="right"/>
              <w:ind w:right="302"/>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0" w:lineRule="exact"/>
        <w:rPr>
          <w:sz w:val="24"/>
          <w:szCs w:val="24"/>
          <w:color w:val="auto"/>
        </w:rPr>
      </w:pPr>
    </w:p>
    <w:tbl>
      <w:tblPr>
        <w:tblLayout w:type="fixed"/>
        <w:tblInd w:w="720" w:type="dxa"/>
        <w:tblCellMar>
          <w:top w:w="0" w:type="dxa"/>
          <w:left w:w="0" w:type="dxa"/>
          <w:bottom w:w="0" w:type="dxa"/>
          <w:right w:w="0" w:type="dxa"/>
        </w:tblCellMar>
      </w:tblPr>
      <w:tr>
        <w:trPr>
          <w:trHeight w:val="189"/>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Trading Symbol(s)</w:t>
            </w:r>
          </w:p>
        </w:tc>
        <w:tc>
          <w:tcPr>
            <w:tcW w:w="370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Class B Common Stock, No Par Value</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8"/>
              </w:rPr>
              <w:t>DLTH</w:t>
            </w:r>
          </w:p>
        </w:tc>
        <w:tc>
          <w:tcPr>
            <w:tcW w:w="370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40575"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48920"/>
                    </a:xfrm>
                    <a:prstGeom prst="rect">
                      <a:avLst/>
                    </a:prstGeom>
                    <a:noFill/>
                  </pic:spPr>
                </pic:pic>
              </a:graphicData>
            </a:graphic>
          </wp:anchor>
        </w:drawing>
      </w:r>
    </w:p>
    <w:p>
      <w:pPr>
        <w:spacing w:after="0" w:line="12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w:t>
      </w:r>
    </w:p>
    <w:p>
      <w:pPr>
        <w:spacing w:after="0" w:line="10" w:lineRule="exact"/>
        <w:rPr>
          <w:sz w:val="24"/>
          <w:szCs w:val="24"/>
          <w:color w:val="auto"/>
        </w:rPr>
      </w:pPr>
    </w:p>
    <w:p>
      <w:pPr>
        <w:ind w:right="240"/>
        <w:spacing w:after="0" w:line="191" w:lineRule="exact"/>
        <w:rPr>
          <w:sz w:val="20"/>
          <w:szCs w:val="20"/>
          <w:color w:val="auto"/>
        </w:rPr>
      </w:pPr>
      <w:r>
        <w:rPr>
          <w:rFonts w:ascii="Times New Roman" w:cs="Times New Roman" w:eastAsia="Times New Roman" w:hAnsi="Times New Roman"/>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01" w:lineRule="exact"/>
        <w:rPr>
          <w:sz w:val="24"/>
          <w:szCs w:val="24"/>
          <w:color w:val="auto"/>
        </w:rPr>
      </w:pPr>
    </w:p>
    <w:p>
      <w:pPr>
        <w:ind w:firstLine="428"/>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89" w:lineRule="exact"/>
        <w:rPr>
          <w:sz w:val="24"/>
          <w:szCs w:val="24"/>
          <w:color w:val="auto"/>
        </w:rPr>
      </w:pPr>
    </w:p>
    <w:p>
      <w:pPr>
        <w:jc w:val="both"/>
        <w:ind w:right="220" w:firstLine="428"/>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0" w:lineRule="exact"/>
        <w:rPr>
          <w:sz w:val="24"/>
          <w:szCs w:val="24"/>
          <w:color w:val="auto"/>
        </w:rPr>
      </w:pPr>
    </w:p>
    <w:tbl>
      <w:tblPr>
        <w:tblLayout w:type="fixed"/>
        <w:tblInd w:w="1000" w:type="dxa"/>
        <w:tblCellMar>
          <w:top w:w="0" w:type="dxa"/>
          <w:left w:w="0" w:type="dxa"/>
          <w:bottom w:w="0" w:type="dxa"/>
          <w:right w:w="0" w:type="dxa"/>
        </w:tblCellMar>
      </w:tblPr>
      <w:tr>
        <w:trPr>
          <w:trHeight w:val="198"/>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40" w:type="dxa"/>
            <w:vAlign w:val="bottom"/>
          </w:tcPr>
          <w:p>
            <w:pPr>
              <w:ind w:left="500"/>
              <w:spacing w:after="0"/>
              <w:rPr>
                <w:sz w:val="20"/>
                <w:szCs w:val="20"/>
                <w:color w:val="auto"/>
              </w:rPr>
            </w:pPr>
            <w:r>
              <w:rPr>
                <w:rFonts w:ascii="Wingdings" w:cs="Wingdings" w:eastAsia="Wingdings" w:hAnsi="Wingdings"/>
                <w:sz w:val="16"/>
                <w:szCs w:val="16"/>
                <w:b w:val="1"/>
                <w:bCs w:val="1"/>
                <w:color w:val="auto"/>
              </w:rPr>
              <w:t>o</w:t>
            </w: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40" w:type="dxa"/>
            <w:vAlign w:val="bottom"/>
          </w:tcPr>
          <w:p>
            <w:pPr>
              <w:ind w:left="500"/>
              <w:spacing w:after="0"/>
              <w:rPr>
                <w:sz w:val="20"/>
                <w:szCs w:val="20"/>
                <w:color w:val="auto"/>
              </w:rPr>
            </w:pPr>
            <w:r>
              <w:rPr>
                <w:rFonts w:ascii="Wingdings" w:cs="Wingdings" w:eastAsia="Wingdings" w:hAnsi="Wingdings"/>
                <w:sz w:val="16"/>
                <w:szCs w:val="16"/>
                <w:b w:val="1"/>
                <w:bCs w:val="1"/>
                <w:color w:val="auto"/>
              </w:rPr>
              <w:t>o</w:t>
            </w: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0"/>
        </w:trPr>
        <w:tc>
          <w:tcPr>
            <w:tcW w:w="2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114" w:lineRule="exact"/>
        <w:rPr>
          <w:sz w:val="24"/>
          <w:szCs w:val="24"/>
          <w:color w:val="auto"/>
        </w:rPr>
      </w:pPr>
    </w:p>
    <w:p>
      <w:pPr>
        <w:ind w:right="80" w:firstLine="428"/>
        <w:spacing w:after="0" w:line="26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74" w:lineRule="exact"/>
        <w:rPr>
          <w:sz w:val="24"/>
          <w:szCs w:val="24"/>
          <w:color w:val="auto"/>
        </w:rPr>
      </w:pPr>
    </w:p>
    <w:p>
      <w:pPr>
        <w:ind w:left="440"/>
        <w:spacing w:after="0" w:line="184" w:lineRule="exact"/>
        <w:tabs>
          <w:tab w:leader="none" w:pos="7940" w:val="left"/>
          <w:tab w:leader="none" w:pos="85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7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A common stock, no par value, as of August 28, 2024, was 3,364,200.</w:t>
      </w:r>
    </w:p>
    <w:p>
      <w:pPr>
        <w:spacing w:after="0" w:line="1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B common stock, no par value, as of August 28, 2024, was 31,671,201.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96" w:right="419" w:bottom="1440" w:gutter="0" w:footer="0" w:header="0"/>
        </w:sectPr>
      </w:pPr>
    </w:p>
    <w:bookmarkStart w:id="1" w:name="page2"/>
    <w:bookmarkEnd w:id="1"/>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FOR QUARTER ENDED July 28,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40" w:type="dxa"/>
            <w:vAlign w:val="bottom"/>
            <w:gridSpan w:val="12"/>
          </w:tcPr>
          <w:p>
            <w:pPr>
              <w:jc w:val="center"/>
              <w:ind w:right="3000"/>
              <w:spacing w:after="0"/>
              <w:rPr>
                <w:sz w:val="20"/>
                <w:szCs w:val="20"/>
                <w:color w:val="auto"/>
              </w:rPr>
            </w:pPr>
            <w:r>
              <w:rPr>
                <w:rFonts w:ascii="Times New Roman" w:cs="Times New Roman" w:eastAsia="Times New Roman" w:hAnsi="Times New Roman"/>
                <w:sz w:val="18"/>
                <w:szCs w:val="18"/>
                <w:color w:val="0000FF"/>
                <w:w w:val="99"/>
              </w:rPr>
              <w:t>Part I—Financial Information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r>
      <w:tr>
        <w:trPr>
          <w:trHeight w:val="38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60" w:type="dxa"/>
            <w:vAlign w:val="bottom"/>
            <w:gridSpan w:val="3"/>
          </w:tcPr>
          <w:p>
            <w:pPr>
              <w:spacing w:after="0"/>
              <w:rPr>
                <w:sz w:val="24"/>
                <w:szCs w:val="24"/>
                <w:color w:val="auto"/>
              </w:rPr>
            </w:pPr>
          </w:p>
        </w:tc>
        <w:tc>
          <w:tcPr>
            <w:tcW w:w="3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140" w:type="dxa"/>
            <w:vAlign w:val="bottom"/>
            <w:tcBorders>
              <w:top w:val="single" w:sz="8" w:color="0000FF"/>
            </w:tcBorders>
            <w:gridSpan w:val="6"/>
          </w:tcPr>
          <w:p>
            <w:pPr>
              <w:spacing w:after="0"/>
              <w:rPr>
                <w:sz w:val="24"/>
                <w:szCs w:val="24"/>
                <w:color w:val="auto"/>
              </w:rPr>
            </w:pPr>
          </w:p>
        </w:tc>
        <w:tc>
          <w:tcPr>
            <w:tcW w:w="3000" w:type="dxa"/>
            <w:vAlign w:val="bottom"/>
            <w:gridSpan w:val="6"/>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July 28, 2024 and January 28, 2024 (Unaudited)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July 28, 2024 and July 30,</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Borders>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8"/>
              </w:rPr>
              <w:t>2023 (Unaudited)</w:t>
            </w:r>
          </w:p>
        </w:tc>
        <w:tc>
          <w:tcPr>
            <w:tcW w:w="6900" w:type="dxa"/>
            <w:vAlign w:val="bottom"/>
            <w:gridSpan w:val="18"/>
          </w:tcPr>
          <w:p>
            <w:pPr>
              <w:spacing w:after="0"/>
              <w:rPr>
                <w:sz w:val="14"/>
                <w:szCs w:val="14"/>
                <w:color w:val="auto"/>
              </w:rPr>
            </w:pPr>
          </w:p>
        </w:tc>
        <w:tc>
          <w:tcPr>
            <w:tcW w:w="1580" w:type="dxa"/>
            <w:vAlign w:val="bottom"/>
          </w:tcPr>
          <w:p>
            <w:pPr>
              <w:spacing w:after="0"/>
              <w:rPr>
                <w:sz w:val="14"/>
                <w:szCs w:val="14"/>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Income for the three and six months ended July</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0" w:type="dxa"/>
            <w:vAlign w:val="bottom"/>
            <w:tcBorders>
              <w:top w:val="single" w:sz="8" w:color="0000FF"/>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FF"/>
              </w:rPr>
              <w:t>28, 2024 and July 30, 2023 (Unaudited)</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 of Shareholders’ Equity for the three and six months ended July 28,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92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 of Shareholders’ Equity for the three and six months ended July 30,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92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July 28, 2024 and July 30,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94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240" w:type="dxa"/>
            <w:vAlign w:val="bottom"/>
            <w:gridSpan w:val="2"/>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960" w:type="dxa"/>
            <w:vAlign w:val="bottom"/>
            <w:gridSpan w:val="3"/>
          </w:tcPr>
          <w:p>
            <w:pPr>
              <w:spacing w:after="0"/>
              <w:rPr>
                <w:sz w:val="24"/>
                <w:szCs w:val="24"/>
                <w:color w:val="auto"/>
              </w:rPr>
            </w:pP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20" w:type="dxa"/>
            <w:vAlign w:val="bottom"/>
            <w:gridSpan w:val="5"/>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960" w:type="dxa"/>
            <w:vAlign w:val="bottom"/>
            <w:gridSpan w:val="3"/>
          </w:tcPr>
          <w:p>
            <w:pPr>
              <w:spacing w:after="0"/>
              <w:rPr>
                <w:sz w:val="24"/>
                <w:szCs w:val="24"/>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820" w:type="dxa"/>
            <w:vAlign w:val="bottom"/>
            <w:gridSpan w:val="9"/>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8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85"/>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11"/>
          </w:tcPr>
          <w:p>
            <w:pPr>
              <w:jc w:val="center"/>
              <w:ind w:right="3100"/>
              <w:spacing w:after="0"/>
              <w:rPr>
                <w:sz w:val="20"/>
                <w:szCs w:val="20"/>
                <w:color w:val="auto"/>
              </w:rPr>
            </w:pPr>
            <w:r>
              <w:rPr>
                <w:rFonts w:ascii="Times New Roman" w:cs="Times New Roman" w:eastAsia="Times New Roman" w:hAnsi="Times New Roman"/>
                <w:sz w:val="18"/>
                <w:szCs w:val="18"/>
                <w:color w:val="0000FF"/>
                <w:w w:val="99"/>
              </w:rPr>
              <w:t>Part II—Other Information</w:t>
            </w:r>
          </w:p>
        </w:tc>
        <w:tc>
          <w:tcPr>
            <w:tcW w:w="1580" w:type="dxa"/>
            <w:vAlign w:val="bottom"/>
          </w:tcPr>
          <w:p>
            <w:pPr>
              <w:spacing w:after="0"/>
              <w:rPr>
                <w:sz w:val="24"/>
                <w:szCs w:val="24"/>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60" w:type="dxa"/>
            <w:vAlign w:val="bottom"/>
            <w:gridSpan w:val="3"/>
          </w:tcPr>
          <w:p>
            <w:pPr>
              <w:spacing w:after="0"/>
              <w:rPr>
                <w:sz w:val="24"/>
                <w:szCs w:val="24"/>
                <w:color w:val="auto"/>
              </w:rPr>
            </w:pP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800" w:type="dxa"/>
            <w:vAlign w:val="bottom"/>
            <w:gridSpan w:val="5"/>
          </w:tcPr>
          <w:p>
            <w:pPr>
              <w:spacing w:after="0"/>
              <w:rPr>
                <w:sz w:val="24"/>
                <w:szCs w:val="24"/>
                <w:color w:val="auto"/>
              </w:rPr>
            </w:pPr>
          </w:p>
        </w:tc>
        <w:tc>
          <w:tcPr>
            <w:tcW w:w="1940" w:type="dxa"/>
            <w:vAlign w:val="bottom"/>
            <w:tcBorders>
              <w:top w:val="single" w:sz="8" w:color="0000FF"/>
            </w:tcBorders>
            <w:gridSpan w:val="4"/>
          </w:tcPr>
          <w:p>
            <w:pPr>
              <w:spacing w:after="0"/>
              <w:rPr>
                <w:sz w:val="24"/>
                <w:szCs w:val="24"/>
                <w:color w:val="auto"/>
              </w:rPr>
            </w:pPr>
          </w:p>
        </w:tc>
        <w:tc>
          <w:tcPr>
            <w:tcW w:w="3100" w:type="dxa"/>
            <w:vAlign w:val="bottom"/>
            <w:gridSpan w:val="7"/>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8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85"/>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960" w:type="dxa"/>
            <w:vAlign w:val="bottom"/>
            <w:gridSpan w:val="3"/>
          </w:tcPr>
          <w:p>
            <w:pPr>
              <w:spacing w:after="0"/>
              <w:rPr>
                <w:sz w:val="24"/>
                <w:szCs w:val="24"/>
                <w:color w:val="auto"/>
              </w:rPr>
            </w:pP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7"/>
          </w:tcPr>
          <w:p>
            <w:pPr>
              <w:spacing w:after="0"/>
              <w:rPr>
                <w:sz w:val="24"/>
                <w:szCs w:val="24"/>
                <w:color w:val="auto"/>
              </w:rPr>
            </w:pPr>
          </w:p>
        </w:tc>
        <w:tc>
          <w:tcPr>
            <w:tcW w:w="3840" w:type="dxa"/>
            <w:vAlign w:val="bottom"/>
            <w:gridSpan w:val="10"/>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960" w:type="dxa"/>
            <w:vAlign w:val="bottom"/>
            <w:gridSpan w:val="3"/>
          </w:tcPr>
          <w:p>
            <w:pPr>
              <w:spacing w:after="0"/>
              <w:rPr>
                <w:sz w:val="24"/>
                <w:szCs w:val="24"/>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580" w:type="dxa"/>
            <w:vAlign w:val="bottom"/>
            <w:gridSpan w:val="21"/>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777"/>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830"/>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gridSpan w:val="12"/>
          </w:tcPr>
          <w:p>
            <w:pPr>
              <w:ind w:left="41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20"/>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ind w:left="376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Balance Sheets - Assets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218"/>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32,157</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r>
      <w:tr>
        <w:trPr>
          <w:trHeight w:val="234"/>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65"/>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less reserves of $1,047 and $1,361, respectively</w:t>
            </w:r>
          </w:p>
        </w:tc>
        <w:tc>
          <w:tcPr>
            <w:tcW w:w="4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168,718</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125,757</w:t>
            </w:r>
          </w:p>
        </w:tc>
      </w:tr>
      <w:tr>
        <w:trPr>
          <w:trHeight w:val="221"/>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19,722</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16,488</w:t>
            </w:r>
          </w:p>
        </w:tc>
      </w:tr>
      <w:tr>
        <w:trPr>
          <w:trHeight w:val="218"/>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206,858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180,974</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121,148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132,718</w:t>
            </w: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121,430</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40,315</w:t>
            </w: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security</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w:t>
            </w:r>
          </w:p>
        </w:tc>
      </w:tr>
      <w:tr>
        <w:trPr>
          <w:trHeight w:val="221"/>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196"/>
        </w:trPr>
        <w:tc>
          <w:tcPr>
            <w:tcW w:w="77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488,595</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490,453</w:t>
            </w:r>
          </w:p>
        </w:tc>
      </w:tr>
      <w:tr>
        <w:trPr>
          <w:trHeight w:val="20"/>
        </w:trPr>
        <w:tc>
          <w:tcPr>
            <w:tcW w:w="7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 w:name="page4"/>
    <w:bookmarkEnd w:id="3"/>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Liabilities and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218"/>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77,600</w:t>
            </w:r>
          </w:p>
        </w:tc>
        <w:tc>
          <w:tcPr>
            <w:tcW w:w="1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51,122</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30,930</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16,401</w:t>
            </w:r>
          </w:p>
        </w:tc>
      </w:tr>
      <w:tr>
        <w:trPr>
          <w:trHeight w:val="230"/>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Duluth line of credit</w:t>
            </w:r>
          </w:p>
        </w:tc>
        <w:tc>
          <w:tcPr>
            <w:tcW w:w="48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maturities of TRI long-term debt</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18"/>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102,449</w:t>
            </w: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maturities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106,413</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less current maturities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34,276</w:t>
            </w:r>
          </w:p>
        </w:tc>
      </w:tr>
      <w:tr>
        <w:trPr>
          <w:trHeight w:val="221"/>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TRI long-term debt, less current maturities</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24,723</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25,141</w:t>
            </w:r>
          </w:p>
        </w:tc>
      </w:tr>
      <w:tr>
        <w:trPr>
          <w:trHeight w:val="218"/>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275,943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268,279</w:t>
            </w: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or outstanding as of July 28, 2024 and January 28, 2024</w:t>
            </w:r>
          </w:p>
        </w:tc>
        <w:tc>
          <w:tcPr>
            <w:tcW w:w="48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(Class A), no par value; 10,000 shares authorized; 3,364 shares</w:t>
            </w: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July 28, 2024 and January 28, 2024</w:t>
            </w:r>
          </w:p>
        </w:tc>
        <w:tc>
          <w:tcPr>
            <w:tcW w:w="48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9"/>
        </w:trPr>
        <w:tc>
          <w:tcPr>
            <w:tcW w:w="77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31,979 shares issued and 31,715 shares outstanding as of July 28, 2024 and</w:t>
            </w: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31,178 shares issued and 31,023 shares outstanding as of January 28, 2024</w:t>
            </w:r>
          </w:p>
        </w:tc>
        <w:tc>
          <w:tcPr>
            <w:tcW w:w="48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264 and 155 shares as of July 28, 2024 and</w:t>
            </w: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28, 2024, respectively</w:t>
            </w:r>
          </w:p>
        </w:tc>
        <w:tc>
          <w:tcPr>
            <w:tcW w:w="4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(2,243)</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106,169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103,579</w:t>
            </w:r>
          </w:p>
        </w:tc>
      </w:tr>
      <w:tr>
        <w:trPr>
          <w:trHeight w:val="22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112,199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123,816</w:t>
            </w:r>
          </w:p>
        </w:tc>
      </w:tr>
      <w:tr>
        <w:trPr>
          <w:trHeight w:val="221"/>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(436)</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18"/>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215,689</w:t>
            </w: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225,230</w:t>
            </w:r>
          </w:p>
        </w:tc>
      </w:tr>
      <w:tr>
        <w:trPr>
          <w:trHeight w:val="221"/>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4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(3,037)</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r>
      <w:tr>
        <w:trPr>
          <w:trHeight w:val="210"/>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212,652</w:t>
            </w: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222,174</w:t>
            </w:r>
          </w:p>
        </w:tc>
      </w:tr>
      <w:tr>
        <w:trPr>
          <w:trHeight w:val="196"/>
        </w:trPr>
        <w:tc>
          <w:tcPr>
            <w:tcW w:w="77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48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488,595</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490,453</w:t>
            </w:r>
          </w:p>
        </w:tc>
      </w:tr>
      <w:tr>
        <w:trPr>
          <w:trHeight w:val="20"/>
        </w:trPr>
        <w:tc>
          <w:tcPr>
            <w:tcW w:w="7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141,619</w:t>
            </w:r>
          </w:p>
        </w:tc>
        <w:tc>
          <w:tcPr>
            <w:tcW w:w="20" w:type="dxa"/>
            <w:vAlign w:val="bottom"/>
          </w:tcPr>
          <w:p>
            <w:pPr>
              <w:spacing w:after="0"/>
              <w:rPr>
                <w:sz w:val="22"/>
                <w:szCs w:val="22"/>
                <w:color w:val="auto"/>
              </w:rPr>
            </w:pPr>
          </w:p>
        </w:tc>
        <w:tc>
          <w:tcPr>
            <w:tcW w:w="2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139,099</w:t>
            </w:r>
          </w:p>
        </w:tc>
        <w:tc>
          <w:tcPr>
            <w:tcW w:w="60" w:type="dxa"/>
            <w:vAlign w:val="bottom"/>
          </w:tcPr>
          <w:p>
            <w:pPr>
              <w:spacing w:after="0"/>
              <w:rPr>
                <w:sz w:val="22"/>
                <w:szCs w:val="22"/>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258,303</w:t>
            </w:r>
          </w:p>
        </w:tc>
        <w:tc>
          <w:tcPr>
            <w:tcW w:w="40" w:type="dxa"/>
            <w:vAlign w:val="bottom"/>
          </w:tcPr>
          <w:p>
            <w:pPr>
              <w:spacing w:after="0"/>
              <w:rPr>
                <w:sz w:val="22"/>
                <w:szCs w:val="22"/>
                <w:color w:val="auto"/>
              </w:rPr>
            </w:pP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67,616</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122,683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146,881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(5,889)</w:t>
            </w:r>
          </w:p>
        </w:tc>
        <w:tc>
          <w:tcPr>
            <w:tcW w:w="0" w:type="dxa"/>
            <w:vAlign w:val="bottom"/>
          </w:tcPr>
          <w:p>
            <w:pPr>
              <w:spacing w:after="0"/>
              <w:rPr>
                <w:sz w:val="1"/>
                <w:szCs w:val="1"/>
                <w:color w:val="auto"/>
              </w:rPr>
            </w:pPr>
          </w:p>
        </w:tc>
      </w:tr>
      <w:tr>
        <w:trPr>
          <w:trHeight w:val="25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83"/>
        </w:trPr>
        <w:tc>
          <w:tcPr>
            <w:tcW w:w="56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180" w:type="dxa"/>
            <w:vAlign w:val="bottom"/>
            <w:tcBorders>
              <w:top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(3,744)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(2,004)</w:t>
            </w:r>
          </w:p>
        </w:tc>
        <w:tc>
          <w:tcPr>
            <w:tcW w:w="60" w:type="dxa"/>
            <w:vAlign w:val="bottom"/>
          </w:tcPr>
          <w:p>
            <w:pPr>
              <w:spacing w:after="0"/>
              <w:rPr>
                <w:sz w:val="15"/>
                <w:szCs w:val="15"/>
                <w:color w:val="auto"/>
              </w:rPr>
            </w:pPr>
          </w:p>
        </w:tc>
        <w:tc>
          <w:tcPr>
            <w:tcW w:w="180" w:type="dxa"/>
            <w:vAlign w:val="bottom"/>
            <w:tcBorders>
              <w:top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(11,617)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(5,873)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(Class A and Class B):</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32,952</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controlling interest</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(Class A and Class B):</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and equivalents outstanding</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32,952</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controlling interest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 w:name="page6"/>
    <w:bookmarkEnd w:id="5"/>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0" w:type="dxa"/>
            <w:vAlign w:val="bottom"/>
          </w:tcPr>
          <w:p>
            <w:pPr>
              <w:spacing w:after="0"/>
              <w:rPr>
                <w:sz w:val="1"/>
                <w:szCs w:val="1"/>
                <w:color w:val="auto"/>
              </w:rPr>
            </w:pPr>
          </w:p>
        </w:tc>
      </w:tr>
      <w:tr>
        <w:trPr>
          <w:trHeight w:val="191"/>
        </w:trPr>
        <w:tc>
          <w:tcPr>
            <w:tcW w:w="5560" w:type="dxa"/>
            <w:vAlign w:val="bottom"/>
            <w:vMerge w:val="continue"/>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(3,733)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(2,012)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(11,598)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(5,889)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Securities available-for sale: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security gain (loss) arising during the period</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1"/>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5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5"/>
        </w:trPr>
        <w:tc>
          <w:tcPr>
            <w:tcW w:w="5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Pr>
          <w:p>
            <w:pPr>
              <w:spacing w:after="0"/>
              <w:rPr>
                <w:sz w:val="17"/>
                <w:szCs w:val="17"/>
                <w:color w:val="auto"/>
              </w:rPr>
            </w:pPr>
          </w:p>
        </w:tc>
        <w:tc>
          <w:tcPr>
            <w:tcW w:w="1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(3,637)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(2,100)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(11,607)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(6,036)</w:t>
            </w:r>
          </w:p>
        </w:tc>
        <w:tc>
          <w:tcPr>
            <w:tcW w:w="0" w:type="dxa"/>
            <w:vAlign w:val="bottom"/>
          </w:tcPr>
          <w:p>
            <w:pPr>
              <w:spacing w:after="0"/>
              <w:rPr>
                <w:sz w:val="1"/>
                <w:szCs w:val="1"/>
                <w:color w:val="auto"/>
              </w:rPr>
            </w:pPr>
          </w:p>
        </w:tc>
      </w:tr>
      <w:tr>
        <w:trPr>
          <w:trHeight w:val="221"/>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5"/>
        </w:trPr>
        <w:tc>
          <w:tcPr>
            <w:tcW w:w="5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Comprehensive loss attributable</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 controlling interest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(3,648)</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(2,092)</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(11,626)</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 w:name="page7"/>
    <w:bookmarkEnd w:id="6"/>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10"/>
          </w:tcPr>
          <w:p>
            <w:pPr>
              <w:ind w:left="680"/>
              <w:spacing w:after="0"/>
              <w:rPr>
                <w:sz w:val="20"/>
                <w:szCs w:val="20"/>
                <w:color w:val="auto"/>
              </w:rPr>
            </w:pPr>
            <w:r>
              <w:rPr>
                <w:rFonts w:ascii="Times New Roman" w:cs="Times New Roman" w:eastAsia="Times New Roman" w:hAnsi="Times New Roman"/>
                <w:sz w:val="14"/>
                <w:szCs w:val="14"/>
                <w:b w:val="1"/>
                <w:bCs w:val="1"/>
                <w:color w:val="auto"/>
              </w:rPr>
              <w:t>Six Months Ended July 28, 2024</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4"/>
        </w:trPr>
        <w:tc>
          <w:tcPr>
            <w:tcW w:w="3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8"/>
        </w:trPr>
        <w:tc>
          <w:tcPr>
            <w:tcW w:w="36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8"/>
              </w:rPr>
              <w:t>Capital stock</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3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6"/>
                <w:szCs w:val="16"/>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6"/>
                <w:szCs w:val="16"/>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100" w:type="dxa"/>
            <w:vAlign w:val="bottom"/>
          </w:tcPr>
          <w:p>
            <w:pPr>
              <w:spacing w:after="0"/>
              <w:rPr>
                <w:sz w:val="16"/>
                <w:szCs w:val="16"/>
                <w:color w:val="auto"/>
              </w:rPr>
            </w:pPr>
          </w:p>
        </w:tc>
        <w:tc>
          <w:tcPr>
            <w:tcW w:w="920" w:type="dxa"/>
            <w:vAlign w:val="bottom"/>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99"/>
        </w:trPr>
        <w:tc>
          <w:tcPr>
            <w:tcW w:w="3600" w:type="dxa"/>
            <w:vAlign w:val="bottom"/>
          </w:tcPr>
          <w:p>
            <w:pPr>
              <w:spacing w:after="0"/>
              <w:rPr>
                <w:sz w:val="17"/>
                <w:szCs w:val="17"/>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entity</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05"/>
        </w:trPr>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Balance at January 28, 2024</w:t>
            </w:r>
          </w:p>
        </w:tc>
        <w:tc>
          <w:tcPr>
            <w:tcW w:w="8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34,387</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103,579</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(1,738)</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123,816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(427)</w:t>
            </w:r>
          </w:p>
        </w:tc>
        <w:tc>
          <w:tcPr>
            <w:tcW w:w="60" w:type="dxa"/>
            <w:vAlign w:val="bottom"/>
          </w:tcPr>
          <w:p>
            <w:pPr>
              <w:spacing w:after="0"/>
              <w:rPr>
                <w:sz w:val="17"/>
                <w:szCs w:val="17"/>
                <w:color w:val="auto"/>
              </w:rPr>
            </w:pPr>
          </w:p>
        </w:tc>
        <w:tc>
          <w:tcPr>
            <w:tcW w:w="1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(3,056)</w:t>
            </w:r>
          </w:p>
        </w:tc>
        <w:tc>
          <w:tcPr>
            <w:tcW w:w="60" w:type="dxa"/>
            <w:vAlign w:val="bottom"/>
          </w:tcPr>
          <w:p>
            <w:pPr>
              <w:spacing w:after="0"/>
              <w:rPr>
                <w:sz w:val="17"/>
                <w:szCs w:val="17"/>
                <w:color w:val="auto"/>
              </w:rPr>
            </w:pPr>
          </w:p>
        </w:tc>
        <w:tc>
          <w:tcPr>
            <w:tcW w:w="1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222,174</w:t>
            </w: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1"/>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(7,873)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(7,865)</w:t>
            </w:r>
          </w:p>
        </w:tc>
      </w:tr>
      <w:tr>
        <w:trPr>
          <w:trHeight w:val="205"/>
        </w:trPr>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Balance at April 28, 2024</w:t>
            </w:r>
          </w:p>
        </w:tc>
        <w:tc>
          <w:tcPr>
            <w:tcW w:w="8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35,074</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105,061</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(2,121)</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115,943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(532)</w:t>
            </w:r>
          </w:p>
        </w:tc>
        <w:tc>
          <w:tcPr>
            <w:tcW w:w="60" w:type="dxa"/>
            <w:vAlign w:val="bottom"/>
          </w:tcPr>
          <w:p>
            <w:pPr>
              <w:spacing w:after="0"/>
              <w:rPr>
                <w:sz w:val="17"/>
                <w:szCs w:val="17"/>
                <w:color w:val="auto"/>
              </w:rPr>
            </w:pPr>
          </w:p>
        </w:tc>
        <w:tc>
          <w:tcPr>
            <w:tcW w:w="1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(3,048)</w:t>
            </w:r>
          </w:p>
        </w:tc>
        <w:tc>
          <w:tcPr>
            <w:tcW w:w="60" w:type="dxa"/>
            <w:vAlign w:val="bottom"/>
          </w:tcPr>
          <w:p>
            <w:pPr>
              <w:spacing w:after="0"/>
              <w:rPr>
                <w:sz w:val="17"/>
                <w:szCs w:val="17"/>
                <w:color w:val="auto"/>
              </w:rPr>
            </w:pPr>
          </w:p>
        </w:tc>
        <w:tc>
          <w:tcPr>
            <w:tcW w:w="1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215,303</w:t>
            </w: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1"/>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(3,733)</w:t>
            </w:r>
          </w:p>
        </w:tc>
      </w:tr>
      <w:tr>
        <w:trPr>
          <w:trHeight w:val="183"/>
        </w:trPr>
        <w:tc>
          <w:tcPr>
            <w:tcW w:w="36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at July 28, 2024</w:t>
            </w:r>
          </w:p>
        </w:tc>
        <w:tc>
          <w:tcPr>
            <w:tcW w:w="8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35,079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106,169</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(2,243)</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112,199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(436)</w:t>
            </w:r>
          </w:p>
        </w:tc>
        <w:tc>
          <w:tcPr>
            <w:tcW w:w="60" w:type="dxa"/>
            <w:vAlign w:val="bottom"/>
          </w:tcPr>
          <w:p>
            <w:pPr>
              <w:spacing w:after="0"/>
              <w:rPr>
                <w:sz w:val="15"/>
                <w:szCs w:val="15"/>
                <w:color w:val="auto"/>
              </w:rPr>
            </w:pPr>
          </w:p>
        </w:tc>
        <w:tc>
          <w:tcPr>
            <w:tcW w:w="1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(3,037)</w:t>
            </w:r>
          </w:p>
        </w:tc>
        <w:tc>
          <w:tcPr>
            <w:tcW w:w="60" w:type="dxa"/>
            <w:vAlign w:val="bottom"/>
          </w:tcPr>
          <w:p>
            <w:pPr>
              <w:spacing w:after="0"/>
              <w:rPr>
                <w:sz w:val="15"/>
                <w:szCs w:val="15"/>
                <w:color w:val="auto"/>
              </w:rPr>
            </w:pPr>
          </w:p>
        </w:tc>
        <w:tc>
          <w:tcPr>
            <w:tcW w:w="1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212,652</w:t>
            </w:r>
          </w:p>
        </w:tc>
      </w:tr>
      <w:tr>
        <w:trPr>
          <w:trHeight w:val="20"/>
        </w:trPr>
        <w:tc>
          <w:tcPr>
            <w:tcW w:w="3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10"/>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July 30, 2023</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7"/>
                <w:szCs w:val="17"/>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8"/>
              </w:rPr>
              <w:t>Capital stock</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3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7"/>
                <w:szCs w:val="17"/>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100" w:type="dxa"/>
            <w:vAlign w:val="bottom"/>
          </w:tcPr>
          <w:p>
            <w:pPr>
              <w:spacing w:after="0"/>
              <w:rPr>
                <w:sz w:val="17"/>
                <w:szCs w:val="17"/>
                <w:color w:val="auto"/>
              </w:rPr>
            </w:pPr>
          </w:p>
        </w:tc>
        <w:tc>
          <w:tcPr>
            <w:tcW w:w="920" w:type="dxa"/>
            <w:vAlign w:val="bottom"/>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13"/>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January 29, 2023</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entity</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3600" w:type="dxa"/>
            <w:vAlign w:val="bottom"/>
            <w:vMerge w:val="continue"/>
          </w:tcPr>
          <w:p>
            <w:pPr>
              <w:spacing w:after="0"/>
              <w:rPr>
                <w:sz w:val="16"/>
                <w:szCs w:val="16"/>
                <w:color w:val="auto"/>
              </w:rPr>
            </w:pP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33,443</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98,842</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(1,459)</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133,172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(3,210)</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227,197</w:t>
            </w: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1"/>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0" w:type="dxa"/>
            <w:vAlign w:val="bottom"/>
          </w:tcPr>
          <w:p>
            <w:pPr>
              <w:spacing w:after="0"/>
              <w:rPr>
                <w:sz w:val="1"/>
                <w:szCs w:val="1"/>
                <w:color w:val="auto"/>
              </w:rPr>
            </w:pPr>
          </w:p>
        </w:tc>
      </w:tr>
      <w:tr>
        <w:trPr>
          <w:trHeight w:val="191"/>
        </w:trPr>
        <w:tc>
          <w:tcPr>
            <w:tcW w:w="3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at April 30, 2023</w:t>
            </w: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34,474</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99,968</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(1,732)</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129,303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(207)</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(3,218)</w:t>
            </w:r>
          </w:p>
        </w:tc>
        <w:tc>
          <w:tcPr>
            <w:tcW w:w="6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224,114</w:t>
            </w: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1"/>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183"/>
        </w:trPr>
        <w:tc>
          <w:tcPr>
            <w:tcW w:w="36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at July 30, 2023</w:t>
            </w:r>
          </w:p>
        </w:tc>
        <w:tc>
          <w:tcPr>
            <w:tcW w:w="8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34,581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101,415</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(1,733)</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127,299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(295)</w:t>
            </w:r>
          </w:p>
        </w:tc>
        <w:tc>
          <w:tcPr>
            <w:tcW w:w="60" w:type="dxa"/>
            <w:vAlign w:val="bottom"/>
          </w:tcPr>
          <w:p>
            <w:pPr>
              <w:spacing w:after="0"/>
              <w:rPr>
                <w:sz w:val="15"/>
                <w:szCs w:val="15"/>
                <w:color w:val="auto"/>
              </w:rPr>
            </w:pPr>
          </w:p>
        </w:tc>
        <w:tc>
          <w:tcPr>
            <w:tcW w:w="1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(3,226)</w:t>
            </w:r>
          </w:p>
        </w:tc>
        <w:tc>
          <w:tcPr>
            <w:tcW w:w="60" w:type="dxa"/>
            <w:vAlign w:val="bottom"/>
          </w:tcPr>
          <w:p>
            <w:pPr>
              <w:spacing w:after="0"/>
              <w:rPr>
                <w:sz w:val="15"/>
                <w:szCs w:val="15"/>
                <w:color w:val="auto"/>
              </w:rPr>
            </w:pPr>
          </w:p>
        </w:tc>
        <w:tc>
          <w:tcPr>
            <w:tcW w:w="1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223,460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520" w:type="dxa"/>
            <w:vAlign w:val="bottom"/>
          </w:tcPr>
          <w:p>
            <w:pPr>
              <w:spacing w:after="0"/>
              <w:rPr>
                <w:sz w:val="17"/>
                <w:szCs w:val="17"/>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0" w:type="dxa"/>
            <w:vAlign w:val="bottom"/>
          </w:tcPr>
          <w:p>
            <w:pPr>
              <w:spacing w:after="0"/>
              <w:rPr>
                <w:sz w:val="1"/>
                <w:szCs w:val="1"/>
                <w:color w:val="auto"/>
              </w:rPr>
            </w:pPr>
          </w:p>
        </w:tc>
      </w:tr>
      <w:tr>
        <w:trPr>
          <w:trHeight w:val="191"/>
        </w:trPr>
        <w:tc>
          <w:tcPr>
            <w:tcW w:w="626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(11,598)</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(5,889)</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(3,293)</w:t>
            </w:r>
          </w:p>
        </w:tc>
        <w:tc>
          <w:tcPr>
            <w:tcW w:w="5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(2,363)</w:t>
            </w:r>
          </w:p>
        </w:tc>
        <w:tc>
          <w:tcPr>
            <w:tcW w:w="5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(42,961)</w:t>
            </w:r>
          </w:p>
        </w:tc>
        <w:tc>
          <w:tcPr>
            <w:tcW w:w="5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 &amp; other current assets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Software hosting implementation costs, net</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(3,406)</w:t>
            </w:r>
          </w:p>
        </w:tc>
        <w:tc>
          <w:tcPr>
            <w:tcW w:w="5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26,623</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(591)</w:t>
            </w:r>
          </w:p>
        </w:tc>
        <w:tc>
          <w:tcPr>
            <w:tcW w:w="5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(7,343)</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1"/>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lease impacts</w:t>
            </w:r>
          </w:p>
        </w:tc>
        <w:tc>
          <w:tcPr>
            <w:tcW w:w="1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196"/>
        </w:trPr>
        <w:tc>
          <w:tcPr>
            <w:tcW w:w="6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(17,052)</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191"/>
        </w:trPr>
        <w:tc>
          <w:tcPr>
            <w:tcW w:w="62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(3,183)</w:t>
            </w:r>
          </w:p>
        </w:tc>
        <w:tc>
          <w:tcPr>
            <w:tcW w:w="52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(31,483)</w:t>
            </w:r>
          </w:p>
        </w:tc>
        <w:tc>
          <w:tcPr>
            <w:tcW w:w="0" w:type="dxa"/>
            <w:vAlign w:val="bottom"/>
          </w:tcPr>
          <w:p>
            <w:pPr>
              <w:spacing w:after="0"/>
              <w:rPr>
                <w:sz w:val="1"/>
                <w:szCs w:val="1"/>
                <w:color w:val="auto"/>
              </w:rPr>
            </w:pPr>
          </w:p>
        </w:tc>
      </w:tr>
      <w:tr>
        <w:trPr>
          <w:trHeight w:val="221"/>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1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(3,086)</w:t>
            </w:r>
          </w:p>
        </w:tc>
        <w:tc>
          <w:tcPr>
            <w:tcW w:w="1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(31,395)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6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(40,500)</w:t>
            </w:r>
          </w:p>
        </w:tc>
        <w:tc>
          <w:tcPr>
            <w:tcW w:w="5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TRI long term debt</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(412)</w:t>
            </w:r>
          </w:p>
        </w:tc>
        <w:tc>
          <w:tcPr>
            <w:tcW w:w="5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(1,521)</w:t>
            </w:r>
          </w:p>
        </w:tc>
        <w:tc>
          <w:tcPr>
            <w:tcW w:w="52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Payments of tax withholding on vested restricted shares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(505)</w:t>
            </w:r>
          </w:p>
        </w:tc>
        <w:tc>
          <w:tcPr>
            <w:tcW w:w="5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1"/>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1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(2,232)</w:t>
            </w:r>
          </w:p>
        </w:tc>
        <w:tc>
          <w:tcPr>
            <w:tcW w:w="1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Decrease in cash and cash equivalents</w:t>
            </w: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(22,370)</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(34,400)</w:t>
            </w:r>
          </w:p>
        </w:tc>
        <w:tc>
          <w:tcPr>
            <w:tcW w:w="0" w:type="dxa"/>
            <w:vAlign w:val="bottom"/>
          </w:tcPr>
          <w:p>
            <w:pPr>
              <w:spacing w:after="0"/>
              <w:rPr>
                <w:sz w:val="1"/>
                <w:szCs w:val="1"/>
                <w:color w:val="auto"/>
              </w:rPr>
            </w:pPr>
          </w:p>
        </w:tc>
      </w:tr>
      <w:tr>
        <w:trPr>
          <w:trHeight w:val="221"/>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1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2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2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9,787</w:t>
            </w:r>
          </w:p>
        </w:tc>
        <w:tc>
          <w:tcPr>
            <w:tcW w:w="180" w:type="dxa"/>
            <w:vAlign w:val="bottom"/>
          </w:tcPr>
          <w:p>
            <w:pPr>
              <w:spacing w:after="0"/>
              <w:rPr>
                <w:sz w:val="15"/>
                <w:szCs w:val="15"/>
                <w:color w:val="auto"/>
              </w:rPr>
            </w:pPr>
          </w:p>
        </w:tc>
        <w:tc>
          <w:tcPr>
            <w:tcW w:w="520" w:type="dxa"/>
            <w:vAlign w:val="bottom"/>
            <w:tcBorders>
              <w:bottom w:val="single" w:sz="8" w:color="auto"/>
            </w:tcBorders>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11,148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8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OPERATIONS AND BASIS OF PRESENTATION</w:t>
      </w:r>
    </w:p>
    <w:p>
      <w:pPr>
        <w:spacing w:after="0" w:line="171"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Operations</w:t>
      </w:r>
    </w:p>
    <w:p>
      <w:pPr>
        <w:spacing w:after="0" w:line="175" w:lineRule="exact"/>
        <w:rPr>
          <w:sz w:val="20"/>
          <w:szCs w:val="20"/>
          <w:color w:val="auto"/>
        </w:rPr>
      </w:pPr>
    </w:p>
    <w:p>
      <w:pPr>
        <w:ind w:right="400" w:firstLine="428"/>
        <w:spacing w:after="0" w:line="236" w:lineRule="auto"/>
        <w:rPr>
          <w:sz w:val="20"/>
          <w:szCs w:val="20"/>
          <w:color w:val="auto"/>
        </w:rPr>
      </w:pPr>
      <w:r>
        <w:rPr>
          <w:rFonts w:ascii="Times New Roman" w:cs="Times New Roman" w:eastAsia="Times New Roman" w:hAnsi="Times New Roman"/>
          <w:sz w:val="18"/>
          <w:szCs w:val="18"/>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name, with the majority of products being exclusively developed and sold as Duluth Trading branded merchandise.</w:t>
      </w:r>
    </w:p>
    <w:p>
      <w:pPr>
        <w:spacing w:after="0" w:line="145" w:lineRule="exact"/>
        <w:rPr>
          <w:sz w:val="20"/>
          <w:szCs w:val="20"/>
          <w:color w:val="auto"/>
        </w:rPr>
      </w:pPr>
    </w:p>
    <w:p>
      <w:pPr>
        <w:ind w:right="300" w:firstLine="492"/>
        <w:spacing w:after="0" w:line="242" w:lineRule="auto"/>
        <w:rPr>
          <w:sz w:val="20"/>
          <w:szCs w:val="20"/>
          <w:color w:val="auto"/>
        </w:rPr>
      </w:pPr>
      <w:r>
        <w:rPr>
          <w:rFonts w:ascii="Times New Roman" w:cs="Times New Roman" w:eastAsia="Times New Roman" w:hAnsi="Times New Roman"/>
          <w:sz w:val="18"/>
          <w:szCs w:val="18"/>
          <w:color w:val="auto"/>
        </w:rPr>
        <w:t>The Company identifies its operating segments according to how its business activities are managed and evaluated. The Company continues to report one reportable external segment, consistent with the Company’s omnichannel business approach. The Company’s revenues generated outside the United States were insignificant.</w:t>
      </w:r>
    </w:p>
    <w:p>
      <w:pPr>
        <w:spacing w:after="0" w:line="143" w:lineRule="exact"/>
        <w:rPr>
          <w:sz w:val="20"/>
          <w:szCs w:val="20"/>
          <w:color w:val="auto"/>
        </w:rPr>
      </w:pPr>
    </w:p>
    <w:p>
      <w:pPr>
        <w:jc w:val="both"/>
        <w:ind w:right="340" w:firstLine="428"/>
        <w:spacing w:after="0" w:line="236"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0"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ind w:right="200" w:firstLine="428"/>
        <w:spacing w:after="0" w:line="242"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2024 is a 53-week period and ends on February 2,</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2025. Fiscal 2023 was a 52-week period and ended on January 28, 2024. The three months of fiscal 2024 and fiscal 2023 represent the Company’s 13-week periods ended July 28, 2024 and July 30, 2023, respectively.</w:t>
      </w:r>
    </w:p>
    <w:p>
      <w:pPr>
        <w:spacing w:after="0" w:line="128" w:lineRule="exact"/>
        <w:rPr>
          <w:sz w:val="20"/>
          <w:szCs w:val="20"/>
          <w:color w:val="auto"/>
        </w:rPr>
      </w:pPr>
    </w:p>
    <w:p>
      <w:pPr>
        <w:ind w:right="140" w:firstLine="428"/>
        <w:spacing w:after="0" w:line="23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and for the three and six months ended July 28, 2024 and July 30, 2023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and six months ended July 28, 2024 and July 30, 2023. These interim condensed consolidated financial statements should be read in conjunction with the consolidated financial statements and notes included in the Company’s annual report on Form 10-K for the fiscal year ended January 28, 2024.</w:t>
      </w:r>
    </w:p>
    <w:p>
      <w:pPr>
        <w:spacing w:after="0" w:line="144"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Inventory</w:t>
      </w:r>
    </w:p>
    <w:p>
      <w:pPr>
        <w:spacing w:after="0" w:line="16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Inventory consists of finished goods stated at the lower of cost or net realizable value, with cost determined using the first-in, first-out valuation method. The Company records an inventory reserve for the anticipated loss associated with selling inventories below cost. Inventory reserve for excess and obsolete items was $1.0 million and $1.4 million as of July 28, 2024 and January 28, 2024, respectively.</w:t>
      </w:r>
    </w:p>
    <w:p>
      <w:pPr>
        <w:spacing w:after="0" w:line="1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reserve for retail inventory shrinkage is adjusted to reflect the trend of historical physical inventory count results. The Company performs its retail store physical inventory counts in July and the difference between actual and estimated shrinkage, recorded in Cost of goods sold, may cause fluctuations in second fiscal quarter results. Due to the timing of the inventory counts, an insignificant retail inventory shrinkage reserve was outstanding as of July 28, 2024, compared to $0.5 million as of January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D.</w:t>
        <w:tab/>
        <w:t>Prepaid Expenses and Other Assets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6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0" w:type="dxa"/>
            <w:vAlign w:val="bottom"/>
          </w:tcPr>
          <w:p>
            <w:pPr>
              <w:spacing w:after="0"/>
              <w:rPr>
                <w:sz w:val="1"/>
                <w:szCs w:val="1"/>
                <w:color w:val="auto"/>
              </w:rPr>
            </w:pPr>
          </w:p>
        </w:tc>
      </w:tr>
      <w:tr>
        <w:trPr>
          <w:trHeight w:val="174"/>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Prepaid expenses &amp; other current assets</w:t>
            </w: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Pending returns inventory, net</w:t>
            </w:r>
          </w:p>
        </w:tc>
        <w:tc>
          <w:tcPr>
            <w:tcW w:w="2960" w:type="dxa"/>
            <w:vAlign w:val="bottom"/>
            <w:gridSpan w:val="2"/>
          </w:tcPr>
          <w:p>
            <w:pPr>
              <w:jc w:val="right"/>
              <w:ind w:right="13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2,069</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2,778</w:t>
            </w:r>
          </w:p>
        </w:tc>
        <w:tc>
          <w:tcPr>
            <w:tcW w:w="0" w:type="dxa"/>
            <w:vAlign w:val="bottom"/>
          </w:tcPr>
          <w:p>
            <w:pPr>
              <w:spacing w:after="0"/>
              <w:rPr>
                <w:sz w:val="1"/>
                <w:szCs w:val="1"/>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software hosting implementation costs, net</w:t>
            </w: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3,374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3,353</w:t>
            </w:r>
          </w:p>
        </w:tc>
        <w:tc>
          <w:tcPr>
            <w:tcW w:w="0" w:type="dxa"/>
            <w:vAlign w:val="bottom"/>
          </w:tcPr>
          <w:p>
            <w:pPr>
              <w:spacing w:after="0"/>
              <w:rPr>
                <w:sz w:val="1"/>
                <w:szCs w:val="1"/>
                <w:color w:val="auto"/>
              </w:rPr>
            </w:pPr>
          </w:p>
        </w:tc>
      </w:tr>
      <w:tr>
        <w:trPr>
          <w:trHeight w:val="221"/>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prepaid expenses</w:t>
            </w:r>
          </w:p>
        </w:tc>
        <w:tc>
          <w:tcPr>
            <w:tcW w:w="142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0" w:type="dxa"/>
            <w:vAlign w:val="bottom"/>
          </w:tcPr>
          <w:p>
            <w:pPr>
              <w:spacing w:after="0"/>
              <w:rPr>
                <w:sz w:val="1"/>
                <w:szCs w:val="1"/>
                <w:color w:val="auto"/>
              </w:rPr>
            </w:pPr>
          </w:p>
        </w:tc>
      </w:tr>
      <w:tr>
        <w:trPr>
          <w:trHeight w:val="183"/>
        </w:trPr>
        <w:tc>
          <w:tcPr>
            <w:tcW w:w="522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Prepaid expenses &amp; other current assets</w:t>
            </w:r>
          </w:p>
        </w:tc>
        <w:tc>
          <w:tcPr>
            <w:tcW w:w="1420" w:type="dxa"/>
            <w:vAlign w:val="bottom"/>
          </w:tcPr>
          <w:p>
            <w:pPr>
              <w:spacing w:after="0"/>
              <w:rPr>
                <w:sz w:val="15"/>
                <w:szCs w:val="15"/>
                <w:color w:val="auto"/>
              </w:rPr>
            </w:pPr>
          </w:p>
        </w:tc>
        <w:tc>
          <w:tcPr>
            <w:tcW w:w="1540" w:type="dxa"/>
            <w:vAlign w:val="bottom"/>
            <w:tcBorders>
              <w:bottom w:val="single" w:sz="8" w:color="auto"/>
            </w:tcBorders>
          </w:tcPr>
          <w:p>
            <w:pPr>
              <w:jc w:val="right"/>
              <w:ind w:right="138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19,722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16,488</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assets, net</w:t>
            </w:r>
          </w:p>
        </w:tc>
        <w:tc>
          <w:tcPr>
            <w:tcW w:w="1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2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2960" w:type="dxa"/>
            <w:vAlign w:val="bottom"/>
            <w:gridSpan w:val="2"/>
          </w:tcPr>
          <w:p>
            <w:pPr>
              <w:jc w:val="right"/>
              <w:ind w:right="13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Intangible assets, net</w:t>
            </w: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423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Non-current software hosting implementation costs</w:t>
            </w: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6,748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21"/>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183"/>
        </w:trPr>
        <w:tc>
          <w:tcPr>
            <w:tcW w:w="522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tcPr>
          <w:p>
            <w:pPr>
              <w:spacing w:after="0"/>
              <w:rPr>
                <w:sz w:val="15"/>
                <w:szCs w:val="15"/>
                <w:color w:val="auto"/>
              </w:rPr>
            </w:pPr>
          </w:p>
        </w:tc>
        <w:tc>
          <w:tcPr>
            <w:tcW w:w="1540" w:type="dxa"/>
            <w:vAlign w:val="bottom"/>
            <w:tcBorders>
              <w:bottom w:val="single" w:sz="8" w:color="auto"/>
            </w:tcBorders>
          </w:tcPr>
          <w:p>
            <w:pPr>
              <w:jc w:val="right"/>
              <w:ind w:right="138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8,961</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9,020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75" w:lineRule="exact"/>
        <w:rPr>
          <w:sz w:val="20"/>
          <w:szCs w:val="20"/>
          <w:color w:val="auto"/>
        </w:rPr>
      </w:pPr>
    </w:p>
    <w:p>
      <w:pPr>
        <w:ind w:right="280" w:firstLine="428"/>
        <w:spacing w:after="0" w:line="250"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apparel businesses. Historically, the Company has recognized a significant portion of its revenue and operating profit in the fourth fiscal quarter of each year due to increased sales during the holiday season.</w:t>
      </w:r>
    </w:p>
    <w:p>
      <w:pPr>
        <w:spacing w:after="0" w:line="13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2" w:lineRule="exact"/>
        <w:rPr>
          <w:sz w:val="20"/>
          <w:szCs w:val="20"/>
          <w:color w:val="auto"/>
        </w:rPr>
      </w:pPr>
    </w:p>
    <w:p>
      <w:pPr>
        <w:ind w:right="360" w:firstLine="428"/>
        <w:spacing w:after="0" w:line="242" w:lineRule="auto"/>
        <w:rPr>
          <w:sz w:val="20"/>
          <w:szCs w:val="20"/>
          <w:color w:val="auto"/>
        </w:rPr>
      </w:pPr>
      <w:r>
        <w:rPr>
          <w:rFonts w:ascii="Times New Roman" w:cs="Times New Roman" w:eastAsia="Times New Roman" w:hAnsi="Times New Roman"/>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13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G.</w:t>
        <w:tab/>
        <w:t>Significant Accounting Policies</w:t>
      </w:r>
    </w:p>
    <w:p>
      <w:pPr>
        <w:spacing w:after="0" w:line="175" w:lineRule="exact"/>
        <w:rPr>
          <w:sz w:val="20"/>
          <w:szCs w:val="20"/>
          <w:color w:val="auto"/>
        </w:rPr>
      </w:pPr>
    </w:p>
    <w:p>
      <w:pPr>
        <w:ind w:right="100" w:firstLine="428"/>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to the Company’s significant accounting policies as described in the Company’s Annual Report on Form 10-K for the year ended January 28, 2024.</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LEASES</w:t>
      </w:r>
    </w:p>
    <w:p>
      <w:pPr>
        <w:spacing w:after="0" w:line="160" w:lineRule="exact"/>
        <w:rPr>
          <w:sz w:val="20"/>
          <w:szCs w:val="20"/>
          <w:color w:val="auto"/>
        </w:rPr>
      </w:pPr>
    </w:p>
    <w:p>
      <w:pPr>
        <w:ind w:right="340" w:firstLine="492"/>
        <w:spacing w:after="0" w:line="233" w:lineRule="auto"/>
        <w:rPr>
          <w:sz w:val="20"/>
          <w:szCs w:val="20"/>
          <w:color w:val="auto"/>
        </w:rPr>
      </w:pPr>
      <w:r>
        <w:rPr>
          <w:rFonts w:ascii="Times New Roman" w:cs="Times New Roman" w:eastAsia="Times New Roman" w:hAnsi="Times New Roman"/>
          <w:sz w:val="18"/>
          <w:szCs w:val="18"/>
          <w:color w:val="auto"/>
        </w:rPr>
        <w:t xml:space="preserve">Based on the criteria set forth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recognizes right-of-use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46" w:lineRule="exact"/>
        <w:rPr>
          <w:sz w:val="20"/>
          <w:szCs w:val="20"/>
          <w:color w:val="auto"/>
        </w:rPr>
      </w:pPr>
    </w:p>
    <w:p>
      <w:pPr>
        <w:ind w:right="180" w:firstLine="492"/>
        <w:spacing w:after="0" w:line="236" w:lineRule="auto"/>
        <w:rPr>
          <w:sz w:val="20"/>
          <w:szCs w:val="20"/>
          <w:color w:val="auto"/>
        </w:rPr>
      </w:pPr>
      <w:r>
        <w:rPr>
          <w:rFonts w:ascii="Times New Roman" w:cs="Times New Roman" w:eastAsia="Times New Roman" w:hAnsi="Times New Roman"/>
          <w:sz w:val="18"/>
          <w:szCs w:val="18"/>
          <w:color w:val="auto"/>
        </w:rPr>
        <w:t>The Company leases retail space under non-cancelable lease agreements, which expire on various dates through 2036.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44" w:lineRule="exact"/>
        <w:rPr>
          <w:sz w:val="20"/>
          <w:szCs w:val="20"/>
          <w:color w:val="auto"/>
        </w:rPr>
      </w:pPr>
    </w:p>
    <w:p>
      <w:pPr>
        <w:ind w:right="560" w:firstLine="492"/>
        <w:spacing w:after="0" w:line="250" w:lineRule="auto"/>
        <w:rPr>
          <w:sz w:val="20"/>
          <w:szCs w:val="20"/>
          <w:color w:val="auto"/>
        </w:rPr>
      </w:pPr>
      <w:r>
        <w:rPr>
          <w:rFonts w:ascii="Times New Roman" w:cs="Times New Roman" w:eastAsia="Times New Roman" w:hAnsi="Times New Roman"/>
          <w:sz w:val="18"/>
          <w:szCs w:val="18"/>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136" w:lineRule="exact"/>
        <w:rPr>
          <w:sz w:val="20"/>
          <w:szCs w:val="20"/>
          <w:color w:val="auto"/>
        </w:rPr>
      </w:pPr>
    </w:p>
    <w:p>
      <w:pPr>
        <w:ind w:right="200" w:firstLine="492"/>
        <w:spacing w:after="0" w:line="250" w:lineRule="auto"/>
        <w:rPr>
          <w:sz w:val="20"/>
          <w:szCs w:val="20"/>
          <w:color w:val="auto"/>
        </w:rPr>
      </w:pPr>
      <w:r>
        <w:rPr>
          <w:rFonts w:ascii="Times New Roman" w:cs="Times New Roman" w:eastAsia="Times New Roman" w:hAnsi="Times New Roman"/>
          <w:sz w:val="18"/>
          <w:szCs w:val="18"/>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expense components of the Company’s leases reflected on the Company’s consolidated statement of operations were as follows: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60" w:type="dxa"/>
            <w:vAlign w:val="bottom"/>
          </w:tcPr>
          <w:p>
            <w:pPr>
              <w:spacing w:after="0"/>
              <w:rPr>
                <w:sz w:val="16"/>
                <w:szCs w:val="16"/>
                <w:color w:val="auto"/>
              </w:rPr>
            </w:pPr>
          </w:p>
        </w:tc>
        <w:tc>
          <w:tcPr>
            <w:tcW w:w="2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Consolidated Statement</w:t>
            </w: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20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of Operations</w:t>
            </w:r>
          </w:p>
        </w:tc>
        <w:tc>
          <w:tcPr>
            <w:tcW w:w="200" w:type="dxa"/>
            <w:vAlign w:val="bottom"/>
          </w:tcPr>
          <w:p>
            <w:pPr>
              <w:spacing w:after="0"/>
              <w:rPr>
                <w:sz w:val="17"/>
                <w:szCs w:val="17"/>
                <w:color w:val="auto"/>
              </w:rPr>
            </w:pPr>
          </w:p>
        </w:tc>
        <w:tc>
          <w:tcPr>
            <w:tcW w:w="12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20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00" w:type="dxa"/>
            <w:vAlign w:val="bottom"/>
          </w:tcPr>
          <w:p>
            <w:pPr>
              <w:spacing w:after="0"/>
              <w:rPr>
                <w:sz w:val="17"/>
                <w:szCs w:val="17"/>
                <w:color w:val="auto"/>
              </w:rPr>
            </w:pPr>
          </w:p>
        </w:tc>
        <w:tc>
          <w:tcPr>
            <w:tcW w:w="11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0" w:type="dxa"/>
            <w:vAlign w:val="bottom"/>
          </w:tcPr>
          <w:p>
            <w:pPr>
              <w:spacing w:after="0"/>
              <w:rPr>
                <w:sz w:val="1"/>
                <w:szCs w:val="1"/>
                <w:color w:val="auto"/>
              </w:rPr>
            </w:pPr>
          </w:p>
        </w:tc>
      </w:tr>
      <w:tr>
        <w:trPr>
          <w:trHeight w:val="191"/>
        </w:trPr>
        <w:tc>
          <w:tcPr>
            <w:tcW w:w="3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Finance lease expenses</w:t>
            </w:r>
          </w:p>
        </w:tc>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Amortization of right-of-use</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060" w:type="dxa"/>
            <w:vAlign w:val="bottom"/>
            <w:vMerge w:val="continue"/>
          </w:tcPr>
          <w:p>
            <w:pPr>
              <w:spacing w:after="0"/>
              <w:rPr>
                <w:sz w:val="14"/>
                <w:szCs w:val="14"/>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3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60" w:type="dxa"/>
            <w:vAlign w:val="bottom"/>
          </w:tcPr>
          <w:p>
            <w:pPr>
              <w:spacing w:after="0"/>
              <w:rPr>
                <w:sz w:val="14"/>
                <w:szCs w:val="14"/>
                <w:color w:val="auto"/>
              </w:rPr>
            </w:pP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60" w:type="dxa"/>
            <w:vAlign w:val="bottom"/>
          </w:tcPr>
          <w:p>
            <w:pPr>
              <w:spacing w:after="0"/>
              <w:rPr>
                <w:sz w:val="14"/>
                <w:szCs w:val="14"/>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76"/>
        </w:trPr>
        <w:tc>
          <w:tcPr>
            <w:tcW w:w="30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8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060" w:type="dxa"/>
            <w:vAlign w:val="bottom"/>
            <w:vMerge w:val="continue"/>
          </w:tcPr>
          <w:p>
            <w:pPr>
              <w:spacing w:after="0"/>
              <w:rPr>
                <w:sz w:val="16"/>
                <w:szCs w:val="16"/>
                <w:color w:val="auto"/>
              </w:rPr>
            </w:pPr>
          </w:p>
        </w:tc>
        <w:tc>
          <w:tcPr>
            <w:tcW w:w="20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398</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807</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32"/>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060" w:type="dxa"/>
            <w:vAlign w:val="bottom"/>
            <w:vMerge w:val="continue"/>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tcBorders>
          </w:tcPr>
          <w:p>
            <w:pPr>
              <w:jc w:val="right"/>
              <w:ind w:right="36"/>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1,212</w:t>
            </w:r>
          </w:p>
        </w:tc>
        <w:tc>
          <w:tcPr>
            <w:tcW w:w="180" w:type="dxa"/>
            <w:vAlign w:val="bottom"/>
          </w:tcPr>
          <w:p>
            <w:pPr>
              <w:spacing w:after="0"/>
              <w:rPr>
                <w:sz w:val="15"/>
                <w:szCs w:val="15"/>
                <w:color w:val="auto"/>
              </w:rPr>
            </w:pPr>
          </w:p>
        </w:tc>
        <w:tc>
          <w:tcPr>
            <w:tcW w:w="200" w:type="dxa"/>
            <w:vAlign w:val="bottom"/>
            <w:tcBorders>
              <w:top w:val="single" w:sz="8" w:color="auto"/>
            </w:tcBorders>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1,271</w:t>
            </w:r>
          </w:p>
        </w:tc>
        <w:tc>
          <w:tcPr>
            <w:tcW w:w="160" w:type="dxa"/>
            <w:vAlign w:val="bottom"/>
          </w:tcPr>
          <w:p>
            <w:pPr>
              <w:spacing w:after="0"/>
              <w:rPr>
                <w:sz w:val="15"/>
                <w:szCs w:val="15"/>
                <w:color w:val="auto"/>
              </w:rPr>
            </w:pPr>
          </w:p>
        </w:tc>
        <w:tc>
          <w:tcPr>
            <w:tcW w:w="200" w:type="dxa"/>
            <w:vAlign w:val="bottom"/>
            <w:tcBorders>
              <w:top w:val="single" w:sz="8" w:color="auto"/>
            </w:tcBorders>
          </w:tcPr>
          <w:p>
            <w:pPr>
              <w:jc w:val="right"/>
              <w:ind w:right="36"/>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2,459</w:t>
            </w:r>
          </w:p>
        </w:tc>
        <w:tc>
          <w:tcPr>
            <w:tcW w:w="160" w:type="dxa"/>
            <w:vAlign w:val="bottom"/>
          </w:tcPr>
          <w:p>
            <w:pPr>
              <w:spacing w:after="0"/>
              <w:rPr>
                <w:sz w:val="15"/>
                <w:szCs w:val="15"/>
                <w:color w:val="auto"/>
              </w:rPr>
            </w:pPr>
          </w:p>
        </w:tc>
        <w:tc>
          <w:tcPr>
            <w:tcW w:w="200" w:type="dxa"/>
            <w:vAlign w:val="bottom"/>
            <w:tcBorders>
              <w:top w:val="single" w:sz="8" w:color="auto"/>
            </w:tcBorders>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5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Amortization of build-to-suit</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60" w:type="dxa"/>
            <w:vAlign w:val="bottom"/>
          </w:tcPr>
          <w:p>
            <w:pPr>
              <w:spacing w:after="0"/>
              <w:rPr>
                <w:sz w:val="21"/>
                <w:szCs w:val="21"/>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1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0" w:type="dxa"/>
            <w:vAlign w:val="bottom"/>
          </w:tcPr>
          <w:p>
            <w:pPr>
              <w:spacing w:after="0"/>
              <w:rPr>
                <w:sz w:val="1"/>
                <w:szCs w:val="1"/>
                <w:color w:val="auto"/>
              </w:rPr>
            </w:pPr>
          </w:p>
        </w:tc>
      </w:tr>
      <w:tr>
        <w:trPr>
          <w:trHeight w:val="144"/>
        </w:trPr>
        <w:tc>
          <w:tcPr>
            <w:tcW w:w="3060" w:type="dxa"/>
            <w:vAlign w:val="bottom"/>
            <w:vMerge w:val="continue"/>
          </w:tcPr>
          <w:p>
            <w:pPr>
              <w:spacing w:after="0"/>
              <w:rPr>
                <w:sz w:val="12"/>
                <w:szCs w:val="12"/>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leases capital contribution</w:t>
            </w:r>
          </w:p>
        </w:tc>
        <w:tc>
          <w:tcPr>
            <w:tcW w:w="2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060" w:type="dxa"/>
            <w:vAlign w:val="bottom"/>
            <w:vMerge w:val="continue"/>
          </w:tcPr>
          <w:p>
            <w:pPr>
              <w:spacing w:after="0"/>
              <w:rPr>
                <w:sz w:val="14"/>
                <w:szCs w:val="14"/>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81"/>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0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3060" w:type="dxa"/>
            <w:vAlign w:val="bottom"/>
            <w:vMerge w:val="continue"/>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0" w:type="dxa"/>
            <w:vAlign w:val="bottom"/>
          </w:tcPr>
          <w:p>
            <w:pPr>
              <w:spacing w:after="0"/>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10,074</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9,202</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19,657</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18,765</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0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information related to leases were as follows:</w:t>
      </w:r>
    </w:p>
    <w:p>
      <w:pPr>
        <w:spacing w:after="0" w:line="27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16510</wp:posOffset>
            </wp:positionV>
            <wp:extent cx="26828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5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0" w:type="dxa"/>
            <w:vAlign w:val="bottom"/>
          </w:tcPr>
          <w:p>
            <w:pPr>
              <w:spacing w:after="0"/>
              <w:rPr>
                <w:sz w:val="1"/>
                <w:szCs w:val="1"/>
                <w:color w:val="auto"/>
              </w:rPr>
            </w:pPr>
          </w:p>
        </w:tc>
      </w:tr>
      <w:tr>
        <w:trPr>
          <w:trHeight w:val="187"/>
        </w:trPr>
        <w:tc>
          <w:tcPr>
            <w:tcW w:w="6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20" w:type="dxa"/>
            <w:vAlign w:val="bottom"/>
            <w:gridSpan w:val="2"/>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20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20" w:type="dxa"/>
            <w:vAlign w:val="bottom"/>
            <w:gridSpan w:val="2"/>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0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34"/>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20" w:type="dxa"/>
            <w:vAlign w:val="bottom"/>
            <w:gridSpan w:val="2"/>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200" w:type="dxa"/>
            <w:vAlign w:val="bottom"/>
          </w:tcPr>
          <w:p>
            <w:pPr>
              <w:spacing w:after="0"/>
              <w:rPr>
                <w:sz w:val="20"/>
                <w:szCs w:val="20"/>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0" w:type="dxa"/>
            <w:vAlign w:val="bottom"/>
          </w:tcPr>
          <w:p>
            <w:pPr>
              <w:spacing w:after="0"/>
              <w:rPr>
                <w:sz w:val="1"/>
                <w:szCs w:val="1"/>
                <w:color w:val="auto"/>
              </w:rPr>
            </w:pPr>
          </w:p>
        </w:tc>
      </w:tr>
      <w:tr>
        <w:trPr>
          <w:trHeight w:val="414"/>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Calibri" w:cs="Calibri" w:eastAsia="Calibri" w:hAnsi="Calibri"/>
                <w:sz w:val="20"/>
                <w:szCs w:val="20"/>
                <w:color w:val="auto"/>
              </w:rPr>
              <w:t>-</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220" w:type="dxa"/>
            <w:vAlign w:val="bottom"/>
            <w:gridSpan w:val="2"/>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414"/>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4"/>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4"/>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4"/>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the non-cancellable leases are as follows as of July 28,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340" w:type="dxa"/>
            <w:vAlign w:val="bottom"/>
          </w:tcPr>
          <w:p>
            <w:pPr>
              <w:spacing w:after="0"/>
              <w:rPr>
                <w:sz w:val="19"/>
                <w:szCs w:val="19"/>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191"/>
        </w:trPr>
        <w:tc>
          <w:tcPr>
            <w:tcW w:w="6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2024 (remainder of fiscal year)</w:t>
            </w:r>
          </w:p>
        </w:tc>
        <w:tc>
          <w:tcPr>
            <w:tcW w:w="5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19,183</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18,465</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17,193</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15,391</w:t>
            </w:r>
          </w:p>
        </w:tc>
      </w:tr>
      <w:tr>
        <w:trPr>
          <w:trHeight w:val="22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44,695</w:t>
            </w:r>
          </w:p>
        </w:tc>
      </w:tr>
      <w:tr>
        <w:trPr>
          <w:trHeight w:val="191"/>
        </w:trPr>
        <w:tc>
          <w:tcPr>
            <w:tcW w:w="6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200" w:type="dxa"/>
            <w:vAlign w:val="bottom"/>
          </w:tcPr>
          <w:p>
            <w:pPr>
              <w:spacing w:after="0"/>
              <w:rPr>
                <w:sz w:val="16"/>
                <w:szCs w:val="16"/>
                <w:color w:val="auto"/>
              </w:rPr>
            </w:pPr>
          </w:p>
        </w:tc>
        <w:tc>
          <w:tcPr>
            <w:tcW w:w="380" w:type="dxa"/>
            <w:vAlign w:val="bottom"/>
          </w:tcPr>
          <w:p>
            <w:pPr>
              <w:jc w:val="right"/>
              <w:ind w:right="2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43,146</w:t>
            </w:r>
          </w:p>
        </w:tc>
        <w:tc>
          <w:tcPr>
            <w:tcW w:w="200" w:type="dxa"/>
            <w:vAlign w:val="bottom"/>
          </w:tcPr>
          <w:p>
            <w:pPr>
              <w:spacing w:after="0"/>
              <w:rPr>
                <w:sz w:val="16"/>
                <w:szCs w:val="16"/>
                <w:color w:val="auto"/>
              </w:rPr>
            </w:pPr>
          </w:p>
        </w:tc>
        <w:tc>
          <w:tcPr>
            <w:tcW w:w="340" w:type="dxa"/>
            <w:vAlign w:val="bottom"/>
          </w:tcPr>
          <w:p>
            <w:pPr>
              <w:jc w:val="right"/>
              <w:ind w:right="1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125,392</w:t>
            </w:r>
          </w:p>
        </w:tc>
      </w:tr>
      <w:tr>
        <w:trPr>
          <w:trHeight w:val="22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Less – Discount</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(8,785)</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(17,090)</w:t>
            </w:r>
          </w:p>
        </w:tc>
      </w:tr>
      <w:tr>
        <w:trPr>
          <w:trHeight w:val="183"/>
        </w:trPr>
        <w:tc>
          <w:tcPr>
            <w:tcW w:w="68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Lease liability</w:t>
            </w:r>
          </w:p>
        </w:tc>
        <w:tc>
          <w:tcPr>
            <w:tcW w:w="2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34,361</w:t>
            </w:r>
          </w:p>
        </w:tc>
        <w:tc>
          <w:tcPr>
            <w:tcW w:w="2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108,302</w:t>
            </w: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0" w:right="8020" w:hanging="432"/>
        <w:spacing w:after="0" w:line="512" w:lineRule="auto"/>
        <w:tabs>
          <w:tab w:leader="none" w:pos="327"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AND CREDIT AGREEMENT </w:t>
      </w:r>
      <w:r>
        <w:rPr>
          <w:rFonts w:ascii="Times New Roman" w:cs="Times New Roman" w:eastAsia="Times New Roman" w:hAnsi="Times New Roman"/>
          <w:sz w:val="17"/>
          <w:szCs w:val="17"/>
          <w:color w:val="auto"/>
        </w:rPr>
        <w:t>Debt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00" w:type="dxa"/>
            <w:vAlign w:val="bottom"/>
          </w:tcPr>
          <w:p>
            <w:pPr>
              <w:spacing w:after="0"/>
              <w:rPr>
                <w:sz w:val="16"/>
                <w:szCs w:val="16"/>
                <w:color w:val="auto"/>
              </w:rPr>
            </w:pPr>
          </w:p>
        </w:tc>
        <w:tc>
          <w:tcPr>
            <w:tcW w:w="15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1"/>
        </w:trPr>
        <w:tc>
          <w:tcPr>
            <w:tcW w:w="7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TRI Senior Secured Note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22,111</w:t>
            </w:r>
          </w:p>
        </w:tc>
        <w:tc>
          <w:tcPr>
            <w:tcW w:w="2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22,488</w:t>
            </w:r>
          </w:p>
        </w:tc>
      </w:tr>
      <w:tr>
        <w:trPr>
          <w:trHeight w:val="221"/>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TRI Note</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191"/>
        </w:trPr>
        <w:tc>
          <w:tcPr>
            <w:tcW w:w="7600" w:type="dxa"/>
            <w:vAlign w:val="bottom"/>
          </w:tcPr>
          <w:p>
            <w:pPr>
              <w:spacing w:after="0"/>
              <w:rPr>
                <w:sz w:val="16"/>
                <w:szCs w:val="16"/>
                <w:color w:val="auto"/>
              </w:rPr>
            </w:pPr>
          </w:p>
        </w:tc>
        <w:tc>
          <w:tcPr>
            <w:tcW w:w="280" w:type="dxa"/>
            <w:vAlign w:val="bottom"/>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25,611</w:t>
            </w:r>
          </w:p>
        </w:tc>
        <w:tc>
          <w:tcPr>
            <w:tcW w:w="20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25,988</w:t>
            </w:r>
          </w:p>
        </w:tc>
      </w:tr>
      <w:tr>
        <w:trPr>
          <w:trHeight w:val="221"/>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183"/>
        </w:trPr>
        <w:tc>
          <w:tcPr>
            <w:tcW w:w="76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TRI long-term debt</w:t>
            </w:r>
          </w:p>
        </w:tc>
        <w:tc>
          <w:tcPr>
            <w:tcW w:w="280" w:type="dxa"/>
            <w:vAlign w:val="bottom"/>
            <w:tcBorders>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24,723</w:t>
            </w:r>
          </w:p>
        </w:tc>
        <w:tc>
          <w:tcPr>
            <w:tcW w:w="200" w:type="dxa"/>
            <w:vAlign w:val="bottom"/>
          </w:tcPr>
          <w:p>
            <w:pPr>
              <w:spacing w:after="0"/>
              <w:rPr>
                <w:sz w:val="15"/>
                <w:szCs w:val="15"/>
                <w:color w:val="auto"/>
              </w:rPr>
            </w:pPr>
          </w:p>
        </w:tc>
        <w:tc>
          <w:tcPr>
            <w:tcW w:w="200" w:type="dxa"/>
            <w:vAlign w:val="bottom"/>
            <w:tcBorders>
              <w:bottom w:val="single" w:sz="8" w:color="auto"/>
            </w:tcBorders>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25,141</w:t>
            </w: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 Holdings, LLC</w:t>
      </w:r>
    </w:p>
    <w:p>
      <w:pPr>
        <w:spacing w:after="0" w:line="175" w:lineRule="exact"/>
        <w:rPr>
          <w:sz w:val="20"/>
          <w:szCs w:val="20"/>
          <w:color w:val="auto"/>
        </w:rPr>
      </w:pPr>
    </w:p>
    <w:p>
      <w:pPr>
        <w:jc w:val="both"/>
        <w:ind w:right="460" w:firstLine="428"/>
        <w:spacing w:after="0" w:line="232" w:lineRule="auto"/>
        <w:rPr>
          <w:sz w:val="20"/>
          <w:szCs w:val="20"/>
          <w:color w:val="auto"/>
        </w:rPr>
      </w:pPr>
      <w:r>
        <w:rPr>
          <w:rFonts w:ascii="Times New Roman" w:cs="Times New Roman" w:eastAsia="Times New Roman" w:hAnsi="Times New Roman"/>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right="180" w:firstLine="428"/>
        <w:spacing w:after="0" w:line="250" w:lineRule="auto"/>
        <w:rPr>
          <w:sz w:val="20"/>
          <w:szCs w:val="20"/>
          <w:color w:val="auto"/>
        </w:rPr>
      </w:pPr>
      <w:r>
        <w:rPr>
          <w:rFonts w:ascii="Times New Roman" w:cs="Times New Roman" w:eastAsia="Times New Roman" w:hAnsi="Times New Roman"/>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While the above notes are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obligor of these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firstLine="428"/>
        <w:spacing w:after="0" w:line="231" w:lineRule="auto"/>
        <w:rPr>
          <w:sz w:val="20"/>
          <w:szCs w:val="20"/>
          <w:color w:val="auto"/>
        </w:rPr>
      </w:pPr>
      <w:r>
        <w:rPr>
          <w:rFonts w:ascii="Times New Roman" w:cs="Times New Roman" w:eastAsia="Times New Roman" w:hAnsi="Times New Roman"/>
          <w:sz w:val="18"/>
          <w:szCs w:val="18"/>
          <w:color w:val="auto"/>
        </w:rPr>
        <w:t>On May 14, 2021, the Company entered into a credit agreement (the “Credit Agreement”), which was treated as a modification for accounting purposes. The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Credit Agreement was secured by essentially all Company assets and requires the Company to maintain compliance with certain financial and non-financial covenants, including a maximum rent adjusted leverage ratio and a minimum fixed charge coverage ratio as defined in the Credit Agreement.</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July 8, 2022, the Company entered into the First Amendment to the Credit Agreement (the “First Amendment”), which was treated as a</w:t>
      </w:r>
    </w:p>
    <w:p>
      <w:pPr>
        <w:spacing w:after="0" w:line="237" w:lineRule="auto"/>
        <w:rPr>
          <w:sz w:val="20"/>
          <w:szCs w:val="20"/>
          <w:color w:val="auto"/>
        </w:rPr>
      </w:pPr>
      <w:r>
        <w:rPr>
          <w:rFonts w:ascii="Times New Roman" w:cs="Times New Roman" w:eastAsia="Times New Roman" w:hAnsi="Times New Roman"/>
          <w:sz w:val="18"/>
          <w:szCs w:val="18"/>
          <w:color w:val="auto"/>
        </w:rPr>
        <w:t>modification for accounting purposes. The First Amendment amends the Credit Agreement in order to (i) increase the revolving commitment from</w:t>
      </w:r>
    </w:p>
    <w:p>
      <w:pPr>
        <w:spacing w:after="0" w:line="234" w:lineRule="auto"/>
        <w:rPr>
          <w:sz w:val="20"/>
          <w:szCs w:val="20"/>
          <w:color w:val="auto"/>
        </w:rPr>
      </w:pPr>
      <w:r>
        <w:rPr>
          <w:rFonts w:ascii="Times New Roman" w:cs="Times New Roman" w:eastAsia="Times New Roman" w:hAnsi="Times New Roman"/>
          <w:sz w:val="18"/>
          <w:szCs w:val="18"/>
          <w:color w:val="auto"/>
        </w:rPr>
        <w:t>$150.0 million to $200.0 million; (ii) extend the maturity date from May 14, 2026 to July 8, 2027; (iii) amend the pricing index to replace BSBY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Secured Overnight Financing Rate; and (iv) reduce the commitment fee in some instances.</w:t>
      </w:r>
    </w:p>
    <w:p>
      <w:pPr>
        <w:spacing w:after="0" w:line="138" w:lineRule="exact"/>
        <w:rPr>
          <w:sz w:val="20"/>
          <w:szCs w:val="20"/>
          <w:color w:val="auto"/>
        </w:rPr>
      </w:pPr>
    </w:p>
    <w:p>
      <w:pPr>
        <w:ind w:right="340" w:firstLine="428"/>
        <w:spacing w:after="0" w:line="266" w:lineRule="auto"/>
        <w:rPr>
          <w:sz w:val="20"/>
          <w:szCs w:val="20"/>
          <w:color w:val="auto"/>
        </w:rPr>
      </w:pPr>
      <w:r>
        <w:rPr>
          <w:rFonts w:ascii="Times New Roman" w:cs="Times New Roman" w:eastAsia="Times New Roman" w:hAnsi="Times New Roman"/>
          <w:sz w:val="18"/>
          <w:szCs w:val="18"/>
          <w:color w:val="auto"/>
        </w:rPr>
        <w:t>As of July 28, 2024 and for the six months then ended, the Company was in compliance with all financial and non-financial covenants contained within the Credit Agreement and the First Amendment.</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ind w:left="440" w:right="5720" w:hanging="432"/>
        <w:spacing w:after="0" w:line="500" w:lineRule="auto"/>
        <w:tabs>
          <w:tab w:leader="none" w:pos="317"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 of the 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20" w:type="dxa"/>
            <w:vAlign w:val="bottom"/>
          </w:tcPr>
          <w:p>
            <w:pPr>
              <w:spacing w:after="0"/>
              <w:rPr>
                <w:sz w:val="16"/>
                <w:szCs w:val="16"/>
                <w:color w:val="auto"/>
              </w:rPr>
            </w:pPr>
          </w:p>
        </w:tc>
        <w:tc>
          <w:tcPr>
            <w:tcW w:w="15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1"/>
        </w:trPr>
        <w:tc>
          <w:tcPr>
            <w:tcW w:w="5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2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Freight</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Product returns</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Unpaid purchases of property &amp; equipment</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21"/>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w:t>
            </w:r>
          </w:p>
        </w:tc>
      </w:tr>
      <w:tr>
        <w:trPr>
          <w:trHeight w:val="183"/>
        </w:trPr>
        <w:tc>
          <w:tcPr>
            <w:tcW w:w="56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960" w:type="dxa"/>
            <w:vAlign w:val="bottom"/>
          </w:tcPr>
          <w:p>
            <w:pPr>
              <w:spacing w:after="0"/>
              <w:rPr>
                <w:sz w:val="15"/>
                <w:szCs w:val="15"/>
                <w:color w:val="auto"/>
              </w:rPr>
            </w:pPr>
          </w:p>
        </w:tc>
        <w:tc>
          <w:tcPr>
            <w:tcW w:w="280" w:type="dxa"/>
            <w:vAlign w:val="bottom"/>
            <w:tcBorders>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30,069</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30,930</w:t>
            </w:r>
          </w:p>
        </w:tc>
      </w:tr>
      <w:tr>
        <w:trPr>
          <w:trHeight w:val="20"/>
        </w:trPr>
        <w:tc>
          <w:tcPr>
            <w:tcW w:w="5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173" w:lineRule="exact"/>
        <w:rPr>
          <w:sz w:val="20"/>
          <w:szCs w:val="20"/>
          <w:color w:val="auto"/>
        </w:rPr>
      </w:pPr>
    </w:p>
    <w:p>
      <w:pPr>
        <w:ind w:right="60" w:firstLine="440"/>
        <w:spacing w:after="0" w:line="233"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71" w:lineRule="exact"/>
        <w:rPr>
          <w:sz w:val="20"/>
          <w:szCs w:val="20"/>
          <w:color w:val="auto"/>
        </w:rPr>
      </w:pPr>
    </w:p>
    <w:p>
      <w:pPr>
        <w:ind w:right="180" w:firstLine="440"/>
        <w:spacing w:after="0" w:line="23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71" w:lineRule="exact"/>
        <w:rPr>
          <w:sz w:val="20"/>
          <w:szCs w:val="20"/>
          <w:color w:val="auto"/>
        </w:rPr>
      </w:pPr>
    </w:p>
    <w:p>
      <w:pPr>
        <w:ind w:right="60" w:firstLine="440"/>
        <w:spacing w:after="0" w:line="233"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are categorized as Level 1 or Level 3 instruments. The fair value of the Company’s money market account is obtained from real-time quotes for transactions in active exchange markets involving identical assets (Level 1). The fair value of the Company’s available-for-sale security was valued based on a discounted cash flow method (Level 3), which incorporates the U.S. Treasury yield curve, credit information and an estimate of future cash flows. During the six months ended July 28, 2024,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w:t>
      </w:r>
    </w:p>
    <w:p>
      <w:pPr>
        <w:spacing w:after="0" w:line="158" w:lineRule="exact"/>
        <w:rPr>
          <w:sz w:val="20"/>
          <w:szCs w:val="20"/>
          <w:color w:val="auto"/>
        </w:rPr>
      </w:pPr>
    </w:p>
    <w:p>
      <w:pPr>
        <w:ind w:right="300" w:firstLine="440"/>
        <w:spacing w:after="0" w:line="250" w:lineRule="auto"/>
        <w:rPr>
          <w:sz w:val="20"/>
          <w:szCs w:val="20"/>
          <w:color w:val="auto"/>
        </w:rPr>
      </w:pPr>
      <w:r>
        <w:rPr>
          <w:rFonts w:ascii="Times New Roman" w:cs="Times New Roman" w:eastAsia="Times New Roman" w:hAnsi="Times New Roman"/>
          <w:sz w:val="18"/>
          <w:szCs w:val="18"/>
          <w:color w:val="auto"/>
        </w:rPr>
        <w:t>The amortized cost and fair value of the Company’s money market account and available-for-sale security and the corresponding amount of gross unrealized gains and losses recognized in accumulated other comprehensive income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0"/>
        </w:trPr>
        <w:tc>
          <w:tcPr>
            <w:tcW w:w="3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7"/>
                <w:szCs w:val="17"/>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8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3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Level 1 security:</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r>
      <w:tr>
        <w:trPr>
          <w:trHeight w:val="405"/>
        </w:trPr>
        <w:tc>
          <w:tcPr>
            <w:tcW w:w="3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06"/>
        </w:trPr>
        <w:tc>
          <w:tcPr>
            <w:tcW w:w="3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0"/>
        </w:trPr>
        <w:tc>
          <w:tcPr>
            <w:tcW w:w="3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3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Level 1 security:</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28,396</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28,396</w:t>
            </w: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r>
    </w:tbl>
    <w:p>
      <w:pPr>
        <w:spacing w:after="0" w:line="3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intend to sell the available-for-sale-security in the near term and does not believe that it will be required to sell the security.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its securities on a quarterly basis to monitor its exposure to other-than-temporary impairment.</w:t>
      </w:r>
    </w:p>
    <w:p>
      <w:pPr>
        <w:spacing w:after="0" w:line="138" w:lineRule="exact"/>
        <w:rPr>
          <w:sz w:val="20"/>
          <w:szCs w:val="20"/>
          <w:color w:val="auto"/>
        </w:rPr>
      </w:pPr>
    </w:p>
    <w:p>
      <w:pPr>
        <w:ind w:right="340" w:firstLine="492"/>
        <w:spacing w:after="0" w:line="266" w:lineRule="auto"/>
        <w:rPr>
          <w:sz w:val="20"/>
          <w:szCs w:val="20"/>
          <w:color w:val="auto"/>
        </w:rPr>
      </w:pPr>
      <w:r>
        <w:rPr>
          <w:rFonts w:ascii="Times New Roman" w:cs="Times New Roman" w:eastAsia="Times New Roman" w:hAnsi="Times New Roman"/>
          <w:sz w:val="18"/>
          <w:szCs w:val="18"/>
          <w:color w:val="auto"/>
        </w:rPr>
        <w:t>No other-than-temporary impairment was recorded in the unaudited condensed consolidated statements of operations for the three months ended July 28, 2024 or July 30, 2023.</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future principal receipts related to the Company’s available-for-sale security by contractual maturity as of July 28,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8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9"/>
        </w:trPr>
        <w:tc>
          <w:tcPr>
            <w:tcW w:w="6080" w:type="dxa"/>
            <w:vAlign w:val="bottom"/>
          </w:tcPr>
          <w:p>
            <w:pPr>
              <w:spacing w:after="0"/>
              <w:rPr>
                <w:sz w:val="17"/>
                <w:szCs w:val="17"/>
                <w:color w:val="auto"/>
              </w:rPr>
            </w:pPr>
          </w:p>
        </w:tc>
        <w:tc>
          <w:tcPr>
            <w:tcW w:w="1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7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6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1860" w:type="dxa"/>
            <w:vAlign w:val="bottom"/>
          </w:tcPr>
          <w:p>
            <w:pPr>
              <w:jc w:val="right"/>
              <w:ind w:right="167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40" w:type="dxa"/>
            <w:vAlign w:val="bottom"/>
          </w:tcPr>
          <w:p>
            <w:pPr>
              <w:spacing w:after="0"/>
              <w:rPr>
                <w:sz w:val="18"/>
                <w:szCs w:val="18"/>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r>
      <w:tr>
        <w:trPr>
          <w:trHeight w:val="221"/>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8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3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196"/>
        </w:trPr>
        <w:tc>
          <w:tcPr>
            <w:tcW w:w="6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tcPr>
          <w:p>
            <w:pPr>
              <w:jc w:val="right"/>
              <w:ind w:right="167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5,459</w:t>
            </w:r>
          </w:p>
        </w:tc>
        <w:tc>
          <w:tcPr>
            <w:tcW w:w="340" w:type="dxa"/>
            <w:vAlign w:val="bottom"/>
          </w:tcPr>
          <w:p>
            <w:pPr>
              <w:spacing w:after="0"/>
              <w:rPr>
                <w:sz w:val="17"/>
                <w:szCs w:val="17"/>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4,877</w:t>
            </w:r>
          </w:p>
        </w:tc>
      </w:tr>
      <w:tr>
        <w:trPr>
          <w:trHeight w:val="20"/>
        </w:trPr>
        <w:tc>
          <w:tcPr>
            <w:tcW w:w="60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values and fair values of other financial instruments in the Consolidated Balance Sheets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1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060" w:type="dxa"/>
            <w:vAlign w:val="bottom"/>
            <w:tcBorders>
              <w:bottom w:val="single" w:sz="8" w:color="auto"/>
            </w:tcBorders>
          </w:tcPr>
          <w:p>
            <w:pPr>
              <w:spacing w:after="0"/>
              <w:rPr>
                <w:sz w:val="16"/>
                <w:szCs w:val="16"/>
                <w:color w:val="auto"/>
              </w:rPr>
            </w:pPr>
          </w:p>
        </w:tc>
      </w:tr>
      <w:tr>
        <w:trPr>
          <w:trHeight w:val="385"/>
        </w:trPr>
        <w:tc>
          <w:tcPr>
            <w:tcW w:w="4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24"/>
                <w:szCs w:val="24"/>
                <w:color w:val="auto"/>
              </w:rPr>
            </w:pP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5"/>
        </w:trPr>
        <w:tc>
          <w:tcPr>
            <w:tcW w:w="4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TRI Long-term debt, including short-term portion</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25,611</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20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25,988</w:t>
            </w: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23,554</w:t>
            </w:r>
          </w:p>
        </w:tc>
      </w:tr>
    </w:tbl>
    <w:p>
      <w:pPr>
        <w:spacing w:after="0" w:line="3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The above long-term debt, including short-term portion is attributable to the consolidation of TRI in accordance with 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was also based on a discounted cash flow method (Level 3) based on credit information and an estimate of future cash flows.</w:t>
      </w:r>
    </w:p>
    <w:p>
      <w:pPr>
        <w:spacing w:after="0" w:line="200" w:lineRule="exact"/>
        <w:rPr>
          <w:sz w:val="20"/>
          <w:szCs w:val="20"/>
          <w:color w:val="auto"/>
        </w:rPr>
      </w:pPr>
    </w:p>
    <w:p>
      <w:pPr>
        <w:spacing w:after="0" w:line="3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VARIABLE INTEREST ENTITY</w:t>
      </w:r>
    </w:p>
    <w:p>
      <w:pPr>
        <w:spacing w:after="0" w:line="173" w:lineRule="exact"/>
        <w:rPr>
          <w:sz w:val="20"/>
          <w:szCs w:val="20"/>
          <w:color w:val="auto"/>
        </w:rPr>
      </w:pPr>
    </w:p>
    <w:p>
      <w:pPr>
        <w:ind w:right="340" w:firstLine="492"/>
        <w:spacing w:after="0" w:line="229"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VIE. The Company has determined that it was the primary beneficiary of one VIE as of July 28, 2024 and January 28, 2024.</w:t>
      </w:r>
    </w:p>
    <w:p>
      <w:pPr>
        <w:spacing w:after="0" w:line="158" w:lineRule="exact"/>
        <w:rPr>
          <w:sz w:val="20"/>
          <w:szCs w:val="20"/>
          <w:color w:val="auto"/>
        </w:rPr>
      </w:pPr>
    </w:p>
    <w:p>
      <w:pPr>
        <w:ind w:right="40" w:firstLine="428"/>
        <w:spacing w:after="0" w:line="233" w:lineRule="auto"/>
        <w:rPr>
          <w:sz w:val="20"/>
          <w:szCs w:val="20"/>
          <w:color w:val="auto"/>
        </w:rPr>
      </w:pPr>
      <w:r>
        <w:rPr>
          <w:rFonts w:ascii="Times New Roman" w:cs="Times New Roman" w:eastAsia="Times New Roman" w:hAnsi="Times New Roman"/>
          <w:sz w:val="18"/>
          <w:szCs w:val="18"/>
          <w:color w:val="auto"/>
        </w:rPr>
        <w:t>The Company leases the Company’s headquarters in Mt. Horeb, Wisconsin from TRI. In conjunction with the lease, the Company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condensed consolidated balance sheets include the following amounts as a result of the consolidation of TRI as of July 28, 2024 and January 28,</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1"/>
        </w:trPr>
        <w:tc>
          <w:tcPr>
            <w:tcW w:w="7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1"/>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22,941</w:t>
            </w:r>
          </w:p>
        </w:tc>
      </w:tr>
      <w:tr>
        <w:trPr>
          <w:trHeight w:val="183"/>
        </w:trPr>
        <w:tc>
          <w:tcPr>
            <w:tcW w:w="746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22,653</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22,958</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81"/>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24"/>
                <w:szCs w:val="24"/>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25,141</w:t>
            </w:r>
          </w:p>
        </w:tc>
      </w:tr>
      <w:tr>
        <w:trPr>
          <w:trHeight w:val="221"/>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3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r>
      <w:tr>
        <w:trPr>
          <w:trHeight w:val="183"/>
        </w:trPr>
        <w:tc>
          <w:tcPr>
            <w:tcW w:w="746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22,653</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22,958</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LOSS PER SHARE</w:t>
      </w:r>
    </w:p>
    <w:p>
      <w:pPr>
        <w:spacing w:after="0" w:line="173" w:lineRule="exact"/>
        <w:rPr>
          <w:sz w:val="20"/>
          <w:szCs w:val="20"/>
          <w:color w:val="auto"/>
        </w:rPr>
      </w:pPr>
    </w:p>
    <w:p>
      <w:pPr>
        <w:ind w:right="100" w:firstLine="428"/>
        <w:spacing w:after="0" w:line="233" w:lineRule="auto"/>
        <w:rPr>
          <w:sz w:val="20"/>
          <w:szCs w:val="20"/>
          <w:color w:val="auto"/>
        </w:rPr>
      </w:pPr>
      <w:r>
        <w:rPr>
          <w:rFonts w:ascii="Times New Roman" w:cs="Times New Roman" w:eastAsia="Times New Roman" w:hAnsi="Times New Roman"/>
          <w:sz w:val="18"/>
          <w:szCs w:val="18"/>
          <w:color w:val="auto"/>
        </w:rPr>
        <w:t>Earnings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unless considered anti-dilutive. The reconciliation of the numerator and denominator of the basic and diluted earnings per share calculation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24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40" w:type="dxa"/>
            <w:vAlign w:val="bottom"/>
          </w:tcPr>
          <w:p>
            <w:pPr>
              <w:spacing w:after="0"/>
              <w:rPr>
                <w:sz w:val="15"/>
                <w:szCs w:val="15"/>
                <w:color w:val="auto"/>
              </w:rPr>
            </w:pPr>
          </w:p>
        </w:tc>
        <w:tc>
          <w:tcPr>
            <w:tcW w:w="13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Numerator - net loss attributable to</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(11,617)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0" w:type="dxa"/>
            <w:vAlign w:val="bottom"/>
          </w:tcPr>
          <w:p>
            <w:pPr>
              <w:spacing w:after="0"/>
              <w:rPr>
                <w:sz w:val="1"/>
                <w:szCs w:val="1"/>
                <w:color w:val="auto"/>
              </w:rPr>
            </w:pPr>
          </w:p>
        </w:tc>
      </w:tr>
      <w:tr>
        <w:trPr>
          <w:trHeight w:val="211"/>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Denominator - weighted average shares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and Class B)</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32,912</w:t>
            </w:r>
          </w:p>
        </w:tc>
        <w:tc>
          <w:tcPr>
            <w:tcW w:w="0" w:type="dxa"/>
            <w:vAlign w:val="bottom"/>
          </w:tcPr>
          <w:p>
            <w:pPr>
              <w:spacing w:after="0"/>
              <w:rPr>
                <w:sz w:val="1"/>
                <w:szCs w:val="1"/>
                <w:color w:val="auto"/>
              </w:rPr>
            </w:pPr>
          </w:p>
        </w:tc>
      </w:tr>
      <w:tr>
        <w:trPr>
          <w:trHeight w:val="221"/>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shares</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66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33,367</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32,952</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33,247</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32,912</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 (Class A and Class B)</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34"/>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computation of diluted loss per share excluded (0.4) million and (0.2) million of unvested restricted stock for the three months ended July 28, 2024 and July 30, 2023, because their inclusion would be anti-dilutive due to a net loss.</w:t>
      </w:r>
    </w:p>
    <w:p>
      <w:pPr>
        <w:spacing w:after="0" w:line="13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computation of diluted loss per share excluded (0.0) million and (0.1) million of unvested restricted stock for the six months ended July 28, 2024 and July 30, 2023, because their inclusion would be anti-dilutive due to a net loss.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60" w:lineRule="exact"/>
        <w:rPr>
          <w:sz w:val="20"/>
          <w:szCs w:val="20"/>
          <w:color w:val="auto"/>
        </w:rPr>
      </w:pPr>
    </w:p>
    <w:p>
      <w:pPr>
        <w:ind w:right="320" w:firstLine="428"/>
        <w:spacing w:after="0" w:line="268"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w:t>
      </w:r>
    </w:p>
    <w:p>
      <w:pPr>
        <w:spacing w:after="0" w:line="107" w:lineRule="exact"/>
        <w:rPr>
          <w:sz w:val="20"/>
          <w:szCs w:val="20"/>
          <w:color w:val="auto"/>
        </w:rPr>
      </w:pPr>
    </w:p>
    <w:p>
      <w:pPr>
        <w:jc w:val="both"/>
        <w:ind w:right="20" w:firstLine="428"/>
        <w:spacing w:after="0" w:line="242"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was $1.0 million and $2.4 million for the three and six months ended July 28, 2024, respectively. The Company’s total stock compensation expense is included in selling, general and administrative expenses on the Condensed Consolidated Statements of Operations.</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activity in the Company’s unvested restricted stock during the six months ended July 28, 2024 is as follows: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29"/>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29"/>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6"/>
        </w:trPr>
        <w:tc>
          <w:tcPr>
            <w:tcW w:w="8380" w:type="dxa"/>
            <w:vAlign w:val="bottom"/>
          </w:tcPr>
          <w:p>
            <w:pPr>
              <w:spacing w:after="0"/>
              <w:rPr>
                <w:sz w:val="19"/>
                <w:szCs w:val="19"/>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18"/>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January 28, 2024</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1,367,270</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29"/>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943,187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(463,795)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21"/>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(182,616)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196"/>
        </w:trPr>
        <w:tc>
          <w:tcPr>
            <w:tcW w:w="8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Outstanding at July 28, 2024</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1,664,046</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6.32</w:t>
            </w:r>
          </w:p>
        </w:tc>
      </w:tr>
      <w:tr>
        <w:trPr>
          <w:trHeight w:val="20"/>
        </w:trPr>
        <w:tc>
          <w:tcPr>
            <w:tcW w:w="8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00" w:firstLine="428"/>
        <w:spacing w:after="0" w:line="266" w:lineRule="auto"/>
        <w:rPr>
          <w:sz w:val="20"/>
          <w:szCs w:val="20"/>
          <w:color w:val="auto"/>
        </w:rPr>
      </w:pPr>
      <w:r>
        <w:rPr>
          <w:rFonts w:ascii="Times New Roman" w:cs="Times New Roman" w:eastAsia="Times New Roman" w:hAnsi="Times New Roman"/>
          <w:sz w:val="18"/>
          <w:szCs w:val="18"/>
          <w:color w:val="auto"/>
        </w:rPr>
        <w:t>At July 28, 2024, the Company had unrecognized compensation expense of $7.6 million related to the restricted stock awards, which is expected to be recognized over a weighted average period of 2.9 years.</w:t>
      </w:r>
    </w:p>
    <w:p>
      <w:pPr>
        <w:spacing w:after="0" w:line="32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20" w:type="dxa"/>
            <w:vAlign w:val="bottom"/>
          </w:tcPr>
          <w:p>
            <w:pPr>
              <w:spacing w:after="0"/>
              <w:rPr>
                <w:sz w:val="16"/>
                <w:szCs w:val="16"/>
                <w:color w:val="auto"/>
              </w:rPr>
            </w:pPr>
          </w:p>
        </w:tc>
        <w:tc>
          <w:tcPr>
            <w:tcW w:w="15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1"/>
        </w:trPr>
        <w:tc>
          <w:tcPr>
            <w:tcW w:w="7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2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36,191</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66,481</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54,294</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11,142</w:t>
            </w:r>
          </w:p>
        </w:tc>
      </w:tr>
      <w:tr>
        <w:trPr>
          <w:trHeight w:val="221"/>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39,681</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39,923</w:t>
            </w:r>
          </w:p>
        </w:tc>
      </w:tr>
      <w:tr>
        <w:trPr>
          <w:trHeight w:val="191"/>
        </w:trPr>
        <w:tc>
          <w:tcPr>
            <w:tcW w:w="7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269,881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269,488</w:t>
            </w:r>
          </w:p>
        </w:tc>
      </w:tr>
      <w:tr>
        <w:trPr>
          <w:trHeight w:val="221"/>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(151,695)</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(140,551)</w:t>
            </w:r>
          </w:p>
        </w:tc>
      </w:tr>
      <w:tr>
        <w:trPr>
          <w:trHeight w:val="191"/>
        </w:trPr>
        <w:tc>
          <w:tcPr>
            <w:tcW w:w="74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118,186</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128,937</w:t>
            </w:r>
          </w:p>
        </w:tc>
      </w:tr>
      <w:tr>
        <w:trPr>
          <w:trHeight w:val="221"/>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r>
      <w:tr>
        <w:trPr>
          <w:trHeight w:val="183"/>
        </w:trPr>
        <w:tc>
          <w:tcPr>
            <w:tcW w:w="74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121,148</w:t>
            </w:r>
          </w:p>
        </w:tc>
        <w:tc>
          <w:tcPr>
            <w:tcW w:w="200" w:type="dxa"/>
            <w:vAlign w:val="bottom"/>
          </w:tcPr>
          <w:p>
            <w:pPr>
              <w:spacing w:after="0"/>
              <w:rPr>
                <w:sz w:val="15"/>
                <w:szCs w:val="15"/>
                <w:color w:val="auto"/>
              </w:rPr>
            </w:pP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132,718</w:t>
            </w:r>
          </w:p>
        </w:tc>
      </w:tr>
      <w:tr>
        <w:trPr>
          <w:trHeight w:val="20"/>
        </w:trPr>
        <w:tc>
          <w:tcPr>
            <w:tcW w:w="7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REVENUE</w:t>
      </w:r>
    </w:p>
    <w:p>
      <w:pPr>
        <w:spacing w:after="0" w:line="175" w:lineRule="exact"/>
        <w:rPr>
          <w:sz w:val="20"/>
          <w:szCs w:val="20"/>
          <w:color w:val="auto"/>
        </w:rPr>
      </w:pPr>
    </w:p>
    <w:p>
      <w:pPr>
        <w:ind w:right="340" w:firstLine="570"/>
        <w:spacing w:after="0" w:line="228"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distribution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4"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as a component of selling, general and administrative expenses. Sales tax collected from customers and remitted to taxing authorities is excluded from revenue and is included in accrued expenses.</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Sales disaggregated based upon sales channel is presented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9"/>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2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20" w:type="dxa"/>
            <w:vAlign w:val="bottom"/>
          </w:tcPr>
          <w:p>
            <w:pPr>
              <w:spacing w:after="0"/>
              <w:rPr>
                <w:sz w:val="18"/>
                <w:szCs w:val="18"/>
                <w:color w:val="auto"/>
              </w:rPr>
            </w:pPr>
          </w:p>
        </w:tc>
        <w:tc>
          <w:tcPr>
            <w:tcW w:w="12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July 30, 2023</w:t>
            </w:r>
          </w:p>
        </w:tc>
      </w:tr>
      <w:tr>
        <w:trPr>
          <w:trHeight w:val="213"/>
        </w:trPr>
        <w:tc>
          <w:tcPr>
            <w:tcW w:w="4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35"/>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91,684</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86,845</w:t>
            </w:r>
          </w:p>
        </w:tc>
        <w:tc>
          <w:tcPr>
            <w:tcW w:w="18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167,128</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166,347</w:t>
            </w:r>
          </w:p>
        </w:tc>
      </w:tr>
      <w:tr>
        <w:trPr>
          <w:trHeight w:val="221"/>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Stores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49,935</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52,254</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91,175</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96,511</w:t>
            </w:r>
          </w:p>
        </w:tc>
      </w:tr>
      <w:tr>
        <w:trPr>
          <w:trHeight w:val="196"/>
        </w:trPr>
        <w:tc>
          <w:tcPr>
            <w:tcW w:w="4820" w:type="dxa"/>
            <w:vAlign w:val="bottom"/>
          </w:tcPr>
          <w:p>
            <w:pPr>
              <w:spacing w:after="0"/>
              <w:rPr>
                <w:sz w:val="17"/>
                <w:szCs w:val="17"/>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141,619</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139,099</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258,303</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262,858</w:t>
            </w: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75" w:lineRule="exact"/>
        <w:rPr>
          <w:sz w:val="20"/>
          <w:szCs w:val="20"/>
          <w:color w:val="auto"/>
        </w:rPr>
      </w:pPr>
    </w:p>
    <w:p>
      <w:pPr>
        <w:ind w:right="160" w:firstLine="492"/>
        <w:spacing w:after="0" w:line="232" w:lineRule="auto"/>
        <w:rPr>
          <w:sz w:val="20"/>
          <w:szCs w:val="20"/>
          <w:color w:val="auto"/>
        </w:rPr>
      </w:pPr>
      <w:r>
        <w:rPr>
          <w:rFonts w:ascii="Times New Roman" w:cs="Times New Roman" w:eastAsia="Times New Roman" w:hAnsi="Times New Roman"/>
          <w:sz w:val="18"/>
          <w:szCs w:val="18"/>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ectPr>
          <w:pgSz w:w="11900" w:h="16838" w:orient="portrait"/>
          <w:cols w:equalWidth="0" w:num="1">
            <w:col w:w="11240"/>
          </w:cols>
          <w:pgMar w:left="320" w:top="283" w:right="339" w:bottom="1440" w:gutter="0" w:footer="0" w:header="0"/>
        </w:sectPr>
      </w:pPr>
    </w:p>
    <w:p>
      <w:pPr>
        <w:spacing w:after="0" w:line="14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Contract assets and liabilities on the Company’s consolidated balance sheets are presented in the following table: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July 28, 2024</w:t>
            </w:r>
          </w:p>
        </w:tc>
      </w:tr>
      <w:tr>
        <w:trPr>
          <w:trHeight w:val="191"/>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January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3290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17"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2,778</w:t>
      </w:r>
    </w:p>
    <w:p>
      <w:pPr>
        <w:spacing w:after="0" w:line="39"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9,579</w:t>
      </w:r>
    </w:p>
    <w:p>
      <w:pPr>
        <w:spacing w:after="0" w:line="220" w:lineRule="exact"/>
        <w:rPr>
          <w:sz w:val="20"/>
          <w:szCs w:val="20"/>
          <w:color w:val="auto"/>
        </w:rPr>
      </w:pPr>
    </w:p>
    <w:p>
      <w:pPr>
        <w:sectPr>
          <w:pgSz w:w="11900" w:h="16838" w:orient="portrait"/>
          <w:cols w:equalWidth="0" w:num="2">
            <w:col w:w="8900" w:space="240"/>
            <w:col w:w="2100"/>
          </w:cols>
          <w:pgMar w:left="320" w:top="283" w:right="339" w:bottom="1440" w:gutter="0" w:footer="0" w:header="0"/>
          <w:type w:val="continuous"/>
        </w:sectPr>
      </w:pPr>
    </w:p>
    <w:p>
      <w:pPr>
        <w:spacing w:after="0" w:line="133" w:lineRule="exact"/>
        <w:rPr>
          <w:sz w:val="20"/>
          <w:szCs w:val="20"/>
          <w:color w:val="auto"/>
        </w:rPr>
      </w:pPr>
    </w:p>
    <w:p>
      <w:pPr>
        <w:ind w:firstLine="570"/>
        <w:spacing w:after="0" w:line="236" w:lineRule="auto"/>
        <w:rPr>
          <w:sz w:val="20"/>
          <w:szCs w:val="20"/>
          <w:color w:val="auto"/>
        </w:rPr>
      </w:pPr>
      <w:r>
        <w:rPr>
          <w:rFonts w:ascii="Times New Roman" w:cs="Times New Roman" w:eastAsia="Times New Roman" w:hAnsi="Times New Roman"/>
          <w:sz w:val="18"/>
          <w:szCs w:val="18"/>
          <w:color w:val="auto"/>
        </w:rPr>
        <w:t>Revenue from gift cards is recognized when the gift card is redeemed by the customer for merchandise or as a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 for the three months ended: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5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July 30, 2023</w:t>
            </w:r>
          </w:p>
        </w:tc>
      </w:tr>
      <w:tr>
        <w:trPr>
          <w:trHeight w:val="213"/>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5"/>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500" w:type="dxa"/>
            <w:vAlign w:val="bottom"/>
          </w:tcPr>
          <w:p>
            <w:pPr>
              <w:jc w:val="right"/>
              <w:ind w:right="134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240" w:type="dxa"/>
            <w:vAlign w:val="bottom"/>
          </w:tcPr>
          <w:p>
            <w:pPr>
              <w:spacing w:after="0"/>
              <w:rPr>
                <w:sz w:val="20"/>
                <w:szCs w:val="20"/>
                <w:color w:val="auto"/>
              </w:rPr>
            </w:pP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1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15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(7,043)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w:t>
            </w:r>
          </w:p>
        </w:tc>
      </w:tr>
      <w:tr>
        <w:trPr>
          <w:trHeight w:val="22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15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196"/>
        </w:trPr>
        <w:tc>
          <w:tcPr>
            <w:tcW w:w="6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Balance as of end of period</w:t>
            </w:r>
          </w:p>
        </w:tc>
        <w:tc>
          <w:tcPr>
            <w:tcW w:w="1500" w:type="dxa"/>
            <w:vAlign w:val="bottom"/>
            <w:tcBorders>
              <w:top w:val="single" w:sz="8" w:color="auto"/>
              <w:bottom w:val="single" w:sz="8" w:color="auto"/>
            </w:tcBorders>
          </w:tcPr>
          <w:p>
            <w:pPr>
              <w:jc w:val="right"/>
              <w:ind w:right="134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7,483</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7,828</w:t>
            </w:r>
          </w:p>
        </w:tc>
      </w:tr>
      <w:tr>
        <w:trPr>
          <w:trHeight w:val="20"/>
        </w:trPr>
        <w:tc>
          <w:tcPr>
            <w:tcW w:w="68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18"/>
          <w:szCs w:val="18"/>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was 21% and 22% for the six months ended July 28, 2024 and July 30, 2023, respectively. The income from TRI was excluded from the calculation of the Company’s effective tax rate, as TRI is a limited liability company and not subject to income taxes.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RESTRUCTURING</w:t>
      </w:r>
    </w:p>
    <w:p>
      <w:pPr>
        <w:spacing w:after="0" w:line="175" w:lineRule="exact"/>
        <w:rPr>
          <w:sz w:val="20"/>
          <w:szCs w:val="20"/>
          <w:color w:val="auto"/>
        </w:rPr>
      </w:pPr>
    </w:p>
    <w:p>
      <w:pPr>
        <w:ind w:right="200" w:firstLine="648"/>
        <w:spacing w:after="0"/>
        <w:rPr>
          <w:sz w:val="20"/>
          <w:szCs w:val="20"/>
          <w:color w:val="auto"/>
        </w:rPr>
      </w:pPr>
      <w:r>
        <w:rPr>
          <w:rFonts w:ascii="Times New Roman" w:cs="Times New Roman" w:eastAsia="Times New Roman" w:hAnsi="Times New Roman"/>
          <w:sz w:val="18"/>
          <w:szCs w:val="18"/>
          <w:color w:val="auto"/>
        </w:rPr>
        <w:t>As part of the Company’s in-depth review of the retail portfolio strategy, fulfillment center network, and benchmarking to identify structural opportunities to improve operating margin, working capital, and asset efficiency, the Company began phase two of its fulfillment center network plan to maximize productivity and capacity. This was initiated in the second quarter of 2024 and is expected to continue beyond this fiscal year as we implement further structural changes.</w:t>
      </w:r>
    </w:p>
    <w:p>
      <w:pPr>
        <w:spacing w:after="0" w:line="144" w:lineRule="exact"/>
        <w:rPr>
          <w:sz w:val="20"/>
          <w:szCs w:val="20"/>
          <w:color w:val="auto"/>
        </w:rPr>
      </w:pPr>
    </w:p>
    <w:p>
      <w:pPr>
        <w:ind w:right="120" w:firstLine="648"/>
        <w:spacing w:after="0" w:line="233" w:lineRule="auto"/>
        <w:rPr>
          <w:sz w:val="20"/>
          <w:szCs w:val="20"/>
          <w:color w:val="auto"/>
        </w:rPr>
      </w:pPr>
      <w:r>
        <w:rPr>
          <w:rFonts w:ascii="Times New Roman" w:cs="Times New Roman" w:eastAsia="Times New Roman" w:hAnsi="Times New Roman"/>
          <w:sz w:val="18"/>
          <w:szCs w:val="18"/>
          <w:color w:val="auto"/>
        </w:rPr>
        <w:t>On July 12, 2024 (the “Effective Date”), as a result of the phase two analysis of the fulfillment center network, the Company voluntarily entered into a lease amendment for one of its legacy fulfillment center leases in Dubuque, Iowa. The amended lease accelerated the lease expiration date from September 30, 2030 to October 27, 2024. The amended lease requires Duluth to pay an aggregate of $3.7 million (the “Termination Penalty”) in consideration of accelerating the lease termination date, which will be paid in four equal quarterly installments from October 2024 through August 2025. The Company is amortizing the loss from the Termination Penalty, as well as the net loss from writing off the right-of-use asset and lease liability over the modified remaining lease term. In addition, the Company is accelerating the depreciation of the non-transferrable fixed assets to have no remaining net book value by the modified lease expiration date.</w:t>
      </w:r>
    </w:p>
    <w:p>
      <w:pPr>
        <w:spacing w:after="0" w:line="14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expects to recognize total restructuring expenses related to this lease amendment of $7.4 million during the second and third quarter of 2024. During the three months ended July 28, 2024, the Company recognized restructuring charges of $1.6 million.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10"/>
        </w:trPr>
        <w:tc>
          <w:tcPr>
            <w:tcW w:w="83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July 28, 2024</w:t>
            </w:r>
          </w:p>
        </w:tc>
      </w:tr>
      <w:tr>
        <w:trPr>
          <w:trHeight w:val="213"/>
        </w:trPr>
        <w:tc>
          <w:tcPr>
            <w:tcW w:w="8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5"/>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Early contract termination expense</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29"/>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Lease remeasurement expense</w:t>
            </w:r>
          </w:p>
        </w:tc>
        <w:tc>
          <w:tcPr>
            <w:tcW w:w="4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1"/>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Accelerated depreciation expense</w:t>
            </w:r>
          </w:p>
        </w:tc>
        <w:tc>
          <w:tcPr>
            <w:tcW w:w="4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37"/>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Total restructuring expenses</w:t>
            </w: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0"/>
        </w:trPr>
        <w:tc>
          <w:tcPr>
            <w:tcW w:w="8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CONTINGENCIES</w:t>
      </w:r>
    </w:p>
    <w:p>
      <w:pPr>
        <w:spacing w:after="0" w:line="175"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In the second quarter of 2024, in conjunction with ongoing state sales tax audits the Company began a review of its sales tax positions. As a result of the review, the Company determined that sales in a state were subject to certain local sales tax and that the Company had not sufficiently assessed such sales tax on sales to customers in prior fiscal years.</w:t>
      </w:r>
    </w:p>
    <w:p>
      <w:pPr>
        <w:spacing w:after="0" w:line="157"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The Company concluded that some payment to the state is probable. As of July 28, 2024, the Company recorded an estimated sales tax expense accrual of $2.4 million that is reflected in Selling, general and administrative expenses within the Consolidated Statements of Operations.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3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Financial Instruments – Credit Losses – Measurement of Credit Losses on Financial Instruments</w:t>
      </w:r>
    </w:p>
    <w:p>
      <w:pPr>
        <w:spacing w:after="0" w:line="171"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7"/>
          <w:szCs w:val="17"/>
          <w:color w:val="auto"/>
        </w:rPr>
        <w:t xml:space="preserve">In June 2016, the FASB issued Accounting Standards Update No. 2016-13 </w:t>
      </w:r>
      <w:r>
        <w:rPr>
          <w:rFonts w:ascii="Times New Roman" w:cs="Times New Roman" w:eastAsia="Times New Roman" w:hAnsi="Times New Roman"/>
          <w:sz w:val="17"/>
          <w:szCs w:val="17"/>
          <w:i w:val="1"/>
          <w:iCs w:val="1"/>
          <w:color w:val="auto"/>
        </w:rPr>
        <w:t>“Financial Instruments-Credit Losses (Topic 326): Measurement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Credit Losses on Financial Instruments,” </w:t>
      </w:r>
      <w:r>
        <w:rPr>
          <w:rFonts w:ascii="Times New Roman" w:cs="Times New Roman" w:eastAsia="Times New Roman" w:hAnsi="Times New Roman"/>
          <w:sz w:val="17"/>
          <w:szCs w:val="17"/>
          <w:color w:val="auto"/>
        </w:rPr>
        <w:t>(“ASU 2016-13”), which amends the impairment model by requiring entities to use a forward-looking approach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 xml:space="preserve">addition, this guidance changes the recognition for credit losses on available-for-sale debt securities, which can occur as a result of market and credit risk and requires additional disclosures. On November 15, 2019, the FASB issued ASU No. 2019-10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(Topic 815, and Leases (Topic 842),” </w:t>
      </w:r>
      <w:r>
        <w:rPr>
          <w:rFonts w:ascii="Times New Roman" w:cs="Times New Roman" w:eastAsia="Times New Roman" w:hAnsi="Times New Roman"/>
          <w:sz w:val="18"/>
          <w:szCs w:val="18"/>
          <w:color w:val="auto"/>
        </w:rPr>
        <w:t>(ASU 2019-10”), which provides a framework to stagger effective dates for future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adopted ASU 2016-13 on January 30, 2023, the first day of the Company’s first quarter for the fiscal year ending January 28, 2024, the Company’s fiscal year 2023. The adoption of the standard did not have a material impact on the Company’s consolidated financial results.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 Not Yet Adopted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Segment Reporting – Improvements to Reportable Segment Disclosures</w:t>
      </w:r>
    </w:p>
    <w:p>
      <w:pPr>
        <w:spacing w:after="0" w:line="173" w:lineRule="exact"/>
        <w:rPr>
          <w:sz w:val="20"/>
          <w:szCs w:val="20"/>
          <w:color w:val="auto"/>
        </w:rPr>
      </w:pPr>
    </w:p>
    <w:p>
      <w:pPr>
        <w:ind w:right="20" w:firstLine="648"/>
        <w:spacing w:after="0" w:line="23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Improvements to Reportable Segment Disclosures.” This ASU improves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new guidance is effective for public companies with annual periods beginning after December 15, 2023, and interim periods within annual period beginning after December 15, 2024, with early adoption permitted. Management is currently evaluating the effects adoption of this guidance will have on its consolidated financial statements.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w:t>
      </w:r>
    </w:p>
    <w:p>
      <w:pPr>
        <w:spacing w:after="0" w:line="160" w:lineRule="exact"/>
        <w:rPr>
          <w:sz w:val="20"/>
          <w:szCs w:val="20"/>
          <w:color w:val="auto"/>
        </w:rPr>
      </w:pPr>
    </w:p>
    <w:p>
      <w:pPr>
        <w:ind w:right="320" w:firstLine="648"/>
        <w:spacing w:after="0"/>
        <w:rPr>
          <w:sz w:val="20"/>
          <w:szCs w:val="20"/>
          <w:color w:val="auto"/>
        </w:rPr>
      </w:pPr>
      <w:r>
        <w:rPr>
          <w:rFonts w:ascii="Times New Roman" w:cs="Times New Roman" w:eastAsia="Times New Roman" w:hAnsi="Times New Roman"/>
          <w:sz w:val="18"/>
          <w:szCs w:val="18"/>
          <w:color w:val="auto"/>
        </w:rPr>
        <w:t>In December 2023, the FASB issued ASU No. 2023-09, “Income Taxes: Improvements to Income Tax Disclosures.” This ASU improves the transparency of income tax disclosures by requiring (i) consistent categories and greater disaggregation of information in the rate reconciliation and (ii) income taxes paid disaggregated by jurisdiction. This new guidance will be effective for annual periods beginning after December 15, 2024, and early adoption is permitted. Management is currently evaluating the effects adoption of this guidance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2" w:lineRule="exact"/>
        <w:rPr>
          <w:sz w:val="20"/>
          <w:szCs w:val="20"/>
          <w:color w:val="auto"/>
        </w:rPr>
      </w:pPr>
    </w:p>
    <w:p>
      <w:pPr>
        <w:ind w:right="20" w:firstLine="428"/>
        <w:spacing w:after="0" w:line="244"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year ended January 28, 2024 (“2023 Form 10-K”).</w:t>
      </w:r>
    </w:p>
    <w:p>
      <w:pPr>
        <w:spacing w:after="0" w:line="159" w:lineRule="exact"/>
        <w:rPr>
          <w:sz w:val="20"/>
          <w:szCs w:val="20"/>
          <w:color w:val="auto"/>
        </w:rPr>
      </w:pPr>
    </w:p>
    <w:p>
      <w:pPr>
        <w:ind w:right="280" w:firstLine="428"/>
        <w:spacing w:after="0" w:line="264" w:lineRule="auto"/>
        <w:rPr>
          <w:sz w:val="20"/>
          <w:szCs w:val="20"/>
          <w:color w:val="auto"/>
        </w:rPr>
      </w:pPr>
      <w:r>
        <w:rPr>
          <w:rFonts w:ascii="Times New Roman" w:cs="Times New Roman" w:eastAsia="Times New Roman" w:hAnsi="Times New Roman"/>
          <w:sz w:val="14"/>
          <w:szCs w:val="14"/>
          <w:i w:val="1"/>
          <w:iCs w:val="1"/>
          <w:color w:val="auto"/>
        </w:rPr>
        <w:t>The Company’s fiscal year ends on the Sunday nearest to January 31 of the following year. Fiscal 2024 is a 53-week period and ends on February 2, 2025. Fiscal 2023 was a 52-week period and ended on January 28, 2024. The three months of fiscal 2024 and fiscal 2023 represent our 13-week periods ended July 28, 2024 and July 30, 2023, respectively.</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Unless the context indicates otherwise, the terms the “Company,” “Duluth,” “Duluth Trading,” “we,” “our,” or “us” are used to refer to Duluth Holdings Inc.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firstLine="428"/>
        <w:spacing w:after="0" w:line="22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initiatives, or strategies are forward-looking statements. All forward-looking statements are subject to risks and uncertainties that could cause actual results to differ materially from those expressed in the forward-looking statements, including the risks and uncertainties described under Part I, Item 1A “Risk Factors,” in our 2023 Form 10-K, and other SEC filings, which factors are incorporated by reference herein. These risks and uncertainties include, but are not limited to, the following: the impact of inflation and measures to control inflation on our results of operations; the prolonged effects of economic uncertainties on store and website traffic and disruptions to our distribution network, supply chains and operations; our ability to maintain and enhance a strong brand and sub-brand image; adapting to declines in consumer confidence, inflation and decreases in consumer spending; disruptions in our e-commerce platform; effectively adapting to new challenges associated with our expansion into new geographic markets; our ability to meet customer delivery time expectations; natural disasters, unusually adverse weather conditions, boycotts, prolonged public health crises, epidemics or pandemics and unanticipated events; generating adequate cash from our existing stores and direct sales to support our growth; the impact of changes in corporate tax regulations and sales tax; identifying and responding to new and changing customer preferences; the success of the locations in which our stores are located; effectively relying on sources for merchandise located in foreign markets; transportation delays and interruptions, including port congestion; inability to timely and effectively obtain shipments of products from our suppliers and deliver merchandise to our customers; the inability to maintain the performance of a maturing store portfolio; our inability to deploy marketing tactics to strengthen brand awareness and attract new customers in a cost effective manner; our ability to successfully open new stores;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the potential for further increases in price and availability of raw materials; our dependence on third-party vendors to provide us with sufficient quantities of merchandise at acceptable prices; the susceptibility of the price and availability of our merchandise to international trade conditions; failure of our vendors and their manufacturing sources to use acceptable labor or other practices; our dependence upon key executive management or our inability to hire or retain the talent required for our business; increases in costs of fuel or other energy, transportation or utility costs and in the costs of labor and employment; failure of our information technology systems to support our current and growing business, before and after our planned upgrades; disruptions in our supply chain and fulfillment centers; our inability to protect our trademarks or other intellectual property rights; infringement on the intellectual property of third parties; acts of war, terrorism or civil unrest; the impact of governmental laws and regulations and the outcomes of legal proceedings; changes in U.S. and non-U.S. laws affecting the importation and taxation of goods, including imposition of unilateral tariffs on imported goods; our ability to secure the personal and/or financial information of our customers and employees; our ability to comply with the security standards for the credit card industry; our failure to maintain adequate internal controls over our financial and management systems; acquisition, disposition, and development risks; and other factors that may be disclosed in our SEC filings or otherwise.</w:t>
      </w:r>
    </w:p>
    <w:p>
      <w:pPr>
        <w:spacing w:after="0" w:line="150" w:lineRule="exact"/>
        <w:rPr>
          <w:sz w:val="20"/>
          <w:szCs w:val="20"/>
          <w:color w:val="auto"/>
        </w:rPr>
      </w:pPr>
    </w:p>
    <w:p>
      <w:pPr>
        <w:ind w:right="60" w:firstLine="428"/>
        <w:spacing w:after="0" w:line="23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140" w:firstLine="428"/>
        <w:spacing w:after="0" w:line="430" w:lineRule="auto"/>
        <w:rPr>
          <w:sz w:val="20"/>
          <w:szCs w:val="20"/>
          <w:color w:val="auto"/>
        </w:rPr>
      </w:pPr>
      <w:r>
        <w:rPr>
          <w:rFonts w:ascii="Times New Roman" w:cs="Times New Roman" w:eastAsia="Times New Roman" w:hAnsi="Times New Roman"/>
          <w:sz w:val="18"/>
          <w:szCs w:val="18"/>
          <w:color w:val="auto"/>
        </w:rPr>
        <w:t xml:space="preserve">We undertake no obligation to update or revise these forward-looking statements, except as required under the federal securities laws.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ind w:right="120" w:firstLine="428"/>
        <w:spacing w:after="0" w:line="242" w:lineRule="auto"/>
        <w:rPr>
          <w:sz w:val="20"/>
          <w:szCs w:val="20"/>
          <w:color w:val="auto"/>
        </w:rPr>
      </w:pPr>
      <w:r>
        <w:rPr>
          <w:rFonts w:ascii="Times New Roman" w:cs="Times New Roman" w:eastAsia="Times New Roman" w:hAnsi="Times New Roman"/>
          <w:sz w:val="18"/>
          <w:szCs w:val="18"/>
          <w:color w:val="auto"/>
        </w:rPr>
        <w:t>We are a lifestyle brand of men’s and women’s casual wear, workwear and accessories sold primarily through our own omnichannel platform. We offer products nationwide through our website and catalog. In 2010, we initiated our omnichannel platform with the opening of our first store. Since then, we have expanded our retail presence, and as of July 28, 2024, we operated 62 retail stores and three outlet stores.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offer a comprehensive line of innovative, durable and functional products, such as our Longtail 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shirts, Buck Naked</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underwear, Fire Hose</w:t>
      </w:r>
      <w:r>
        <w:rPr>
          <w:rFonts w:ascii="Times New Roman" w:cs="Times New Roman" w:eastAsia="Times New Roman" w:hAnsi="Times New Roman"/>
          <w:sz w:val="22"/>
          <w:szCs w:val="22"/>
          <w:color w:val="auto"/>
          <w:vertAlign w:val="superscript"/>
        </w:rPr>
        <w:t>®</w:t>
      </w:r>
    </w:p>
    <w:p>
      <w:pPr>
        <w:ind w:right="180"/>
        <w:spacing w:after="0" w:line="205" w:lineRule="auto"/>
        <w:rPr>
          <w:sz w:val="20"/>
          <w:szCs w:val="20"/>
          <w:color w:val="auto"/>
        </w:rPr>
      </w:pPr>
      <w:r>
        <w:rPr>
          <w:rFonts w:ascii="Times New Roman" w:cs="Times New Roman" w:eastAsia="Times New Roman" w:hAnsi="Times New Roman"/>
          <w:sz w:val="18"/>
          <w:szCs w:val="18"/>
          <w:color w:val="auto"/>
        </w:rPr>
        <w:t>work pants, and No-Yank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58" w:lineRule="exact"/>
        <w:rPr>
          <w:sz w:val="20"/>
          <w:szCs w:val="20"/>
          <w:color w:val="auto"/>
        </w:rPr>
      </w:pPr>
    </w:p>
    <w:p>
      <w:pPr>
        <w:ind w:firstLine="428"/>
        <w:spacing w:after="0" w:line="236"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spacing w:after="0" w:line="77" w:lineRule="exact"/>
        <w:rPr>
          <w:sz w:val="20"/>
          <w:szCs w:val="20"/>
          <w:color w:val="auto"/>
        </w:rPr>
      </w:pPr>
    </w:p>
    <w:p>
      <w:pPr>
        <w:ind w:left="880" w:right="100"/>
        <w:spacing w:after="0" w:line="282" w:lineRule="auto"/>
        <w:rPr>
          <w:sz w:val="20"/>
          <w:szCs w:val="20"/>
          <w:color w:val="auto"/>
        </w:rPr>
      </w:pPr>
      <w:r>
        <w:rPr>
          <w:rFonts w:ascii="Times New Roman" w:cs="Times New Roman" w:eastAsia="Times New Roman" w:hAnsi="Times New Roman"/>
          <w:sz w:val="18"/>
          <w:szCs w:val="18"/>
          <w:color w:val="auto"/>
        </w:rPr>
        <w:t>Net sales increased by 1.8% over the prior year second quarter to $141.6 million, and net sales in the first six months of fiscal 2024 decreased by 1.7% over the first six months of the prior year to $258.3 million;</w:t>
      </w:r>
    </w:p>
    <w:p>
      <w:pPr>
        <w:spacing w:after="0" w:line="13" w:lineRule="exact"/>
        <w:rPr>
          <w:sz w:val="20"/>
          <w:szCs w:val="20"/>
          <w:color w:val="auto"/>
        </w:rPr>
      </w:pPr>
    </w:p>
    <w:p>
      <w:pPr>
        <w:ind w:left="880"/>
        <w:spacing w:after="0" w:line="266" w:lineRule="auto"/>
        <w:rPr>
          <w:sz w:val="20"/>
          <w:szCs w:val="20"/>
          <w:color w:val="auto"/>
        </w:rPr>
      </w:pPr>
      <w:r>
        <w:rPr>
          <w:rFonts w:ascii="Times New Roman" w:cs="Times New Roman" w:eastAsia="Times New Roman" w:hAnsi="Times New Roman"/>
          <w:sz w:val="18"/>
          <w:szCs w:val="18"/>
          <w:color w:val="auto"/>
        </w:rPr>
        <w:t>Net loss of $3.7 million in fiscal 2024 second quarter compared to the prior year second quarter net loss of $2.0 million, and net loss in the first six months of fiscal 2024 of $11.6 million compared to a net loss in the first six months of fiscal 2023 of $5.9 million; and</w:t>
      </w:r>
    </w:p>
    <w:p>
      <w:pPr>
        <w:spacing w:after="0" w:line="27" w:lineRule="exact"/>
        <w:rPr>
          <w:sz w:val="20"/>
          <w:szCs w:val="20"/>
          <w:color w:val="auto"/>
        </w:rPr>
      </w:pPr>
    </w:p>
    <w:p>
      <w:pPr>
        <w:ind w:left="880" w:right="120"/>
        <w:spacing w:after="0" w:line="250" w:lineRule="auto"/>
        <w:rPr>
          <w:sz w:val="20"/>
          <w:szCs w:val="20"/>
          <w:color w:val="auto"/>
        </w:rPr>
      </w:pPr>
      <w:r>
        <w:rPr>
          <w:rFonts w:ascii="Times New Roman" w:cs="Times New Roman" w:eastAsia="Times New Roman" w:hAnsi="Times New Roman"/>
          <w:sz w:val="18"/>
          <w:szCs w:val="18"/>
          <w:color w:val="auto"/>
        </w:rPr>
        <w:t>Adjusted EBITDA increased to $10.6 million in fiscal 2024 second quarter compared to the prior year second quarter Adjusted EBITDA of $8.6 million, and adjusted EBITDA in the first six months of fiscal 2024 of $12.4 million compared to $13.8 million over the first six months of fiscal 2023.</w:t>
      </w:r>
    </w:p>
    <w:p>
      <w:pPr>
        <w:spacing w:after="0" w:line="136" w:lineRule="exact"/>
        <w:rPr>
          <w:sz w:val="20"/>
          <w:szCs w:val="20"/>
          <w:color w:val="auto"/>
        </w:rPr>
      </w:pPr>
    </w:p>
    <w:p>
      <w:pPr>
        <w:ind w:right="60" w:firstLine="402"/>
        <w:spacing w:after="0" w:line="236" w:lineRule="auto"/>
        <w:rPr>
          <w:sz w:val="20"/>
          <w:szCs w:val="20"/>
          <w:color w:val="auto"/>
        </w:rPr>
      </w:pPr>
      <w:r>
        <w:rPr>
          <w:rFonts w:ascii="Times New Roman" w:cs="Times New Roman" w:eastAsia="Times New Roman" w:hAnsi="Times New Roman"/>
          <w:sz w:val="18"/>
          <w:szCs w:val="18"/>
          <w:color w:val="auto"/>
        </w:rPr>
        <w:t>See the “Reconciliation of Net Loss to EBITDA and EBITDA to Adjusted EBITDA” section for a reconciliation of our net loss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5" w:lineRule="exact"/>
        <w:rPr>
          <w:sz w:val="20"/>
          <w:szCs w:val="20"/>
          <w:color w:val="auto"/>
        </w:rPr>
      </w:pPr>
    </w:p>
    <w:p>
      <w:pPr>
        <w:jc w:val="both"/>
        <w:ind w:right="60" w:firstLine="402"/>
        <w:spacing w:after="0" w:line="242" w:lineRule="auto"/>
        <w:rPr>
          <w:sz w:val="20"/>
          <w:szCs w:val="20"/>
          <w:color w:val="auto"/>
        </w:rPr>
      </w:pPr>
      <w:r>
        <w:rPr>
          <w:rFonts w:ascii="Times New Roman" w:cs="Times New Roman" w:eastAsia="Times New Roman" w:hAnsi="Times New Roman"/>
          <w:sz w:val="18"/>
          <w:szCs w:val="18"/>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and catalog.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w:t>
      </w:r>
    </w:p>
    <w:p>
      <w:pPr>
        <w:spacing w:after="0" w:line="162" w:lineRule="exact"/>
        <w:rPr>
          <w:sz w:val="20"/>
          <w:szCs w:val="20"/>
          <w:color w:val="auto"/>
        </w:rPr>
      </w:pPr>
    </w:p>
    <w:p>
      <w:pPr>
        <w:ind w:right="280" w:firstLine="492"/>
        <w:spacing w:after="0" w:line="242" w:lineRule="auto"/>
        <w:rPr>
          <w:sz w:val="20"/>
          <w:szCs w:val="20"/>
          <w:color w:val="auto"/>
        </w:rPr>
      </w:pPr>
      <w:r>
        <w:rPr>
          <w:rFonts w:ascii="Times New Roman" w:cs="Times New Roman" w:eastAsia="Times New Roman" w:hAnsi="Times New Roman"/>
          <w:sz w:val="18"/>
          <w:szCs w:val="18"/>
          <w:color w:val="auto"/>
        </w:rPr>
        <w:t>The macroeconomic environment is experiencing inflation, recessionary concerns and general uncertainty regarding the future economic environment and therefore we cannot predict the ultimate impact of these economic conditions on our operational and financial performance. Given the uncertainty, we cannot reasonably estimate store traffic patterns and the prolonged impact on overall consumer demand.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5" w:lineRule="exact"/>
        <w:rPr>
          <w:sz w:val="20"/>
          <w:szCs w:val="20"/>
          <w:color w:val="auto"/>
        </w:rPr>
      </w:pPr>
    </w:p>
    <w:p>
      <w:pPr>
        <w:ind w:right="360" w:firstLine="428"/>
        <w:spacing w:after="0" w:line="238"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Direct-to-consumer sales are recognized upon shipment of the product and store sales are recognized at the point of sale.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ind w:right="20" w:firstLine="428"/>
        <w:spacing w:after="0" w:line="233"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Our gross profit may not be comparable to other retailers, as we do not include distribution network and store occupancy expenses in calculating gross profit, but instead we include them in selling, general and administrative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firstLine="428"/>
        <w:spacing w:after="0" w:line="233"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and distribution network expenses. They also include marketing expense, which primarily includes digital and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ind w:right="120" w:firstLine="428"/>
        <w:spacing w:after="0" w:line="236"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4" w:lineRule="exact"/>
        <w:rPr>
          <w:sz w:val="20"/>
          <w:szCs w:val="20"/>
          <w:color w:val="auto"/>
        </w:rPr>
      </w:pPr>
    </w:p>
    <w:p>
      <w:pPr>
        <w:ind w:right="160" w:firstLine="428"/>
        <w:spacing w:after="0" w:line="235" w:lineRule="auto"/>
        <w:rPr>
          <w:sz w:val="20"/>
          <w:szCs w:val="20"/>
          <w:color w:val="auto"/>
        </w:rPr>
      </w:pPr>
      <w:r>
        <w:rPr>
          <w:rFonts w:ascii="Times New Roman" w:cs="Times New Roman" w:eastAsia="Times New Roman" w:hAnsi="Times New Roman"/>
          <w:sz w:val="18"/>
          <w:szCs w:val="18"/>
          <w:color w:val="auto"/>
        </w:rPr>
        <w:t>We define Adjusted EBITDA as consolidated net income before depreciation and amortization, interest expense and provision for income taxes adjusted for the impact of certain items, including non-cash, restructuring expenses and other items we do not consider representative of our ongoing operating performance. We believe Adjusted EBITDA is less susceptible to variances in actual performance resulting from depreciation, amortization and other items. We also use Adjusted EBITDA as one of the key financial metrics in determining bonus compensation for our employees. This non-GAAP measure may not be comparable to similarly titled measures used by other companies.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unaudited consolidated results of operations for the periods indicated, both in dollars and as a percentage of net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2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22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40" w:type="dxa"/>
            <w:vAlign w:val="bottom"/>
          </w:tcPr>
          <w:p>
            <w:pPr>
              <w:spacing w:after="0"/>
              <w:rPr>
                <w:sz w:val="15"/>
                <w:szCs w:val="15"/>
                <w:color w:val="auto"/>
              </w:rPr>
            </w:pPr>
          </w:p>
        </w:tc>
        <w:tc>
          <w:tcPr>
            <w:tcW w:w="15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0" w:type="dxa"/>
            <w:vAlign w:val="bottom"/>
          </w:tcPr>
          <w:p>
            <w:pPr>
              <w:spacing w:after="0"/>
              <w:rPr>
                <w:sz w:val="1"/>
                <w:szCs w:val="1"/>
                <w:color w:val="auto"/>
              </w:rPr>
            </w:pPr>
          </w:p>
        </w:tc>
      </w:tr>
      <w:tr>
        <w:trPr>
          <w:trHeight w:val="200"/>
        </w:trPr>
        <w:tc>
          <w:tcPr>
            <w:tcW w:w="4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141,619</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139,099</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258,303</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262,858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67,623</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67,616</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122,683</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146,881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(3,079)</w:t>
            </w:r>
          </w:p>
        </w:tc>
        <w:tc>
          <w:tcPr>
            <w:tcW w:w="2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3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(3,733)</w:t>
            </w:r>
          </w:p>
        </w:tc>
        <w:tc>
          <w:tcPr>
            <w:tcW w:w="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(2,012)</w:t>
            </w:r>
          </w:p>
        </w:tc>
        <w:tc>
          <w:tcPr>
            <w:tcW w:w="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(11,598)</w:t>
            </w:r>
          </w:p>
        </w:tc>
        <w:tc>
          <w:tcPr>
            <w:tcW w:w="1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right"/>
              <w:ind w:right="20"/>
              <w:spacing w:after="0" w:line="177" w:lineRule="exact"/>
              <w:rPr>
                <w:sz w:val="20"/>
                <w:szCs w:val="20"/>
                <w:color w:val="auto"/>
              </w:rPr>
            </w:pPr>
            <w:r>
              <w:rPr>
                <w:rFonts w:ascii="Times New Roman" w:cs="Times New Roman" w:eastAsia="Times New Roman" w:hAnsi="Times New Roman"/>
                <w:sz w:val="18"/>
                <w:szCs w:val="18"/>
                <w:color w:val="auto"/>
              </w:rPr>
              <w:t>(5,889)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22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(3,744)</w:t>
            </w:r>
          </w:p>
        </w:tc>
        <w:tc>
          <w:tcPr>
            <w:tcW w:w="18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(2,004)</w:t>
            </w:r>
          </w:p>
        </w:tc>
        <w:tc>
          <w:tcPr>
            <w:tcW w:w="18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(11,617)</w:t>
            </w:r>
          </w:p>
        </w:tc>
        <w:tc>
          <w:tcPr>
            <w:tcW w:w="180" w:type="dxa"/>
            <w:vAlign w:val="bottom"/>
          </w:tcPr>
          <w:p>
            <w:pPr>
              <w:spacing w:after="0"/>
              <w:rPr>
                <w:sz w:val="17"/>
                <w:szCs w:val="17"/>
                <w:color w:val="auto"/>
              </w:rPr>
            </w:pPr>
          </w:p>
        </w:tc>
        <w:tc>
          <w:tcPr>
            <w:tcW w:w="240" w:type="dxa"/>
            <w:vAlign w:val="bottom"/>
            <w:tcBorders>
              <w:top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(5,873)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3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spacing w:after="0"/>
              <w:rPr>
                <w:sz w:val="16"/>
                <w:szCs w:val="16"/>
                <w:color w:val="auto"/>
              </w:rPr>
            </w:pPr>
          </w:p>
        </w:tc>
        <w:tc>
          <w:tcPr>
            <w:tcW w:w="148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100.0 %</w:t>
            </w:r>
          </w:p>
        </w:tc>
        <w:tc>
          <w:tcPr>
            <w:tcW w:w="220" w:type="dxa"/>
            <w:vAlign w:val="bottom"/>
          </w:tcPr>
          <w:p>
            <w:pPr>
              <w:spacing w:after="0"/>
              <w:rPr>
                <w:sz w:val="16"/>
                <w:szCs w:val="16"/>
                <w:color w:val="auto"/>
              </w:rPr>
            </w:pPr>
          </w:p>
        </w:tc>
        <w:tc>
          <w:tcPr>
            <w:tcW w:w="148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100.0 %</w:t>
            </w:r>
          </w:p>
        </w:tc>
        <w:tc>
          <w:tcPr>
            <w:tcW w:w="220" w:type="dxa"/>
            <w:vAlign w:val="bottom"/>
          </w:tcPr>
          <w:p>
            <w:pPr>
              <w:spacing w:after="0"/>
              <w:rPr>
                <w:sz w:val="16"/>
                <w:szCs w:val="16"/>
                <w:color w:val="auto"/>
              </w:rPr>
            </w:pPr>
          </w:p>
        </w:tc>
        <w:tc>
          <w:tcPr>
            <w:tcW w:w="148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100.0 %</w:t>
            </w:r>
          </w:p>
        </w:tc>
        <w:tc>
          <w:tcPr>
            <w:tcW w:w="240" w:type="dxa"/>
            <w:vAlign w:val="bottom"/>
          </w:tcPr>
          <w:p>
            <w:pPr>
              <w:spacing w:after="0"/>
              <w:rPr>
                <w:sz w:val="16"/>
                <w:szCs w:val="16"/>
                <w:color w:val="auto"/>
              </w:rPr>
            </w:pPr>
          </w:p>
        </w:tc>
        <w:tc>
          <w:tcPr>
            <w:tcW w:w="1520" w:type="dxa"/>
            <w:vAlign w:val="bottom"/>
            <w:gridSpan w:val="3"/>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4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 (excluding depreciation</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amortization)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0" w:type="dxa"/>
            <w:vAlign w:val="bottom"/>
          </w:tcPr>
          <w:p>
            <w:pPr>
              <w:spacing w:after="0"/>
              <w:rPr>
                <w:sz w:val="1"/>
                <w:szCs w:val="1"/>
                <w:color w:val="auto"/>
              </w:rPr>
            </w:pPr>
          </w:p>
        </w:tc>
      </w:tr>
      <w:tr>
        <w:trPr>
          <w:trHeight w:val="218"/>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0" w:type="dxa"/>
            <w:vAlign w:val="bottom"/>
          </w:tcPr>
          <w:p>
            <w:pPr>
              <w:spacing w:after="0"/>
              <w:rPr>
                <w:sz w:val="1"/>
                <w:szCs w:val="1"/>
                <w:color w:val="auto"/>
              </w:rPr>
            </w:pPr>
          </w:p>
        </w:tc>
      </w:tr>
      <w:tr>
        <w:trPr>
          <w:trHeight w:val="221"/>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5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80" w:type="dxa"/>
            <w:vAlign w:val="bottom"/>
            <w:gridSpan w:val="2"/>
            <w:vMerge w:val="continue"/>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1"/>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80" w:type="dxa"/>
            <w:vAlign w:val="bottom"/>
            <w:gridSpan w:val="2"/>
            <w:vMerge w:val="continue"/>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1"/>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Net loss</w:t>
            </w:r>
          </w:p>
        </w:tc>
        <w:tc>
          <w:tcPr>
            <w:tcW w:w="15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380" w:type="dxa"/>
            <w:vAlign w:val="bottom"/>
            <w:gridSpan w:val="2"/>
            <w:vMerge w:val="continue"/>
          </w:tcPr>
          <w:p>
            <w:pPr>
              <w:spacing w:after="0"/>
              <w:rPr>
                <w:sz w:val="15"/>
                <w:szCs w:val="15"/>
                <w:color w:val="auto"/>
              </w:rPr>
            </w:pPr>
          </w:p>
        </w:tc>
        <w:tc>
          <w:tcPr>
            <w:tcW w:w="170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8"/>
                <w:szCs w:val="18"/>
                <w:color w:val="auto"/>
              </w:rPr>
              <w:t>(2.6)%</w:t>
            </w:r>
          </w:p>
        </w:tc>
        <w:tc>
          <w:tcPr>
            <w:tcW w:w="170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(1.4)%</w:t>
            </w:r>
          </w:p>
        </w:tc>
        <w:tc>
          <w:tcPr>
            <w:tcW w:w="170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8"/>
                <w:szCs w:val="18"/>
                <w:color w:val="auto"/>
              </w:rPr>
              <w:t>(4.5)%</w:t>
            </w:r>
          </w:p>
        </w:tc>
        <w:tc>
          <w:tcPr>
            <w:tcW w:w="1680" w:type="dxa"/>
            <w:vAlign w:val="bottom"/>
            <w:gridSpan w:val="4"/>
          </w:tcPr>
          <w:p>
            <w:pPr>
              <w:jc w:val="right"/>
              <w:spacing w:after="0" w:line="177"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89"/>
        </w:trPr>
        <w:tc>
          <w:tcPr>
            <w:tcW w:w="43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right="4640"/>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Three Months Ended July 28, 2024, Compared to Three Months Ended July 30, 2023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ind w:right="40" w:firstLine="428"/>
        <w:spacing w:after="0" w:line="266" w:lineRule="auto"/>
        <w:rPr>
          <w:sz w:val="20"/>
          <w:szCs w:val="20"/>
          <w:color w:val="auto"/>
        </w:rPr>
      </w:pPr>
      <w:r>
        <w:rPr>
          <w:rFonts w:ascii="Times New Roman" w:cs="Times New Roman" w:eastAsia="Times New Roman" w:hAnsi="Times New Roman"/>
          <w:sz w:val="18"/>
          <w:szCs w:val="18"/>
          <w:color w:val="auto"/>
        </w:rPr>
        <w:t>Net sales increased $2.5 million, or 1.8%, to $141.6 million in the three months ended July 28, 2024 compared to $139.1 million in the three months ended July 30, 2023. The increase in net sales was primarily driven by higher site conversion compared to the prior year.</w:t>
      </w:r>
    </w:p>
    <w:p>
      <w:pPr>
        <w:spacing w:after="0" w:line="108" w:lineRule="exact"/>
        <w:rPr>
          <w:sz w:val="20"/>
          <w:szCs w:val="20"/>
          <w:color w:val="auto"/>
        </w:rPr>
      </w:pPr>
    </w:p>
    <w:p>
      <w:pPr>
        <w:ind w:firstLine="428"/>
        <w:spacing w:after="0" w:line="242" w:lineRule="auto"/>
        <w:rPr>
          <w:sz w:val="20"/>
          <w:szCs w:val="20"/>
          <w:color w:val="auto"/>
        </w:rPr>
      </w:pPr>
      <w:r>
        <w:rPr>
          <w:rFonts w:ascii="Times New Roman" w:cs="Times New Roman" w:eastAsia="Times New Roman" w:hAnsi="Times New Roman"/>
          <w:sz w:val="18"/>
          <w:szCs w:val="18"/>
          <w:color w:val="auto"/>
        </w:rPr>
        <w:t>Store market net sales increased $0.4 million, or 0.5%, to $98.0 million in the three months ended July 28, 2024 compared to $97.6 million in the three months ended July 30, 2023. Non-store market net sales increased by $1.5 million, or 3.9%, to $42.1 million in the three months ended July 28, 2024 compared to $40.6 million in the three months ended July 30,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7"/>
          <w:szCs w:val="17"/>
          <w:color w:val="auto"/>
        </w:rPr>
        <w:t>Gross profit increased $2.5 million, or 3.5%, to $74.0 million in the three months ended July 28, 2024 compared to $71.5 million in the three months ended July 30, 2023. As a percentage of net sales, gross margin increased to 52.3% of net sales in the three months ended July 28, 2024, compared to 51.4% of net sales in the three months ended July 30, 2023. The increase in gross margin percentage was primarily driven by our sourcing initiative.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jc w:val="both"/>
        <w:ind w:right="100" w:firstLine="428"/>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increased $3.4 million, or 4.6%, to $76.3 million in the three months ended July 28, 2024 compared to $72.9 million in the three months ended July 30, 2023. Selling, general and administrative expenses as a percentage of net sales increased to 53.9% in the three months ended July 28, 2024, compared to 52.4% in the three months ended July 30, 2023.</w:t>
      </w:r>
    </w:p>
    <w:p>
      <w:pPr>
        <w:spacing w:after="0" w:line="130" w:lineRule="exact"/>
        <w:rPr>
          <w:sz w:val="20"/>
          <w:szCs w:val="20"/>
          <w:color w:val="auto"/>
        </w:rPr>
      </w:pPr>
    </w:p>
    <w:p>
      <w:pPr>
        <w:ind w:right="140" w:firstLine="428"/>
        <w:spacing w:after="0" w:line="266"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included a $2.4 million non-recurring estimated sales tax expense. Excluding this non-recurring expense, selling, general and administrative expenses increased $1.0 million to $73.9 million, representing 52.2% of net sales.</w:t>
      </w:r>
    </w:p>
    <w:p>
      <w:pPr>
        <w:spacing w:after="0" w:line="108" w:lineRule="exact"/>
        <w:rPr>
          <w:sz w:val="20"/>
          <w:szCs w:val="20"/>
          <w:color w:val="auto"/>
        </w:rPr>
      </w:pPr>
    </w:p>
    <w:p>
      <w:pPr>
        <w:ind w:right="40" w:firstLine="428"/>
        <w:spacing w:after="0" w:line="266" w:lineRule="auto"/>
        <w:rPr>
          <w:sz w:val="20"/>
          <w:szCs w:val="20"/>
          <w:color w:val="auto"/>
        </w:rPr>
      </w:pPr>
      <w:r>
        <w:rPr>
          <w:rFonts w:ascii="Times New Roman" w:cs="Times New Roman" w:eastAsia="Times New Roman" w:hAnsi="Times New Roman"/>
          <w:sz w:val="18"/>
          <w:szCs w:val="18"/>
          <w:color w:val="auto"/>
        </w:rPr>
        <w:t>The decrease in selling, general and administrative expense as a percentage of net sales, excluding the aforementioned non-recurring estimated sales tax expense accrual, was mainly driven by efficiencies across logistics and the fulfillment center network.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right="280" w:firstLine="428"/>
        <w:spacing w:after="0" w:line="242" w:lineRule="auto"/>
        <w:rPr>
          <w:sz w:val="20"/>
          <w:szCs w:val="20"/>
          <w:color w:val="auto"/>
        </w:rPr>
      </w:pPr>
      <w:r>
        <w:rPr>
          <w:rFonts w:ascii="Times New Roman" w:cs="Times New Roman" w:eastAsia="Times New Roman" w:hAnsi="Times New Roman"/>
          <w:sz w:val="18"/>
          <w:szCs w:val="18"/>
          <w:color w:val="auto"/>
        </w:rPr>
        <w:t>Income tax benefit was $1.0 million in the three months ended July 28, 2024, compared to income tax benefit of $0.2 million in the three months ended July 30, 2023. The effective tax rate related to controlling interest for the three months ended July 28, 2024 and July 30, 2023 was 21% and 9%,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Controlling Interest</w:t>
      </w:r>
    </w:p>
    <w:p>
      <w:pPr>
        <w:spacing w:after="0" w:line="162" w:lineRule="exact"/>
        <w:rPr>
          <w:sz w:val="20"/>
          <w:szCs w:val="20"/>
          <w:color w:val="auto"/>
        </w:rPr>
      </w:pPr>
    </w:p>
    <w:p>
      <w:pPr>
        <w:jc w:val="both"/>
        <w:ind w:right="140" w:firstLine="648"/>
        <w:spacing w:after="0" w:line="237" w:lineRule="auto"/>
        <w:rPr>
          <w:sz w:val="20"/>
          <w:szCs w:val="20"/>
          <w:color w:val="auto"/>
        </w:rPr>
      </w:pPr>
      <w:r>
        <w:rPr>
          <w:rFonts w:ascii="Times New Roman" w:cs="Times New Roman" w:eastAsia="Times New Roman" w:hAnsi="Times New Roman"/>
          <w:sz w:val="18"/>
          <w:szCs w:val="18"/>
          <w:color w:val="auto"/>
        </w:rPr>
        <w:t>Net loss attributable to controlling interest was $3.7 million, in the three months ended July 28, 2024 compared to net loss of $2.0 million in the three months ended July 30, 2023. In addition to the factors addressed above, the aforementioned $1.6 million in restructuring expense contributed to the net loss in the current period.</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70"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20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Six Months Ended July 30, 2023 Compared to Six Months Ended July 31, 2022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ind w:right="380" w:firstLine="428"/>
        <w:spacing w:after="0" w:line="250" w:lineRule="auto"/>
        <w:rPr>
          <w:sz w:val="20"/>
          <w:szCs w:val="20"/>
          <w:color w:val="auto"/>
        </w:rPr>
      </w:pPr>
      <w:r>
        <w:rPr>
          <w:rFonts w:ascii="Times New Roman" w:cs="Times New Roman" w:eastAsia="Times New Roman" w:hAnsi="Times New Roman"/>
          <w:sz w:val="18"/>
          <w:szCs w:val="18"/>
          <w:color w:val="auto"/>
        </w:rPr>
        <w:t>Net sales decreased $4.6 million, or 1.7%, to $258.3 million in the six months ended July 28, 2024 compared to $262.9 million in the six months ended July 30, 2023.</w:t>
      </w:r>
    </w:p>
    <w:p>
      <w:pPr>
        <w:spacing w:after="0" w:line="136" w:lineRule="exact"/>
        <w:rPr>
          <w:sz w:val="20"/>
          <w:szCs w:val="20"/>
          <w:color w:val="auto"/>
        </w:rPr>
      </w:pPr>
    </w:p>
    <w:p>
      <w:pPr>
        <w:ind w:right="20" w:firstLine="428"/>
        <w:spacing w:after="0" w:line="242" w:lineRule="auto"/>
        <w:rPr>
          <w:sz w:val="20"/>
          <w:szCs w:val="20"/>
          <w:color w:val="auto"/>
        </w:rPr>
      </w:pPr>
      <w:r>
        <w:rPr>
          <w:rFonts w:ascii="Times New Roman" w:cs="Times New Roman" w:eastAsia="Times New Roman" w:hAnsi="Times New Roman"/>
          <w:sz w:val="18"/>
          <w:szCs w:val="18"/>
          <w:color w:val="auto"/>
        </w:rPr>
        <w:t>Store market net sales decreased $6.9 million, or 3.8%, to $176.1 million in the six months ended July 28, 2024 compared to $183.0 million in the six months ended July 30, 2023. The decrease was driven by slower store traffic compared to the prior year. Non-store market net sales decreased by $2.3 million, or 3.0%, to $75.7 million in the six months ended July 28, 2024 compared to $78.0 million in the six months ended July 30,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Gross profit decreased $1.5 million, or 1.1%, to $135.6 million in the six months ended July 28, 2024 compared to $137.1 million in the six months ended July 30, 2023. As a percentage of net sales, gross margin increased to 52.5% of net sales in the six months ended July 28, 2024, compared to 52.2% of net sales in the six months ended July 30, 2023.</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increase in gross margin rate was primarily driven by our sourcing initiatives.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jc w:val="both"/>
        <w:ind w:right="240" w:firstLine="428"/>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increased $3.8 million, or 2.6%, to $146.9 million in the six months ended July 28, 2024 compared to $143.1 million in the six months ended July 30, 2023. Selling, general and administrative expenses as a percentage of net sales increased to 56.9% in the six months ended July 28, 2024, compared to 54.4% in the six months ended July 30, 2023.</w:t>
      </w:r>
    </w:p>
    <w:p>
      <w:pPr>
        <w:spacing w:after="0" w:line="143" w:lineRule="exact"/>
        <w:rPr>
          <w:sz w:val="20"/>
          <w:szCs w:val="20"/>
          <w:color w:val="auto"/>
        </w:rPr>
      </w:pPr>
    </w:p>
    <w:p>
      <w:pPr>
        <w:ind w:right="220" w:firstLine="428"/>
        <w:spacing w:after="0" w:line="250"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included a $2.4 million non-recurring estimated sales tax expense. Excluding this non-recurring expense, selling, general and administrative expenses increased $1.4 million to $144.5 million, representing 55.9% of net sales.</w:t>
      </w:r>
    </w:p>
    <w:p>
      <w:pPr>
        <w:spacing w:after="0" w:line="136" w:lineRule="exact"/>
        <w:rPr>
          <w:sz w:val="20"/>
          <w:szCs w:val="20"/>
          <w:color w:val="auto"/>
        </w:rPr>
      </w:pPr>
    </w:p>
    <w:p>
      <w:pPr>
        <w:ind w:right="160" w:firstLine="428"/>
        <w:spacing w:after="0" w:line="250" w:lineRule="auto"/>
        <w:rPr>
          <w:sz w:val="20"/>
          <w:szCs w:val="20"/>
          <w:color w:val="auto"/>
        </w:rPr>
      </w:pPr>
      <w:r>
        <w:rPr>
          <w:rFonts w:ascii="Times New Roman" w:cs="Times New Roman" w:eastAsia="Times New Roman" w:hAnsi="Times New Roman"/>
          <w:sz w:val="18"/>
          <w:szCs w:val="18"/>
          <w:color w:val="auto"/>
        </w:rPr>
        <w:t>The increase in selling, general and administrative expense as a percentage of net sales, excluding the aforementioned non-recurring estimated sales tax expense accrual, was primarily due to higher fixed costs and depreciation from foundational strategic investments.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200" w:firstLine="428"/>
        <w:spacing w:after="0" w:line="236" w:lineRule="auto"/>
        <w:rPr>
          <w:sz w:val="20"/>
          <w:szCs w:val="20"/>
          <w:color w:val="auto"/>
        </w:rPr>
      </w:pPr>
      <w:r>
        <w:rPr>
          <w:rFonts w:ascii="Times New Roman" w:cs="Times New Roman" w:eastAsia="Times New Roman" w:hAnsi="Times New Roman"/>
          <w:sz w:val="18"/>
          <w:szCs w:val="18"/>
          <w:color w:val="auto"/>
        </w:rPr>
        <w:t>Income tax benefit was $3.1 million in the six months ended July 28, 2024, compared to income tax benefit of $1.7 million in the six months ended July 30, 2023. The effective tax rate related to controlling interest was 21% for the six months ended July 28, 2024 compared to 22% for the six months ended July 30,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Controlling Interest</w:t>
      </w:r>
    </w:p>
    <w:p>
      <w:pPr>
        <w:spacing w:after="0" w:line="175" w:lineRule="exact"/>
        <w:rPr>
          <w:sz w:val="20"/>
          <w:szCs w:val="20"/>
          <w:color w:val="auto"/>
        </w:rPr>
      </w:pPr>
    </w:p>
    <w:p>
      <w:pPr>
        <w:jc w:val="both"/>
        <w:ind w:right="160"/>
        <w:spacing w:after="0" w:line="242" w:lineRule="auto"/>
        <w:rPr>
          <w:sz w:val="20"/>
          <w:szCs w:val="20"/>
          <w:color w:val="auto"/>
        </w:rPr>
      </w:pPr>
      <w:r>
        <w:rPr>
          <w:rFonts w:ascii="Times New Roman" w:cs="Times New Roman" w:eastAsia="Times New Roman" w:hAnsi="Times New Roman"/>
          <w:sz w:val="18"/>
          <w:szCs w:val="18"/>
          <w:color w:val="auto"/>
        </w:rPr>
        <w:t>Net loss attributable to controlling interest was $11.6 million in the six months ended July 28, 2024 compared to net loss of $5.9 million in the six months ended July 30, 2023. In addition to the factors addressed above, the aforementioned $1.6 million in restructuring expense contributed to the net loss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EBITDA and EBITDA to Adjusted EBITDA</w:t>
      </w:r>
    </w:p>
    <w:p>
      <w:pPr>
        <w:spacing w:after="0" w:line="162" w:lineRule="exact"/>
        <w:rPr>
          <w:sz w:val="20"/>
          <w:szCs w:val="20"/>
          <w:color w:val="auto"/>
        </w:rPr>
      </w:pPr>
    </w:p>
    <w:p>
      <w:pPr>
        <w:ind w:right="120" w:firstLine="428"/>
        <w:spacing w:after="0" w:line="238" w:lineRule="auto"/>
        <w:rPr>
          <w:sz w:val="20"/>
          <w:szCs w:val="20"/>
          <w:color w:val="auto"/>
        </w:rPr>
      </w:pPr>
      <w:r>
        <w:rPr>
          <w:rFonts w:ascii="Times New Roman" w:cs="Times New Roman" w:eastAsia="Times New Roman" w:hAnsi="Times New Roman"/>
          <w:sz w:val="18"/>
          <w:szCs w:val="18"/>
          <w:color w:val="auto"/>
        </w:rPr>
        <w:t>The following table presents reconciliations of net loss to EBITDA and EBITDA to Adjusted EBITDA, both of which are non-U.S. GAAP financial measures, for the periods indicated below. See the above section titled “How We Assess the Performance of Our Business,” for our definition of Adjusted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64" w:lineRule="exact"/>
        <w:rPr>
          <w:sz w:val="20"/>
          <w:szCs w:val="20"/>
          <w:color w:val="auto"/>
        </w:rPr>
      </w:pPr>
    </w:p>
    <w:tbl>
      <w:tblPr>
        <w:tblLayout w:type="fixed"/>
        <w:tblInd w:w="4680" w:type="dxa"/>
        <w:tblCellMar>
          <w:top w:w="0" w:type="dxa"/>
          <w:left w:w="0" w:type="dxa"/>
          <w:bottom w:w="0" w:type="dxa"/>
          <w:right w:w="0" w:type="dxa"/>
        </w:tblCellMar>
      </w:tblPr>
      <w:tr>
        <w:trPr>
          <w:trHeight w:val="187"/>
        </w:trPr>
        <w:tc>
          <w:tcPr>
            <w:tcW w:w="322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31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1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180" w:type="dxa"/>
            <w:vAlign w:val="bottom"/>
          </w:tcPr>
          <w:p>
            <w:pPr>
              <w:spacing w:after="0"/>
              <w:rPr>
                <w:sz w:val="17"/>
                <w:szCs w:val="17"/>
                <w:color w:val="auto"/>
              </w:rPr>
            </w:pPr>
          </w:p>
        </w:tc>
        <w:tc>
          <w:tcPr>
            <w:tcW w:w="1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July 30, 2023</w:t>
            </w:r>
          </w:p>
        </w:tc>
        <w:tc>
          <w:tcPr>
            <w:tcW w:w="180" w:type="dxa"/>
            <w:vAlign w:val="bottom"/>
          </w:tcPr>
          <w:p>
            <w:pPr>
              <w:spacing w:after="0"/>
              <w:rPr>
                <w:sz w:val="17"/>
                <w:szCs w:val="17"/>
                <w:color w:val="auto"/>
              </w:rPr>
            </w:pPr>
          </w:p>
        </w:tc>
        <w:tc>
          <w:tcPr>
            <w:tcW w:w="1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160" w:type="dxa"/>
            <w:vAlign w:val="bottom"/>
          </w:tcPr>
          <w:p>
            <w:pPr>
              <w:spacing w:after="0"/>
              <w:rPr>
                <w:sz w:val="17"/>
                <w:szCs w:val="17"/>
                <w:color w:val="auto"/>
              </w:rPr>
            </w:pPr>
          </w:p>
        </w:tc>
        <w:tc>
          <w:tcPr>
            <w:tcW w:w="1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July 30, 2023</w:t>
            </w:r>
          </w:p>
        </w:tc>
      </w:tr>
    </w:tbl>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07"/>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(3,733)</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(2,012)</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(11,598)</w:t>
            </w:r>
          </w:p>
        </w:tc>
        <w:tc>
          <w:tcPr>
            <w:tcW w:w="52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r>
      <w:tr>
        <w:trPr>
          <w:trHeight w:val="216"/>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14,868</w:t>
            </w:r>
          </w:p>
        </w:tc>
      </w:tr>
      <w:tr>
        <w:trPr>
          <w:trHeight w:val="216"/>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internal-use software hosting</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subscription implementation costs</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r>
      <w:tr>
        <w:trPr>
          <w:trHeight w:val="216"/>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21"/>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5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(996)</w:t>
            </w:r>
          </w:p>
        </w:tc>
        <w:tc>
          <w:tcPr>
            <w:tcW w:w="5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w:t>
            </w:r>
          </w:p>
        </w:tc>
        <w:tc>
          <w:tcPr>
            <w:tcW w:w="5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191"/>
        </w:trPr>
        <w:tc>
          <w:tcPr>
            <w:tcW w:w="46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EBITDA</w:t>
            </w:r>
          </w:p>
        </w:tc>
        <w:tc>
          <w:tcPr>
            <w:tcW w:w="520" w:type="dxa"/>
            <w:vAlign w:val="bottom"/>
            <w:tcBorders>
              <w:top w:val="single" w:sz="8" w:color="auto"/>
            </w:tcBorders>
          </w:tcPr>
          <w:p>
            <w:pPr>
              <w:jc w:val="right"/>
              <w:ind w:right="3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5,597</w:t>
            </w:r>
          </w:p>
        </w:tc>
        <w:tc>
          <w:tcPr>
            <w:tcW w:w="180" w:type="dxa"/>
            <w:vAlign w:val="bottom"/>
          </w:tcPr>
          <w:p>
            <w:pPr>
              <w:spacing w:after="0"/>
              <w:rPr>
                <w:sz w:val="16"/>
                <w:szCs w:val="16"/>
                <w:color w:val="auto"/>
              </w:rPr>
            </w:pPr>
          </w:p>
        </w:tc>
        <w:tc>
          <w:tcPr>
            <w:tcW w:w="540" w:type="dxa"/>
            <w:vAlign w:val="bottom"/>
            <w:tcBorders>
              <w:top w:val="single" w:sz="8" w:color="auto"/>
            </w:tcBorders>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7,271</w:t>
            </w:r>
          </w:p>
        </w:tc>
        <w:tc>
          <w:tcPr>
            <w:tcW w:w="180" w:type="dxa"/>
            <w:vAlign w:val="bottom"/>
          </w:tcPr>
          <w:p>
            <w:pPr>
              <w:spacing w:after="0"/>
              <w:rPr>
                <w:sz w:val="16"/>
                <w:szCs w:val="16"/>
                <w:color w:val="auto"/>
              </w:rPr>
            </w:pPr>
          </w:p>
        </w:tc>
        <w:tc>
          <w:tcPr>
            <w:tcW w:w="500" w:type="dxa"/>
            <w:vAlign w:val="bottom"/>
            <w:tcBorders>
              <w:top w:val="single" w:sz="8" w:color="auto"/>
            </w:tcBorders>
          </w:tcPr>
          <w:p>
            <w:pPr>
              <w:jc w:val="right"/>
              <w:ind w:right="3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6,063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top w:val="single" w:sz="8" w:color="auto"/>
            </w:tcBorders>
          </w:tcPr>
          <w:p>
            <w:pPr>
              <w:jc w:val="right"/>
              <w:ind w:right="3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11,553</w:t>
            </w:r>
          </w:p>
        </w:tc>
      </w:tr>
      <w:tr>
        <w:trPr>
          <w:trHeight w:val="216"/>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16"/>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Restructuring expense</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Sales tax expense accrual</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3"/>
        </w:trPr>
        <w:tc>
          <w:tcPr>
            <w:tcW w:w="46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Adjusted EBITDA</w:t>
            </w:r>
          </w:p>
        </w:tc>
        <w:tc>
          <w:tcPr>
            <w:tcW w:w="520" w:type="dxa"/>
            <w:vAlign w:val="bottom"/>
            <w:tcBorders>
              <w:top w:val="single" w:sz="8" w:color="auto"/>
              <w:bottom w:val="single" w:sz="8" w:color="auto"/>
            </w:tcBorders>
          </w:tcPr>
          <w:p>
            <w:pPr>
              <w:jc w:val="right"/>
              <w:ind w:right="3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10,610</w:t>
            </w:r>
          </w:p>
        </w:tc>
        <w:tc>
          <w:tcPr>
            <w:tcW w:w="1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8,565</w:t>
            </w:r>
          </w:p>
        </w:tc>
        <w:tc>
          <w:tcPr>
            <w:tcW w:w="18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12,448</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3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13,837</w:t>
            </w:r>
          </w:p>
        </w:tc>
      </w:tr>
      <w:tr>
        <w:trPr>
          <w:trHeight w:val="20"/>
        </w:trPr>
        <w:tc>
          <w:tcPr>
            <w:tcW w:w="1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20" w:firstLine="428"/>
        <w:spacing w:after="0" w:line="242"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increased $2.0 million to $10.6 million in the three months ended July 28, 2024 compared to $8.6 million in the three months ended July 30, 2023. As a percentage of net sales, Adjusted EBITDA increased to 7.5% of net sales in the three months July 28, 2024 compared to 6.2% of net sales in the three months ended July 30, 2023.</w:t>
      </w:r>
    </w:p>
    <w:p>
      <w:pPr>
        <w:spacing w:after="0" w:line="143" w:lineRule="exact"/>
        <w:rPr>
          <w:sz w:val="20"/>
          <w:szCs w:val="20"/>
          <w:color w:val="auto"/>
        </w:rPr>
      </w:pPr>
    </w:p>
    <w:p>
      <w:pPr>
        <w:jc w:val="both"/>
        <w:ind w:firstLine="428"/>
        <w:spacing w:after="0" w:line="242"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$1.4 million to $12.4 million in the six months ended July 28, 2024 compared to $13.8 million in the six months ended July 30, 2023. As a percentage of net sales, Adjusted EBITDA decreased to 4.8% of net sales in the six months July 28, 2024 compared to 5.3% of net sales in the six months ended July 30, 2023.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ind w:right="140" w:firstLine="428"/>
        <w:spacing w:after="0" w:line="236" w:lineRule="auto"/>
        <w:rPr>
          <w:sz w:val="20"/>
          <w:szCs w:val="20"/>
          <w:color w:val="auto"/>
        </w:rPr>
      </w:pPr>
      <w:r>
        <w:rPr>
          <w:rFonts w:ascii="Times New Roman" w:cs="Times New Roman" w:eastAsia="Times New Roman" w:hAnsi="Times New Roman"/>
          <w:sz w:val="18"/>
          <w:szCs w:val="18"/>
          <w:color w:val="auto"/>
        </w:rPr>
        <w:t>Our business relies on cash from operating activities and a credit facility as our primary sources of liquidity. Our primary cash needs have been for inventory, marketing and advertising, payroll, store leases, and capital expenditures associated with infrastructure and information technology. The most significant components of our working capital are cash, inventory, accounts payable and other current liabilities. At July 28, 2024, our net working capital was $79.8 million, including $9.8 million of cash and cash equivalents.</w:t>
      </w:r>
    </w:p>
    <w:p>
      <w:pPr>
        <w:spacing w:after="0" w:line="144" w:lineRule="exact"/>
        <w:rPr>
          <w:sz w:val="20"/>
          <w:szCs w:val="20"/>
          <w:color w:val="auto"/>
        </w:rPr>
      </w:pPr>
    </w:p>
    <w:p>
      <w:pPr>
        <w:ind w:right="60" w:firstLine="428"/>
        <w:spacing w:after="0" w:line="236" w:lineRule="auto"/>
        <w:rPr>
          <w:sz w:val="20"/>
          <w:szCs w:val="20"/>
          <w:color w:val="auto"/>
        </w:rPr>
      </w:pPr>
      <w:r>
        <w:rPr>
          <w:rFonts w:ascii="Times New Roman" w:cs="Times New Roman" w:eastAsia="Times New Roman" w:hAnsi="Times New Roman"/>
          <w:sz w:val="18"/>
          <w:szCs w:val="18"/>
          <w:color w:val="auto"/>
        </w:rPr>
        <w:t>We expect to spend approximately $25.0 million in fiscal 2024 on capital expenditures, inclusive of software hosting implementation costs, primarily due to investments in logistics optimization, including investments in the fulfillment network and information technology. Due to the seasonality of our business, a significant amount of cash from operating activities is generated during the fourth quarter of our fiscal year. We also use cash in our investing activities for capital expenditures throughout all four quarters of our fiscal year.</w:t>
      </w:r>
    </w:p>
    <w:p>
      <w:pPr>
        <w:spacing w:after="0" w:line="144" w:lineRule="exact"/>
        <w:rPr>
          <w:sz w:val="20"/>
          <w:szCs w:val="20"/>
          <w:color w:val="auto"/>
        </w:rPr>
      </w:pPr>
    </w:p>
    <w:p>
      <w:pPr>
        <w:ind w:right="60" w:firstLine="428"/>
        <w:spacing w:after="0" w:line="250" w:lineRule="auto"/>
        <w:rPr>
          <w:sz w:val="20"/>
          <w:szCs w:val="20"/>
          <w:color w:val="auto"/>
        </w:rPr>
      </w:pPr>
      <w:r>
        <w:rPr>
          <w:rFonts w:ascii="Times New Roman" w:cs="Times New Roman" w:eastAsia="Times New Roman" w:hAnsi="Times New Roman"/>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7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July 30, 2023</w:t>
            </w:r>
          </w:p>
        </w:tc>
      </w:tr>
      <w:tr>
        <w:trPr>
          <w:trHeight w:val="254"/>
        </w:trPr>
        <w:tc>
          <w:tcPr>
            <w:tcW w:w="7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35"/>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(17,052)</w:t>
            </w:r>
          </w:p>
        </w:tc>
        <w:tc>
          <w:tcPr>
            <w:tcW w:w="50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0" w:type="dxa"/>
            <w:vAlign w:val="bottom"/>
          </w:tcPr>
          <w:p>
            <w:pPr>
              <w:spacing w:after="0"/>
              <w:rPr>
                <w:sz w:val="20"/>
                <w:szCs w:val="20"/>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(3,086)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(31,395)</w:t>
            </w:r>
          </w:p>
        </w:tc>
      </w:tr>
      <w:tr>
        <w:trPr>
          <w:trHeight w:val="221"/>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Pr>
          <w:p>
            <w:pPr>
              <w:spacing w:after="0"/>
              <w:rPr>
                <w:sz w:val="19"/>
                <w:szCs w:val="19"/>
                <w:color w:val="auto"/>
              </w:rPr>
            </w:pP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(2,232)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0" w:type="dxa"/>
            <w:vAlign w:val="bottom"/>
          </w:tcPr>
          <w:p>
            <w:pPr>
              <w:spacing w:after="0"/>
              <w:rPr>
                <w:sz w:val="19"/>
                <w:szCs w:val="19"/>
                <w:color w:val="auto"/>
              </w:rPr>
            </w:pPr>
          </w:p>
        </w:tc>
      </w:tr>
      <w:tr>
        <w:trPr>
          <w:trHeight w:val="196"/>
        </w:trPr>
        <w:tc>
          <w:tcPr>
            <w:tcW w:w="7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Decrease in cash and cash equivalents</w:t>
            </w: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(22,370)</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(34,400)</w:t>
            </w:r>
          </w:p>
        </w:tc>
        <w:tc>
          <w:tcPr>
            <w:tcW w:w="20" w:type="dxa"/>
            <w:vAlign w:val="bottom"/>
            <w:tcBorders>
              <w:bottom w:val="single" w:sz="8" w:color="auto"/>
            </w:tcBorders>
          </w:tcPr>
          <w:p>
            <w:pPr>
              <w:spacing w:after="0"/>
              <w:rPr>
                <w:sz w:val="17"/>
                <w:szCs w:val="17"/>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62" w:lineRule="exact"/>
        <w:rPr>
          <w:sz w:val="20"/>
          <w:szCs w:val="20"/>
          <w:color w:val="auto"/>
        </w:rPr>
      </w:pPr>
    </w:p>
    <w:p>
      <w:pPr>
        <w:jc w:val="both"/>
        <w:ind w:firstLine="428"/>
        <w:spacing w:after="0" w:line="266"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include depreciation and amortization, stock-based compensation and the effect of changes in operating assets and liabilities.</w:t>
      </w:r>
    </w:p>
    <w:p>
      <w:pPr>
        <w:spacing w:after="0" w:line="108" w:lineRule="exact"/>
        <w:rPr>
          <w:sz w:val="20"/>
          <w:szCs w:val="20"/>
          <w:color w:val="auto"/>
        </w:rPr>
      </w:pPr>
    </w:p>
    <w:p>
      <w:pPr>
        <w:jc w:val="both"/>
        <w:ind w:right="120" w:firstLine="428"/>
        <w:spacing w:after="0" w:line="237" w:lineRule="auto"/>
        <w:rPr>
          <w:sz w:val="20"/>
          <w:szCs w:val="20"/>
          <w:color w:val="auto"/>
        </w:rPr>
      </w:pPr>
      <w:r>
        <w:rPr>
          <w:rFonts w:ascii="Times New Roman" w:cs="Times New Roman" w:eastAsia="Times New Roman" w:hAnsi="Times New Roman"/>
          <w:sz w:val="18"/>
          <w:szCs w:val="18"/>
          <w:color w:val="auto"/>
        </w:rPr>
        <w:t>For the six months ended July 28, 2024, net cash used in operating activities was $17.1 million, which primarily consisted of cash used in operating assets and liabilities of $20.9 million and an $11.6 million net loss for the six months ended July 28, 2024 partially offset by depreciation of $16.3 million. The cash used in operating assets and liabilities of $20.9 million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primarily due to a $43.0 million increase in inventory, partially offset by a $26.6 million increase in trade accounts payable.</w:t>
      </w:r>
    </w:p>
    <w:p>
      <w:pPr>
        <w:spacing w:after="0" w:line="171" w:lineRule="exact"/>
        <w:rPr>
          <w:sz w:val="20"/>
          <w:szCs w:val="20"/>
          <w:color w:val="auto"/>
        </w:rPr>
      </w:pPr>
    </w:p>
    <w:p>
      <w:pPr>
        <w:ind w:right="200" w:firstLine="428"/>
        <w:spacing w:after="0" w:line="236" w:lineRule="auto"/>
        <w:rPr>
          <w:sz w:val="20"/>
          <w:szCs w:val="20"/>
          <w:color w:val="auto"/>
        </w:rPr>
      </w:pPr>
      <w:r>
        <w:rPr>
          <w:rFonts w:ascii="Times New Roman" w:cs="Times New Roman" w:eastAsia="Times New Roman" w:hAnsi="Times New Roman"/>
          <w:sz w:val="18"/>
          <w:szCs w:val="18"/>
          <w:color w:val="auto"/>
        </w:rPr>
        <w:t>For the six months ended July 30, 2023, net cash used in operating activities was $1.2 million, which primarily consisted of cash used in operating assets and liabilities of $11.0 million and a $5.9 million net loss for the six months ended July 30, 2023 offset by depreciation of $14.9 million. The cash used in operating assets and liabilities of $11.0 million was primarily due to a $7.3 million decrease in accrued expenses and $2.2 million increase in inventory.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Investing activities consist primarily of capital expenditures for growth related to investments in infrastructure and information technology.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six months ended July 28, 2024 and July 30, 2023, net cash used in investing activities was $3.1 million and $31.4 million,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Used in Financing Activities</w:t>
      </w:r>
    </w:p>
    <w:p>
      <w:pPr>
        <w:spacing w:after="0" w:line="175" w:lineRule="exact"/>
        <w:rPr>
          <w:sz w:val="20"/>
          <w:szCs w:val="20"/>
          <w:color w:val="auto"/>
        </w:rPr>
      </w:pPr>
    </w:p>
    <w:p>
      <w:pPr>
        <w:ind w:right="600" w:firstLine="428"/>
        <w:spacing w:after="0" w:line="250"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as well as payments on finance lease obligations.</w:t>
      </w:r>
    </w:p>
    <w:p>
      <w:pPr>
        <w:spacing w:after="0" w:line="136" w:lineRule="exact"/>
        <w:rPr>
          <w:sz w:val="20"/>
          <w:szCs w:val="20"/>
          <w:color w:val="auto"/>
        </w:rPr>
      </w:pPr>
    </w:p>
    <w:p>
      <w:pPr>
        <w:ind w:right="1800" w:firstLine="428"/>
        <w:spacing w:after="0" w:line="430" w:lineRule="auto"/>
        <w:rPr>
          <w:sz w:val="20"/>
          <w:szCs w:val="20"/>
          <w:color w:val="auto"/>
        </w:rPr>
      </w:pPr>
      <w:r>
        <w:rPr>
          <w:rFonts w:ascii="Times New Roman" w:cs="Times New Roman" w:eastAsia="Times New Roman" w:hAnsi="Times New Roman"/>
          <w:sz w:val="18"/>
          <w:szCs w:val="18"/>
          <w:color w:val="auto"/>
        </w:rPr>
        <w:t xml:space="preserve">For the six months ended July 28, 2024, net cash used in financing activities was $2.2 million and $1.8 million, respectively. </w:t>
      </w:r>
      <w:r>
        <w:rPr>
          <w:rFonts w:ascii="Times New Roman" w:cs="Times New Roman" w:eastAsia="Times New Roman" w:hAnsi="Times New Roman"/>
          <w:sz w:val="18"/>
          <w:szCs w:val="18"/>
          <w:b w:val="1"/>
          <w:bCs w:val="1"/>
          <w:color w:val="auto"/>
        </w:rPr>
        <w:t>Contractual Obligations</w:t>
      </w:r>
    </w:p>
    <w:p>
      <w:pPr>
        <w:spacing w:after="0" w:line="1" w:lineRule="exact"/>
        <w:rPr>
          <w:sz w:val="20"/>
          <w:szCs w:val="20"/>
          <w:color w:val="auto"/>
        </w:rPr>
      </w:pPr>
    </w:p>
    <w:p>
      <w:pPr>
        <w:ind w:right="400" w:firstLine="428"/>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as described in our Annual Report on Form 10-K for the fiscal year ended January 28,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Critical Accounting Estimates</w:t>
      </w:r>
    </w:p>
    <w:p>
      <w:pPr>
        <w:spacing w:after="0" w:line="162" w:lineRule="exact"/>
        <w:rPr>
          <w:sz w:val="20"/>
          <w:szCs w:val="20"/>
          <w:color w:val="auto"/>
        </w:rPr>
      </w:pPr>
    </w:p>
    <w:p>
      <w:pPr>
        <w:ind w:right="240" w:firstLine="428"/>
        <w:spacing w:after="0" w:line="23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date of this filing, there were no significant changes to any of the critical accounting policies and estimates described in our 2023 Form 10-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ind w:right="360" w:firstLine="428"/>
        <w:spacing w:after="0" w:line="266" w:lineRule="auto"/>
        <w:rPr>
          <w:sz w:val="20"/>
          <w:szCs w:val="20"/>
          <w:color w:val="auto"/>
        </w:rPr>
      </w:pPr>
      <w:r>
        <w:rPr>
          <w:rFonts w:ascii="Times New Roman" w:cs="Times New Roman" w:eastAsia="Times New Roman" w:hAnsi="Times New Roman"/>
          <w:sz w:val="18"/>
          <w:szCs w:val="18"/>
          <w:color w:val="auto"/>
        </w:rPr>
        <w:t>See Note 14 “Recent Accounting Pronouncements,” of Notes to Condensed Consolidated Financial Statements included in Part 1, Item 1, of this quarterly report on Form 10-Q for information regarding recent accounting pronouncements.</w:t>
      </w:r>
    </w:p>
    <w:p>
      <w:pPr>
        <w:spacing w:after="0" w:line="1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There have been no significant changes in the market risks described in our 2023 Form 10-K. See Note 3 “Debt and Credit Agreement,” of Notes to Condensed Consolidated Financial Statements included in Part 1, Item 1, of this quarterly report on Form 10-Q, for disclosure on our interest rate related to borrowings under our credit agreement.</w:t>
      </w:r>
    </w:p>
    <w:p>
      <w:pPr>
        <w:spacing w:after="0" w:line="12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firstLine="428"/>
        <w:spacing w:after="0" w:line="228" w:lineRule="auto"/>
        <w:rPr>
          <w:sz w:val="20"/>
          <w:szCs w:val="20"/>
          <w:color w:val="auto"/>
        </w:rPr>
      </w:pPr>
      <w:r>
        <w:rPr>
          <w:rFonts w:ascii="Times New Roman" w:cs="Times New Roman" w:eastAsia="Times New Roman" w:hAnsi="Times New Roman"/>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1"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Executive Officer and Chief Financial Officer have concluded that, as of such date, our disclosure controls and procedures were not effective over certain financial reporting areas due to the material weakness in our internal control over financial reporting described below. Management has performed additional analysis and other procedures to ensure that our condensed financial statements are prepared in accordance with accounting principles generally accepted in the United States of America (“U.S. GAAP”) and has concluded that, notwithstanding the material weakness in our internal control over financial reporting, the condensed consolidated financial statements for the period covered by and included in this Quarterly Report on Form 10-Q fairly present, in all material respects, our financial position, results of operations and cash flows for the periods presented in conformity with U.S. GAAP.</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w:t>
      </w:r>
    </w:p>
    <w:p>
      <w:pPr>
        <w:spacing w:after="0" w:line="16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As disclosed in the section titled “Evaluation of Disclosure Controls and Procedures” in Item 9A of the Company’s 2023 Annual Report on Form 10-K, we previously identified control deficiencies in the implementation of our internal control over financial reporting that constituted a material weakness.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31" w:lineRule="exact"/>
        <w:rPr>
          <w:sz w:val="20"/>
          <w:szCs w:val="20"/>
          <w:color w:val="auto"/>
        </w:rPr>
      </w:pPr>
    </w:p>
    <w:p>
      <w:pPr>
        <w:jc w:val="both"/>
        <w:ind w:right="260"/>
        <w:spacing w:after="0" w:line="242" w:lineRule="auto"/>
        <w:rPr>
          <w:sz w:val="20"/>
          <w:szCs w:val="20"/>
          <w:color w:val="auto"/>
        </w:rPr>
      </w:pPr>
      <w:r>
        <w:rPr>
          <w:rFonts w:ascii="Times New Roman" w:cs="Times New Roman" w:eastAsia="Times New Roman" w:hAnsi="Times New Roman"/>
          <w:sz w:val="18"/>
          <w:szCs w:val="18"/>
          <w:color w:val="auto"/>
        </w:rPr>
        <w:t>The material weakness identified in our internal control over financial reporting related to control deficiencies in effective risk assessment related to the mapping of general ledger accounts to the consolidated financial statements resulting in manual controls in the financial reporting process that were not designed to sufficiently mitigate the risk of incorrect presentation of certain general ledger accounts in the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Plans</w:t>
      </w:r>
    </w:p>
    <w:p>
      <w:pPr>
        <w:spacing w:after="0" w:line="175"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18"/>
          <w:szCs w:val="18"/>
          <w:color w:val="auto"/>
        </w:rPr>
        <w:t>Management has simplified the process related to the mapping of general ledger accounts to the consolidated financial statements and performed a thorough risk assessment of the updated process to identify all risk points and design and implemented new process-level controls to mitigate the risk of incorrect presentation of general ledger accounts in the consolidated financial statements. However, the material weakness cannot be considered fully remediated until the applicable controls operate for a sufficient period of time and management has concluded, through testing, that these controls are operating effectively.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60" w:firstLine="428"/>
        <w:spacing w:after="0" w:line="236" w:lineRule="auto"/>
        <w:rPr>
          <w:sz w:val="20"/>
          <w:szCs w:val="20"/>
          <w:color w:val="auto"/>
        </w:rPr>
      </w:pPr>
      <w:r>
        <w:rPr>
          <w:rFonts w:ascii="Times New Roman" w:cs="Times New Roman" w:eastAsia="Times New Roman" w:hAnsi="Times New Roman"/>
          <w:sz w:val="18"/>
          <w:szCs w:val="18"/>
          <w:color w:val="auto"/>
        </w:rPr>
        <w:t>We are taking the appropriate actions to remediate the material weakness relating to our internal control over financial reporting, as described above. Except as otherwise described herein, 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ind w:right="160" w:firstLine="428"/>
        <w:spacing w:after="0" w:line="236"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2023 Form 10-K, or other SEC filings. There have been no material changes to our risk factors as previously disclosed in our fiscal 2023 Annual Report on Form 10-K.</w:t>
      </w:r>
    </w:p>
    <w:p>
      <w:pPr>
        <w:spacing w:after="0" w:line="1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sell any equity securities during the quarter ended July 28, 2024, which were not registered under the Securities Act.</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right="600" w:firstLine="492"/>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of shares acquired from employees in lieu of amounts required to satisfy minimum tax withholding requirements upon the vesting of the employees’ restricted stock during the three months ended July 28,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purchased</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yet to be</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99"/>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plans or programs</w:t>
            </w:r>
          </w:p>
        </w:tc>
      </w:tr>
      <w:tr>
        <w:trPr>
          <w:trHeight w:val="218"/>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29, 2024 - May 26, 2024</w:t>
            </w:r>
          </w:p>
        </w:tc>
        <w:tc>
          <w:tcPr>
            <w:tcW w:w="2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105,986</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Pr>
          <w:p>
            <w:pPr>
              <w:spacing w:after="0"/>
              <w:rPr>
                <w:sz w:val="18"/>
                <w:szCs w:val="18"/>
                <w:color w:val="auto"/>
              </w:rPr>
            </w:pPr>
          </w:p>
        </w:tc>
        <w:tc>
          <w:tcPr>
            <w:tcW w:w="2000" w:type="dxa"/>
            <w:vAlign w:val="bottom"/>
            <w:tcBorders>
              <w:top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27, 2024 - June 30,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 2024 - July 28,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105,986</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Pr>
          <w:p>
            <w:pPr>
              <w:spacing w:after="0"/>
              <w:rPr>
                <w:sz w:val="19"/>
                <w:szCs w:val="19"/>
                <w:color w:val="auto"/>
              </w:rPr>
            </w:pPr>
          </w:p>
        </w:tc>
        <w:tc>
          <w:tcPr>
            <w:tcW w:w="2000" w:type="dxa"/>
            <w:vAlign w:val="bottom"/>
            <w:tcBorders>
              <w:top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w:t>
            </w:r>
          </w:p>
        </w:tc>
      </w:tr>
    </w:tbl>
    <w:p>
      <w:pPr>
        <w:spacing w:after="0" w:line="1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5" w:lineRule="exact"/>
        <w:rPr>
          <w:sz w:val="20"/>
          <w:szCs w:val="20"/>
          <w:color w:val="auto"/>
        </w:rPr>
      </w:pPr>
    </w:p>
    <w:p>
      <w:pPr>
        <w:ind w:right="400" w:firstLine="648"/>
        <w:spacing w:after="0" w:line="250" w:lineRule="auto"/>
        <w:rPr>
          <w:sz w:val="20"/>
          <w:szCs w:val="20"/>
          <w:color w:val="auto"/>
        </w:rPr>
      </w:pPr>
      <w:r>
        <w:rPr>
          <w:rFonts w:ascii="Times New Roman" w:cs="Times New Roman" w:eastAsia="Times New Roman" w:hAnsi="Times New Roman"/>
          <w:sz w:val="18"/>
          <w:szCs w:val="18"/>
          <w:color w:val="auto"/>
        </w:rPr>
        <w:t>During the three months ended July 28, 2024, no director or Section 16 officer of the Company adopted or terminated a “Rule 10b5-1 trading arrangement” or “non-Rule 10b5-1 trading arrangement,” as each term is defined in Item 408(a) of Regulation S-K.</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6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20" w:type="dxa"/>
            <w:vAlign w:val="bottom"/>
            <w:gridSpan w:val="6"/>
          </w:tcPr>
          <w:p>
            <w:pPr>
              <w:ind w:left="32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6"/>
        </w:trPr>
        <w:tc>
          <w:tcPr>
            <w:tcW w:w="11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 No.</w:t>
            </w:r>
          </w:p>
        </w:tc>
        <w:tc>
          <w:tcPr>
            <w:tcW w:w="0" w:type="dxa"/>
            <w:vAlign w:val="bottom"/>
          </w:tcPr>
          <w:p>
            <w:pPr>
              <w:spacing w:after="0"/>
              <w:rPr>
                <w:sz w:val="1"/>
                <w:szCs w:val="1"/>
                <w:color w:val="auto"/>
              </w:rPr>
            </w:pPr>
          </w:p>
        </w:tc>
      </w:tr>
      <w:tr>
        <w:trPr>
          <w:trHeight w:val="194"/>
        </w:trPr>
        <w:tc>
          <w:tcPr>
            <w:tcW w:w="7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16"/>
                <w:szCs w:val="16"/>
                <w:color w:val="auto"/>
              </w:rPr>
            </w:pPr>
          </w:p>
        </w:tc>
        <w:tc>
          <w:tcPr>
            <w:tcW w:w="9880" w:type="dxa"/>
            <w:vAlign w:val="bottom"/>
            <w:tcBorders>
              <w:bottom w:val="single" w:sz="8" w:color="0000FF"/>
            </w:tcBorders>
            <w:gridSpan w:val="7"/>
          </w:tcPr>
          <w:p>
            <w:pPr>
              <w:spacing w:after="0" w:line="194"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 xml:space="preserve">Duluth Holdings Inc. </w:t>
              </w:r>
              <w:r>
                <w:rPr>
                  <w:rFonts w:ascii="Times New Roman" w:cs="Times New Roman" w:eastAsia="Times New Roman" w:hAnsi="Times New Roman"/>
                  <w:sz w:val="16"/>
                  <w:szCs w:val="16"/>
                  <w:color w:val="0000FF"/>
                </w:rPr>
                <w:t>2024 Equity Incentive Plan, incorporated by reference to Appendix A to the Proxy Statement on Schedule 14A filed on April 5,</w:t>
              </w:r>
            </w:hyperlink>
          </w:p>
        </w:tc>
        <w:tc>
          <w:tcPr>
            <w:tcW w:w="0" w:type="dxa"/>
            <w:vAlign w:val="bottom"/>
          </w:tcPr>
          <w:p>
            <w:pPr>
              <w:spacing w:after="0"/>
              <w:rPr>
                <w:sz w:val="1"/>
                <w:szCs w:val="1"/>
                <w:color w:val="auto"/>
              </w:rPr>
            </w:pPr>
          </w:p>
        </w:tc>
      </w:tr>
      <w:tr>
        <w:trPr>
          <w:trHeight w:val="183"/>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gridSpan w:val="2"/>
          </w:tcPr>
          <w:p>
            <w:pPr>
              <w:ind w:left="580"/>
              <w:spacing w:after="0" w:line="183" w:lineRule="exact"/>
              <w:rPr>
                <w:rFonts w:ascii="Times New Roman" w:cs="Times New Roman" w:eastAsia="Times New Roman" w:hAnsi="Times New Roman"/>
                <w:sz w:val="16"/>
                <w:szCs w:val="16"/>
                <w:color w:val="0000FF"/>
                <w:w w:val="94"/>
              </w:rPr>
            </w:pPr>
            <w:hyperlink r:id="rId45">
              <w:r>
                <w:rPr>
                  <w:rFonts w:ascii="Times New Roman" w:cs="Times New Roman" w:eastAsia="Times New Roman" w:hAnsi="Times New Roman"/>
                  <w:sz w:val="16"/>
                  <w:szCs w:val="16"/>
                  <w:color w:val="0000FF"/>
                  <w:w w:val="94"/>
                </w:rPr>
                <w:t>2024.</w:t>
              </w:r>
            </w:hyperlink>
          </w:p>
        </w:tc>
        <w:tc>
          <w:tcPr>
            <w:tcW w:w="952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0000FF"/>
              </w:rPr>
              <w:t>of Restricted Stock Agreement for executives under the 2024 Equity Incentive Plan.</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155"/>
        </w:trPr>
        <w:tc>
          <w:tcPr>
            <w:tcW w:w="7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Borders>
              <w:top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7"/>
              </w:rPr>
              <w:t>Form</w:t>
            </w:r>
          </w:p>
        </w:tc>
        <w:tc>
          <w:tcPr>
            <w:tcW w:w="95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10.3</w:t>
            </w:r>
          </w:p>
        </w:tc>
        <w:tc>
          <w:tcPr>
            <w:tcW w:w="580" w:type="dxa"/>
            <w:vAlign w:val="bottom"/>
          </w:tcPr>
          <w:p>
            <w:pPr>
              <w:spacing w:after="0"/>
              <w:rPr>
                <w:sz w:val="14"/>
                <w:szCs w:val="14"/>
                <w:color w:val="auto"/>
              </w:rPr>
            </w:pPr>
          </w:p>
        </w:tc>
        <w:tc>
          <w:tcPr>
            <w:tcW w:w="5840" w:type="dxa"/>
            <w:vAlign w:val="bottom"/>
            <w:tcBorders>
              <w:top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6"/>
                <w:szCs w:val="16"/>
                <w:color w:val="0000FF"/>
              </w:rPr>
              <w:t>Form of Restricted Stock Agreement for non-employee directors under the 2024 Equity</w:t>
            </w:r>
          </w:p>
        </w:tc>
        <w:tc>
          <w:tcPr>
            <w:tcW w:w="4040" w:type="dxa"/>
            <w:vAlign w:val="bottom"/>
            <w:gridSpan w:val="5"/>
          </w:tcPr>
          <w:p>
            <w:pPr>
              <w:spacing w:after="0" w:line="149" w:lineRule="exact"/>
              <w:rPr>
                <w:sz w:val="20"/>
                <w:szCs w:val="20"/>
                <w:color w:val="auto"/>
              </w:rPr>
            </w:pPr>
            <w:r>
              <w:rPr>
                <w:rFonts w:ascii="Times New Roman" w:cs="Times New Roman" w:eastAsia="Times New Roman" w:hAnsi="Times New Roman"/>
                <w:sz w:val="16"/>
                <w:szCs w:val="16"/>
                <w:color w:val="0000FF"/>
              </w:rPr>
              <w:t>Incentive Plan.</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31.1</w:t>
            </w:r>
          </w:p>
        </w:tc>
        <w:tc>
          <w:tcPr>
            <w:tcW w:w="580" w:type="dxa"/>
            <w:vAlign w:val="bottom"/>
          </w:tcPr>
          <w:p>
            <w:pPr>
              <w:spacing w:after="0"/>
              <w:rPr>
                <w:sz w:val="14"/>
                <w:szCs w:val="14"/>
                <w:color w:val="auto"/>
              </w:rPr>
            </w:pPr>
          </w:p>
        </w:tc>
        <w:tc>
          <w:tcPr>
            <w:tcW w:w="6700" w:type="dxa"/>
            <w:vAlign w:val="bottom"/>
            <w:tcBorders>
              <w:top w:val="single" w:sz="8" w:color="0000FF"/>
            </w:tcBorders>
            <w:gridSpan w:val="3"/>
          </w:tcPr>
          <w:p>
            <w:pPr>
              <w:spacing w:after="0" w:line="155" w:lineRule="exact"/>
              <w:rPr>
                <w:sz w:val="20"/>
                <w:szCs w:val="20"/>
                <w:color w:val="auto"/>
              </w:rPr>
            </w:pPr>
            <w:r>
              <w:rPr>
                <w:rFonts w:ascii="Times New Roman" w:cs="Times New Roman" w:eastAsia="Times New Roman" w:hAnsi="Times New Roman"/>
                <w:sz w:val="16"/>
                <w:szCs w:val="16"/>
                <w:color w:val="0000FF"/>
                <w:w w:val="99"/>
              </w:rPr>
              <w:t>Certification of Chief Executive Officer pursuant to Rule 13a-14(a) and Rule 15d-14(a) of the Securities</w:t>
            </w:r>
          </w:p>
        </w:tc>
        <w:tc>
          <w:tcPr>
            <w:tcW w:w="318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6"/>
                <w:szCs w:val="16"/>
                <w:color w:val="0000FF"/>
              </w:rPr>
              <w:t>and Exchange Act, as amended.</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31.2</w:t>
            </w:r>
          </w:p>
        </w:tc>
        <w:tc>
          <w:tcPr>
            <w:tcW w:w="580" w:type="dxa"/>
            <w:vAlign w:val="bottom"/>
          </w:tcPr>
          <w:p>
            <w:pPr>
              <w:spacing w:after="0"/>
              <w:rPr>
                <w:sz w:val="14"/>
                <w:szCs w:val="14"/>
                <w:color w:val="auto"/>
              </w:rPr>
            </w:pPr>
          </w:p>
        </w:tc>
        <w:tc>
          <w:tcPr>
            <w:tcW w:w="8860" w:type="dxa"/>
            <w:vAlign w:val="bottom"/>
            <w:tcBorders>
              <w:top w:val="single" w:sz="8" w:color="0000FF"/>
            </w:tcBorders>
            <w:gridSpan w:val="4"/>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Financial Officer pursuant to Rule 13a-14(a) and Rule 15d-14(a) of the Securities and Exchange Act of 1934, as</w:t>
            </w: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6"/>
                <w:szCs w:val="16"/>
                <w:color w:val="0000FF"/>
              </w:rPr>
              <w:t>amended.</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line="20" w:lineRule="exact"/>
              <w:rPr>
                <w:sz w:val="1"/>
                <w:szCs w:val="1"/>
                <w:color w:val="auto"/>
              </w:rPr>
            </w:pPr>
          </w:p>
        </w:tc>
        <w:tc>
          <w:tcPr>
            <w:tcW w:w="936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880" w:type="dxa"/>
            <w:vAlign w:val="bottom"/>
            <w:gridSpan w:val="7"/>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Times New Roman" w:cs="Times New Roman" w:eastAsia="Times New Roman" w:hAnsi="Times New Roman"/>
                <w:sz w:val="18"/>
                <w:szCs w:val="18"/>
                <w:color w:val="auto"/>
              </w:rPr>
              <w:t>32.2</w:t>
            </w:r>
          </w:p>
        </w:tc>
        <w:tc>
          <w:tcPr>
            <w:tcW w:w="580" w:type="dxa"/>
            <w:vAlign w:val="bottom"/>
          </w:tcPr>
          <w:p>
            <w:pPr>
              <w:spacing w:after="0" w:line="20" w:lineRule="exact"/>
              <w:rPr>
                <w:sz w:val="1"/>
                <w:szCs w:val="1"/>
                <w:color w:val="auto"/>
              </w:rPr>
            </w:pPr>
          </w:p>
        </w:tc>
        <w:tc>
          <w:tcPr>
            <w:tcW w:w="9620" w:type="dxa"/>
            <w:vAlign w:val="bottom"/>
            <w:tcBorders>
              <w:right w:val="single" w:sz="8" w:color="0000EE"/>
            </w:tcBorders>
            <w:gridSpan w:val="6"/>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880" w:type="dxa"/>
            <w:vAlign w:val="bottom"/>
            <w:gridSpan w:val="7"/>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178"/>
        </w:trPr>
        <w:tc>
          <w:tcPr>
            <w:tcW w:w="7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101.INS</w:t>
            </w:r>
          </w:p>
        </w:tc>
        <w:tc>
          <w:tcPr>
            <w:tcW w:w="580" w:type="dxa"/>
            <w:vAlign w:val="bottom"/>
          </w:tcPr>
          <w:p>
            <w:pPr>
              <w:spacing w:after="0"/>
              <w:rPr>
                <w:sz w:val="15"/>
                <w:szCs w:val="15"/>
                <w:color w:val="auto"/>
              </w:rPr>
            </w:pPr>
          </w:p>
        </w:tc>
        <w:tc>
          <w:tcPr>
            <w:tcW w:w="9620" w:type="dxa"/>
            <w:vAlign w:val="bottom"/>
            <w:tcBorders>
              <w:top w:val="single" w:sz="8" w:color="0000FF"/>
            </w:tcBorders>
            <w:gridSpan w:val="6"/>
          </w:tcPr>
          <w:p>
            <w:pPr>
              <w:spacing w:after="0" w:line="178" w:lineRule="exact"/>
              <w:rPr>
                <w:sz w:val="20"/>
                <w:szCs w:val="20"/>
                <w:color w:val="auto"/>
              </w:rPr>
            </w:pPr>
            <w:r>
              <w:rPr>
                <w:rFonts w:ascii="Times New Roman" w:cs="Times New Roman" w:eastAsia="Times New Roman" w:hAnsi="Times New Roman"/>
                <w:sz w:val="16"/>
                <w:szCs w:val="16"/>
                <w:color w:val="auto"/>
              </w:rPr>
              <w:t>XBRL Instance Document**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580" w:type="dxa"/>
            <w:vAlign w:val="bottom"/>
          </w:tcPr>
          <w:p>
            <w:pPr>
              <w:spacing w:after="0"/>
              <w:rPr>
                <w:sz w:val="16"/>
                <w:szCs w:val="16"/>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580" w:type="dxa"/>
            <w:vAlign w:val="bottom"/>
          </w:tcPr>
          <w:p>
            <w:pPr>
              <w:spacing w:after="0"/>
              <w:rPr>
                <w:sz w:val="16"/>
                <w:szCs w:val="16"/>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580" w:type="dxa"/>
            <w:vAlign w:val="bottom"/>
          </w:tcPr>
          <w:p>
            <w:pPr>
              <w:spacing w:after="0"/>
              <w:rPr>
                <w:sz w:val="16"/>
                <w:szCs w:val="16"/>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Definition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580" w:type="dxa"/>
            <w:vAlign w:val="bottom"/>
          </w:tcPr>
          <w:p>
            <w:pPr>
              <w:spacing w:after="0"/>
              <w:rPr>
                <w:sz w:val="16"/>
                <w:szCs w:val="16"/>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80" w:type="dxa"/>
            <w:vAlign w:val="bottom"/>
          </w:tcPr>
          <w:p>
            <w:pPr>
              <w:spacing w:after="0"/>
              <w:rPr>
                <w:sz w:val="18"/>
                <w:szCs w:val="18"/>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bl>
    <w:p>
      <w:pPr>
        <w:ind w:left="1280" w:right="280" w:hanging="1272"/>
        <w:spacing w:after="0" w:line="243"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July 28, 2024 has been formatted in Inline XBRL (Inline Extensible Business Reporting Language and contained in Exhibits 101).</w:t>
      </w:r>
    </w:p>
    <w:p>
      <w:pPr>
        <w:sectPr>
          <w:pgSz w:w="11900" w:h="16838" w:orient="portrait"/>
          <w:cols w:equalWidth="0" w:num="1">
            <w:col w:w="11160"/>
          </w:cols>
          <w:pgMar w:left="320" w:top="28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ectPr>
          <w:pgSz w:w="11900" w:h="16838" w:orient="portrait"/>
          <w:cols w:equalWidth="0" w:num="2">
            <w:col w:w="860" w:space="720"/>
            <w:col w:w="9580"/>
          </w:cols>
          <w:pgMar w:left="320" w:top="283" w:right="41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300"/>
        <w:spacing w:after="0" w:line="263" w:lineRule="auto"/>
        <w:rPr>
          <w:sz w:val="20"/>
          <w:szCs w:val="20"/>
          <w:color w:val="auto"/>
        </w:rPr>
      </w:pPr>
      <w:r>
        <w:rPr>
          <w:rFonts w:ascii="Times New Roman" w:cs="Times New Roman" w:eastAsia="Times New Roman" w:hAnsi="Times New Roman"/>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ectPr>
          <w:pgSz w:w="11900" w:h="16838" w:orient="portrait"/>
          <w:cols w:equalWidth="0" w:num="2">
            <w:col w:w="860" w:space="720"/>
            <w:col w:w="9580"/>
          </w:cols>
          <w:pgMar w:left="320" w:top="283" w:right="41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30, 2024</w:t>
      </w:r>
    </w:p>
    <w:p>
      <w:pPr>
        <w:spacing w:after="0" w:line="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DULUTH HOLDINGS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35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 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11430</wp:posOffset>
            </wp:positionV>
            <wp:extent cx="40716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Heena Agrawal</w:t>
      </w:r>
    </w:p>
    <w:p>
      <w:pPr>
        <w:ind w:left="482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Senior Vice President, Chief Financial Officer</w:t>
      </w: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(On behalf of the Registrant and as Principal Financial Officer)</w:t>
      </w:r>
    </w:p>
    <w:p>
      <w:pPr>
        <w:spacing w:after="0" w:line="200" w:lineRule="exact"/>
        <w:rPr>
          <w:sz w:val="20"/>
          <w:szCs w:val="20"/>
          <w:color w:val="auto"/>
        </w:rPr>
      </w:pPr>
    </w:p>
    <w:p>
      <w:pPr>
        <w:spacing w:after="0" w:line="31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11430</wp:posOffset>
            </wp:positionV>
            <wp:extent cx="40716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18"/>
          <w:szCs w:val="18"/>
          <w:b w:val="1"/>
          <w:bCs w:val="1"/>
          <w:color w:val="auto"/>
        </w:rPr>
        <w:t>Michael Murphy</w:t>
      </w:r>
    </w:p>
    <w:p>
      <w:pPr>
        <w:ind w:left="482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Vice President, Chief Accounting Officer and Treasury</w:t>
      </w: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(On behalf of the Registrant and as Principal Accounting Officer)</w:t>
      </w:r>
    </w:p>
    <w:p>
      <w:pPr>
        <w:spacing w:after="0" w:line="34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00"/>
          </w:cols>
          <w:pgMar w:left="320" w:top="283" w:right="879" w:bottom="1440" w:gutter="0" w:footer="0" w:header="0"/>
        </w:sectPr>
      </w:pPr>
    </w:p>
    <w:bookmarkStart w:id="32" w:name="page33"/>
    <w:bookmarkEnd w:id="32"/>
    <w:p>
      <w:pPr>
        <w:jc w:val="right"/>
        <w:ind w:right="199"/>
        <w:spacing w:after="0"/>
        <w:rPr>
          <w:sz w:val="20"/>
          <w:szCs w:val="20"/>
          <w:color w:val="auto"/>
        </w:rPr>
      </w:pPr>
      <w:r>
        <w:rPr>
          <w:rFonts w:ascii="Calibri" w:cs="Calibri" w:eastAsia="Calibri" w:hAnsi="Calibri"/>
          <w:sz w:val="22"/>
          <w:szCs w:val="22"/>
          <w:b w:val="1"/>
          <w:bCs w:val="1"/>
          <w:color w:val="auto"/>
        </w:rPr>
        <w:t>Exhibit 10.2</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DULUTH HOLDINGS INC.</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RESTRICTED STOCK AGREEMENT</w:t>
      </w: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This Restricted Stock Agreement (this “Agreement”) is executed as of</w:t>
      </w:r>
    </w:p>
    <w:p>
      <w:pPr>
        <w:ind w:left="180"/>
        <w:spacing w:after="0" w:line="204" w:lineRule="auto"/>
        <w:rPr>
          <w:sz w:val="20"/>
          <w:szCs w:val="20"/>
          <w:color w:val="auto"/>
        </w:rPr>
      </w:pPr>
      <w:r>
        <w:rPr>
          <w:rFonts w:ascii="Times New Roman" w:cs="Times New Roman" w:eastAsia="Times New Roman" w:hAnsi="Times New Roman"/>
          <w:sz w:val="22"/>
          <w:szCs w:val="22"/>
          <w:color w:val="auto"/>
        </w:rPr>
        <w:t>_____________________ by and between Duluth Holdings Inc., a Wisconsin corporation (the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“Company”), and _______________ (the “Director”).</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 I T N E S S E T H:</w:t>
      </w:r>
    </w:p>
    <w:p>
      <w:pPr>
        <w:ind w:left="180" w:right="559" w:firstLine="648"/>
        <w:spacing w:after="0" w:line="218" w:lineRule="auto"/>
        <w:rPr>
          <w:sz w:val="20"/>
          <w:szCs w:val="20"/>
          <w:color w:val="auto"/>
        </w:rPr>
      </w:pPr>
      <w:r>
        <w:rPr>
          <w:rFonts w:ascii="Times New Roman" w:cs="Times New Roman" w:eastAsia="Times New Roman" w:hAnsi="Times New Roman"/>
          <w:sz w:val="22"/>
          <w:szCs w:val="22"/>
          <w:color w:val="auto"/>
        </w:rPr>
        <w:t>WHEREAS the Board of Directors of the Company has established the 2024 Equity Incentive Plan of Duluth Holdings Inc. (the “Plan”) with the approval of the shareholders of the Company;</w:t>
      </w:r>
    </w:p>
    <w:p>
      <w:pPr>
        <w:spacing w:after="0" w:line="151" w:lineRule="exact"/>
        <w:rPr>
          <w:sz w:val="20"/>
          <w:szCs w:val="20"/>
          <w:color w:val="auto"/>
        </w:rPr>
      </w:pPr>
    </w:p>
    <w:p>
      <w:pPr>
        <w:jc w:val="both"/>
        <w:ind w:left="180" w:right="499" w:firstLine="648"/>
        <w:spacing w:after="0" w:line="225" w:lineRule="auto"/>
        <w:rPr>
          <w:sz w:val="20"/>
          <w:szCs w:val="20"/>
          <w:color w:val="auto"/>
        </w:rPr>
      </w:pPr>
      <w:r>
        <w:rPr>
          <w:rFonts w:ascii="Times New Roman" w:cs="Times New Roman" w:eastAsia="Times New Roman" w:hAnsi="Times New Roman"/>
          <w:sz w:val="22"/>
          <w:szCs w:val="22"/>
          <w:color w:val="auto"/>
        </w:rPr>
        <w:t>WHEREAS, the Company has adopted the Outside Director Compensation Policy for its non-employee directors effective for service for periods beginning on or after January 29, 2024 pursuant to which the Director is entitled to receive Restricted Stock under the Plan; and</w:t>
      </w:r>
    </w:p>
    <w:p>
      <w:pPr>
        <w:spacing w:after="0" w:line="153" w:lineRule="exact"/>
        <w:rPr>
          <w:sz w:val="20"/>
          <w:szCs w:val="20"/>
          <w:color w:val="auto"/>
        </w:rPr>
      </w:pPr>
    </w:p>
    <w:p>
      <w:pPr>
        <w:jc w:val="both"/>
        <w:ind w:left="180" w:right="499" w:firstLine="648"/>
        <w:spacing w:after="0" w:line="236" w:lineRule="auto"/>
        <w:rPr>
          <w:sz w:val="20"/>
          <w:szCs w:val="20"/>
          <w:color w:val="auto"/>
        </w:rPr>
      </w:pPr>
      <w:r>
        <w:rPr>
          <w:rFonts w:ascii="Times New Roman" w:cs="Times New Roman" w:eastAsia="Times New Roman" w:hAnsi="Times New Roman"/>
          <w:sz w:val="22"/>
          <w:szCs w:val="22"/>
          <w:color w:val="auto"/>
        </w:rPr>
        <w:t>WHEREAS, the Director has been granted Restricted Stock under the Plan subject to the terms provided in this Agreement and the Plan.</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NOW, THEREFORE, the Company and the Director hereby agree as follows: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Provisions of Plan Control</w:t>
      </w:r>
    </w:p>
    <w:p>
      <w:pPr>
        <w:spacing w:after="0" w:line="1" w:lineRule="exact"/>
        <w:rPr>
          <w:sz w:val="20"/>
          <w:szCs w:val="20"/>
          <w:color w:val="auto"/>
        </w:rPr>
      </w:pPr>
    </w:p>
    <w:p>
      <w:pPr>
        <w:ind w:left="180" w:right="199" w:firstLine="652"/>
        <w:spacing w:after="0" w:line="221" w:lineRule="auto"/>
        <w:tabs>
          <w:tab w:leader="none" w:pos="98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governed by the provisions of the Plan, the terms and conditions of which are incorporated herein by reference. The Plan empowers the Committee to make interpretations, rules and regulations thereunder, and, in general, provides that determinations of such Committee with respect to the Plan shall be binding upon the Director. Unless otherwise provided herein, all capitalized terms in this Agreement shall have the meanings ascribed to them in the Plan. A copy of the Plan will be delivered to the Director upon reasonable request.</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Terms of Award</w:t>
      </w:r>
    </w:p>
    <w:p>
      <w:pPr>
        <w:spacing w:after="0" w:line="1" w:lineRule="exact"/>
        <w:rPr>
          <w:sz w:val="20"/>
          <w:szCs w:val="20"/>
          <w:color w:val="auto"/>
        </w:rPr>
      </w:pPr>
    </w:p>
    <w:p>
      <w:pPr>
        <w:ind w:left="180" w:right="199" w:firstLine="652"/>
        <w:spacing w:after="0" w:line="204" w:lineRule="auto"/>
        <w:tabs>
          <w:tab w:leader="none" w:pos="98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Director has been granted _____________ shares of Restricted Stock under the Plan. The Committee has determined that the Period of Restriction, for one hundred percent of such shares (______________ shares), shall end on the earlier of (i) ______________, the first anniversary of the date of grant of the Restricted Stock, or (ii) the date of the annual meeting for the Company’s _______ annual meeting of shareholders. The Director shall forfeit all Restricted Stock if his or her service with the Company ends prior the expiration of the Period of</w:t>
      </w:r>
    </w:p>
    <w:p>
      <w:pPr>
        <w:spacing w:after="0" w:line="5" w:lineRule="exact"/>
        <w:rPr>
          <w:rFonts w:ascii="Times New Roman" w:cs="Times New Roman" w:eastAsia="Times New Roman" w:hAnsi="Times New Roman"/>
          <w:sz w:val="22"/>
          <w:szCs w:val="22"/>
          <w:color w:val="auto"/>
        </w:rPr>
      </w:pPr>
    </w:p>
    <w:p>
      <w:pPr>
        <w:ind w:left="180" w:right="359"/>
        <w:spacing w:after="0" w:line="22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Restriction. Notwithstanding the foregoing, if the Director’s service with the Company ends prior to the expiration of the Period of Restriction due to his or her death or Disability, all restrictions applicable to any Restricted Stock granted under this Agreement shall immediately lapse.</w:t>
      </w:r>
    </w:p>
    <w:p>
      <w:pPr>
        <w:spacing w:after="0" w:line="152" w:lineRule="exact"/>
        <w:rPr>
          <w:sz w:val="20"/>
          <w:szCs w:val="20"/>
          <w:color w:val="auto"/>
        </w:rPr>
      </w:pPr>
    </w:p>
    <w:p>
      <w:pPr>
        <w:ind w:left="180" w:right="199" w:firstLine="648"/>
        <w:spacing w:after="0" w:line="225" w:lineRule="auto"/>
        <w:rPr>
          <w:sz w:val="20"/>
          <w:szCs w:val="20"/>
          <w:color w:val="auto"/>
        </w:rPr>
      </w:pPr>
      <w:r>
        <w:rPr>
          <w:rFonts w:ascii="Times New Roman" w:cs="Times New Roman" w:eastAsia="Times New Roman" w:hAnsi="Times New Roman"/>
          <w:sz w:val="22"/>
          <w:szCs w:val="22"/>
          <w:u w:val="single" w:color="auto"/>
          <w:color w:val="auto"/>
        </w:rPr>
        <w:t>Dividends and Voting Rights</w:t>
      </w:r>
      <w:r>
        <w:rPr>
          <w:rFonts w:ascii="Times New Roman" w:cs="Times New Roman" w:eastAsia="Times New Roman" w:hAnsi="Times New Roman"/>
          <w:sz w:val="22"/>
          <w:szCs w:val="22"/>
          <w:color w:val="auto"/>
        </w:rPr>
        <w:t>. The Director shall be entitled to receive any dividends that become payable with respect to such shares of Restricted Stock and shall be entitled to voting rights with respect to such shares of Restricted Stock.</w:t>
      </w:r>
    </w:p>
    <w:p>
      <w:pPr>
        <w:spacing w:after="0" w:line="1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Compliance with Laws and Regulations</w:t>
      </w:r>
    </w:p>
    <w:p>
      <w:pPr>
        <w:spacing w:after="0" w:line="1" w:lineRule="exact"/>
        <w:rPr>
          <w:sz w:val="20"/>
          <w:szCs w:val="20"/>
          <w:color w:val="auto"/>
        </w:rPr>
      </w:pPr>
    </w:p>
    <w:p>
      <w:pPr>
        <w:ind w:left="180" w:right="379" w:firstLine="652"/>
        <w:spacing w:after="0" w:line="225" w:lineRule="auto"/>
        <w:tabs>
          <w:tab w:leader="none" w:pos="98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and transfer of Shares in accordance with this Agreement and the Plan will be subject to compliance by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108585</wp:posOffset>
            </wp:positionV>
            <wp:extent cx="552894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87" w:right="1440" w:bottom="1440" w:gutter="0" w:footer="0" w:header="0"/>
        </w:sectPr>
      </w:pPr>
    </w:p>
    <w:bookmarkStart w:id="33" w:name="page34"/>
    <w:bookmarkEnd w:id="33"/>
    <w:p>
      <w:pPr>
        <w:ind w:left="180" w:right="239"/>
        <w:spacing w:after="0" w:line="212" w:lineRule="auto"/>
        <w:rPr>
          <w:sz w:val="20"/>
          <w:szCs w:val="20"/>
          <w:color w:val="auto"/>
        </w:rPr>
      </w:pPr>
      <w:r>
        <w:rPr>
          <w:rFonts w:ascii="Times New Roman" w:cs="Times New Roman" w:eastAsia="Times New Roman" w:hAnsi="Times New Roman"/>
          <w:sz w:val="22"/>
          <w:szCs w:val="22"/>
          <w:color w:val="auto"/>
        </w:rPr>
        <w:t>Director with all applicable requirements of federal and state securities laws and with all applicable requirements of any stock exchange on which the Company’s common stock may be listed at the time of such issuance or transfer. The Company shall have the right to delay the issue or delivery of any Shares under the Plan until (i) the completion of such registration or qualification of such Shares under any federal or state law, ruling or regulation as the Company shall determine to be necessary or advisable, and (ii) receipt from the Director of such documents and information as the Committee may deem necessary or appropriate in connection with such registration or qualification.</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Taxes</w:t>
      </w:r>
    </w:p>
    <w:p>
      <w:pPr>
        <w:spacing w:after="0" w:line="1" w:lineRule="exact"/>
        <w:rPr>
          <w:sz w:val="20"/>
          <w:szCs w:val="20"/>
          <w:color w:val="auto"/>
        </w:rPr>
      </w:pPr>
    </w:p>
    <w:p>
      <w:pPr>
        <w:ind w:left="180" w:right="379" w:firstLine="652"/>
        <w:spacing w:after="0" w:line="211" w:lineRule="auto"/>
        <w:tabs>
          <w:tab w:leader="none" w:pos="98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require payment or reimbursement of or may withhold any tax that it believes is required as a result of the grant or vesting of such Restricted Stock or any payments in connection with the Restricted Stock, and the Company may defer making delivery of any Restricted Stock or Shares in respect of Restricted Stock until arrangements satisfactory to the Company have been made with regard to any such payment, reimbursement, or withholding obligation.</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No Right to Service</w:t>
      </w:r>
    </w:p>
    <w:p>
      <w:pPr>
        <w:spacing w:after="0" w:line="1" w:lineRule="exact"/>
        <w:rPr>
          <w:sz w:val="20"/>
          <w:szCs w:val="20"/>
          <w:color w:val="auto"/>
        </w:rPr>
      </w:pPr>
    </w:p>
    <w:p>
      <w:pPr>
        <w:jc w:val="both"/>
        <w:ind w:left="180" w:right="339" w:firstLine="652"/>
        <w:spacing w:after="0" w:line="228" w:lineRule="auto"/>
        <w:tabs>
          <w:tab w:leader="none" w:pos="98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granting of Restricted Stock under this Agreement shall not be construed as granting to the Director any right with respect to continued service with the Company, nor shall it interfere in any way with the right of the Company to terminate the Director’s service at any time.</w:t>
      </w:r>
    </w:p>
    <w:p>
      <w:pPr>
        <w:spacing w:after="0" w:line="1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Counterparts</w:t>
      </w:r>
    </w:p>
    <w:p>
      <w:pPr>
        <w:spacing w:after="0" w:line="1" w:lineRule="exact"/>
        <w:rPr>
          <w:sz w:val="20"/>
          <w:szCs w:val="20"/>
          <w:color w:val="auto"/>
        </w:rPr>
      </w:pPr>
    </w:p>
    <w:p>
      <w:pPr>
        <w:ind w:left="180" w:right="219" w:firstLine="652"/>
        <w:spacing w:after="0" w:line="210" w:lineRule="auto"/>
        <w:tabs>
          <w:tab w:leader="none" w:pos="98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any number of counterparts, each of which shall be deemed an original, but all of which shall constitute one and the same agreement providing for a single grant of shares of Restricted Stock, and any counterpart may be delivered to another party by e-mail or facsimile transmission. A facsimile (“fax”) signature to this Agreement, or a signature to this Agreement electronically transmitted in “pdf” format or by email or by e-signature software (e.g., DocuSign), shall be considered a binding signature and shall have the same force and effect as an original signature.</w:t>
      </w:r>
    </w:p>
    <w:p>
      <w:pPr>
        <w:spacing w:after="0" w:line="155" w:lineRule="exact"/>
        <w:rPr>
          <w:sz w:val="20"/>
          <w:szCs w:val="20"/>
          <w:color w:val="auto"/>
        </w:rPr>
      </w:pPr>
    </w:p>
    <w:p>
      <w:pPr>
        <w:ind w:left="180" w:right="499"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Company has caused this Agreement to be executed as of the date and year first above written.</w:t>
      </w:r>
    </w:p>
    <w:p>
      <w:pPr>
        <w:spacing w:after="0" w:line="36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DULUTH HOLDINGS INC.</w:t>
      </w:r>
    </w:p>
    <w:p>
      <w:pPr>
        <w:spacing w:after="0" w:line="359" w:lineRule="exact"/>
        <w:rPr>
          <w:sz w:val="20"/>
          <w:szCs w:val="20"/>
          <w:color w:val="auto"/>
        </w:rPr>
      </w:pPr>
    </w:p>
    <w:tbl>
      <w:tblPr>
        <w:tblLayout w:type="fixed"/>
        <w:tblInd w:w="3420" w:type="dxa"/>
        <w:tblCellMar>
          <w:top w:w="0" w:type="dxa"/>
          <w:left w:w="0" w:type="dxa"/>
          <w:bottom w:w="0" w:type="dxa"/>
          <w:right w:w="0" w:type="dxa"/>
        </w:tblCellMar>
      </w:tblPr>
      <w:tr>
        <w:trPr>
          <w:trHeight w:val="253"/>
        </w:trPr>
        <w:tc>
          <w:tcPr>
            <w:tcW w:w="13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By:</w:t>
            </w:r>
          </w:p>
        </w:tc>
        <w:tc>
          <w:tcPr>
            <w:tcW w:w="40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Samuel M. Sato</w:t>
            </w:r>
          </w:p>
        </w:tc>
        <w:tc>
          <w:tcPr>
            <w:tcW w:w="0" w:type="dxa"/>
            <w:vAlign w:val="bottom"/>
          </w:tcPr>
          <w:p>
            <w:pPr>
              <w:spacing w:after="0"/>
              <w:rPr>
                <w:sz w:val="1"/>
                <w:szCs w:val="1"/>
                <w:color w:val="auto"/>
              </w:rPr>
            </w:pPr>
          </w:p>
        </w:tc>
      </w:tr>
      <w:tr>
        <w:trPr>
          <w:trHeight w:val="216"/>
        </w:trPr>
        <w:tc>
          <w:tcPr>
            <w:tcW w:w="132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Name:</w:t>
            </w: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400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President and Chief Executive Officer</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180" w:right="239" w:firstLine="648"/>
        <w:spacing w:after="0" w:line="236" w:lineRule="auto"/>
        <w:rPr>
          <w:sz w:val="20"/>
          <w:szCs w:val="20"/>
          <w:color w:val="auto"/>
        </w:rPr>
      </w:pPr>
      <w:r>
        <w:rPr>
          <w:rFonts w:ascii="Times New Roman" w:cs="Times New Roman" w:eastAsia="Times New Roman" w:hAnsi="Times New Roman"/>
          <w:sz w:val="22"/>
          <w:szCs w:val="22"/>
          <w:color w:val="auto"/>
        </w:rPr>
        <w:t>The undersigned Director hereby accepts the foregoing grant of Restricted Stock and agrees to the several terms and conditions hereof and of the Plan.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_____________________,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127000</wp:posOffset>
            </wp:positionV>
            <wp:extent cx="552894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4" w:name="page35"/>
    <w:bookmarkEnd w:id="34"/>
    <w:p>
      <w:pPr>
        <w:jc w:val="right"/>
        <w:ind w:right="199"/>
        <w:spacing w:after="0"/>
        <w:rPr>
          <w:sz w:val="20"/>
          <w:szCs w:val="20"/>
          <w:color w:val="auto"/>
        </w:rPr>
      </w:pPr>
      <w:r>
        <w:rPr>
          <w:rFonts w:ascii="Calibri" w:cs="Calibri" w:eastAsia="Calibri" w:hAnsi="Calibri"/>
          <w:sz w:val="22"/>
          <w:szCs w:val="22"/>
          <w:b w:val="1"/>
          <w:bCs w:val="1"/>
          <w:color w:val="auto"/>
        </w:rPr>
        <w:t>Exhibit 10.3</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DULUTH HOLDINGS INC.</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RESTRICTED STOCK AGREEMENT</w:t>
      </w: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This Restricted Stock Agreement (this “Agreement”) is executed as of</w:t>
      </w:r>
    </w:p>
    <w:p>
      <w:pPr>
        <w:ind w:left="180"/>
        <w:spacing w:after="0" w:line="204" w:lineRule="auto"/>
        <w:rPr>
          <w:sz w:val="20"/>
          <w:szCs w:val="20"/>
          <w:color w:val="auto"/>
        </w:rPr>
      </w:pPr>
      <w:r>
        <w:rPr>
          <w:rFonts w:ascii="Times New Roman" w:cs="Times New Roman" w:eastAsia="Times New Roman" w:hAnsi="Times New Roman"/>
          <w:sz w:val="22"/>
          <w:szCs w:val="22"/>
          <w:color w:val="auto"/>
        </w:rPr>
        <w:t>___________________ by and between Duluth Holdings Inc., a Wisconsin corporation (the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“Company”), and _________________ (the “Executive”).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179" w:lineRule="exact"/>
        <w:rPr>
          <w:sz w:val="20"/>
          <w:szCs w:val="20"/>
          <w:color w:val="auto"/>
        </w:rPr>
      </w:pPr>
    </w:p>
    <w:p>
      <w:pPr>
        <w:ind w:left="180" w:right="559" w:firstLine="648"/>
        <w:spacing w:after="0" w:line="225" w:lineRule="auto"/>
        <w:rPr>
          <w:sz w:val="20"/>
          <w:szCs w:val="20"/>
          <w:color w:val="auto"/>
        </w:rPr>
      </w:pPr>
      <w:r>
        <w:rPr>
          <w:rFonts w:ascii="Times New Roman" w:cs="Times New Roman" w:eastAsia="Times New Roman" w:hAnsi="Times New Roman"/>
          <w:sz w:val="22"/>
          <w:szCs w:val="22"/>
          <w:color w:val="auto"/>
        </w:rPr>
        <w:t>WHEREAS the Board of Directors of the Company has established the 2024 Equity Incentive Plan of Duluth Holdings Inc. (the “Plan”) with the approval of the shareholders of the Company; and</w:t>
      </w:r>
    </w:p>
    <w:p>
      <w:pPr>
        <w:spacing w:after="0" w:line="153" w:lineRule="exact"/>
        <w:rPr>
          <w:sz w:val="20"/>
          <w:szCs w:val="20"/>
          <w:color w:val="auto"/>
        </w:rPr>
      </w:pPr>
    </w:p>
    <w:p>
      <w:pPr>
        <w:ind w:left="180" w:right="359" w:firstLine="648"/>
        <w:spacing w:after="0" w:line="236" w:lineRule="auto"/>
        <w:rPr>
          <w:sz w:val="20"/>
          <w:szCs w:val="20"/>
          <w:color w:val="auto"/>
        </w:rPr>
      </w:pPr>
      <w:r>
        <w:rPr>
          <w:rFonts w:ascii="Times New Roman" w:cs="Times New Roman" w:eastAsia="Times New Roman" w:hAnsi="Times New Roman"/>
          <w:sz w:val="22"/>
          <w:szCs w:val="22"/>
          <w:color w:val="auto"/>
        </w:rPr>
        <w:t>WHEREAS, the Executive has been granted Restricted Stock under the Plan subject to the terms and conditions provided in this Agreement and the Plan.</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NOW, THEREFORE, the Company and the Executive hereby agree as follows: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Provisions of Plan Control</w:t>
      </w:r>
    </w:p>
    <w:p>
      <w:pPr>
        <w:spacing w:after="0" w:line="1" w:lineRule="exact"/>
        <w:rPr>
          <w:sz w:val="20"/>
          <w:szCs w:val="20"/>
          <w:color w:val="auto"/>
        </w:rPr>
      </w:pPr>
    </w:p>
    <w:p>
      <w:pPr>
        <w:ind w:left="180" w:right="199" w:firstLine="652"/>
        <w:spacing w:after="0" w:line="221" w:lineRule="auto"/>
        <w:tabs>
          <w:tab w:leader="none" w:pos="98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governed by the provisions of the Plan, the terms and conditions of which are incorporated herein by reference. The Plan empowers the Committee to make interpretations, rules and regulations thereunder, and, in general, provides that determinations of such Committee with respect to the Plan shall be binding upon the Executive. Unless otherwise provided herein, all capitalized terms in this Agreement shall have the meanings ascribed to them in the Plan. A copy of the Plan will be delivered to the Executive upon reasonable request.</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Terms of Award</w:t>
      </w:r>
    </w:p>
    <w:p>
      <w:pPr>
        <w:spacing w:after="0" w:line="14" w:lineRule="exact"/>
        <w:rPr>
          <w:sz w:val="20"/>
          <w:szCs w:val="20"/>
          <w:color w:val="auto"/>
        </w:rPr>
      </w:pPr>
    </w:p>
    <w:p>
      <w:pPr>
        <w:ind w:left="180" w:right="319" w:firstLine="4"/>
        <w:spacing w:after="0" w:line="220" w:lineRule="auto"/>
        <w:tabs>
          <w:tab w:leader="none" w:pos="33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been granted __________ shares of Restricted Stock under the Plan. The Period of Restriction for __________ percent of such shares (__________ shares), shall end on_______________, the _____ anniversary of the date of the grant of the Restricted Stock [insert remaining vesting terms, if any]. In the event that the Executive’s employment with the Company is terminated for any reason, all vesting of the subject shares shall immediately cease. Any of the Restricted Stock which has not become vested shall be referred to herein as “Unvested Stock.” In the event the Executive’s employment with the Company is terminated for any reason, the Executive shall forfeit all Unvested Stock and all of such Unvested Stock shall revert to the Company. All Unvested Stock that has not been previously forfeited shall be deemed to be fully vested upon a Change in Control. Notwithstanding the foregoing, if the Executive’s service with the Company ends prior to the expiration of the Period of Restriction due to his or her death or Disability, all restrictions applicable to any Restricted Stock granted under this Agreement shall immediately lapse.</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Dividends and Voting Rights</w:t>
      </w:r>
    </w:p>
    <w:p>
      <w:pPr>
        <w:spacing w:after="0" w:line="1" w:lineRule="exact"/>
        <w:rPr>
          <w:sz w:val="20"/>
          <w:szCs w:val="20"/>
          <w:color w:val="auto"/>
        </w:rPr>
      </w:pPr>
    </w:p>
    <w:p>
      <w:pPr>
        <w:ind w:left="180" w:right="259" w:firstLine="652"/>
        <w:spacing w:after="0" w:line="218" w:lineRule="auto"/>
        <w:tabs>
          <w:tab w:leader="none" w:pos="98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be entitled to receive any dividends that become payable with respect to such shares of Restricted Stock and shall be entitled to voting rights with respect to such shares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109220</wp:posOffset>
            </wp:positionV>
            <wp:extent cx="552894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85" w:right="1440" w:bottom="1440" w:gutter="0" w:footer="0" w:header="0"/>
        </w:sectPr>
      </w:pPr>
    </w:p>
    <w:bookmarkStart w:id="35" w:name="page36"/>
    <w:bookmarkEnd w:id="35"/>
    <w:p>
      <w:pPr>
        <w:ind w:left="180" w:right="339" w:firstLine="648"/>
        <w:spacing w:after="0" w:line="217" w:lineRule="auto"/>
        <w:rPr>
          <w:sz w:val="20"/>
          <w:szCs w:val="20"/>
          <w:color w:val="auto"/>
        </w:rPr>
      </w:pPr>
      <w:r>
        <w:rPr>
          <w:rFonts w:ascii="Times New Roman" w:cs="Times New Roman" w:eastAsia="Times New Roman" w:hAnsi="Times New Roman"/>
          <w:sz w:val="22"/>
          <w:szCs w:val="22"/>
          <w:u w:val="single" w:color="auto"/>
          <w:color w:val="auto"/>
        </w:rPr>
        <w:t>Restrictive Covenant Agreement</w:t>
      </w:r>
      <w:r>
        <w:rPr>
          <w:rFonts w:ascii="Times New Roman" w:cs="Times New Roman" w:eastAsia="Times New Roman" w:hAnsi="Times New Roman"/>
          <w:sz w:val="22"/>
          <w:szCs w:val="22"/>
          <w:color w:val="auto"/>
        </w:rPr>
        <w:t>. By execution of this Agreement, the Executive agrees that the Executive and such shares of Restricted Stock shall be bound by the terms and restrictions of the Restrictive Covenant Agreement attached hereto as Exhibit A. As a condition to the award of such shares of Restricted Stock hereunder, the Executive shall execute the Restrictive Covenant Agreement, dated as of even date herewith.</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Compliance with Laws and Regulations</w:t>
      </w:r>
    </w:p>
    <w:p>
      <w:pPr>
        <w:spacing w:after="0" w:line="1" w:lineRule="exact"/>
        <w:rPr>
          <w:sz w:val="20"/>
          <w:szCs w:val="20"/>
          <w:color w:val="auto"/>
        </w:rPr>
      </w:pPr>
    </w:p>
    <w:p>
      <w:pPr>
        <w:ind w:left="180" w:right="199" w:firstLine="652"/>
        <w:spacing w:after="0" w:line="209" w:lineRule="auto"/>
        <w:tabs>
          <w:tab w:leader="none" w:pos="98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and transfer of Shares in accordance with this Agreement and the Plan will be subject to compliance by the Company and Executive with all applicable requirements of federal and state securities laws and with all applicable requirements of any stock exchange on which Shares may be listed at the time of such issuance or transfer. The Company shall have the right to delay the issue or delivery of any Shares under the Plan until (i) the completion of such registration or qualification of such Shares under any federal or state law, ruling or regulation as the Company shall determine to be necessary or advisable, and (ii) receipt from the Executive of such documents and information as the Committee may deem necessary or appropriate in connection with such registration or qualification.</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Taxes</w:t>
      </w:r>
    </w:p>
    <w:p>
      <w:pPr>
        <w:spacing w:after="0" w:line="1" w:lineRule="exact"/>
        <w:rPr>
          <w:sz w:val="20"/>
          <w:szCs w:val="20"/>
          <w:color w:val="auto"/>
        </w:rPr>
      </w:pPr>
    </w:p>
    <w:p>
      <w:pPr>
        <w:ind w:left="180" w:right="379" w:firstLine="652"/>
        <w:spacing w:after="0" w:line="209" w:lineRule="auto"/>
        <w:tabs>
          <w:tab w:leader="none" w:pos="98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require payment or reimbursement of or may withhold any tax that it believes is required as a result of the grant or vesting of such Restricted Stock or any payments in connection with the Restricted Stock, and the Company may defer making delivery of any Restricted Stock or Shares in respect of Restricted Stock until arrangements satisfactory to the Company have been made with regard to any such payment, reimbursement, or withholding obligation. The Executive may, at his or her election, satisfy his or her obligation for payment of required tax withholding by having the Company retain a number of Shares having an aggregate Fair Market Value on the date the Shares are withheld equal to the amount of the required tax withholding.</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No Right to Service</w:t>
      </w:r>
    </w:p>
    <w:p>
      <w:pPr>
        <w:spacing w:after="0" w:line="1" w:lineRule="exact"/>
        <w:rPr>
          <w:sz w:val="20"/>
          <w:szCs w:val="20"/>
          <w:color w:val="auto"/>
        </w:rPr>
      </w:pPr>
    </w:p>
    <w:p>
      <w:pPr>
        <w:ind w:left="180" w:right="259" w:firstLine="652"/>
        <w:spacing w:after="0" w:line="214" w:lineRule="auto"/>
        <w:tabs>
          <w:tab w:leader="none" w:pos="98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granting of Restricted Stock under this Agreement shall not be construed as granting to the Executive any right with respect to continued employment with the Company, nor shall it interfere in any way with the right of the Company to terminate the Executive’s employment at any time.</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Counterparts</w:t>
      </w:r>
    </w:p>
    <w:p>
      <w:pPr>
        <w:spacing w:after="0" w:line="1" w:lineRule="exact"/>
        <w:rPr>
          <w:sz w:val="20"/>
          <w:szCs w:val="20"/>
          <w:color w:val="auto"/>
        </w:rPr>
      </w:pPr>
    </w:p>
    <w:p>
      <w:pPr>
        <w:ind w:left="180" w:right="199" w:firstLine="652"/>
        <w:spacing w:after="0" w:line="211" w:lineRule="auto"/>
        <w:tabs>
          <w:tab w:leader="none" w:pos="98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any number of counterparts, each of which shall be deemed an original, but all of which shall constitute one and the same agreement providing for a single grant of shares of Restricted Stock; and any counterpart may be delivered to another party by e-mail or facsimile transmission. A facsimile (“fax”) signature to this Agreement, or a signature to this Agreement electronically transmitted in “pdf” format or by email, shall be considered a binding signature and shall have the same force and effect as an original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110490</wp:posOffset>
            </wp:positionV>
            <wp:extent cx="552894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528945" cy="50800"/>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-30480</wp:posOffset>
            </wp:positionV>
            <wp:extent cx="342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6" w:name="page37"/>
    <w:bookmarkEnd w:id="36"/>
    <w:p>
      <w:pPr>
        <w:ind w:left="180" w:right="499"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Company has caused this Agreement to be executed as of the date and year first above written.</w:t>
      </w:r>
    </w:p>
    <w:p>
      <w:pPr>
        <w:spacing w:after="0" w:line="16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DULUTH HOLDINGS INC.</w:t>
      </w:r>
    </w:p>
    <w:p>
      <w:pPr>
        <w:spacing w:after="0" w:line="200" w:lineRule="exact"/>
        <w:rPr>
          <w:sz w:val="20"/>
          <w:szCs w:val="20"/>
          <w:color w:val="auto"/>
        </w:rPr>
      </w:pPr>
    </w:p>
    <w:p>
      <w:pPr>
        <w:spacing w:after="0" w:line="20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Sam Sato</w:t>
      </w:r>
    </w:p>
    <w:p>
      <w:pPr>
        <w:ind w:left="4080"/>
        <w:spacing w:after="0"/>
        <w:rPr>
          <w:sz w:val="20"/>
          <w:szCs w:val="20"/>
          <w:color w:val="auto"/>
        </w:rPr>
      </w:pPr>
      <w:r>
        <w:rPr>
          <w:rFonts w:ascii="Times New Roman" w:cs="Times New Roman" w:eastAsia="Times New Roman" w:hAnsi="Times New Roman"/>
          <w:sz w:val="22"/>
          <w:szCs w:val="22"/>
          <w:color w:val="auto"/>
        </w:rPr>
        <w:t>Its: Chief Executive Officer</w:t>
      </w:r>
    </w:p>
    <w:p>
      <w:pPr>
        <w:spacing w:after="0" w:line="88" w:lineRule="exact"/>
        <w:rPr>
          <w:sz w:val="20"/>
          <w:szCs w:val="20"/>
          <w:color w:val="auto"/>
        </w:rPr>
      </w:pPr>
    </w:p>
    <w:p>
      <w:pPr>
        <w:ind w:left="180" w:right="699" w:firstLine="648"/>
        <w:spacing w:after="0" w:line="236" w:lineRule="auto"/>
        <w:rPr>
          <w:sz w:val="20"/>
          <w:szCs w:val="20"/>
          <w:color w:val="auto"/>
        </w:rPr>
      </w:pPr>
      <w:r>
        <w:rPr>
          <w:rFonts w:ascii="Times New Roman" w:cs="Times New Roman" w:eastAsia="Times New Roman" w:hAnsi="Times New Roman"/>
          <w:sz w:val="22"/>
          <w:szCs w:val="22"/>
          <w:color w:val="auto"/>
        </w:rPr>
        <w:t>The undersigned Executive hereby accepts the foregoing grant of Restricted Stock and agrees to the several terms and conditions hereof and of the Plan.</w:t>
      </w:r>
    </w:p>
    <w:p>
      <w:pPr>
        <w:spacing w:after="0" w:line="38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[EE NAME],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127000</wp:posOffset>
            </wp:positionV>
            <wp:extent cx="552894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 Sato,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30, 2024</w:t>
      </w: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 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-10795</wp:posOffset>
            </wp:positionV>
            <wp:extent cx="6254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 Sato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602615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7285990</wp:posOffset>
            </wp:positionV>
            <wp:extent cx="6026150"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026150" cy="50800"/>
                    </a:xfrm>
                    <a:prstGeom prst="rect">
                      <a:avLst/>
                    </a:prstGeom>
                    <a:noFill/>
                  </pic:spPr>
                </pic:pic>
              </a:graphicData>
            </a:graphic>
          </wp:anchor>
        </w:drawing>
        <w:t>Exhibit 31.2</w:t>
      </w:r>
    </w:p>
    <w:p>
      <w:pPr>
        <w:spacing w:after="0" w:line="33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Heena Agrawal,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2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30, 2024</w:t>
      </w: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19685</wp:posOffset>
            </wp:positionV>
            <wp:extent cx="21685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Heena Agrawal</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9440"/>
          </w:cols>
          <w:pgMar w:left="1220" w:top="117" w:right="1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July 28, 2024 as filed with the Securities and Exchange Commission on the date hereof (the “Report”), I, Sam Sato, as Chief Executive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660" w:right="3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ind w:left="120" w:right="7620" w:firstLine="7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 Sam Sato </w:t>
      </w: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Sam Sato</w:t>
      </w:r>
    </w:p>
    <w:p>
      <w:pPr>
        <w:ind w:left="120"/>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7"/>
          <w:szCs w:val="17"/>
          <w:b w:val="1"/>
          <w:bCs w:val="1"/>
          <w:color w:val="auto"/>
        </w:rPr>
        <w:t>Chief Executive Officer</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August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-422275</wp:posOffset>
            </wp:positionV>
            <wp:extent cx="30429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62"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July 28, 2024 as filed with the Securities and Exchange Commission on the date hereof (the “Report”), I, Heena Agrawal, as Chief Financial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980" w:right="20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2" w:lineRule="exact"/>
        <w:rPr>
          <w:sz w:val="20"/>
          <w:szCs w:val="20"/>
          <w:color w:val="auto"/>
        </w:rPr>
      </w:pPr>
    </w:p>
    <w:p>
      <w:pPr>
        <w:ind w:left="120" w:right="6820" w:firstLine="76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/s/ Heena Agrawal </w:t>
      </w: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Heena Agrawal</w:t>
      </w:r>
      <w:r>
        <w:rPr>
          <w:rFonts w:ascii="Times New Roman" w:cs="Times New Roman" w:eastAsia="Times New Roman" w:hAnsi="Times New Roman"/>
          <w:sz w:val="18"/>
          <w:szCs w:val="18"/>
          <w:color w:val="auto"/>
        </w:rPr>
        <w:t xml:space="preserve"> Title: </w:t>
      </w:r>
      <w:r>
        <w:rPr>
          <w:rFonts w:ascii="Times New Roman" w:cs="Times New Roman" w:eastAsia="Times New Roman" w:hAnsi="Times New Roman"/>
          <w:sz w:val="18"/>
          <w:szCs w:val="18"/>
          <w:b w:val="1"/>
          <w:bCs w:val="1"/>
          <w:color w:val="auto"/>
        </w:rPr>
        <w:t>Chief Financial Officer</w:t>
      </w:r>
      <w:r>
        <w:rPr>
          <w:rFonts w:ascii="Times New Roman" w:cs="Times New Roman" w:eastAsia="Times New Roman" w:hAnsi="Times New Roman"/>
          <w:sz w:val="18"/>
          <w:szCs w:val="18"/>
          <w:color w:val="auto"/>
        </w:rPr>
        <w:t xml:space="preserve"> Date: </w:t>
      </w:r>
      <w:r>
        <w:rPr>
          <w:rFonts w:ascii="Times New Roman" w:cs="Times New Roman" w:eastAsia="Times New Roman" w:hAnsi="Times New Roman"/>
          <w:sz w:val="18"/>
          <w:szCs w:val="18"/>
          <w:b w:val="1"/>
          <w:bCs w:val="1"/>
          <w:color w:val="auto"/>
        </w:rPr>
        <w:t>August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-436245</wp:posOffset>
            </wp:positionV>
            <wp:extent cx="30429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40"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sectPr>
      <w:pgSz w:w="11900" w:h="16838" w:orient="portrait"/>
      <w:cols w:equalWidth="0" w:num="1">
        <w:col w:w="9440"/>
      </w:cols>
      <w:pgMar w:left="122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1."/>
      <w:numFmt w:val="upperLetter"/>
      <w:start w:val="1"/>
    </w:lvl>
  </w:abstractNum>
  <w:abstractNum w:abstractNumId="3">
    <w:nsid w:val="519B500D"/>
    <w:multiLevelType w:val="hybridMultilevel"/>
    <w:lvl w:ilvl="0">
      <w:lvlJc w:val="left"/>
      <w:lvlText w:val="%1."/>
      <w:numFmt w:val="upperLetter"/>
      <w:start w:val="2"/>
    </w:lvl>
  </w:abstractNum>
  <w:abstractNum w:abstractNumId="4">
    <w:nsid w:val="431BD7B7"/>
    <w:multiLevelType w:val="hybridMultilevel"/>
    <w:lvl w:ilvl="0">
      <w:lvlJc w:val="left"/>
      <w:lvlText w:val="%1."/>
      <w:numFmt w:val="upperLetter"/>
      <w:start w:val="3"/>
    </w:lvl>
  </w:abstractNum>
  <w:abstractNum w:abstractNumId="5">
    <w:nsid w:val="3F2DBA31"/>
    <w:multiLevelType w:val="hybridMultilevel"/>
    <w:lvl w:ilvl="0">
      <w:lvlJc w:val="left"/>
      <w:lvlText w:val="%1."/>
      <w:numFmt w:val="upperLetter"/>
      <w:start w:val="5"/>
    </w:lvl>
  </w:abstractNum>
  <w:abstractNum w:abstractNumId="6">
    <w:nsid w:val="7C83E458"/>
    <w:multiLevelType w:val="hybridMultilevel"/>
    <w:lvl w:ilvl="0">
      <w:lvlJc w:val="left"/>
      <w:lvlText w:val="%1."/>
      <w:numFmt w:val="upperLetter"/>
      <w:start w:val="6"/>
    </w:lvl>
  </w:abstractNum>
  <w:abstractNum w:abstractNumId="7">
    <w:nsid w:val="257130A3"/>
    <w:multiLevelType w:val="hybridMultilevel"/>
    <w:lvl w:ilvl="0">
      <w:lvlJc w:val="left"/>
      <w:lvlText w:val="%1."/>
      <w:numFmt w:val="decimal"/>
      <w:start w:val="3"/>
    </w:lvl>
  </w:abstractNum>
  <w:abstractNum w:abstractNumId="8">
    <w:nsid w:val="62BBD95A"/>
    <w:multiLevelType w:val="hybridMultilevel"/>
    <w:lvl w:ilvl="0">
      <w:lvlJc w:val="left"/>
      <w:lvlText w:val="%1."/>
      <w:numFmt w:val="decimal"/>
      <w:start w:val="4"/>
    </w:lvl>
  </w:abstractNum>
  <w:abstractNum w:abstractNumId="9">
    <w:nsid w:val="436C6125"/>
    <w:multiLevelType w:val="hybridMultilevel"/>
    <w:lvl w:ilvl="0">
      <w:lvlJc w:val="left"/>
      <w:lvlText w:val="%1."/>
      <w:numFmt w:val="decimal"/>
      <w:start w:val="11"/>
    </w:lvl>
  </w:abstractNum>
  <w:abstractNum w:abstractNumId="10">
    <w:nsid w:val="628C895D"/>
    <w:multiLevelType w:val="hybridMultilevel"/>
    <w:lvl w:ilvl="0">
      <w:lvlJc w:val="left"/>
      <w:lvlText w:val=" "/>
      <w:numFmt w:val="bullet"/>
      <w:start w:val="1"/>
    </w:lvl>
  </w:abstractNum>
  <w:abstractNum w:abstractNumId="11">
    <w:nsid w:val="333AB105"/>
    <w:multiLevelType w:val="hybridMultilevel"/>
    <w:lvl w:ilvl="0">
      <w:lvlJc w:val="left"/>
      <w:lvlText w:val="%1"/>
      <w:numFmt w:val="decimal"/>
      <w:start w:val="104"/>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lvl w:ilvl="1">
      <w:lvlJc w:val="left"/>
      <w:lvlText w:val="%2)"/>
      <w:numFmt w:val="lowerLetter"/>
      <w:start w:val="1"/>
    </w:lvl>
  </w:abstractNum>
  <w:abstractNum w:abstractNumId="26">
    <w:nsid w:val="2901D82"/>
    <w:multiLevelType w:val="hybridMultilevel"/>
    <w:lvl w:ilvl="0">
      <w:lvlJc w:val="left"/>
      <w:lvlText w:val="%1."/>
      <w:numFmt w:val="decimal"/>
      <w:start w:val="1"/>
    </w:lvl>
    <w:lvl w:ilvl="1">
      <w:lvlJc w:val="left"/>
      <w:lvlText w:val="%2)"/>
      <w:numFmt w:val="lowerLetter"/>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 "/>
      <w:numFmt w:val="bullet"/>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45" Type="http://schemas.openxmlformats.org/officeDocument/2006/relationships/hyperlink" Target="https://www.sec.gov/Archives/edgar/data/1649744/000119312524088178/d646253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2024-08-30T14:16:06Z</dcterms:created>
  <dcterms:modified xsi:type="dcterms:W3CDTF">2024-08-30T14:16:06Z</dcterms:modified>
</cp:coreProperties>
</file>