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79"/>
        <w:spacing w:after="0" w:line="214"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4140"/>
        <w:spacing w:after="0" w:line="232" w:lineRule="auto"/>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79"/>
        <w:spacing w:after="0" w:line="228" w:lineRule="auto"/>
        <w:rPr>
          <w:sz w:val="20"/>
          <w:szCs w:val="20"/>
          <w:color w:val="auto"/>
        </w:rPr>
      </w:pPr>
      <w:r>
        <w:rPr>
          <w:rFonts w:ascii="Times New Roman" w:cs="Times New Roman" w:eastAsia="Times New Roman" w:hAnsi="Times New Roman"/>
          <w:sz w:val="29"/>
          <w:szCs w:val="29"/>
          <w:b w:val="1"/>
          <w:bCs w:val="1"/>
          <w:color w:val="auto"/>
        </w:rPr>
        <w:t>FORM 10-Q</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38" w:lineRule="exact"/>
        <w:rPr>
          <w:sz w:val="24"/>
          <w:szCs w:val="24"/>
          <w:color w:val="auto"/>
        </w:rPr>
      </w:pPr>
    </w:p>
    <w:p>
      <w:pPr>
        <w:ind w:left="480" w:right="180" w:hanging="472"/>
        <w:spacing w:after="0" w:line="249" w:lineRule="auto"/>
        <w:tabs>
          <w:tab w:leader="none" w:pos="4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3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October 30, 2022</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500" w:right="140" w:hanging="492"/>
        <w:spacing w:after="0" w:line="262" w:lineRule="auto"/>
        <w:tabs>
          <w:tab w:leader="none" w:pos="500" w:val="left"/>
        </w:tabs>
        <w:numPr>
          <w:ilvl w:val="0"/>
          <w:numId w:val="2"/>
        </w:numPr>
        <w:rPr>
          <w:rFonts w:ascii="Wingdings" w:cs="Wingdings" w:eastAsia="Wingdings" w:hAnsi="Wingdings"/>
          <w:sz w:val="22"/>
          <w:szCs w:val="22"/>
          <w:b w:val="1"/>
          <w:bCs w:val="1"/>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 xml:space="preserve">For the transition period from </w:t>
      </w:r>
      <w:r>
        <w:rPr>
          <w:rFonts w:ascii="Times New Roman" w:cs="Times New Roman" w:eastAsia="Times New Roman" w:hAnsi="Times New Roman"/>
          <w:sz w:val="18"/>
          <w:szCs w:val="18"/>
          <w:u w:val="single" w:color="auto"/>
          <w:color w:val="auto"/>
        </w:rPr>
        <w:t>_______</w:t>
      </w:r>
      <w:r>
        <w:rPr>
          <w:rFonts w:ascii="Times New Roman" w:cs="Times New Roman" w:eastAsia="Times New Roman" w:hAnsi="Times New Roman"/>
          <w:sz w:val="18"/>
          <w:szCs w:val="18"/>
          <w:b w:val="1"/>
          <w:bCs w:val="1"/>
          <w:color w:val="auto"/>
        </w:rPr>
        <w:t xml:space="preserve"> to </w:t>
      </w:r>
      <w:r>
        <w:rPr>
          <w:rFonts w:ascii="Times New Roman" w:cs="Times New Roman" w:eastAsia="Times New Roman" w:hAnsi="Times New Roman"/>
          <w:sz w:val="18"/>
          <w:szCs w:val="18"/>
          <w:u w:val="single" w:color="auto"/>
          <w:color w:val="auto"/>
        </w:rPr>
        <w:t>_______</w:t>
      </w:r>
    </w:p>
    <w:p>
      <w:pPr>
        <w:spacing w:after="0" w:line="9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001-37641</w:t>
      </w:r>
    </w:p>
    <w:p>
      <w:pPr>
        <w:spacing w:after="0" w:line="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jc w:val="center"/>
        <w:ind w:right="-79"/>
        <w:spacing w:after="0" w:line="227" w:lineRule="auto"/>
        <w:rPr>
          <w:sz w:val="20"/>
          <w:szCs w:val="20"/>
          <w:color w:val="auto"/>
        </w:rPr>
      </w:pPr>
      <w:r>
        <w:rPr>
          <w:rFonts w:ascii="Times New Roman" w:cs="Times New Roman" w:eastAsia="Times New Roman" w:hAnsi="Times New Roman"/>
          <w:sz w:val="40"/>
          <w:szCs w:val="40"/>
          <w:b w:val="1"/>
          <w:bCs w:val="1"/>
          <w:color w:val="auto"/>
        </w:rPr>
        <w:t>DULUTH HOLDINGS INC.</w:t>
      </w:r>
    </w:p>
    <w:p>
      <w:pPr>
        <w:jc w:val="center"/>
        <w:ind w:right="-79"/>
        <w:spacing w:after="0" w:line="225" w:lineRule="auto"/>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ind w:left="4160"/>
        <w:spacing w:after="0"/>
        <w:rPr>
          <w:sz w:val="20"/>
          <w:szCs w:val="20"/>
          <w:color w:val="auto"/>
        </w:rPr>
      </w:pPr>
      <w:r>
        <w:rPr>
          <w:rFonts w:ascii="Times New Roman" w:cs="Times New Roman" w:eastAsia="Times New Roman" w:hAnsi="Times New Roman"/>
          <w:sz w:val="14"/>
          <w:szCs w:val="14"/>
          <w:color w:val="auto"/>
        </w:rPr>
        <w:t>_________________________________________</w:t>
      </w:r>
    </w:p>
    <w:p>
      <w:pPr>
        <w:spacing w:after="0" w:line="127"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5860" w:type="dxa"/>
            <w:vAlign w:val="bottom"/>
          </w:tcPr>
          <w:p>
            <w:pPr>
              <w:jc w:val="center"/>
              <w:ind w:right="3402"/>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166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39-1564801</w:t>
            </w:r>
          </w:p>
        </w:tc>
        <w:tc>
          <w:tcPr>
            <w:tcW w:w="0" w:type="dxa"/>
            <w:vAlign w:val="bottom"/>
          </w:tcPr>
          <w:p>
            <w:pPr>
              <w:spacing w:after="0"/>
              <w:rPr>
                <w:sz w:val="1"/>
                <w:szCs w:val="1"/>
                <w:color w:val="auto"/>
              </w:rPr>
            </w:pPr>
          </w:p>
        </w:tc>
      </w:tr>
      <w:tr>
        <w:trPr>
          <w:trHeight w:val="162"/>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60" w:type="dxa"/>
            <w:vAlign w:val="bottom"/>
          </w:tcPr>
          <w:p>
            <w:pPr>
              <w:jc w:val="center"/>
              <w:ind w:left="181"/>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298"/>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8"/>
                <w:szCs w:val="18"/>
                <w:b w:val="1"/>
                <w:bCs w:val="1"/>
                <w:color w:val="auto"/>
                <w:w w:val="99"/>
              </w:rPr>
              <w:t>201 East Front Street</w:t>
            </w:r>
          </w:p>
        </w:tc>
        <w:tc>
          <w:tcPr>
            <w:tcW w:w="1660" w:type="dxa"/>
            <w:vAlign w:val="bottom"/>
            <w:vMerge w:val="restart"/>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53572</w:t>
            </w:r>
          </w:p>
        </w:tc>
        <w:tc>
          <w:tcPr>
            <w:tcW w:w="0" w:type="dxa"/>
            <w:vAlign w:val="bottom"/>
          </w:tcPr>
          <w:p>
            <w:pPr>
              <w:spacing w:after="0"/>
              <w:rPr>
                <w:sz w:val="1"/>
                <w:szCs w:val="1"/>
                <w:color w:val="auto"/>
              </w:rPr>
            </w:pPr>
          </w:p>
        </w:tc>
      </w:tr>
      <w:tr>
        <w:trPr>
          <w:trHeight w:val="214"/>
        </w:trPr>
        <w:tc>
          <w:tcPr>
            <w:tcW w:w="5860" w:type="dxa"/>
            <w:vAlign w:val="bottom"/>
          </w:tcPr>
          <w:p>
            <w:pPr>
              <w:jc w:val="center"/>
              <w:ind w:right="3382"/>
              <w:spacing w:after="0"/>
              <w:rPr>
                <w:sz w:val="20"/>
                <w:szCs w:val="20"/>
                <w:color w:val="auto"/>
              </w:rPr>
            </w:pPr>
            <w:r>
              <w:rPr>
                <w:rFonts w:ascii="Times New Roman" w:cs="Times New Roman" w:eastAsia="Times New Roman" w:hAnsi="Times New Roman"/>
                <w:sz w:val="18"/>
                <w:szCs w:val="18"/>
                <w:b w:val="1"/>
                <w:bCs w:val="1"/>
                <w:color w:val="auto"/>
                <w:w w:val="99"/>
              </w:rPr>
              <w:t>Mount Horeb, Wisconsin</w:t>
            </w: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tcPr>
          <w:p>
            <w:pPr>
              <w:jc w:val="center"/>
              <w:ind w:right="340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60" w:type="dxa"/>
            <w:vAlign w:val="bottom"/>
          </w:tcPr>
          <w:p>
            <w:pPr>
              <w:jc w:val="center"/>
              <w:ind w:left="16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5"/>
        </w:trPr>
        <w:tc>
          <w:tcPr>
            <w:tcW w:w="5860" w:type="dxa"/>
            <w:vAlign w:val="bottom"/>
          </w:tcPr>
          <w:p>
            <w:pPr>
              <w:jc w:val="right"/>
              <w:ind w:right="1322"/>
              <w:spacing w:after="0"/>
              <w:rPr>
                <w:sz w:val="20"/>
                <w:szCs w:val="20"/>
                <w:color w:val="auto"/>
              </w:rPr>
            </w:pPr>
            <w:r>
              <w:rPr>
                <w:rFonts w:ascii="Times New Roman" w:cs="Times New Roman" w:eastAsia="Times New Roman" w:hAnsi="Times New Roman"/>
                <w:sz w:val="14"/>
                <w:szCs w:val="14"/>
                <w:b w:val="1"/>
                <w:bCs w:val="1"/>
                <w:color w:val="auto"/>
              </w:rPr>
              <w:t>(608) 424-1544</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860" w:type="dxa"/>
            <w:vAlign w:val="bottom"/>
          </w:tcPr>
          <w:p>
            <w:pPr>
              <w:ind w:left="23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60" w:type="dxa"/>
            <w:vAlign w:val="bottom"/>
          </w:tcPr>
          <w:p>
            <w:pPr>
              <w:jc w:val="right"/>
              <w:ind w:right="302"/>
              <w:spacing w:after="0"/>
              <w:rPr>
                <w:sz w:val="20"/>
                <w:szCs w:val="20"/>
                <w:color w:val="auto"/>
              </w:rPr>
            </w:pPr>
            <w:r>
              <w:rPr>
                <w:rFonts w:ascii="Times New Roman" w:cs="Times New Roman" w:eastAsia="Times New Roman" w:hAnsi="Times New Roman"/>
                <w:sz w:val="14"/>
                <w:szCs w:val="14"/>
                <w:color w:val="auto"/>
              </w:rPr>
              <w:t>_________________________________________</w:t>
            </w: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0" w:lineRule="exact"/>
        <w:rPr>
          <w:sz w:val="24"/>
          <w:szCs w:val="24"/>
          <w:color w:val="auto"/>
        </w:rPr>
      </w:pPr>
    </w:p>
    <w:tbl>
      <w:tblPr>
        <w:tblLayout w:type="fixed"/>
        <w:tblInd w:w="720" w:type="dxa"/>
        <w:tblCellMar>
          <w:top w:w="0" w:type="dxa"/>
          <w:left w:w="0" w:type="dxa"/>
          <w:bottom w:w="0" w:type="dxa"/>
          <w:right w:w="0" w:type="dxa"/>
        </w:tblCellMar>
      </w:tblPr>
      <w:tr>
        <w:trPr>
          <w:trHeight w:val="189"/>
        </w:trPr>
        <w:tc>
          <w:tcPr>
            <w:tcW w:w="34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2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Trading Symbol(s)</w:t>
            </w:r>
          </w:p>
        </w:tc>
        <w:tc>
          <w:tcPr>
            <w:tcW w:w="370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10"/>
        </w:trPr>
        <w:tc>
          <w:tcPr>
            <w:tcW w:w="3400" w:type="dxa"/>
            <w:vAlign w:val="bottom"/>
          </w:tcPr>
          <w:p>
            <w:pPr>
              <w:jc w:val="center"/>
              <w:ind w:right="839"/>
              <w:spacing w:after="0"/>
              <w:rPr>
                <w:sz w:val="20"/>
                <w:szCs w:val="20"/>
                <w:color w:val="auto"/>
              </w:rPr>
            </w:pPr>
            <w:r>
              <w:rPr>
                <w:rFonts w:ascii="Times New Roman" w:cs="Times New Roman" w:eastAsia="Times New Roman" w:hAnsi="Times New Roman"/>
                <w:sz w:val="16"/>
                <w:szCs w:val="16"/>
                <w:color w:val="auto"/>
                <w:w w:val="99"/>
              </w:rPr>
              <w:t>Class B Common Stock, No Par Value</w:t>
            </w:r>
          </w:p>
        </w:tc>
        <w:tc>
          <w:tcPr>
            <w:tcW w:w="294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w w:val="98"/>
              </w:rPr>
              <w:t>DLTH</w:t>
            </w:r>
          </w:p>
        </w:tc>
        <w:tc>
          <w:tcPr>
            <w:tcW w:w="370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7140575" cy="248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0575" cy="248920"/>
                    </a:xfrm>
                    <a:prstGeom prst="rect">
                      <a:avLst/>
                    </a:prstGeom>
                    <a:noFill/>
                  </pic:spPr>
                </pic:pic>
              </a:graphicData>
            </a:graphic>
          </wp:anchor>
        </w:drawing>
      </w:r>
    </w:p>
    <w:p>
      <w:pPr>
        <w:spacing w:after="0" w:line="12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w:t>
      </w:r>
    </w:p>
    <w:p>
      <w:pPr>
        <w:spacing w:after="0" w:line="10" w:lineRule="exact"/>
        <w:rPr>
          <w:sz w:val="24"/>
          <w:szCs w:val="24"/>
          <w:color w:val="auto"/>
        </w:rPr>
      </w:pPr>
    </w:p>
    <w:p>
      <w:pPr>
        <w:ind w:right="240"/>
        <w:spacing w:after="0" w:line="186" w:lineRule="exact"/>
        <w:rPr>
          <w:sz w:val="20"/>
          <w:szCs w:val="20"/>
          <w:color w:val="auto"/>
        </w:rPr>
      </w:pPr>
      <w:r>
        <w:rPr>
          <w:rFonts w:ascii="Times New Roman" w:cs="Times New Roman" w:eastAsia="Times New Roman" w:hAnsi="Times New Roman"/>
          <w:sz w:val="16"/>
          <w:szCs w:val="16"/>
          <w:color w:val="auto"/>
        </w:rPr>
        <w:t xml:space="preserve">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10" w:lineRule="exact"/>
        <w:rPr>
          <w:sz w:val="24"/>
          <w:szCs w:val="24"/>
          <w:color w:val="auto"/>
        </w:rPr>
      </w:pPr>
    </w:p>
    <w:p>
      <w:pPr>
        <w:ind w:firstLine="428"/>
        <w:spacing w:after="0" w:line="20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96" w:lineRule="exact"/>
        <w:rPr>
          <w:sz w:val="24"/>
          <w:szCs w:val="24"/>
          <w:color w:val="auto"/>
        </w:rPr>
      </w:pPr>
    </w:p>
    <w:p>
      <w:pPr>
        <w:jc w:val="both"/>
        <w:ind w:right="220" w:firstLine="428"/>
        <w:spacing w:after="0" w:line="24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0" w:lineRule="exact"/>
        <w:rPr>
          <w:sz w:val="24"/>
          <w:szCs w:val="24"/>
          <w:color w:val="auto"/>
        </w:rPr>
      </w:pPr>
    </w:p>
    <w:tbl>
      <w:tblPr>
        <w:tblLayout w:type="fixed"/>
        <w:tblInd w:w="1000" w:type="dxa"/>
        <w:tblCellMar>
          <w:top w:w="0" w:type="dxa"/>
          <w:left w:w="0" w:type="dxa"/>
          <w:bottom w:w="0" w:type="dxa"/>
          <w:right w:w="0" w:type="dxa"/>
        </w:tblCellMar>
      </w:tblPr>
      <w:tr>
        <w:trPr>
          <w:trHeight w:val="188"/>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40" w:type="dxa"/>
            <w:vAlign w:val="bottom"/>
          </w:tcPr>
          <w:p>
            <w:pPr>
              <w:ind w:left="500"/>
              <w:spacing w:after="0"/>
              <w:rPr>
                <w:sz w:val="20"/>
                <w:szCs w:val="20"/>
                <w:color w:val="auto"/>
              </w:rPr>
            </w:pPr>
            <w:r>
              <w:rPr>
                <w:rFonts w:ascii="Wingdings" w:cs="Wingdings" w:eastAsia="Wingdings" w:hAnsi="Wingdings"/>
                <w:sz w:val="16"/>
                <w:szCs w:val="16"/>
                <w:b w:val="1"/>
                <w:bCs w:val="1"/>
                <w:color w:val="auto"/>
              </w:rPr>
              <w:t>o</w:t>
            </w: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Accelerated Filer</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189"/>
        </w:trPr>
        <w:tc>
          <w:tcPr>
            <w:tcW w:w="20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40" w:type="dxa"/>
            <w:vAlign w:val="bottom"/>
          </w:tcPr>
          <w:p>
            <w:pPr>
              <w:ind w:left="500"/>
              <w:spacing w:after="0"/>
              <w:rPr>
                <w:sz w:val="20"/>
                <w:szCs w:val="20"/>
                <w:color w:val="auto"/>
              </w:rPr>
            </w:pPr>
            <w:r>
              <w:rPr>
                <w:rFonts w:ascii="Wingdings" w:cs="Wingdings" w:eastAsia="Wingdings" w:hAnsi="Wingdings"/>
                <w:sz w:val="16"/>
                <w:szCs w:val="16"/>
                <w:b w:val="1"/>
                <w:bCs w:val="1"/>
                <w:color w:val="auto"/>
              </w:rPr>
              <w:t>o</w:t>
            </w: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8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0"/>
        </w:trPr>
        <w:tc>
          <w:tcPr>
            <w:tcW w:w="20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0" w:type="dxa"/>
            <w:vAlign w:val="bottom"/>
          </w:tcPr>
          <w:p>
            <w:pPr>
              <w:ind w:left="1100"/>
              <w:spacing w:after="0"/>
              <w:rPr>
                <w:sz w:val="20"/>
                <w:szCs w:val="20"/>
                <w:color w:val="auto"/>
              </w:rPr>
            </w:pPr>
            <w:r>
              <w:rPr>
                <w:rFonts w:ascii="Times New Roman" w:cs="Times New Roman" w:eastAsia="Times New Roman" w:hAnsi="Times New Roman"/>
                <w:sz w:val="16"/>
                <w:szCs w:val="16"/>
                <w:color w:val="auto"/>
              </w:rPr>
              <w:t>Emerging Growth Company</w:t>
            </w:r>
          </w:p>
        </w:tc>
        <w:tc>
          <w:tcPr>
            <w:tcW w:w="380" w:type="dxa"/>
            <w:vAlign w:val="bottom"/>
          </w:tcPr>
          <w:p>
            <w:pPr>
              <w:ind w:left="240"/>
              <w:spacing w:after="0"/>
              <w:rPr>
                <w:sz w:val="20"/>
                <w:szCs w:val="20"/>
                <w:color w:val="auto"/>
              </w:rPr>
            </w:pPr>
            <w:r>
              <w:rPr>
                <w:rFonts w:ascii="Wingdings" w:cs="Wingdings" w:eastAsia="Wingdings" w:hAnsi="Wingdings"/>
                <w:sz w:val="16"/>
                <w:szCs w:val="16"/>
                <w:b w:val="1"/>
                <w:bCs w:val="1"/>
                <w:color w:val="auto"/>
                <w:w w:val="83"/>
              </w:rPr>
              <w:t>o</w:t>
            </w:r>
          </w:p>
        </w:tc>
      </w:tr>
    </w:tbl>
    <w:p>
      <w:pPr>
        <w:spacing w:after="0" w:line="114" w:lineRule="exact"/>
        <w:rPr>
          <w:sz w:val="24"/>
          <w:szCs w:val="24"/>
          <w:color w:val="auto"/>
        </w:rPr>
      </w:pPr>
    </w:p>
    <w:p>
      <w:pPr>
        <w:ind w:right="80" w:firstLine="428"/>
        <w:spacing w:after="0" w:line="263"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84" w:lineRule="exact"/>
        <w:rPr>
          <w:sz w:val="24"/>
          <w:szCs w:val="24"/>
          <w:color w:val="auto"/>
        </w:rPr>
      </w:pPr>
    </w:p>
    <w:p>
      <w:pPr>
        <w:ind w:left="440"/>
        <w:spacing w:after="0" w:line="184" w:lineRule="exact"/>
        <w:tabs>
          <w:tab w:leader="none" w:pos="7940" w:val="left"/>
          <w:tab w:leader="none" w:pos="85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6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A common stock, no par value, as of November 30, 2022, was 3,364,200.</w:t>
      </w:r>
    </w:p>
    <w:p>
      <w:pPr>
        <w:spacing w:after="0" w:line="10"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6"/>
          <w:szCs w:val="16"/>
          <w:color w:val="auto"/>
        </w:rPr>
        <w:t>The number of shares outstanding of the Registrant’s Class B common stock, no par value, as of November 30, 2022, was 30,058,505.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553720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96" w:right="419" w:bottom="1440" w:gutter="0" w:footer="0" w:header="0"/>
        </w:sectPr>
      </w:pPr>
    </w:p>
    <w:bookmarkStart w:id="1" w:name="page2"/>
    <w:bookmarkEnd w:id="1"/>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jc w:val="center"/>
        <w:ind w:right="40"/>
        <w:spacing w:after="0" w:line="234" w:lineRule="auto"/>
        <w:rPr>
          <w:sz w:val="20"/>
          <w:szCs w:val="20"/>
          <w:color w:val="auto"/>
        </w:rPr>
      </w:pPr>
      <w:r>
        <w:rPr>
          <w:rFonts w:ascii="Times New Roman" w:cs="Times New Roman" w:eastAsia="Times New Roman" w:hAnsi="Times New Roman"/>
          <w:sz w:val="18"/>
          <w:szCs w:val="18"/>
          <w:b w:val="1"/>
          <w:bCs w:val="1"/>
          <w:color w:val="auto"/>
        </w:rPr>
        <w:t>FOR QUARTER ENDED October 30, 2022</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140" w:type="dxa"/>
            <w:vAlign w:val="bottom"/>
            <w:gridSpan w:val="13"/>
          </w:tcPr>
          <w:p>
            <w:pPr>
              <w:jc w:val="center"/>
              <w:ind w:right="3000"/>
              <w:spacing w:after="0"/>
              <w:rPr>
                <w:sz w:val="20"/>
                <w:szCs w:val="20"/>
                <w:color w:val="auto"/>
              </w:rPr>
            </w:pPr>
            <w:r>
              <w:rPr>
                <w:rFonts w:ascii="Times New Roman" w:cs="Times New Roman" w:eastAsia="Times New Roman" w:hAnsi="Times New Roman"/>
                <w:sz w:val="18"/>
                <w:szCs w:val="18"/>
                <w:color w:val="0000FF"/>
                <w:w w:val="99"/>
              </w:rPr>
              <w:t>Part I—Financial Information</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Page</w:t>
            </w:r>
          </w:p>
        </w:tc>
      </w:tr>
      <w:tr>
        <w:trPr>
          <w:trHeight w:val="38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60" w:type="dxa"/>
            <w:vAlign w:val="bottom"/>
            <w:gridSpan w:val="3"/>
          </w:tcPr>
          <w:p>
            <w:pPr>
              <w:spacing w:after="0"/>
              <w:rPr>
                <w:sz w:val="24"/>
                <w:szCs w:val="24"/>
                <w:color w:val="auto"/>
              </w:rPr>
            </w:pPr>
          </w:p>
        </w:tc>
        <w:tc>
          <w:tcPr>
            <w:tcW w:w="30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140" w:type="dxa"/>
            <w:vAlign w:val="bottom"/>
            <w:tcBorders>
              <w:top w:val="single" w:sz="8" w:color="0000FF"/>
            </w:tcBorders>
            <w:gridSpan w:val="7"/>
          </w:tcPr>
          <w:p>
            <w:pPr>
              <w:spacing w:after="0"/>
              <w:rPr>
                <w:sz w:val="24"/>
                <w:szCs w:val="24"/>
                <w:color w:val="auto"/>
              </w:rPr>
            </w:pPr>
          </w:p>
        </w:tc>
        <w:tc>
          <w:tcPr>
            <w:tcW w:w="3000" w:type="dxa"/>
            <w:vAlign w:val="bottom"/>
            <w:gridSpan w:val="6"/>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12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October 30, 2022 and January 30, 2022 (Unaudited)</w:t>
            </w:r>
          </w:p>
        </w:tc>
        <w:tc>
          <w:tcPr>
            <w:tcW w:w="1060" w:type="dxa"/>
            <w:vAlign w:val="bottom"/>
            <w:gridSpan w:val="4"/>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385"/>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October 30, 2022 and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940" w:type="dxa"/>
            <w:vAlign w:val="bottom"/>
            <w:tcBorders>
              <w:top w:val="single" w:sz="8" w:color="0000FF"/>
            </w:tcBorders>
            <w:gridSpan w:val="21"/>
          </w:tcPr>
          <w:p>
            <w:pPr>
              <w:spacing w:after="0" w:line="169" w:lineRule="exact"/>
              <w:rPr>
                <w:sz w:val="20"/>
                <w:szCs w:val="20"/>
                <w:color w:val="auto"/>
              </w:rPr>
            </w:pPr>
            <w:r>
              <w:rPr>
                <w:rFonts w:ascii="Times New Roman" w:cs="Times New Roman" w:eastAsia="Times New Roman" w:hAnsi="Times New Roman"/>
                <w:sz w:val="18"/>
                <w:szCs w:val="18"/>
                <w:color w:val="0000FF"/>
              </w:rPr>
              <w:t>October 31, 2021 (Unaudited)</w:t>
            </w: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Income for the three and nine months ended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780" w:type="dxa"/>
            <w:vAlign w:val="bottom"/>
            <w:tcBorders>
              <w:top w:val="single" w:sz="8" w:color="0000FF"/>
              <w:bottom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w w:val="99"/>
              </w:rPr>
              <w:t>October 30, 2022 and October 31, 2021 (Unaudited)</w:t>
            </w:r>
          </w:p>
        </w:tc>
        <w:tc>
          <w:tcPr>
            <w:tcW w:w="3980" w:type="dxa"/>
            <w:vAlign w:val="bottom"/>
            <w:tcBorders>
              <w:top w:val="single" w:sz="8" w:color="0000FF"/>
            </w:tcBorders>
            <w:gridSpan w:val="9"/>
          </w:tcPr>
          <w:p>
            <w:pPr>
              <w:spacing w:after="0"/>
              <w:rPr>
                <w:sz w:val="14"/>
                <w:szCs w:val="14"/>
                <w:color w:val="auto"/>
              </w:rPr>
            </w:pPr>
          </w:p>
        </w:tc>
        <w:tc>
          <w:tcPr>
            <w:tcW w:w="420" w:type="dxa"/>
            <w:vAlign w:val="bottom"/>
            <w:gridSpan w:val="2"/>
          </w:tcPr>
          <w:p>
            <w:pPr>
              <w:spacing w:after="0"/>
              <w:rPr>
                <w:sz w:val="14"/>
                <w:szCs w:val="14"/>
                <w:color w:val="auto"/>
              </w:rPr>
            </w:pPr>
          </w:p>
        </w:tc>
        <w:tc>
          <w:tcPr>
            <w:tcW w:w="1580" w:type="dxa"/>
            <w:vAlign w:val="bottom"/>
          </w:tcPr>
          <w:p>
            <w:pPr>
              <w:spacing w:after="0"/>
              <w:rPr>
                <w:sz w:val="14"/>
                <w:szCs w:val="14"/>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 of Shareholders’ Equity for the nine months ended October 30, 2022</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58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(Unaudited)</w:t>
            </w:r>
          </w:p>
        </w:tc>
        <w:tc>
          <w:tcPr>
            <w:tcW w:w="600" w:type="dxa"/>
            <w:vAlign w:val="bottom"/>
            <w:gridSpan w:val="3"/>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 of Shareholders’ Equity for the nine months ended October 31, 2021</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58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(Unaudited)</w:t>
            </w:r>
          </w:p>
        </w:tc>
        <w:tc>
          <w:tcPr>
            <w:tcW w:w="600" w:type="dxa"/>
            <w:vAlign w:val="bottom"/>
            <w:gridSpan w:val="3"/>
          </w:tcPr>
          <w:p>
            <w:pPr>
              <w:spacing w:after="0"/>
              <w:rPr>
                <w:sz w:val="14"/>
                <w:szCs w:val="14"/>
                <w:color w:val="auto"/>
              </w:rPr>
            </w:pPr>
          </w:p>
        </w:tc>
        <w:tc>
          <w:tcPr>
            <w:tcW w:w="1580" w:type="dxa"/>
            <w:vAlign w:val="bottom"/>
          </w:tcPr>
          <w:p>
            <w:pPr>
              <w:spacing w:after="0"/>
              <w:rPr>
                <w:sz w:val="14"/>
                <w:szCs w:val="14"/>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October 30, 2022 and October 31,</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tcBorders>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8"/>
              </w:rPr>
              <w:t>2021 (Unaudited)</w:t>
            </w:r>
          </w:p>
        </w:tc>
        <w:tc>
          <w:tcPr>
            <w:tcW w:w="6900" w:type="dxa"/>
            <w:vAlign w:val="bottom"/>
            <w:gridSpan w:val="18"/>
          </w:tcPr>
          <w:p>
            <w:pPr>
              <w:spacing w:after="0"/>
              <w:rPr>
                <w:sz w:val="14"/>
                <w:szCs w:val="14"/>
                <w:color w:val="auto"/>
              </w:rPr>
            </w:pPr>
          </w:p>
        </w:tc>
        <w:tc>
          <w:tcPr>
            <w:tcW w:w="1580" w:type="dxa"/>
            <w:vAlign w:val="bottom"/>
          </w:tcPr>
          <w:p>
            <w:pPr>
              <w:spacing w:after="0"/>
              <w:rPr>
                <w:sz w:val="14"/>
                <w:szCs w:val="14"/>
                <w:color w:val="auto"/>
              </w:rPr>
            </w:pPr>
          </w:p>
        </w:tc>
      </w:tr>
      <w:tr>
        <w:trPr>
          <w:trHeight w:val="39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0"/>
        </w:trPr>
        <w:tc>
          <w:tcPr>
            <w:tcW w:w="6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80" w:type="dxa"/>
            <w:vAlign w:val="bottom"/>
            <w:gridSpan w:val="3"/>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720" w:type="dxa"/>
            <w:vAlign w:val="bottom"/>
            <w:gridSpan w:val="5"/>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960" w:type="dxa"/>
            <w:vAlign w:val="bottom"/>
            <w:gridSpan w:val="3"/>
          </w:tcPr>
          <w:p>
            <w:pPr>
              <w:spacing w:after="0"/>
              <w:rPr>
                <w:sz w:val="24"/>
                <w:szCs w:val="24"/>
                <w:color w:val="auto"/>
              </w:rPr>
            </w:pPr>
          </w:p>
        </w:tc>
        <w:tc>
          <w:tcPr>
            <w:tcW w:w="6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720" w:type="dxa"/>
            <w:vAlign w:val="bottom"/>
            <w:gridSpan w:val="5"/>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960" w:type="dxa"/>
            <w:vAlign w:val="bottom"/>
            <w:gridSpan w:val="3"/>
          </w:tcPr>
          <w:p>
            <w:pPr>
              <w:spacing w:after="0"/>
              <w:rPr>
                <w:sz w:val="24"/>
                <w:szCs w:val="24"/>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820" w:type="dxa"/>
            <w:vAlign w:val="bottom"/>
            <w:gridSpan w:val="9"/>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385"/>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385"/>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40" w:type="dxa"/>
            <w:vAlign w:val="bottom"/>
            <w:gridSpan w:val="12"/>
          </w:tcPr>
          <w:p>
            <w:pPr>
              <w:jc w:val="center"/>
              <w:ind w:right="3100"/>
              <w:spacing w:after="0"/>
              <w:rPr>
                <w:sz w:val="20"/>
                <w:szCs w:val="20"/>
                <w:color w:val="auto"/>
              </w:rPr>
            </w:pPr>
            <w:r>
              <w:rPr>
                <w:rFonts w:ascii="Times New Roman" w:cs="Times New Roman" w:eastAsia="Times New Roman" w:hAnsi="Times New Roman"/>
                <w:sz w:val="18"/>
                <w:szCs w:val="18"/>
                <w:color w:val="0000FF"/>
                <w:w w:val="99"/>
              </w:rPr>
              <w:t>Part II—Other Information</w:t>
            </w:r>
          </w:p>
        </w:tc>
        <w:tc>
          <w:tcPr>
            <w:tcW w:w="1580" w:type="dxa"/>
            <w:vAlign w:val="bottom"/>
          </w:tcPr>
          <w:p>
            <w:pPr>
              <w:spacing w:after="0"/>
              <w:rPr>
                <w:sz w:val="24"/>
                <w:szCs w:val="24"/>
                <w:color w:val="auto"/>
              </w:rPr>
            </w:pPr>
          </w:p>
        </w:tc>
      </w:tr>
      <w:tr>
        <w:trPr>
          <w:trHeight w:val="385"/>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960" w:type="dxa"/>
            <w:vAlign w:val="bottom"/>
            <w:gridSpan w:val="3"/>
          </w:tcPr>
          <w:p>
            <w:pPr>
              <w:spacing w:after="0"/>
              <w:rPr>
                <w:sz w:val="24"/>
                <w:szCs w:val="24"/>
                <w:color w:val="auto"/>
              </w:rPr>
            </w:pP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800" w:type="dxa"/>
            <w:vAlign w:val="bottom"/>
            <w:gridSpan w:val="5"/>
          </w:tcPr>
          <w:p>
            <w:pPr>
              <w:spacing w:after="0"/>
              <w:rPr>
                <w:sz w:val="24"/>
                <w:szCs w:val="24"/>
                <w:color w:val="auto"/>
              </w:rPr>
            </w:pPr>
          </w:p>
        </w:tc>
        <w:tc>
          <w:tcPr>
            <w:tcW w:w="1940" w:type="dxa"/>
            <w:vAlign w:val="bottom"/>
            <w:tcBorders>
              <w:top w:val="single" w:sz="8" w:color="0000FF"/>
            </w:tcBorders>
            <w:gridSpan w:val="5"/>
          </w:tcPr>
          <w:p>
            <w:pPr>
              <w:spacing w:after="0"/>
              <w:rPr>
                <w:sz w:val="24"/>
                <w:szCs w:val="24"/>
                <w:color w:val="auto"/>
              </w:rPr>
            </w:pPr>
          </w:p>
        </w:tc>
        <w:tc>
          <w:tcPr>
            <w:tcW w:w="3100" w:type="dxa"/>
            <w:vAlign w:val="bottom"/>
            <w:gridSpan w:val="7"/>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385"/>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440" w:type="dxa"/>
            <w:vAlign w:val="bottom"/>
            <w:gridSpan w:val="9"/>
          </w:tcPr>
          <w:p>
            <w:pPr>
              <w:spacing w:after="0" w:line="20" w:lineRule="exact"/>
              <w:rPr>
                <w:sz w:val="1"/>
                <w:szCs w:val="1"/>
                <w:color w:val="auto"/>
              </w:rPr>
            </w:pPr>
          </w:p>
        </w:tc>
        <w:tc>
          <w:tcPr>
            <w:tcW w:w="3840" w:type="dxa"/>
            <w:vAlign w:val="bottom"/>
            <w:gridSpan w:val="1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38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81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385"/>
        </w:trPr>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960" w:type="dxa"/>
            <w:vAlign w:val="bottom"/>
            <w:gridSpan w:val="3"/>
          </w:tcPr>
          <w:p>
            <w:pPr>
              <w:spacing w:after="0"/>
              <w:rPr>
                <w:sz w:val="24"/>
                <w:szCs w:val="24"/>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3740" w:type="dxa"/>
            <w:vAlign w:val="bottom"/>
            <w:tcBorders>
              <w:top w:val="single" w:sz="8" w:color="0000FF"/>
            </w:tcBorders>
            <w:gridSpan w:val="11"/>
          </w:tcPr>
          <w:p>
            <w:pPr>
              <w:spacing w:after="0"/>
              <w:rPr>
                <w:sz w:val="24"/>
                <w:szCs w:val="24"/>
                <w:color w:val="auto"/>
              </w:rPr>
            </w:pPr>
          </w:p>
        </w:tc>
        <w:tc>
          <w:tcPr>
            <w:tcW w:w="3840" w:type="dxa"/>
            <w:vAlign w:val="bottom"/>
            <w:gridSpan w:val="10"/>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777"/>
        </w:trPr>
        <w:tc>
          <w:tcPr>
            <w:tcW w:w="14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830"/>
        </w:trPr>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720" w:type="dxa"/>
            <w:vAlign w:val="bottom"/>
          </w:tcPr>
          <w:p>
            <w:pPr>
              <w:spacing w:after="0"/>
              <w:rPr>
                <w:sz w:val="24"/>
                <w:szCs w:val="24"/>
                <w:color w:val="auto"/>
              </w:rPr>
            </w:pPr>
          </w:p>
        </w:tc>
        <w:tc>
          <w:tcPr>
            <w:tcW w:w="4340" w:type="dxa"/>
            <w:vAlign w:val="bottom"/>
            <w:gridSpan w:val="12"/>
          </w:tcPr>
          <w:p>
            <w:pPr>
              <w:ind w:left="41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520"/>
        </w:trPr>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ind w:left="3760"/>
        <w:spacing w:after="0" w:line="219" w:lineRule="auto"/>
        <w:rPr>
          <w:sz w:val="20"/>
          <w:szCs w:val="20"/>
          <w:color w:val="auto"/>
        </w:rPr>
      </w:pPr>
      <w:r>
        <w:rPr>
          <w:rFonts w:ascii="Times New Roman" w:cs="Times New Roman" w:eastAsia="Times New Roman" w:hAnsi="Times New Roman"/>
          <w:sz w:val="18"/>
          <w:szCs w:val="18"/>
          <w:b w:val="1"/>
          <w:bCs w:val="1"/>
          <w:color w:val="auto"/>
        </w:rPr>
        <w:t>Condensed Consolidated Balance Sheets - Assets</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(Unaudited)</w:t>
      </w: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9,407</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77,051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19,753</w:t>
            </w:r>
          </w:p>
        </w:tc>
      </w:tr>
      <w:tr>
        <w:trPr>
          <w:trHeight w:val="22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w:t>
            </w:r>
          </w:p>
        </w:tc>
      </w:tr>
      <w:tr>
        <w:trPr>
          <w:trHeight w:val="22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receivable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r>
      <w:tr>
        <w:trPr>
          <w:trHeight w:val="270"/>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less reserves of $1,479, $2,372, and $1,439, respectively</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204,717</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122,672</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165,078</w:t>
            </w:r>
          </w:p>
        </w:tc>
      </w:tr>
      <w:tr>
        <w:trPr>
          <w:trHeight w:val="23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&amp; other 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14,787</w:t>
            </w:r>
          </w:p>
        </w:tc>
      </w:tr>
      <w:tr>
        <w:trPr>
          <w:trHeight w:val="229"/>
        </w:trPr>
        <w:tc>
          <w:tcPr>
            <w:tcW w:w="6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catalog costs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209"/>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240,017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205,991</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110,078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114,579</w:t>
            </w: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135,164</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124,164</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47,938</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50,866</w:t>
            </w: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Available-for-sale security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w:t>
            </w:r>
          </w:p>
        </w:tc>
      </w:tr>
      <w:tr>
        <w:trPr>
          <w:trHeight w:val="229"/>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5,382</w:t>
            </w:r>
          </w:p>
        </w:tc>
      </w:tr>
      <w:tr>
        <w:trPr>
          <w:trHeight w:val="196"/>
        </w:trPr>
        <w:tc>
          <w:tcPr>
            <w:tcW w:w="664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547,650</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515,550</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507,580</w:t>
            </w: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3" w:name="page4"/>
    <w:bookmarkEnd w:id="3"/>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Liabilities and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2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77,842</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59,157</w:t>
            </w:r>
          </w:p>
        </w:tc>
      </w:tr>
      <w:tr>
        <w:trPr>
          <w:trHeight w:val="230"/>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41,832</w:t>
            </w:r>
          </w:p>
        </w:tc>
      </w:tr>
      <w:tr>
        <w:trPr>
          <w:trHeight w:val="22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12,362</w:t>
            </w:r>
          </w:p>
        </w:tc>
      </w:tr>
      <w:tr>
        <w:trPr>
          <w:trHeight w:val="230"/>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finance lease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2,679</w:t>
            </w:r>
          </w:p>
        </w:tc>
      </w:tr>
      <w:tr>
        <w:trPr>
          <w:trHeight w:val="229"/>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Duluth line of credit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maturities of TRI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10"/>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141,283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115,996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116,705</w:t>
            </w: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less current maturities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120,908</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110,370</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liabilities, less current maturities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38,151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40,954</w:t>
            </w: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 less current maturities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26,099</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26,773</w:t>
            </w:r>
          </w:p>
        </w:tc>
      </w:tr>
      <w:tr>
        <w:trPr>
          <w:trHeight w:val="229"/>
        </w:trPr>
        <w:tc>
          <w:tcPr>
            <w:tcW w:w="6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8,092</w:t>
            </w:r>
          </w:p>
        </w:tc>
      </w:tr>
      <w:tr>
        <w:trPr>
          <w:trHeight w:val="210"/>
        </w:trPr>
        <w:tc>
          <w:tcPr>
            <w:tcW w:w="6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329,013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292,832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302,894</w:t>
            </w:r>
          </w:p>
        </w:tc>
      </w:tr>
      <w:tr>
        <w:trPr>
          <w:trHeight w:val="22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14"/>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no par value; 10,000 shares authorized; no shares</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2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issued or outstanding as of October 30, 2022, January 30, 2022 and  October 31, 2021</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40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(Class A), no par value; 10,000 shares authorized;</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9"/>
        </w:trPr>
        <w:tc>
          <w:tcPr>
            <w:tcW w:w="664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3,364 shares issued and outstanding as of October 30, 2022, January 30, 2022</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21"/>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October 31, 2021</w:t>
            </w:r>
          </w:p>
        </w:tc>
        <w:tc>
          <w:tcPr>
            <w:tcW w:w="26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846"/>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(Class B), no par value; 200,000 shares authorized;</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189"/>
        </w:trPr>
        <w:tc>
          <w:tcPr>
            <w:tcW w:w="66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30,167 shares issued and 30,055 shares outstanding as of October 30, 2022,</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03"/>
        </w:trPr>
        <w:tc>
          <w:tcPr>
            <w:tcW w:w="664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29,786 shares issued and 29,707 shares outstanding as of January 30, 2022 and</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1"/>
        </w:trPr>
        <w:tc>
          <w:tcPr>
            <w:tcW w:w="6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29,782 shares issued and 29,703 shares outstanding as of October 31, 2021</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52"/>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112, 79 and 79 shares as of October 30, 2022,</w:t>
            </w:r>
          </w:p>
        </w:tc>
        <w:tc>
          <w:tcPr>
            <w:tcW w:w="2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1"/>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January 30, 2022 and October 31, 2021, respectively</w:t>
            </w:r>
          </w:p>
        </w:tc>
        <w:tc>
          <w:tcPr>
            <w:tcW w:w="2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(1,459)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(1,002)</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97,977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95,515</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94,815</w:t>
            </w:r>
          </w:p>
        </w:tc>
      </w:tr>
      <w:tr>
        <w:trPr>
          <w:trHeight w:val="230"/>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125,725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130,868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113,509</w:t>
            </w:r>
          </w:p>
        </w:tc>
      </w:tr>
      <w:tr>
        <w:trPr>
          <w:trHeight w:val="230"/>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10"/>
        </w:trPr>
        <w:tc>
          <w:tcPr>
            <w:tcW w:w="6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shareholders' equity of Duluth Holdings Inc.</w:t>
            </w:r>
          </w:p>
        </w:tc>
        <w:tc>
          <w:tcPr>
            <w:tcW w:w="2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221,871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225,870</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207,820</w:t>
            </w:r>
          </w:p>
        </w:tc>
      </w:tr>
      <w:tr>
        <w:trPr>
          <w:trHeight w:val="229"/>
        </w:trPr>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(3,234)</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(3,152)</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(3,134)</w:t>
            </w:r>
          </w:p>
        </w:tc>
      </w:tr>
      <w:tr>
        <w:trPr>
          <w:trHeight w:val="210"/>
        </w:trPr>
        <w:tc>
          <w:tcPr>
            <w:tcW w:w="6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218,637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222,718</w:t>
            </w:r>
          </w:p>
        </w:tc>
        <w:tc>
          <w:tcPr>
            <w:tcW w:w="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204,686</w:t>
            </w:r>
          </w:p>
        </w:tc>
      </w:tr>
      <w:tr>
        <w:trPr>
          <w:trHeight w:val="196"/>
        </w:trPr>
        <w:tc>
          <w:tcPr>
            <w:tcW w:w="664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547,650</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515,550</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507,580</w:t>
            </w:r>
          </w:p>
        </w:tc>
      </w:tr>
      <w:tr>
        <w:trPr>
          <w:trHeight w:val="20"/>
        </w:trPr>
        <w:tc>
          <w:tcPr>
            <w:tcW w:w="6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4" w:name="page5"/>
    <w:bookmarkEnd w:id="4"/>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figures)</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56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4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25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147,126</w:t>
            </w:r>
          </w:p>
        </w:tc>
        <w:tc>
          <w:tcPr>
            <w:tcW w:w="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145,277</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411,541</w:t>
            </w:r>
          </w:p>
        </w:tc>
        <w:tc>
          <w:tcPr>
            <w:tcW w:w="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427,823</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 amortization)</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70,205</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61,627</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191,949</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196,204</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219,592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231,619</w:t>
            </w:r>
          </w:p>
        </w:tc>
        <w:tc>
          <w:tcPr>
            <w:tcW w:w="0" w:type="dxa"/>
            <w:vAlign w:val="bottom"/>
          </w:tcPr>
          <w:p>
            <w:pPr>
              <w:spacing w:after="0"/>
              <w:rPr>
                <w:sz w:val="1"/>
                <w:szCs w:val="1"/>
                <w:color w:val="auto"/>
              </w:rPr>
            </w:pPr>
          </w:p>
        </w:tc>
      </w:tr>
      <w:tr>
        <w:trPr>
          <w:trHeight w:val="230"/>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84,311</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78,792</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224,044</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211,779</w:t>
            </w:r>
          </w:p>
        </w:tc>
        <w:tc>
          <w:tcPr>
            <w:tcW w:w="0" w:type="dxa"/>
            <w:vAlign w:val="bottom"/>
          </w:tcPr>
          <w:p>
            <w:pPr>
              <w:spacing w:after="0"/>
              <w:rPr>
                <w:sz w:val="1"/>
                <w:szCs w:val="1"/>
                <w:color w:val="auto"/>
              </w:rPr>
            </w:pPr>
          </w:p>
        </w:tc>
      </w:tr>
      <w:tr>
        <w:trPr>
          <w:trHeight w:val="20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19,840</w:t>
            </w:r>
          </w:p>
        </w:tc>
        <w:tc>
          <w:tcPr>
            <w:tcW w:w="0" w:type="dxa"/>
            <w:vAlign w:val="bottom"/>
          </w:tcPr>
          <w:p>
            <w:pPr>
              <w:spacing w:after="0"/>
              <w:rPr>
                <w:sz w:val="1"/>
                <w:szCs w:val="1"/>
                <w:color w:val="auto"/>
              </w:rPr>
            </w:pPr>
          </w:p>
        </w:tc>
      </w:tr>
      <w:tr>
        <w:trPr>
          <w:trHeight w:val="22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0" w:type="dxa"/>
            <w:vAlign w:val="bottom"/>
          </w:tcPr>
          <w:p>
            <w:pPr>
              <w:spacing w:after="0"/>
              <w:rPr>
                <w:sz w:val="1"/>
                <w:szCs w:val="1"/>
                <w:color w:val="auto"/>
              </w:rPr>
            </w:pPr>
          </w:p>
        </w:tc>
      </w:tr>
      <w:tr>
        <w:trPr>
          <w:trHeight w:val="23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09"/>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16,257</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0" w:type="dxa"/>
            <w:vAlign w:val="bottom"/>
          </w:tcPr>
          <w:p>
            <w:pPr>
              <w:spacing w:after="0"/>
              <w:rPr>
                <w:sz w:val="1"/>
                <w:szCs w:val="1"/>
                <w:color w:val="auto"/>
              </w:rPr>
            </w:pPr>
          </w:p>
        </w:tc>
      </w:tr>
      <w:tr>
        <w:trPr>
          <w:trHeight w:val="21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3"/>
        </w:trPr>
        <w:tc>
          <w:tcPr>
            <w:tcW w:w="560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Net (loss) income attributable to controlling interest</w:t>
            </w: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(6,217)</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2,806</w:t>
            </w: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(5,143)</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12,343</w:t>
            </w:r>
          </w:p>
        </w:tc>
        <w:tc>
          <w:tcPr>
            <w:tcW w:w="0" w:type="dxa"/>
            <w:vAlign w:val="bottom"/>
          </w:tcPr>
          <w:p>
            <w:pPr>
              <w:spacing w:after="0"/>
              <w:rPr>
                <w:sz w:val="1"/>
                <w:szCs w:val="1"/>
                <w:color w:val="auto"/>
              </w:rPr>
            </w:pPr>
          </w:p>
        </w:tc>
      </w:tr>
      <w:tr>
        <w:trPr>
          <w:trHeight w:val="183"/>
        </w:trPr>
        <w:tc>
          <w:tcPr>
            <w:tcW w:w="560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8"/>
                <w:szCs w:val="18"/>
                <w:b w:val="1"/>
                <w:bCs w:val="1"/>
                <w:color w:val="auto"/>
              </w:rPr>
              <w:t>Basic earnings per share (Class A and Class B):</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32,792</w:t>
            </w: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32,649</w:t>
            </w: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32,605</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share attributable to controlling interest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Diluted earnings per share (Class A and Class B):</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and equivalents outstanding</w:t>
            </w: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32,792</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32,761</w:t>
            </w:r>
          </w:p>
        </w:tc>
        <w:tc>
          <w:tcPr>
            <w:tcW w:w="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32,825</w:t>
            </w:r>
          </w:p>
        </w:tc>
        <w:tc>
          <w:tcPr>
            <w:tcW w:w="0" w:type="dxa"/>
            <w:vAlign w:val="bottom"/>
          </w:tcPr>
          <w:p>
            <w:pPr>
              <w:spacing w:after="0"/>
              <w:rPr>
                <w:sz w:val="1"/>
                <w:szCs w:val="1"/>
                <w:color w:val="auto"/>
              </w:rPr>
            </w:pPr>
          </w:p>
        </w:tc>
      </w:tr>
      <w:tr>
        <w:trPr>
          <w:trHeight w:val="196"/>
        </w:trPr>
        <w:tc>
          <w:tcPr>
            <w:tcW w:w="5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share attributable to controlling interest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(0.16)</w:t>
            </w:r>
          </w:p>
        </w:tc>
        <w:tc>
          <w:tcPr>
            <w:tcW w:w="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5" w:name="page6"/>
    <w:bookmarkEnd w:id="5"/>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Income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5"/>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3"/>
        </w:trPr>
        <w:tc>
          <w:tcPr>
            <w:tcW w:w="5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196"/>
        </w:trPr>
        <w:tc>
          <w:tcPr>
            <w:tcW w:w="55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(6,243)</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2,763</w:t>
            </w: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(5,225)</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12,209</w:t>
            </w:r>
          </w:p>
        </w:tc>
      </w:tr>
      <w:tr>
        <w:trPr>
          <w:trHeight w:val="216"/>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Securities available-for sale:</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29"/>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security (loss) income arising during the period</w:t>
            </w:r>
          </w:p>
        </w:tc>
        <w:tc>
          <w:tcPr>
            <w:tcW w:w="1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9"/>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196"/>
        </w:trPr>
        <w:tc>
          <w:tcPr>
            <w:tcW w:w="556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Other comprehensive (loss) income</w:t>
            </w: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(374)</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(861)</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446</w:t>
            </w:r>
          </w:p>
        </w:tc>
      </w:tr>
      <w:tr>
        <w:trPr>
          <w:trHeight w:val="196"/>
        </w:trPr>
        <w:tc>
          <w:tcPr>
            <w:tcW w:w="55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Comprehensive (loss) income</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(6,617)</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2,693</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(6,086)</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12,655</w:t>
            </w:r>
          </w:p>
        </w:tc>
      </w:tr>
      <w:tr>
        <w:trPr>
          <w:trHeight w:val="229"/>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14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05"/>
        </w:trPr>
        <w:tc>
          <w:tcPr>
            <w:tcW w:w="5560" w:type="dxa"/>
            <w:vAlign w:val="bottom"/>
            <w:tcBorders>
              <w:top w:val="single" w:sz="8" w:color="CCEEFF"/>
            </w:tcBorders>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Comprehensive income attributable</w:t>
            </w: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21"/>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 controlling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(6,591)</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(6,004)</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12,789</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6" w:name="page7"/>
    <w:bookmarkEnd w:id="6"/>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9"/>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Nine Months Ended October 30, 2022</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5"/>
                <w:szCs w:val="15"/>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100" w:type="dxa"/>
            <w:vAlign w:val="bottom"/>
          </w:tcPr>
          <w:p>
            <w:pPr>
              <w:spacing w:after="0"/>
              <w:rPr>
                <w:sz w:val="16"/>
                <w:szCs w:val="16"/>
                <w:color w:val="auto"/>
              </w:rPr>
            </w:pPr>
          </w:p>
        </w:tc>
        <w:tc>
          <w:tcPr>
            <w:tcW w:w="9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6"/>
        </w:trPr>
        <w:tc>
          <w:tcPr>
            <w:tcW w:w="3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6"/>
                <w:szCs w:val="16"/>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6"/>
                <w:szCs w:val="16"/>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100" w:type="dxa"/>
            <w:vAlign w:val="bottom"/>
          </w:tcPr>
          <w:p>
            <w:pPr>
              <w:spacing w:after="0"/>
              <w:rPr>
                <w:sz w:val="16"/>
                <w:szCs w:val="16"/>
                <w:color w:val="auto"/>
              </w:rPr>
            </w:pPr>
          </w:p>
        </w:tc>
        <w:tc>
          <w:tcPr>
            <w:tcW w:w="9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9"/>
        </w:trPr>
        <w:tc>
          <w:tcPr>
            <w:tcW w:w="3760" w:type="dxa"/>
            <w:vAlign w:val="bottom"/>
          </w:tcPr>
          <w:p>
            <w:pPr>
              <w:spacing w:after="0"/>
              <w:rPr>
                <w:sz w:val="17"/>
                <w:szCs w:val="17"/>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entity</w:t>
            </w:r>
          </w:p>
        </w:tc>
        <w:tc>
          <w:tcPr>
            <w:tcW w:w="100" w:type="dxa"/>
            <w:vAlign w:val="bottom"/>
          </w:tcPr>
          <w:p>
            <w:pPr>
              <w:spacing w:after="0"/>
              <w:rPr>
                <w:sz w:val="17"/>
                <w:szCs w:val="17"/>
                <w:color w:val="auto"/>
              </w:rPr>
            </w:pPr>
          </w:p>
        </w:tc>
        <w:tc>
          <w:tcPr>
            <w:tcW w:w="9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30, 2022</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33,071</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95,515</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130,868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222,718</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(1,294)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0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May 1, 2022</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96,299</w:t>
            </w: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129,574</w:t>
            </w: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(3,181)</w:t>
            </w:r>
          </w:p>
        </w:tc>
        <w:tc>
          <w:tcPr>
            <w:tcW w:w="6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221,388</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2,341</w:t>
            </w:r>
          </w:p>
        </w:tc>
        <w:tc>
          <w:tcPr>
            <w:tcW w:w="0" w:type="dxa"/>
            <w:vAlign w:val="bottom"/>
          </w:tcPr>
          <w:p>
            <w:pPr>
              <w:spacing w:after="0"/>
              <w:rPr>
                <w:sz w:val="1"/>
                <w:szCs w:val="1"/>
                <w:color w:val="auto"/>
              </w:rPr>
            </w:pPr>
          </w:p>
        </w:tc>
      </w:tr>
      <w:tr>
        <w:trPr>
          <w:trHeight w:val="183"/>
        </w:trPr>
        <w:tc>
          <w:tcPr>
            <w:tcW w:w="37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at July 31, 2022</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33,341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97,102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(1,458)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131,942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(3,208)</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224,380</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760" w:type="dxa"/>
            <w:vAlign w:val="bottom"/>
            <w:vMerge w:val="continue"/>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79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149</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(6,217)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0" w:type="dxa"/>
            <w:vAlign w:val="bottom"/>
          </w:tcPr>
          <w:p>
            <w:pPr>
              <w:spacing w:after="0"/>
              <w:rPr>
                <w:sz w:val="1"/>
                <w:szCs w:val="1"/>
                <w:color w:val="auto"/>
              </w:rPr>
            </w:pPr>
          </w:p>
        </w:tc>
      </w:tr>
      <w:tr>
        <w:trPr>
          <w:trHeight w:val="183"/>
        </w:trPr>
        <w:tc>
          <w:tcPr>
            <w:tcW w:w="37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at October 30, 2022</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33,419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97,977</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(1,459)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125,725</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(372)</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(3,234)</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218,637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7" w:name="page8"/>
    <w:bookmarkEnd w:id="7"/>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Shareholders’ Equity</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October 31, 2021</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Capital stock</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interest in</w:t>
            </w:r>
          </w:p>
        </w:tc>
        <w:tc>
          <w:tcPr>
            <w:tcW w:w="100" w:type="dxa"/>
            <w:vAlign w:val="bottom"/>
          </w:tcPr>
          <w:p>
            <w:pPr>
              <w:spacing w:after="0"/>
              <w:rPr>
                <w:sz w:val="18"/>
                <w:szCs w:val="18"/>
                <w:color w:val="auto"/>
              </w:rPr>
            </w:pPr>
          </w:p>
        </w:tc>
        <w:tc>
          <w:tcPr>
            <w:tcW w:w="9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9"/>
        </w:trPr>
        <w:tc>
          <w:tcPr>
            <w:tcW w:w="3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7"/>
                <w:szCs w:val="17"/>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variable interest</w:t>
            </w:r>
          </w:p>
        </w:tc>
        <w:tc>
          <w:tcPr>
            <w:tcW w:w="100" w:type="dxa"/>
            <w:vAlign w:val="bottom"/>
          </w:tcPr>
          <w:p>
            <w:pPr>
              <w:spacing w:after="0"/>
              <w:rPr>
                <w:sz w:val="17"/>
                <w:szCs w:val="17"/>
                <w:color w:val="auto"/>
              </w:rPr>
            </w:pPr>
          </w:p>
        </w:tc>
        <w:tc>
          <w:tcPr>
            <w:tcW w:w="9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213"/>
        </w:trPr>
        <w:tc>
          <w:tcPr>
            <w:tcW w:w="37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8"/>
                <w:szCs w:val="18"/>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entity</w:t>
            </w:r>
          </w:p>
        </w:tc>
        <w:tc>
          <w:tcPr>
            <w:tcW w:w="100" w:type="dxa"/>
            <w:vAlign w:val="bottom"/>
          </w:tcPr>
          <w:p>
            <w:pPr>
              <w:spacing w:after="0"/>
              <w:rPr>
                <w:sz w:val="18"/>
                <w:szCs w:val="18"/>
                <w:color w:val="auto"/>
              </w:rPr>
            </w:pPr>
          </w:p>
        </w:tc>
        <w:tc>
          <w:tcPr>
            <w:tcW w:w="98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at January 31, 2021</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32,841</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92,875</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(628)</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101,166</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(3,000)</w:t>
            </w: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190,461</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3"/>
        </w:trPr>
        <w:tc>
          <w:tcPr>
            <w:tcW w:w="3760" w:type="dxa"/>
            <w:vAlign w:val="bottom"/>
            <w:tcBorders>
              <w:bottom w:val="single" w:sz="8" w:color="CCEEFF"/>
            </w:tcBorders>
          </w:tcPr>
          <w:p>
            <w:pPr>
              <w:spacing w:after="0" w:line="182" w:lineRule="exact"/>
              <w:rPr>
                <w:sz w:val="20"/>
                <w:szCs w:val="20"/>
                <w:color w:val="auto"/>
              </w:rPr>
            </w:pPr>
            <w:r>
              <w:rPr>
                <w:rFonts w:ascii="Times New Roman" w:cs="Times New Roman" w:eastAsia="Times New Roman" w:hAnsi="Times New Roman"/>
                <w:sz w:val="18"/>
                <w:szCs w:val="18"/>
                <w:color w:val="auto"/>
              </w:rPr>
              <w:t>Balance at May 2, 2021</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32,917</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93,378</w:t>
            </w: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(986)</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101,710</w:t>
            </w: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250</w:t>
            </w:r>
          </w:p>
        </w:tc>
        <w:tc>
          <w:tcPr>
            <w:tcW w:w="6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(3,046)</w:t>
            </w:r>
          </w:p>
        </w:tc>
        <w:tc>
          <w:tcPr>
            <w:tcW w:w="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191,306</w:t>
            </w:r>
          </w:p>
        </w:tc>
        <w:tc>
          <w:tcPr>
            <w:tcW w:w="0" w:type="dxa"/>
            <w:vAlign w:val="bottom"/>
          </w:tcPr>
          <w:p>
            <w:pPr>
              <w:spacing w:after="0"/>
              <w:rPr>
                <w:sz w:val="1"/>
                <w:szCs w:val="1"/>
                <w:color w:val="auto"/>
              </w:rPr>
            </w:pPr>
          </w:p>
        </w:tc>
      </w:tr>
      <w:tr>
        <w:trPr>
          <w:trHeight w:val="170"/>
        </w:trPr>
        <w:tc>
          <w:tcPr>
            <w:tcW w:w="3760" w:type="dxa"/>
            <w:vAlign w:val="bottom"/>
            <w:shd w:val="clear" w:color="auto" w:fill="CCEEFF"/>
          </w:tcPr>
          <w:p>
            <w:pPr>
              <w:ind w:left="120"/>
              <w:spacing w:after="0" w:line="170" w:lineRule="exact"/>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142</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139</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0" w:lineRule="exact"/>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8,947</w:t>
            </w:r>
          </w:p>
        </w:tc>
        <w:tc>
          <w:tcPr>
            <w:tcW w:w="0" w:type="dxa"/>
            <w:vAlign w:val="bottom"/>
          </w:tcPr>
          <w:p>
            <w:pPr>
              <w:spacing w:after="0"/>
              <w:rPr>
                <w:sz w:val="1"/>
                <w:szCs w:val="1"/>
                <w:color w:val="auto"/>
              </w:rPr>
            </w:pPr>
          </w:p>
        </w:tc>
      </w:tr>
      <w:tr>
        <w:trPr>
          <w:trHeight w:val="183"/>
        </w:trPr>
        <w:tc>
          <w:tcPr>
            <w:tcW w:w="37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Balance at August 1, 2021</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33,057</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94,080</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(991)</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110,702</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564</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(3,091)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201,264</w:t>
            </w:r>
          </w:p>
        </w:tc>
        <w:tc>
          <w:tcPr>
            <w:tcW w:w="0" w:type="dxa"/>
            <w:vAlign w:val="bottom"/>
          </w:tcPr>
          <w:p>
            <w:pPr>
              <w:spacing w:after="0"/>
              <w:rPr>
                <w:sz w:val="1"/>
                <w:szCs w:val="1"/>
                <w:color w:val="auto"/>
              </w:rPr>
            </w:pPr>
          </w:p>
        </w:tc>
      </w:tr>
      <w:tr>
        <w:trPr>
          <w:trHeight w:val="20"/>
        </w:trPr>
        <w:tc>
          <w:tcPr>
            <w:tcW w:w="37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Issuance of common stock</w:t>
            </w: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60" w:type="dxa"/>
            <w:vAlign w:val="bottom"/>
            <w:vMerge w:val="continue"/>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171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line="170" w:lineRule="exact"/>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stock forfeitures</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stock surrendered for taxes</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w:t>
            </w:r>
          </w:p>
        </w:tc>
        <w:tc>
          <w:tcPr>
            <w:tcW w:w="0" w:type="dxa"/>
            <w:vAlign w:val="bottom"/>
          </w:tcPr>
          <w:p>
            <w:pPr>
              <w:spacing w:after="0"/>
              <w:rPr>
                <w:sz w:val="1"/>
                <w:szCs w:val="1"/>
                <w:color w:val="auto"/>
              </w:rPr>
            </w:pPr>
          </w:p>
        </w:tc>
      </w:tr>
      <w:tr>
        <w:trPr>
          <w:trHeight w:val="183"/>
        </w:trPr>
        <w:tc>
          <w:tcPr>
            <w:tcW w:w="376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Balance at October 31, 2021</w:t>
            </w:r>
          </w:p>
        </w:tc>
        <w:tc>
          <w:tcPr>
            <w:tcW w:w="8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33,067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94,815</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(998)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113,509</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494</w:t>
            </w:r>
          </w:p>
        </w:tc>
        <w:tc>
          <w:tcPr>
            <w:tcW w:w="6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(3,134)</w:t>
            </w:r>
          </w:p>
        </w:tc>
        <w:tc>
          <w:tcPr>
            <w:tcW w:w="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204,686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8" w:name="page9"/>
    <w:bookmarkEnd w:id="8"/>
    <w:p>
      <w:pPr>
        <w:ind w:left="4520"/>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700" w:type="dxa"/>
            <w:vAlign w:val="bottom"/>
            <w:tcBorders>
              <w:bottom w:val="single" w:sz="8" w:color="auto"/>
            </w:tcBorders>
            <w:gridSpan w:val="4"/>
          </w:tcPr>
          <w:p>
            <w:pPr>
              <w:jc w:val="right"/>
              <w:ind w:right="12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60" w:type="dxa"/>
            <w:vAlign w:val="bottom"/>
          </w:tcPr>
          <w:p>
            <w:pPr>
              <w:spacing w:after="0"/>
              <w:rPr>
                <w:sz w:val="17"/>
                <w:szCs w:val="17"/>
                <w:color w:val="auto"/>
              </w:rPr>
            </w:pPr>
          </w:p>
        </w:tc>
        <w:tc>
          <w:tcPr>
            <w:tcW w:w="164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196"/>
        </w:trPr>
        <w:tc>
          <w:tcPr>
            <w:tcW w:w="63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(5,225)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21,822</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(1,011)</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0" w:type="dxa"/>
            <w:vAlign w:val="bottom"/>
          </w:tcPr>
          <w:p>
            <w:pPr>
              <w:spacing w:after="0"/>
              <w:rPr>
                <w:sz w:val="1"/>
                <w:szCs w:val="1"/>
                <w:color w:val="auto"/>
              </w:rPr>
            </w:pP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receivable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(1,452)</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(82,045)</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(16,026)</w:t>
            </w:r>
          </w:p>
        </w:tc>
        <w:tc>
          <w:tcPr>
            <w:tcW w:w="0" w:type="dxa"/>
            <w:vAlign w:val="bottom"/>
          </w:tcPr>
          <w:p>
            <w:pPr>
              <w:spacing w:after="0"/>
              <w:rPr>
                <w:sz w:val="1"/>
                <w:szCs w:val="1"/>
                <w:color w:val="auto"/>
              </w:rPr>
            </w:pP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 &amp; other current assets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(1,107)</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Software hosting implementation costs, net</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(318)</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0" w:type="dxa"/>
            <w:vAlign w:val="bottom"/>
          </w:tcPr>
          <w:p>
            <w:pPr>
              <w:spacing w:after="0"/>
              <w:rPr>
                <w:sz w:val="1"/>
                <w:szCs w:val="1"/>
                <w:color w:val="auto"/>
              </w:rPr>
            </w:pP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catalog costs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Trade accounts payable</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24,944</w:t>
            </w:r>
          </w:p>
        </w:tc>
        <w:tc>
          <w:tcPr>
            <w:tcW w:w="0" w:type="dxa"/>
            <w:vAlign w:val="bottom"/>
          </w:tcPr>
          <w:p>
            <w:pPr>
              <w:spacing w:after="0"/>
              <w:rPr>
                <w:sz w:val="1"/>
                <w:szCs w:val="1"/>
                <w:color w:val="auto"/>
              </w:rPr>
            </w:pP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(6,814)</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deferred rent obligations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(13,377)</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0" w:type="dxa"/>
            <w:vAlign w:val="bottom"/>
          </w:tcPr>
          <w:p>
            <w:pPr>
              <w:spacing w:after="0"/>
              <w:rPr>
                <w:sz w:val="1"/>
                <w:szCs w:val="1"/>
                <w:color w:val="auto"/>
              </w:rPr>
            </w:pP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(436)</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lease impacts</w:t>
            </w:r>
          </w:p>
        </w:tc>
        <w:tc>
          <w:tcPr>
            <w:tcW w:w="9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(51,008)</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32,758</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(24,245)</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(9,108)</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receipts from available-for-sale security</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Proceeds from disposals</w:t>
            </w:r>
          </w:p>
        </w:tc>
        <w:tc>
          <w:tcPr>
            <w:tcW w:w="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cash used in investing activities</w:t>
            </w:r>
          </w:p>
        </w:tc>
        <w:tc>
          <w:tcPr>
            <w:tcW w:w="9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(24,117)</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(8,945)</w:t>
            </w:r>
          </w:p>
        </w:tc>
        <w:tc>
          <w:tcPr>
            <w:tcW w:w="0" w:type="dxa"/>
            <w:vAlign w:val="bottom"/>
          </w:tcPr>
          <w:p>
            <w:pPr>
              <w:spacing w:after="0"/>
              <w:rPr>
                <w:sz w:val="1"/>
                <w:szCs w:val="1"/>
                <w:color w:val="auto"/>
              </w:rPr>
            </w:pPr>
          </w:p>
        </w:tc>
      </w:tr>
      <w:tr>
        <w:trPr>
          <w:trHeight w:val="196"/>
        </w:trPr>
        <w:tc>
          <w:tcPr>
            <w:tcW w:w="6380" w:type="dxa"/>
            <w:vAlign w:val="bottom"/>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line of credit</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Payments on line of credit</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30"/>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delayed draw term loan</w:t>
            </w: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(48,250)</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Payments on TRI long term debt</w:t>
            </w: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(509)</w:t>
            </w: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finance lease obligations</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(2,015)</w:t>
            </w: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0" w:type="dxa"/>
            <w:vAlign w:val="bottom"/>
          </w:tcPr>
          <w:p>
            <w:pPr>
              <w:spacing w:after="0"/>
              <w:rPr>
                <w:sz w:val="1"/>
                <w:szCs w:val="1"/>
                <w:color w:val="auto"/>
              </w:rPr>
            </w:pPr>
          </w:p>
        </w:tc>
      </w:tr>
      <w:tr>
        <w:trPr>
          <w:trHeight w:val="229"/>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Payments of tax withholding on vested restricted shares</w:t>
            </w: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(457)</w:t>
            </w: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tcPr>
          <w:p>
            <w:pPr>
              <w:spacing w:after="0" w:line="196" w:lineRule="exact"/>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7,481</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(50,644)</w:t>
            </w: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Decrease in cash and cash equivalents</w:t>
            </w: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(67,644)</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(26,831)</w:t>
            </w:r>
          </w:p>
        </w:tc>
        <w:tc>
          <w:tcPr>
            <w:tcW w:w="0" w:type="dxa"/>
            <w:vAlign w:val="bottom"/>
          </w:tcPr>
          <w:p>
            <w:pPr>
              <w:spacing w:after="0"/>
              <w:rPr>
                <w:sz w:val="1"/>
                <w:szCs w:val="1"/>
                <w:color w:val="auto"/>
              </w:rPr>
            </w:pPr>
          </w:p>
        </w:tc>
      </w:tr>
      <w:tr>
        <w:trPr>
          <w:trHeight w:val="216"/>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77,051</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47,221</w:t>
            </w:r>
          </w:p>
        </w:tc>
        <w:tc>
          <w:tcPr>
            <w:tcW w:w="0" w:type="dxa"/>
            <w:vAlign w:val="bottom"/>
          </w:tcPr>
          <w:p>
            <w:pPr>
              <w:spacing w:after="0"/>
              <w:rPr>
                <w:sz w:val="1"/>
                <w:szCs w:val="1"/>
                <w:color w:val="auto"/>
              </w:rPr>
            </w:pPr>
          </w:p>
        </w:tc>
      </w:tr>
      <w:tr>
        <w:trPr>
          <w:trHeight w:val="183"/>
        </w:trPr>
        <w:tc>
          <w:tcPr>
            <w:tcW w:w="63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9,407</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20,390</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1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0" w:type="dxa"/>
            <w:vAlign w:val="bottom"/>
          </w:tcPr>
          <w:p>
            <w:pPr>
              <w:spacing w:after="0"/>
              <w:rPr>
                <w:sz w:val="1"/>
                <w:szCs w:val="1"/>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paid</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6,626</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12,585</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information:</w:t>
            </w: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11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1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OPERATIONS AND BASIS OF PRESENTATION</w:t>
      </w:r>
    </w:p>
    <w:p>
      <w:pPr>
        <w:spacing w:after="0" w:line="171"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Nature of Operations</w:t>
      </w:r>
    </w:p>
    <w:p>
      <w:pPr>
        <w:spacing w:after="0" w:line="175" w:lineRule="exact"/>
        <w:rPr>
          <w:sz w:val="20"/>
          <w:szCs w:val="20"/>
          <w:color w:val="auto"/>
        </w:rPr>
      </w:pPr>
    </w:p>
    <w:p>
      <w:pPr>
        <w:ind w:right="400" w:firstLine="428"/>
        <w:spacing w:after="0" w:line="236" w:lineRule="auto"/>
        <w:rPr>
          <w:sz w:val="20"/>
          <w:szCs w:val="20"/>
          <w:color w:val="auto"/>
        </w:rPr>
      </w:pPr>
      <w:r>
        <w:rPr>
          <w:rFonts w:ascii="Times New Roman" w:cs="Times New Roman" w:eastAsia="Times New Roman" w:hAnsi="Times New Roman"/>
          <w:sz w:val="18"/>
          <w:szCs w:val="18"/>
          <w:color w:val="auto"/>
        </w:rPr>
        <w:t>Duluth Holdings Inc. (“Duluth Trading” or the “Company”), a Wisconsin corporation, is a lifestyle brand of men’s and women’s casual wear, workwear and accessories sold primarily through the Company’s own omnichannel platform. The Company’s products are marketed under the Duluth Trading name, with the majority of products being exclusively developed and sold as Duluth Trading branded merchandise.</w:t>
      </w:r>
    </w:p>
    <w:p>
      <w:pPr>
        <w:spacing w:after="0" w:line="145" w:lineRule="exact"/>
        <w:rPr>
          <w:sz w:val="20"/>
          <w:szCs w:val="20"/>
          <w:color w:val="auto"/>
        </w:rPr>
      </w:pPr>
    </w:p>
    <w:p>
      <w:pPr>
        <w:ind w:right="300" w:firstLine="492"/>
        <w:spacing w:after="0" w:line="242" w:lineRule="auto"/>
        <w:rPr>
          <w:sz w:val="20"/>
          <w:szCs w:val="20"/>
          <w:color w:val="auto"/>
        </w:rPr>
      </w:pPr>
      <w:r>
        <w:rPr>
          <w:rFonts w:ascii="Times New Roman" w:cs="Times New Roman" w:eastAsia="Times New Roman" w:hAnsi="Times New Roman"/>
          <w:sz w:val="18"/>
          <w:szCs w:val="18"/>
          <w:color w:val="auto"/>
        </w:rPr>
        <w:t>The Company identifies its operating segments according to how its business activities are managed and evaluated. The Company continues to report one reportable external segment, consistent with the Company’s omnichannel business approach. The Company’s revenues generated outside the United States were insignificant.</w:t>
      </w:r>
    </w:p>
    <w:p>
      <w:pPr>
        <w:spacing w:after="0" w:line="143" w:lineRule="exact"/>
        <w:rPr>
          <w:sz w:val="20"/>
          <w:szCs w:val="20"/>
          <w:color w:val="auto"/>
        </w:rPr>
      </w:pPr>
    </w:p>
    <w:p>
      <w:pPr>
        <w:jc w:val="both"/>
        <w:ind w:right="340" w:firstLine="428"/>
        <w:spacing w:after="0" w:line="236" w:lineRule="auto"/>
        <w:rPr>
          <w:sz w:val="20"/>
          <w:szCs w:val="20"/>
          <w:color w:val="auto"/>
        </w:rPr>
      </w:pPr>
      <w:r>
        <w:rPr>
          <w:rFonts w:ascii="Times New Roman" w:cs="Times New Roman" w:eastAsia="Times New Roman" w:hAnsi="Times New Roman"/>
          <w:sz w:val="18"/>
          <w:szCs w:val="18"/>
          <w:color w:val="auto"/>
        </w:rPr>
        <w:t>The Company has two classes of authorized common stock: Class A common stock and Class B common stock. The rights of holders of Class A common stock and Class B common stock are identical, except for voting and conversion rights. Each share of Class A common stock is entitled to ten votes per share and is convertible at any time into one share of Class B common stock. Each share of Class B common stock is entitled to one vote per share. The Company’s Class B common stock trades on the NASDAQ Global Select Market under the symbol “DLTH.”</w:t>
      </w:r>
    </w:p>
    <w:p>
      <w:pPr>
        <w:spacing w:after="0" w:line="140"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ind w:right="200" w:firstLine="428"/>
        <w:spacing w:after="0" w:line="242" w:lineRule="auto"/>
        <w:rPr>
          <w:sz w:val="20"/>
          <w:szCs w:val="20"/>
          <w:color w:val="auto"/>
        </w:rPr>
      </w:pPr>
      <w:r>
        <w:rPr>
          <w:rFonts w:ascii="Times New Roman" w:cs="Times New Roman" w:eastAsia="Times New Roman" w:hAnsi="Times New Roman"/>
          <w:sz w:val="18"/>
          <w:szCs w:val="18"/>
          <w:color w:val="auto"/>
        </w:rPr>
        <w:t>The condensed consolidated financial statements are prepared in accordance with U.S. Generally Accepted Accounting Principles (“U.S. GAAP”). The Company consolidates TRI Holdings, LLC (“TRI”) as a variable interest entity (see Note 6 “Variable Interest Entity” for further information). All significant intercompany balances and transactions have been eliminated in consolidation.</w:t>
      </w:r>
    </w:p>
    <w:p>
      <w:pPr>
        <w:spacing w:after="0" w:line="1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fiscal year ends on the Sunday nearest to January 31 of the following year. Fiscal 2022 is a 52-week period and ends on January 29,</w:t>
      </w:r>
    </w:p>
    <w:p>
      <w:pPr>
        <w:spacing w:after="0" w:line="2"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2023. Fiscal 2021 was a 52-week period and ended on January 30, 2022. The three months of fiscal 2022 and fiscal 2021 represent the Company’s 13-week periods ended October 30, 2022 and October 31, 2021, respectively.</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accompanying condensed consolidated financial statements as of and for the three and nine months ended October 30, 2022 and October 31,</w:t>
      </w:r>
    </w:p>
    <w:p>
      <w:pPr>
        <w:spacing w:after="0" w:line="16"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color w:val="auto"/>
        </w:rPr>
        <w:t>2021 have been prepared by the Company, without audit, pursuant to the rules and regulations of the Securities and Exchange Commission (“SEC”) and, in the opinion of the Company, include all adjustments (which are normal and recurring in nature) necessary to present fairly the financial position, results of operations and cash flows of the Company for the interim periods presented. Certain information and footnote disclosures normally included in consolidated financial statements prepared in accordance with U.S. GAAP have been condensed or omitted pursuant to such SEC rules and regulations as of and for the three and nine months ended October 30, 2022 and October 31, 2021. These interim condensed consolidated financial statements should be read in conjunction with the consolidated financial statements and notes included in the Company’s annual report on Form 10-K for the fiscal year ended January 30, 2022.</w:t>
      </w:r>
    </w:p>
    <w:p>
      <w:pPr>
        <w:spacing w:after="0" w:line="145" w:lineRule="exact"/>
        <w:rPr>
          <w:sz w:val="20"/>
          <w:szCs w:val="20"/>
          <w:color w:val="auto"/>
        </w:rPr>
      </w:pPr>
    </w:p>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Impairment Analysis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October 30, 2022 and for the three and nine months ended, no triggering events or indicators of asset impairment were noted.</w:t>
      </w:r>
    </w:p>
    <w:p>
      <w:pPr>
        <w:spacing w:after="0" w:line="16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D.</w:t>
        <w:tab/>
        <w:t>Inventory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Inventory, consisting of purchased product, is valued at the lower of cost or net realizable value, under the first-in, first-out method. The</w:t>
      </w:r>
    </w:p>
    <w:p>
      <w:pPr>
        <w:spacing w:after="0" w:line="2" w:lineRule="exact"/>
        <w:rPr>
          <w:sz w:val="20"/>
          <w:szCs w:val="20"/>
          <w:color w:val="auto"/>
        </w:rPr>
      </w:pPr>
    </w:p>
    <w:p>
      <w:pPr>
        <w:jc w:val="both"/>
        <w:ind w:right="60"/>
        <w:spacing w:after="0" w:line="230" w:lineRule="auto"/>
        <w:rPr>
          <w:sz w:val="20"/>
          <w:szCs w:val="20"/>
          <w:color w:val="auto"/>
        </w:rPr>
      </w:pPr>
      <w:r>
        <w:rPr>
          <w:rFonts w:ascii="Times New Roman" w:cs="Times New Roman" w:eastAsia="Times New Roman" w:hAnsi="Times New Roman"/>
          <w:sz w:val="18"/>
          <w:szCs w:val="18"/>
          <w:color w:val="auto"/>
        </w:rPr>
        <w:t>significant estimates used in inventory valuation are obsolescence (including excess and slow-moving inventory and lower of cost or market reserves) and estimates of inventory shrinkage. Both estimates have calculations that require the Company to make assumptions and apply judgment regarding a number of factors, including market conditions, the selling environment, historical results and current inventory trends. Inventory is adjusted periodically to reflect current market conditions, which requires management’s judgment that may significantly affect the ending inventory valuation, as well as gross margin.</w:t>
      </w:r>
    </w:p>
    <w:p>
      <w:pPr>
        <w:spacing w:after="0" w:line="145" w:lineRule="exact"/>
        <w:rPr>
          <w:sz w:val="20"/>
          <w:szCs w:val="20"/>
          <w:color w:val="auto"/>
        </w:rPr>
      </w:pPr>
    </w:p>
    <w:p>
      <w:pPr>
        <w:jc w:val="both"/>
        <w:ind w:right="120" w:firstLine="648"/>
        <w:spacing w:after="0" w:line="232" w:lineRule="auto"/>
        <w:rPr>
          <w:sz w:val="20"/>
          <w:szCs w:val="20"/>
          <w:color w:val="auto"/>
        </w:rPr>
      </w:pPr>
      <w:r>
        <w:rPr>
          <w:rFonts w:ascii="Times New Roman" w:cs="Times New Roman" w:eastAsia="Times New Roman" w:hAnsi="Times New Roman"/>
          <w:sz w:val="18"/>
          <w:szCs w:val="18"/>
          <w:color w:val="auto"/>
        </w:rPr>
        <w:t>The reserve for inventory shrinkage is adjusted to reflect the trend of historical physical inventory count results. The Company performs its retail store physical inventory counts in July and the difference between actual and estimated shrinkage, recorded in Cost of goods sold, may cause fluctuations in second fiscal quarter results.</w:t>
      </w: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E.</w:t>
      </w:r>
      <w:r>
        <w:rPr>
          <w:sz w:val="20"/>
          <w:szCs w:val="20"/>
          <w:color w:val="auto"/>
        </w:rPr>
        <w:tab/>
      </w:r>
      <w:r>
        <w:rPr>
          <w:rFonts w:ascii="Times New Roman" w:cs="Times New Roman" w:eastAsia="Times New Roman" w:hAnsi="Times New Roman"/>
          <w:sz w:val="17"/>
          <w:szCs w:val="17"/>
          <w:b w:val="1"/>
          <w:bCs w:val="1"/>
          <w:i w:val="1"/>
          <w:iCs w:val="1"/>
          <w:color w:val="auto"/>
        </w:rPr>
        <w:t>Prepaid Expenses and Other Assets</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5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5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Prepaid expenses &amp; other current assets</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Pending returns inventory, net</w:t>
            </w:r>
          </w:p>
        </w:tc>
        <w:tc>
          <w:tcPr>
            <w:tcW w:w="3020" w:type="dxa"/>
            <w:vAlign w:val="bottom"/>
            <w:gridSpan w:val="2"/>
          </w:tcPr>
          <w:p>
            <w:pPr>
              <w:jc w:val="right"/>
              <w:ind w:right="14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2,292</w:t>
            </w:r>
          </w:p>
        </w:tc>
        <w:tc>
          <w:tcPr>
            <w:tcW w:w="260" w:type="dxa"/>
            <w:vAlign w:val="bottom"/>
          </w:tcPr>
          <w:p>
            <w:pPr>
              <w:spacing w:after="0"/>
              <w:rPr>
                <w:sz w:val="17"/>
                <w:szCs w:val="17"/>
                <w:color w:val="auto"/>
              </w:rPr>
            </w:pPr>
          </w:p>
        </w:tc>
        <w:tc>
          <w:tcPr>
            <w:tcW w:w="340" w:type="dxa"/>
            <w:vAlign w:val="bottom"/>
            <w:gridSpan w:val="2"/>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2,235</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Current software hosting implementation costs,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1,872</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1,475</w:t>
            </w:r>
          </w:p>
        </w:tc>
      </w:tr>
      <w:tr>
        <w:trPr>
          <w:trHeight w:val="203"/>
        </w:trPr>
        <w:tc>
          <w:tcPr>
            <w:tcW w:w="5220" w:type="dxa"/>
            <w:vAlign w:val="bottom"/>
            <w:tcBorders>
              <w:bottom w:val="single" w:sz="8" w:color="CCEEFF"/>
            </w:tcBorders>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prepaid expenses</w:t>
            </w:r>
          </w:p>
        </w:tc>
        <w:tc>
          <w:tcPr>
            <w:tcW w:w="142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w w:val="96"/>
              </w:rPr>
              <w:t>13,800</w:t>
            </w:r>
          </w:p>
        </w:tc>
        <w:tc>
          <w:tcPr>
            <w:tcW w:w="2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13,623</w:t>
            </w:r>
          </w:p>
        </w:tc>
      </w:tr>
      <w:tr>
        <w:trPr>
          <w:trHeight w:val="183"/>
        </w:trPr>
        <w:tc>
          <w:tcPr>
            <w:tcW w:w="5220" w:type="dxa"/>
            <w:vAlign w:val="bottom"/>
            <w:tcBorders>
              <w:bottom w:val="single" w:sz="8" w:color="CCEEFF"/>
            </w:tcBorders>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Prepaid expenses &amp; other current assets</w:t>
            </w:r>
          </w:p>
        </w:tc>
        <w:tc>
          <w:tcPr>
            <w:tcW w:w="142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144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96"/>
              </w:rPr>
              <w:t>17,964</w:t>
            </w:r>
          </w:p>
        </w:tc>
        <w:tc>
          <w:tcPr>
            <w:tcW w:w="2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17,333</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69"/>
        </w:trPr>
        <w:tc>
          <w:tcPr>
            <w:tcW w:w="5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203"/>
        </w:trPr>
        <w:tc>
          <w:tcPr>
            <w:tcW w:w="52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Other assets,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Goodwill</w:t>
            </w:r>
          </w:p>
        </w:tc>
        <w:tc>
          <w:tcPr>
            <w:tcW w:w="3020" w:type="dxa"/>
            <w:vAlign w:val="bottom"/>
            <w:gridSpan w:val="2"/>
          </w:tcPr>
          <w:p>
            <w:pPr>
              <w:jc w:val="right"/>
              <w:ind w:right="14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w:t>
            </w:r>
          </w:p>
        </w:tc>
        <w:tc>
          <w:tcPr>
            <w:tcW w:w="260" w:type="dxa"/>
            <w:vAlign w:val="bottom"/>
          </w:tcPr>
          <w:p>
            <w:pPr>
              <w:spacing w:after="0"/>
              <w:rPr>
                <w:sz w:val="17"/>
                <w:szCs w:val="17"/>
                <w:color w:val="auto"/>
              </w:rPr>
            </w:pPr>
          </w:p>
        </w:tc>
        <w:tc>
          <w:tcPr>
            <w:tcW w:w="340" w:type="dxa"/>
            <w:vAlign w:val="bottom"/>
            <w:gridSpan w:val="2"/>
          </w:tcPr>
          <w:p>
            <w:pPr>
              <w:jc w:val="right"/>
              <w:ind w:right="156"/>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402</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Intangible assets, net</w:t>
            </w:r>
          </w:p>
        </w:tc>
        <w:tc>
          <w:tcPr>
            <w:tcW w:w="14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455</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4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246</w:t>
            </w:r>
          </w:p>
        </w:tc>
      </w:tr>
      <w:tr>
        <w:trPr>
          <w:trHeight w:val="203"/>
        </w:trPr>
        <w:tc>
          <w:tcPr>
            <w:tcW w:w="5220" w:type="dxa"/>
            <w:vAlign w:val="bottom"/>
          </w:tcPr>
          <w:p>
            <w:pPr>
              <w:ind w:left="120"/>
              <w:spacing w:after="0" w:line="202" w:lineRule="exact"/>
              <w:rPr>
                <w:sz w:val="20"/>
                <w:szCs w:val="20"/>
                <w:color w:val="auto"/>
              </w:rPr>
            </w:pPr>
            <w:r>
              <w:rPr>
                <w:rFonts w:ascii="Times New Roman" w:cs="Times New Roman" w:eastAsia="Times New Roman" w:hAnsi="Times New Roman"/>
                <w:sz w:val="18"/>
                <w:szCs w:val="18"/>
                <w:color w:val="auto"/>
              </w:rPr>
              <w:t>Non-current software hosting implementation costs</w:t>
            </w:r>
          </w:p>
        </w:tc>
        <w:tc>
          <w:tcPr>
            <w:tcW w:w="14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3,744</w:t>
            </w: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2,949</w:t>
            </w:r>
          </w:p>
        </w:tc>
      </w:tr>
      <w:tr>
        <w:trPr>
          <w:trHeight w:val="203"/>
        </w:trPr>
        <w:tc>
          <w:tcPr>
            <w:tcW w:w="5220" w:type="dxa"/>
            <w:vAlign w:val="bottom"/>
            <w:shd w:val="clear" w:color="auto" w:fill="CCEEFF"/>
          </w:tcPr>
          <w:p>
            <w:pPr>
              <w:ind w:left="120"/>
              <w:spacing w:after="0" w:line="20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1,845</w:t>
            </w: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840" w:type="dxa"/>
            <w:vAlign w:val="bottom"/>
            <w:tcBorders>
              <w:bottom w:val="single" w:sz="8" w:color="auto"/>
            </w:tcBorders>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1,756</w:t>
            </w:r>
          </w:p>
        </w:tc>
      </w:tr>
      <w:tr>
        <w:trPr>
          <w:trHeight w:val="183"/>
        </w:trPr>
        <w:tc>
          <w:tcPr>
            <w:tcW w:w="522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Other assets, net</w:t>
            </w:r>
          </w:p>
        </w:tc>
        <w:tc>
          <w:tcPr>
            <w:tcW w:w="1420" w:type="dxa"/>
            <w:vAlign w:val="bottom"/>
          </w:tcPr>
          <w:p>
            <w:pPr>
              <w:spacing w:after="0"/>
              <w:rPr>
                <w:sz w:val="15"/>
                <w:szCs w:val="15"/>
                <w:color w:val="auto"/>
              </w:rPr>
            </w:pPr>
          </w:p>
        </w:tc>
        <w:tc>
          <w:tcPr>
            <w:tcW w:w="1600" w:type="dxa"/>
            <w:vAlign w:val="bottom"/>
            <w:tcBorders>
              <w:bottom w:val="single" w:sz="8" w:color="auto"/>
            </w:tcBorders>
          </w:tcPr>
          <w:p>
            <w:pPr>
              <w:jc w:val="right"/>
              <w:ind w:right="1440"/>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6,446</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1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5,353</w:t>
            </w:r>
          </w:p>
        </w:tc>
      </w:tr>
      <w:tr>
        <w:trPr>
          <w:trHeight w:val="20"/>
        </w:trPr>
        <w:tc>
          <w:tcPr>
            <w:tcW w:w="5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42"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175" w:lineRule="exact"/>
        <w:rPr>
          <w:sz w:val="20"/>
          <w:szCs w:val="20"/>
          <w:color w:val="auto"/>
        </w:rPr>
      </w:pPr>
    </w:p>
    <w:p>
      <w:pPr>
        <w:ind w:right="280" w:firstLine="428"/>
        <w:spacing w:after="0" w:line="250" w:lineRule="auto"/>
        <w:rPr>
          <w:sz w:val="20"/>
          <w:szCs w:val="20"/>
          <w:color w:val="auto"/>
        </w:rPr>
      </w:pPr>
      <w:r>
        <w:rPr>
          <w:rFonts w:ascii="Times New Roman" w:cs="Times New Roman" w:eastAsia="Times New Roman" w:hAnsi="Times New Roman"/>
          <w:sz w:val="18"/>
          <w:szCs w:val="18"/>
          <w:color w:val="auto"/>
        </w:rPr>
        <w:t>The Company’s business is affected by the pattern of seasonality common to most apparel businesses. Historically, the Company has recognized a significant portion of its revenue and operating profit in the fourth fiscal quarter of each year due to increased sales during the holiday season.</w:t>
      </w:r>
    </w:p>
    <w:p>
      <w:pPr>
        <w:spacing w:after="0" w:line="13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i w:val="1"/>
          <w:iCs w:val="1"/>
          <w:color w:val="auto"/>
        </w:rPr>
        <w:t>G.</w:t>
        <w:tab/>
        <w:t>Cash and Cash Equivalents</w:t>
      </w:r>
    </w:p>
    <w:p>
      <w:pPr>
        <w:spacing w:after="0" w:line="162" w:lineRule="exact"/>
        <w:rPr>
          <w:sz w:val="20"/>
          <w:szCs w:val="20"/>
          <w:color w:val="auto"/>
        </w:rPr>
      </w:pPr>
    </w:p>
    <w:p>
      <w:pPr>
        <w:ind w:right="360" w:firstLine="428"/>
        <w:spacing w:after="0" w:line="242" w:lineRule="auto"/>
        <w:rPr>
          <w:sz w:val="20"/>
          <w:szCs w:val="20"/>
          <w:color w:val="auto"/>
        </w:rPr>
      </w:pPr>
      <w:r>
        <w:rPr>
          <w:rFonts w:ascii="Times New Roman" w:cs="Times New Roman" w:eastAsia="Times New Roman" w:hAnsi="Times New Roman"/>
          <w:sz w:val="18"/>
          <w:szCs w:val="18"/>
          <w:color w:val="auto"/>
        </w:rPr>
        <w:t>The Company considers short-term investments with original maturities of three months or less when purchased to be cash equivalents. Amounts receivable from credit card issuers are typically converted to cash within 2 to 4 days of the original sales transaction and are considered to be cash equivalents.</w:t>
      </w:r>
    </w:p>
    <w:p>
      <w:pPr>
        <w:spacing w:after="0" w:line="13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i w:val="1"/>
          <w:iCs w:val="1"/>
          <w:color w:val="auto"/>
        </w:rPr>
        <w:t>H.</w:t>
      </w:r>
      <w:r>
        <w:rPr>
          <w:sz w:val="20"/>
          <w:szCs w:val="20"/>
          <w:color w:val="auto"/>
        </w:rPr>
        <w:tab/>
      </w:r>
      <w:r>
        <w:rPr>
          <w:rFonts w:ascii="Times New Roman" w:cs="Times New Roman" w:eastAsia="Times New Roman" w:hAnsi="Times New Roman"/>
          <w:sz w:val="17"/>
          <w:szCs w:val="17"/>
          <w:b w:val="1"/>
          <w:bCs w:val="1"/>
          <w:i w:val="1"/>
          <w:iCs w:val="1"/>
          <w:color w:val="auto"/>
        </w:rPr>
        <w:t>Significant Accounting Policies</w:t>
      </w:r>
    </w:p>
    <w:p>
      <w:pPr>
        <w:spacing w:after="0" w:line="175" w:lineRule="exact"/>
        <w:rPr>
          <w:sz w:val="20"/>
          <w:szCs w:val="20"/>
          <w:color w:val="auto"/>
        </w:rPr>
      </w:pPr>
    </w:p>
    <w:p>
      <w:pPr>
        <w:ind w:right="100" w:firstLine="428"/>
        <w:spacing w:after="0" w:line="250" w:lineRule="auto"/>
        <w:rPr>
          <w:sz w:val="20"/>
          <w:szCs w:val="20"/>
          <w:color w:val="auto"/>
        </w:rPr>
      </w:pPr>
      <w:r>
        <w:rPr>
          <w:rFonts w:ascii="Times New Roman" w:cs="Times New Roman" w:eastAsia="Times New Roman" w:hAnsi="Times New Roman"/>
          <w:sz w:val="18"/>
          <w:szCs w:val="18"/>
          <w:color w:val="auto"/>
        </w:rPr>
        <w:t>There have been no significant changes to the Company’s significant accounting policies as described in the Company’s Annual Report on Form 10-K for the year ended January 30, 2022.</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3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tab/>
        <w:t>LEASES</w:t>
      </w:r>
    </w:p>
    <w:p>
      <w:pPr>
        <w:spacing w:after="0" w:line="173" w:lineRule="exact"/>
        <w:rPr>
          <w:sz w:val="20"/>
          <w:szCs w:val="20"/>
          <w:color w:val="auto"/>
        </w:rPr>
      </w:pPr>
    </w:p>
    <w:p>
      <w:pPr>
        <w:ind w:right="340" w:firstLine="492"/>
        <w:spacing w:after="0" w:line="233" w:lineRule="auto"/>
        <w:rPr>
          <w:sz w:val="20"/>
          <w:szCs w:val="20"/>
          <w:color w:val="auto"/>
        </w:rPr>
      </w:pPr>
      <w:r>
        <w:rPr>
          <w:rFonts w:ascii="Times New Roman" w:cs="Times New Roman" w:eastAsia="Times New Roman" w:hAnsi="Times New Roman"/>
          <w:sz w:val="18"/>
          <w:szCs w:val="18"/>
          <w:color w:val="auto"/>
        </w:rPr>
        <w:t xml:space="preserve">Based on the criteria set forth in ASC Topic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the Company recognizes Right-of-use (ROU) assets and lease liabilities related to leases on the Company’s consolidated balance sheets. The Company determines if an arrangement is, or contains, a lease at inception. ROU assets represent the right to use an underlying asset for the lease term and lease liabilities reflect the obligation to make lease payments arising from the lease. At any given time during the lease term, the lease liability represents the present value of the remaining lease payments and the ROU asset is measured at the amount of the lease liability, adjusted for pre-paid rent, unamortized initial direct costs and the remaining balance of lease incentives received. Both the lease ROU asset and liability are reduced to zero at the end of the lease.</w:t>
      </w:r>
    </w:p>
    <w:p>
      <w:pPr>
        <w:spacing w:after="0" w:line="133" w:lineRule="exact"/>
        <w:rPr>
          <w:sz w:val="20"/>
          <w:szCs w:val="20"/>
          <w:color w:val="auto"/>
        </w:rPr>
      </w:pPr>
    </w:p>
    <w:p>
      <w:pPr>
        <w:ind w:right="180" w:firstLine="492"/>
        <w:spacing w:after="0"/>
        <w:rPr>
          <w:sz w:val="20"/>
          <w:szCs w:val="20"/>
          <w:color w:val="auto"/>
        </w:rPr>
      </w:pPr>
      <w:r>
        <w:rPr>
          <w:rFonts w:ascii="Times New Roman" w:cs="Times New Roman" w:eastAsia="Times New Roman" w:hAnsi="Times New Roman"/>
          <w:sz w:val="18"/>
          <w:szCs w:val="18"/>
          <w:color w:val="auto"/>
        </w:rPr>
        <w:t>The Company leases retail space under non-cancelable lease agreements, which expire on various dates through 2036. Substantially all of these arrangements are store leases. Store leases generally have initial lease terms ranging from five years to fifteen years with renewal options and rent escalation provisions. At the commencement of a lease, the Company includes only the initial lease term as the option to extend is not reasonably certain. The Company does not record leases with a lease term of 12 months or less on the Company’s consolidated balance sheets.</w:t>
      </w:r>
    </w:p>
    <w:p>
      <w:pPr>
        <w:spacing w:after="0" w:line="131" w:lineRule="exact"/>
        <w:rPr>
          <w:sz w:val="20"/>
          <w:szCs w:val="20"/>
          <w:color w:val="auto"/>
        </w:rPr>
      </w:pPr>
    </w:p>
    <w:p>
      <w:pPr>
        <w:ind w:right="560" w:firstLine="492"/>
        <w:spacing w:after="0" w:line="266" w:lineRule="auto"/>
        <w:rPr>
          <w:sz w:val="20"/>
          <w:szCs w:val="20"/>
          <w:color w:val="auto"/>
        </w:rPr>
      </w:pPr>
      <w:r>
        <w:rPr>
          <w:rFonts w:ascii="Times New Roman" w:cs="Times New Roman" w:eastAsia="Times New Roman" w:hAnsi="Times New Roman"/>
          <w:sz w:val="18"/>
          <w:szCs w:val="18"/>
          <w:color w:val="auto"/>
        </w:rPr>
        <w:t>When calculating the lease liability on a discounted basis, the Company applies its estimated discount. The Company bases this discount on a collateralized interest rate as well as publicly available data for instruments with similar characteristics.</w:t>
      </w:r>
    </w:p>
    <w:p>
      <w:pPr>
        <w:spacing w:after="0" w:line="108" w:lineRule="exact"/>
        <w:rPr>
          <w:sz w:val="20"/>
          <w:szCs w:val="20"/>
          <w:color w:val="auto"/>
        </w:rPr>
      </w:pPr>
    </w:p>
    <w:p>
      <w:pPr>
        <w:ind w:right="200" w:firstLine="492"/>
        <w:spacing w:after="0" w:line="266" w:lineRule="auto"/>
        <w:rPr>
          <w:sz w:val="20"/>
          <w:szCs w:val="20"/>
          <w:color w:val="auto"/>
        </w:rPr>
      </w:pPr>
      <w:r>
        <w:rPr>
          <w:rFonts w:ascii="Times New Roman" w:cs="Times New Roman" w:eastAsia="Times New Roman" w:hAnsi="Times New Roman"/>
          <w:sz w:val="18"/>
          <w:szCs w:val="18"/>
          <w:color w:val="auto"/>
        </w:rPr>
        <w:t>In addition to rent payments, leases for retail space contain payments for real estate taxes, insurance costs, common area maintenance, and utilities that are not fixed. The Company accounts for these costs as variable payments and does not include such costs as a lease component.</w:t>
      </w:r>
    </w:p>
    <w:p>
      <w:pPr>
        <w:spacing w:after="0" w:line="10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expense components of the Company’s leases reflected on the Company’s consolidated statement of operations were as follows: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60" w:type="dxa"/>
            <w:vAlign w:val="bottom"/>
          </w:tcPr>
          <w:p>
            <w:pPr>
              <w:spacing w:after="0"/>
              <w:rPr>
                <w:sz w:val="16"/>
                <w:szCs w:val="16"/>
                <w:color w:val="auto"/>
              </w:rPr>
            </w:pPr>
          </w:p>
        </w:tc>
        <w:tc>
          <w:tcPr>
            <w:tcW w:w="2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Consolidated Statement</w:t>
            </w:r>
          </w:p>
        </w:tc>
        <w:tc>
          <w:tcPr>
            <w:tcW w:w="14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3060" w:type="dxa"/>
            <w:vAlign w:val="bottom"/>
          </w:tcPr>
          <w:p>
            <w:pPr>
              <w:spacing w:after="0"/>
              <w:rPr>
                <w:sz w:val="17"/>
                <w:szCs w:val="17"/>
                <w:color w:val="auto"/>
              </w:rPr>
            </w:pPr>
          </w:p>
        </w:tc>
        <w:tc>
          <w:tcPr>
            <w:tcW w:w="208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of Operations</w:t>
            </w:r>
          </w:p>
        </w:tc>
        <w:tc>
          <w:tcPr>
            <w:tcW w:w="140" w:type="dxa"/>
            <w:vAlign w:val="bottom"/>
          </w:tcPr>
          <w:p>
            <w:pPr>
              <w:spacing w:after="0"/>
              <w:rPr>
                <w:sz w:val="17"/>
                <w:szCs w:val="17"/>
                <w:color w:val="auto"/>
              </w:rPr>
            </w:pPr>
          </w:p>
        </w:tc>
        <w:tc>
          <w:tcPr>
            <w:tcW w:w="14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120" w:type="dxa"/>
            <w:vAlign w:val="bottom"/>
          </w:tcPr>
          <w:p>
            <w:pPr>
              <w:spacing w:after="0"/>
              <w:rPr>
                <w:sz w:val="17"/>
                <w:szCs w:val="17"/>
                <w:color w:val="auto"/>
              </w:rPr>
            </w:pP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191"/>
        </w:trPr>
        <w:tc>
          <w:tcPr>
            <w:tcW w:w="30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 expenses</w:t>
            </w: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3060" w:type="dxa"/>
            <w:vAlign w:val="bottom"/>
            <w:shd w:val="clear" w:color="auto" w:fill="CCEEFF"/>
          </w:tcPr>
          <w:p>
            <w:pPr>
              <w:ind w:left="140"/>
              <w:spacing w:after="0" w:line="157" w:lineRule="exact"/>
              <w:rPr>
                <w:sz w:val="20"/>
                <w:szCs w:val="20"/>
                <w:color w:val="auto"/>
              </w:rPr>
            </w:pPr>
            <w:r>
              <w:rPr>
                <w:rFonts w:ascii="Times New Roman" w:cs="Times New Roman" w:eastAsia="Times New Roman" w:hAnsi="Times New Roman"/>
                <w:sz w:val="18"/>
                <w:szCs w:val="18"/>
                <w:color w:val="auto"/>
              </w:rPr>
              <w:t>Amortization of right-of-use</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060" w:type="dxa"/>
            <w:vAlign w:val="bottom"/>
            <w:vMerge w:val="continue"/>
            <w:shd w:val="clear" w:color="auto" w:fill="CCEEFF"/>
          </w:tcPr>
          <w:p>
            <w:pPr>
              <w:spacing w:after="0"/>
              <w:rPr>
                <w:sz w:val="14"/>
                <w:szCs w:val="14"/>
                <w:color w:val="auto"/>
              </w:rPr>
            </w:pP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6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w:t>
            </w:r>
          </w:p>
        </w:tc>
        <w:tc>
          <w:tcPr>
            <w:tcW w:w="3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67"/>
        </w:trPr>
        <w:tc>
          <w:tcPr>
            <w:tcW w:w="3060" w:type="dxa"/>
            <w:vAlign w:val="bottom"/>
            <w:shd w:val="clear" w:color="auto" w:fill="CCEEFF"/>
          </w:tcPr>
          <w:p>
            <w:pPr>
              <w:spacing w:after="0"/>
              <w:rPr>
                <w:sz w:val="5"/>
                <w:szCs w:val="5"/>
                <w:color w:val="auto"/>
              </w:rPr>
            </w:pPr>
          </w:p>
        </w:tc>
        <w:tc>
          <w:tcPr>
            <w:tcW w:w="2080" w:type="dxa"/>
            <w:vAlign w:val="bottom"/>
            <w:gridSpan w:val="2"/>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300" w:type="dxa"/>
            <w:vAlign w:val="bottom"/>
            <w:gridSpan w:val="2"/>
            <w:vMerge w:val="continue"/>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3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3,978</w:t>
            </w:r>
          </w:p>
        </w:tc>
        <w:tc>
          <w:tcPr>
            <w:tcW w:w="0" w:type="dxa"/>
            <w:vAlign w:val="bottom"/>
          </w:tcPr>
          <w:p>
            <w:pPr>
              <w:spacing w:after="0"/>
              <w:rPr>
                <w:sz w:val="1"/>
                <w:szCs w:val="1"/>
                <w:color w:val="auto"/>
              </w:rPr>
            </w:pPr>
          </w:p>
        </w:tc>
      </w:tr>
      <w:tr>
        <w:trPr>
          <w:trHeight w:val="22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6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4,806</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12,606</w:t>
            </w:r>
          </w:p>
        </w:tc>
        <w:tc>
          <w:tcPr>
            <w:tcW w:w="0" w:type="dxa"/>
            <w:vAlign w:val="bottom"/>
          </w:tcPr>
          <w:p>
            <w:pPr>
              <w:spacing w:after="0"/>
              <w:rPr>
                <w:sz w:val="1"/>
                <w:szCs w:val="1"/>
                <w:color w:val="auto"/>
              </w:rPr>
            </w:pPr>
          </w:p>
        </w:tc>
      </w:tr>
      <w:tr>
        <w:trPr>
          <w:trHeight w:val="157"/>
        </w:trPr>
        <w:tc>
          <w:tcPr>
            <w:tcW w:w="3060" w:type="dxa"/>
            <w:vAlign w:val="bottom"/>
            <w:shd w:val="clear" w:color="auto" w:fill="CCEEFF"/>
          </w:tcPr>
          <w:p>
            <w:pPr>
              <w:spacing w:after="0" w:line="157" w:lineRule="exact"/>
              <w:rPr>
                <w:sz w:val="20"/>
                <w:szCs w:val="20"/>
                <w:color w:val="auto"/>
              </w:rPr>
            </w:pPr>
            <w:r>
              <w:rPr>
                <w:rFonts w:ascii="Times New Roman" w:cs="Times New Roman" w:eastAsia="Times New Roman" w:hAnsi="Times New Roman"/>
                <w:sz w:val="18"/>
                <w:szCs w:val="18"/>
                <w:color w:val="auto"/>
              </w:rPr>
              <w:t>Amortization of build-to-suit</w:t>
            </w: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leases capital contribution</w:t>
            </w:r>
          </w:p>
        </w:tc>
        <w:tc>
          <w:tcPr>
            <w:tcW w:w="20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3060" w:type="dxa"/>
            <w:vAlign w:val="bottom"/>
            <w:vMerge w:val="continue"/>
            <w:shd w:val="clear" w:color="auto" w:fill="CCEEFF"/>
          </w:tcPr>
          <w:p>
            <w:pPr>
              <w:spacing w:after="0"/>
              <w:rPr>
                <w:sz w:val="14"/>
                <w:szCs w:val="14"/>
                <w:color w:val="auto"/>
              </w:rPr>
            </w:pPr>
          </w:p>
        </w:tc>
        <w:tc>
          <w:tcPr>
            <w:tcW w:w="2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68"/>
        </w:trPr>
        <w:tc>
          <w:tcPr>
            <w:tcW w:w="3060" w:type="dxa"/>
            <w:vAlign w:val="bottom"/>
            <w:shd w:val="clear" w:color="auto" w:fill="CCEEFF"/>
          </w:tcPr>
          <w:p>
            <w:pPr>
              <w:spacing w:after="0"/>
              <w:rPr>
                <w:sz w:val="5"/>
                <w:szCs w:val="5"/>
                <w:color w:val="auto"/>
              </w:rPr>
            </w:pPr>
          </w:p>
        </w:tc>
        <w:tc>
          <w:tcPr>
            <w:tcW w:w="208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8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26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5"/>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expense</w:t>
            </w: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general and</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06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administrative expenses</w:t>
            </w: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1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6,367</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lease expense</w:t>
            </w:r>
          </w:p>
        </w:tc>
        <w:tc>
          <w:tcPr>
            <w:tcW w:w="19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9,292</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8,587</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26,090</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23,921</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30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06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information related to leases were as follows:</w:t>
      </w:r>
    </w:p>
    <w:p>
      <w:pPr>
        <w:spacing w:after="0" w:line="273"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16510</wp:posOffset>
            </wp:positionV>
            <wp:extent cx="26828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80" w:type="dxa"/>
            <w:vAlign w:val="bottom"/>
          </w:tcPr>
          <w:p>
            <w:pPr>
              <w:spacing w:after="0"/>
              <w:rPr>
                <w:sz w:val="16"/>
                <w:szCs w:val="16"/>
                <w:color w:val="auto"/>
              </w:rPr>
            </w:pPr>
          </w:p>
        </w:tc>
        <w:tc>
          <w:tcPr>
            <w:tcW w:w="174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196"/>
        </w:trPr>
        <w:tc>
          <w:tcPr>
            <w:tcW w:w="62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8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20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13,577</w:t>
            </w:r>
          </w:p>
        </w:tc>
        <w:tc>
          <w:tcPr>
            <w:tcW w:w="20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11,774</w:t>
            </w:r>
          </w:p>
        </w:tc>
      </w:tr>
      <w:tr>
        <w:trPr>
          <w:trHeight w:val="216"/>
        </w:trPr>
        <w:tc>
          <w:tcPr>
            <w:tcW w:w="6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Right-of-use assets obtained in exchange for lease liabilities: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24,028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12,547</w:t>
            </w:r>
          </w:p>
        </w:tc>
      </w:tr>
      <w:tr>
        <w:trPr>
          <w:trHeight w:val="216"/>
        </w:trPr>
        <w:tc>
          <w:tcPr>
            <w:tcW w:w="6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remaining lease term (in years):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6"/>
        </w:trPr>
        <w:tc>
          <w:tcPr>
            <w:tcW w:w="6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leases</w:t>
            </w: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6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bl>
    <w:p>
      <w:pPr>
        <w:spacing w:after="0" w:line="3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minimum lease payments under the non-cancellable leases are as follows as of October 30,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2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2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Finance</w:t>
            </w:r>
          </w:p>
        </w:tc>
        <w:tc>
          <w:tcPr>
            <w:tcW w:w="340" w:type="dxa"/>
            <w:vAlign w:val="bottom"/>
          </w:tcPr>
          <w:p>
            <w:pPr>
              <w:spacing w:after="0"/>
              <w:rPr>
                <w:sz w:val="19"/>
                <w:szCs w:val="19"/>
                <w:color w:val="auto"/>
              </w:rPr>
            </w:pPr>
          </w:p>
        </w:tc>
        <w:tc>
          <w:tcPr>
            <w:tcW w:w="16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0" w:type="dxa"/>
            <w:vAlign w:val="bottom"/>
          </w:tcPr>
          <w:p>
            <w:pPr>
              <w:spacing w:after="0"/>
              <w:rPr>
                <w:sz w:val="1"/>
                <w:szCs w:val="1"/>
                <w:color w:val="auto"/>
              </w:rPr>
            </w:pPr>
          </w:p>
        </w:tc>
      </w:tr>
      <w:tr>
        <w:trPr>
          <w:trHeight w:val="196"/>
        </w:trPr>
        <w:tc>
          <w:tcPr>
            <w:tcW w:w="4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(remainder of fiscal year)</w:t>
            </w:r>
          </w:p>
        </w:tc>
        <w:tc>
          <w:tcPr>
            <w:tcW w:w="3260" w:type="dxa"/>
            <w:vAlign w:val="bottom"/>
            <w:gridSpan w:val="3"/>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20,604</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20,070</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5,098</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19,403</w:t>
            </w: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18,546</w:t>
            </w:r>
          </w:p>
        </w:tc>
        <w:tc>
          <w:tcPr>
            <w:tcW w:w="0" w:type="dxa"/>
            <w:vAlign w:val="bottom"/>
          </w:tcPr>
          <w:p>
            <w:pPr>
              <w:spacing w:after="0"/>
              <w:rPr>
                <w:sz w:val="1"/>
                <w:szCs w:val="1"/>
                <w:color w:val="auto"/>
              </w:rPr>
            </w:pPr>
          </w:p>
        </w:tc>
      </w:tr>
      <w:tr>
        <w:trPr>
          <w:trHeight w:val="216"/>
        </w:trPr>
        <w:tc>
          <w:tcPr>
            <w:tcW w:w="4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6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33,224</w:t>
            </w:r>
          </w:p>
        </w:tc>
        <w:tc>
          <w:tcPr>
            <w:tcW w:w="2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78,180</w:t>
            </w:r>
          </w:p>
        </w:tc>
        <w:tc>
          <w:tcPr>
            <w:tcW w:w="0" w:type="dxa"/>
            <w:vAlign w:val="bottom"/>
          </w:tcPr>
          <w:p>
            <w:pPr>
              <w:spacing w:after="0"/>
              <w:rPr>
                <w:sz w:val="1"/>
                <w:szCs w:val="1"/>
                <w:color w:val="auto"/>
              </w:rPr>
            </w:pPr>
          </w:p>
        </w:tc>
      </w:tr>
      <w:tr>
        <w:trPr>
          <w:trHeight w:val="196"/>
        </w:trPr>
        <w:tc>
          <w:tcPr>
            <w:tcW w:w="4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 future minimum lease payments</w:t>
            </w:r>
          </w:p>
        </w:tc>
        <w:tc>
          <w:tcPr>
            <w:tcW w:w="2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52,734</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161,702</w:t>
            </w: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 – Discount</w:t>
            </w:r>
          </w:p>
        </w:tc>
        <w:tc>
          <w:tcPr>
            <w:tcW w:w="2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(11,781)</w:t>
            </w:r>
          </w:p>
        </w:tc>
        <w:tc>
          <w:tcPr>
            <w:tcW w:w="3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(25,699)</w:t>
            </w:r>
          </w:p>
        </w:tc>
        <w:tc>
          <w:tcPr>
            <w:tcW w:w="0" w:type="dxa"/>
            <w:vAlign w:val="bottom"/>
          </w:tcPr>
          <w:p>
            <w:pPr>
              <w:spacing w:after="0"/>
              <w:rPr>
                <w:sz w:val="1"/>
                <w:szCs w:val="1"/>
                <w:color w:val="auto"/>
              </w:rPr>
            </w:pPr>
          </w:p>
        </w:tc>
      </w:tr>
      <w:tr>
        <w:trPr>
          <w:trHeight w:val="183"/>
        </w:trPr>
        <w:tc>
          <w:tcPr>
            <w:tcW w:w="41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Lease liability</w:t>
            </w:r>
          </w:p>
        </w:tc>
        <w:tc>
          <w:tcPr>
            <w:tcW w:w="26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1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40,953</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7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6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136,003</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680" w:type="dxa"/>
            <w:vAlign w:val="bottom"/>
            <w:vMerge w:val="restart"/>
          </w:tcPr>
          <w:p>
            <w:pPr>
              <w:jc w:val="right"/>
              <w:ind w:right="101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14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41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0" w:lineRule="exact"/>
        <w:rPr>
          <w:sz w:val="20"/>
          <w:szCs w:val="20"/>
          <w:color w:val="auto"/>
        </w:rPr>
      </w:pPr>
    </w:p>
    <w:p>
      <w:pPr>
        <w:ind w:left="440" w:right="8020" w:hanging="432"/>
        <w:spacing w:after="0" w:line="500" w:lineRule="auto"/>
        <w:tabs>
          <w:tab w:leader="none" w:pos="327"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DEBT AND CREDIT AGREEMENT </w:t>
      </w:r>
      <w:r>
        <w:rPr>
          <w:rFonts w:ascii="Times New Roman" w:cs="Times New Roman" w:eastAsia="Times New Roman" w:hAnsi="Times New Roman"/>
          <w:sz w:val="17"/>
          <w:szCs w:val="17"/>
          <w:color w:val="auto"/>
        </w:rPr>
        <w:t>Debt consists of the following: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00" w:type="dxa"/>
            <w:vAlign w:val="bottom"/>
          </w:tcPr>
          <w:p>
            <w:pPr>
              <w:spacing w:after="0"/>
              <w:rPr>
                <w:sz w:val="16"/>
                <w:szCs w:val="16"/>
                <w:color w:val="auto"/>
              </w:rPr>
            </w:pPr>
          </w:p>
        </w:tc>
        <w:tc>
          <w:tcPr>
            <w:tcW w:w="15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7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Senior Secured Note</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23,801</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TRI Note</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3,500</w:t>
            </w:r>
          </w:p>
        </w:tc>
      </w:tr>
      <w:tr>
        <w:trPr>
          <w:trHeight w:val="196"/>
        </w:trPr>
        <w:tc>
          <w:tcPr>
            <w:tcW w:w="76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26,848</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27,301</w:t>
            </w:r>
          </w:p>
        </w:tc>
      </w:tr>
      <w:tr>
        <w:trPr>
          <w:trHeight w:val="216"/>
        </w:trPr>
        <w:tc>
          <w:tcPr>
            <w:tcW w:w="7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183"/>
        </w:trPr>
        <w:tc>
          <w:tcPr>
            <w:tcW w:w="760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TRI long-term debt</w:t>
            </w: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26,099</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26,608</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70"/>
        </w:trPr>
        <w:tc>
          <w:tcPr>
            <w:tcW w:w="7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29"/>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Duluth Line of credit</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96"/>
        </w:trPr>
        <w:tc>
          <w:tcPr>
            <w:tcW w:w="760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w:t>
            </w:r>
          </w:p>
        </w:tc>
        <w:tc>
          <w:tcPr>
            <w:tcW w:w="200" w:type="dxa"/>
            <w:vAlign w:val="bottom"/>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7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3"/>
        </w:trPr>
        <w:tc>
          <w:tcPr>
            <w:tcW w:w="76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Duluth long-term debt</w:t>
            </w:r>
          </w:p>
        </w:tc>
        <w:tc>
          <w:tcPr>
            <w:tcW w:w="220" w:type="dxa"/>
            <w:vAlign w:val="bottom"/>
            <w:tcBorders>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200" w:type="dxa"/>
            <w:vAlign w:val="bottom"/>
            <w:tcBorders>
              <w:bottom w:val="single" w:sz="8" w:color="auto"/>
            </w:tcBorders>
          </w:tcPr>
          <w:p>
            <w:pPr>
              <w:jc w:val="right"/>
              <w:ind w:right="3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TRI Holdings, LLC</w:t>
      </w:r>
    </w:p>
    <w:p>
      <w:pPr>
        <w:spacing w:after="0" w:line="175" w:lineRule="exact"/>
        <w:rPr>
          <w:sz w:val="20"/>
          <w:szCs w:val="20"/>
          <w:color w:val="auto"/>
        </w:rPr>
      </w:pPr>
    </w:p>
    <w:p>
      <w:pPr>
        <w:jc w:val="both"/>
        <w:ind w:right="460" w:firstLine="428"/>
        <w:spacing w:after="0" w:line="242" w:lineRule="auto"/>
        <w:rPr>
          <w:sz w:val="20"/>
          <w:szCs w:val="20"/>
          <w:color w:val="auto"/>
        </w:rPr>
      </w:pPr>
      <w:r>
        <w:rPr>
          <w:rFonts w:ascii="Times New Roman" w:cs="Times New Roman" w:eastAsia="Times New Roman" w:hAnsi="Times New Roman"/>
          <w:sz w:val="18"/>
          <w:szCs w:val="18"/>
          <w:color w:val="auto"/>
        </w:rPr>
        <w:t>TRI entered into a senior secured note (“TRI Senior Secured Note”) with an original balance of $26.7 million. The TRI Senior Secured Note is scheduled to mature on October 15, 2038 and requires installment payments with an interest rate of 4.95%. See Note 6 “Variable Interest Entities” for further information.</w:t>
      </w:r>
    </w:p>
    <w:p>
      <w:pPr>
        <w:spacing w:after="0" w:line="143" w:lineRule="exact"/>
        <w:rPr>
          <w:sz w:val="20"/>
          <w:szCs w:val="20"/>
          <w:color w:val="auto"/>
        </w:rPr>
      </w:pPr>
    </w:p>
    <w:p>
      <w:pPr>
        <w:ind w:right="220" w:firstLine="428"/>
        <w:spacing w:after="0" w:line="250" w:lineRule="auto"/>
        <w:rPr>
          <w:sz w:val="20"/>
          <w:szCs w:val="20"/>
          <w:color w:val="auto"/>
        </w:rPr>
      </w:pPr>
      <w:r>
        <w:rPr>
          <w:rFonts w:ascii="Times New Roman" w:cs="Times New Roman" w:eastAsia="Times New Roman" w:hAnsi="Times New Roman"/>
          <w:sz w:val="18"/>
          <w:szCs w:val="18"/>
          <w:color w:val="auto"/>
        </w:rPr>
        <w:t>TRI entered into a promissory note (“TRI Note”) with an original balance of $3.5 million. The TRI Note is scheduled to mature in November 2038 and requires annual interest payments at a rate of 3.05%, with a final balloon payment due in November 2038.</w:t>
      </w:r>
    </w:p>
    <w:p>
      <w:pPr>
        <w:spacing w:after="0" w:line="1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While the above notes are consolidated in accordance with ASC Topic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is not the guarantor nor obligor of these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right="80" w:firstLine="428"/>
        <w:spacing w:after="0" w:line="230" w:lineRule="auto"/>
        <w:rPr>
          <w:sz w:val="20"/>
          <w:szCs w:val="20"/>
          <w:color w:val="auto"/>
        </w:rPr>
      </w:pPr>
      <w:r>
        <w:rPr>
          <w:rFonts w:ascii="Times New Roman" w:cs="Times New Roman" w:eastAsia="Times New Roman" w:hAnsi="Times New Roman"/>
          <w:sz w:val="18"/>
          <w:szCs w:val="18"/>
          <w:color w:val="auto"/>
        </w:rPr>
        <w:t>On May 17, 2018, the Company entered into a credit agreement (the “Credit Agreement”) which provided for borrowing availability of up to $80.0 million in revolving credit and associated swing line (the “Revolver”) and borrowing availability of up to $50.0 million in a delayed draw term loan (“DDTL”), for a total credit facility of $130.0 million. On April 30, 2020, the Credit Agreement was amended to include an incremental DDTL of $20.5 million (the “Incremental DDTL”) that was available to draw upon before March 31, 2021, and matured on April 29, 2021, for a total credit facility of $150.5 million. The loan covenants were also amended to allow for greater flexibility during the Company’s peak borrowing periods in fiscal 2020. The interest rate applicable to the Revolver or DDTL was a fixed rate for a one-, two-, three- or six-month interest period equal to LIBOR (with a 1% floor) for such interest period plus a margin of 225 to 300 basis points, based upon the Company’s rent adjusted leverage ratio. The interest rate applicable to the Incremental DDTL was also a fixed rate over the aforementioned interest periods equal to LIBOR (with a 1% floor) for such interest period plus a margin of 275 to 350 basis points.</w:t>
      </w:r>
    </w:p>
    <w:p>
      <w:pPr>
        <w:spacing w:after="0" w:line="132" w:lineRule="exact"/>
        <w:rPr>
          <w:sz w:val="20"/>
          <w:szCs w:val="20"/>
          <w:color w:val="auto"/>
        </w:rPr>
      </w:pPr>
    </w:p>
    <w:p>
      <w:pPr>
        <w:ind w:firstLine="428"/>
        <w:spacing w:after="0" w:line="231" w:lineRule="auto"/>
        <w:rPr>
          <w:sz w:val="20"/>
          <w:szCs w:val="20"/>
          <w:color w:val="auto"/>
        </w:rPr>
      </w:pPr>
      <w:r>
        <w:rPr>
          <w:rFonts w:ascii="Times New Roman" w:cs="Times New Roman" w:eastAsia="Times New Roman" w:hAnsi="Times New Roman"/>
          <w:sz w:val="18"/>
          <w:szCs w:val="18"/>
          <w:color w:val="auto"/>
        </w:rPr>
        <w:t>On May 14, 2021, the Company terminated the Credit Agreement, and entered into a new credit agreement (the “New Credit Agreement”), which was treated as a modification for accounting purposes. The New Credit Agreement originally matured on May 14, 2026 and provided for borrowings of up to $150.0 million that were available under a revolving senior credit facility, with a $5.0 million sublimit for issuance of standby letters of credit, as well as a $10.0 million sublimit for swing line loans. At the Company’s option, the interest rate applicable to the revolving senior credit facility was a floating rate equal to: (i) the Bloomberg Short-Term Bank Yield Index rate (“BSBY”) plus the applicable rate of 1.25% to 2.00% determined based on the Company’s rent adjusted leverage ratio, or (ii) the base rate plus the applicable rate of 0.25% to 1.00% based on the Company’s rent adjusted leverage ratio. The New Credit Agreement was secured by essentially all Company assets and requires the Company to maintain compliance with certain financial and non-financial covenants, including a maximum rent adjusted leverage ratio and a minimum fixed charge coverage ratio as defined in the New Credit Agreement.</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July 8, 2022, the Company entered into the First Amendment to the New Credit Agreement (the “First Amendment”), which was treated as a</w:t>
      </w:r>
    </w:p>
    <w:p>
      <w:pPr>
        <w:spacing w:after="0" w:line="237" w:lineRule="auto"/>
        <w:rPr>
          <w:sz w:val="20"/>
          <w:szCs w:val="20"/>
          <w:color w:val="auto"/>
        </w:rPr>
      </w:pPr>
      <w:r>
        <w:rPr>
          <w:rFonts w:ascii="Times New Roman" w:cs="Times New Roman" w:eastAsia="Times New Roman" w:hAnsi="Times New Roman"/>
          <w:sz w:val="18"/>
          <w:szCs w:val="18"/>
          <w:color w:val="auto"/>
        </w:rPr>
        <w:t>modification for accounting purposes. The First Amendment amends the New Credit Agreement in order to (i) increase the revolving commitment from</w:t>
      </w:r>
    </w:p>
    <w:p>
      <w:pPr>
        <w:spacing w:after="0" w:line="219" w:lineRule="auto"/>
        <w:rPr>
          <w:sz w:val="20"/>
          <w:szCs w:val="20"/>
          <w:color w:val="auto"/>
        </w:rPr>
      </w:pPr>
      <w:r>
        <w:rPr>
          <w:rFonts w:ascii="Times New Roman" w:cs="Times New Roman" w:eastAsia="Times New Roman" w:hAnsi="Times New Roman"/>
          <w:sz w:val="18"/>
          <w:szCs w:val="18"/>
          <w:color w:val="auto"/>
        </w:rPr>
        <w:t>$150 million to $200 million; (ii) extend the maturity date from May 14, 2026 to July 8, 2027; (iii) amend the pricing index to replace BSBY with the Term</w:t>
      </w:r>
    </w:p>
    <w:p>
      <w:pPr>
        <w:spacing w:after="0" w:line="219" w:lineRule="auto"/>
        <w:rPr>
          <w:sz w:val="20"/>
          <w:szCs w:val="20"/>
          <w:color w:val="auto"/>
        </w:rPr>
      </w:pPr>
      <w:r>
        <w:rPr>
          <w:rFonts w:ascii="Times New Roman" w:cs="Times New Roman" w:eastAsia="Times New Roman" w:hAnsi="Times New Roman"/>
          <w:sz w:val="18"/>
          <w:szCs w:val="18"/>
          <w:color w:val="auto"/>
        </w:rPr>
        <w:t>Secured Overnight Financing Rate; and (iv) to reduce the commitment fee in some instances.</w:t>
      </w: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43"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As of October 30, 2022 and for the nine months then ended, the Company was in compliance with all financial and non-financial covenants contained within the New Credit Agreement and the First Amendment.</w:t>
      </w:r>
    </w:p>
    <w:p>
      <w:pPr>
        <w:spacing w:after="0" w:line="321" w:lineRule="exact"/>
        <w:rPr>
          <w:sz w:val="20"/>
          <w:szCs w:val="20"/>
          <w:color w:val="auto"/>
        </w:rPr>
      </w:pPr>
    </w:p>
    <w:p>
      <w:pPr>
        <w:ind w:left="440" w:right="5720" w:hanging="432"/>
        <w:spacing w:after="0" w:line="512" w:lineRule="auto"/>
        <w:tabs>
          <w:tab w:leader="none" w:pos="317"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ACCRUED EXPENSES AND OTHER CURRENT LIABILITIES </w:t>
      </w:r>
      <w:r>
        <w:rPr>
          <w:rFonts w:ascii="Times New Roman" w:cs="Times New Roman" w:eastAsia="Times New Roman" w:hAnsi="Times New Roman"/>
          <w:sz w:val="17"/>
          <w:szCs w:val="17"/>
          <w:color w:val="auto"/>
        </w:rPr>
        <w:t>Accrued expenses and other current liabilities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20" w:type="dxa"/>
            <w:vAlign w:val="bottom"/>
          </w:tcPr>
          <w:p>
            <w:pPr>
              <w:spacing w:after="0"/>
              <w:rPr>
                <w:sz w:val="16"/>
                <w:szCs w:val="16"/>
                <w:color w:val="auto"/>
              </w:rPr>
            </w:pPr>
          </w:p>
        </w:tc>
        <w:tc>
          <w:tcPr>
            <w:tcW w:w="154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5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9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benefits</w:t>
            </w:r>
          </w:p>
        </w:tc>
        <w:tc>
          <w:tcPr>
            <w:tcW w:w="218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11,773</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10,791</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Freight</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8,942</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Product returns</w:t>
            </w:r>
          </w:p>
        </w:tc>
        <w:tc>
          <w:tcPr>
            <w:tcW w:w="1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Unpaid purchases of property &amp; equipment</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Accrued advertising</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9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9,165</w:t>
            </w:r>
          </w:p>
        </w:tc>
      </w:tr>
      <w:tr>
        <w:trPr>
          <w:trHeight w:val="183"/>
        </w:trPr>
        <w:tc>
          <w:tcPr>
            <w:tcW w:w="560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960" w:type="dxa"/>
            <w:vAlign w:val="bottom"/>
          </w:tcPr>
          <w:p>
            <w:pPr>
              <w:spacing w:after="0"/>
              <w:rPr>
                <w:sz w:val="15"/>
                <w:szCs w:val="15"/>
                <w:color w:val="auto"/>
              </w:rPr>
            </w:pPr>
          </w:p>
        </w:tc>
        <w:tc>
          <w:tcPr>
            <w:tcW w:w="220" w:type="dxa"/>
            <w:vAlign w:val="bottom"/>
            <w:tcBorders>
              <w:bottom w:val="single" w:sz="8" w:color="auto"/>
            </w:tcBorders>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34,795</w:t>
            </w:r>
          </w:p>
        </w:tc>
        <w:tc>
          <w:tcPr>
            <w:tcW w:w="18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line="182" w:lineRule="exact"/>
              <w:rPr>
                <w:sz w:val="20"/>
                <w:szCs w:val="20"/>
                <w:color w:val="auto"/>
              </w:rPr>
            </w:pPr>
            <w:r>
              <w:rPr>
                <w:rFonts w:ascii="Times New Roman" w:cs="Times New Roman" w:eastAsia="Times New Roman" w:hAnsi="Times New Roman"/>
                <w:sz w:val="18"/>
                <w:szCs w:val="18"/>
                <w:color w:val="auto"/>
              </w:rPr>
              <w:t>47,504</w:t>
            </w:r>
          </w:p>
        </w:tc>
      </w:tr>
      <w:tr>
        <w:trPr>
          <w:trHeight w:val="20"/>
        </w:trPr>
        <w:tc>
          <w:tcPr>
            <w:tcW w:w="56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173" w:lineRule="exact"/>
        <w:rPr>
          <w:sz w:val="20"/>
          <w:szCs w:val="20"/>
          <w:color w:val="auto"/>
        </w:rPr>
      </w:pPr>
    </w:p>
    <w:p>
      <w:pPr>
        <w:ind w:right="60" w:firstLine="440"/>
        <w:spacing w:after="0" w:line="233" w:lineRule="auto"/>
        <w:rPr>
          <w:sz w:val="20"/>
          <w:szCs w:val="20"/>
          <w:color w:val="auto"/>
        </w:rPr>
      </w:pPr>
      <w:r>
        <w:rPr>
          <w:rFonts w:ascii="Times New Roman" w:cs="Times New Roman" w:eastAsia="Times New Roman" w:hAnsi="Times New Roman"/>
          <w:sz w:val="18"/>
          <w:szCs w:val="18"/>
          <w:color w:val="auto"/>
        </w:rPr>
        <w:t xml:space="preserve">ASC Topic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xml:space="preserve"> (“ASC 820”), defines fair value as the price that would be received to sell an asset, or paid to transfer a liability, in an orderly transaction between market participants at the measurement date (i.e., an exit price). The exit price is based on the amount that the holder of the asset or liability would receive or need to pay in an actual transaction (or in a hypothetical transaction if an actual transaction does not exist) at the measurement date. ASC 820 describes a fair value hierarchy based on three levels of inputs that may be used to measure fair value, of which the first two are considered observable and the last unobservable, as follows:</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71" w:lineRule="exact"/>
        <w:rPr>
          <w:sz w:val="20"/>
          <w:szCs w:val="20"/>
          <w:color w:val="auto"/>
        </w:rPr>
      </w:pPr>
    </w:p>
    <w:p>
      <w:pPr>
        <w:ind w:right="180" w:firstLine="440"/>
        <w:spacing w:after="0" w:line="242" w:lineRule="auto"/>
        <w:rPr>
          <w:sz w:val="20"/>
          <w:szCs w:val="20"/>
          <w:color w:val="auto"/>
        </w:rPr>
      </w:pPr>
      <w:r>
        <w:rPr>
          <w:rFonts w:ascii="Times New Roman" w:cs="Times New Roman" w:eastAsia="Times New Roman" w:hAnsi="Times New Roman"/>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the assets or liabilities.</w:t>
      </w:r>
    </w:p>
    <w:p>
      <w:pPr>
        <w:spacing w:after="0" w:line="171" w:lineRule="exact"/>
        <w:rPr>
          <w:sz w:val="20"/>
          <w:szCs w:val="20"/>
          <w:color w:val="auto"/>
        </w:rPr>
      </w:pPr>
    </w:p>
    <w:p>
      <w:pPr>
        <w:ind w:right="20" w:firstLine="440"/>
        <w:spacing w:after="0" w:line="235" w:lineRule="auto"/>
        <w:rPr>
          <w:sz w:val="20"/>
          <w:szCs w:val="20"/>
          <w:color w:val="auto"/>
        </w:rPr>
      </w:pPr>
      <w:r>
        <w:rPr>
          <w:rFonts w:ascii="Times New Roman" w:cs="Times New Roman" w:eastAsia="Times New Roman" w:hAnsi="Times New Roman"/>
          <w:sz w:val="18"/>
          <w:szCs w:val="18"/>
          <w:color w:val="auto"/>
        </w:rPr>
        <w:t>The fair value of the Company’s available-for-sale security was valued based on a discounted cash flow method (Level 3), which incorporates the U.S. Treasury yield curve, credit information and an estimate of future cash flows. During the nine months ended October 30, 2022, certain changes in the inputs did impact the fair value of the available-for-sale security. The calculated fair value is based on estimates that are subjective in nature and involve uncertainties and matters of significant judgment and, therefore, cannot be determined with precision. Changes in assumptions could significantly affect the estimates.</w:t>
      </w:r>
    </w:p>
    <w:p>
      <w:pPr>
        <w:spacing w:after="0" w:line="148"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amortized cost and fair value of the Company’s available-for-sale security and the corresponding amount of gross unrealized gains and losses recognized in accumulated other comprehensive income are as follows:</w:t>
      </w:r>
    </w:p>
    <w:p>
      <w:pPr>
        <w:spacing w:after="0" w:line="34"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October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16510</wp:posOffset>
            </wp:positionV>
            <wp:extent cx="42176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6"/>
                <w:szCs w:val="16"/>
                <w:color w:val="auto"/>
              </w:rPr>
            </w:pPr>
          </w:p>
        </w:tc>
        <w:tc>
          <w:tcPr>
            <w:tcW w:w="10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8"/>
                <w:szCs w:val="18"/>
                <w:color w:val="auto"/>
              </w:rPr>
            </w:pPr>
          </w:p>
        </w:tc>
        <w:tc>
          <w:tcPr>
            <w:tcW w:w="10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2"/>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8"/>
                <w:szCs w:val="18"/>
                <w:color w:val="auto"/>
              </w:rPr>
            </w:pPr>
          </w:p>
        </w:tc>
        <w:tc>
          <w:tcPr>
            <w:tcW w:w="10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21"/>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5,285</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26"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4"/>
          <w:szCs w:val="14"/>
          <w:b w:val="1"/>
          <w:bCs w:val="1"/>
          <w:color w:val="auto"/>
        </w:rPr>
        <w:t>January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16510</wp:posOffset>
            </wp:positionV>
            <wp:extent cx="42176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17670"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8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Cost or</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6"/>
                <w:szCs w:val="16"/>
                <w:color w:val="auto"/>
              </w:rPr>
            </w:pPr>
          </w:p>
        </w:tc>
        <w:tc>
          <w:tcPr>
            <w:tcW w:w="10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6"/>
              </w:rPr>
              <w:t>Gross</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6"/>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8"/>
                <w:szCs w:val="18"/>
                <w:color w:val="auto"/>
              </w:rPr>
            </w:pPr>
          </w:p>
        </w:tc>
        <w:tc>
          <w:tcPr>
            <w:tcW w:w="10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213"/>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jc w:val="right"/>
              <w:ind w:right="66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Pr>
          <w:p>
            <w:pPr>
              <w:spacing w:after="0"/>
              <w:rPr>
                <w:sz w:val="18"/>
                <w:szCs w:val="18"/>
                <w:color w:val="auto"/>
              </w:rPr>
            </w:pPr>
          </w:p>
        </w:tc>
        <w:tc>
          <w:tcPr>
            <w:tcW w:w="10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1"/>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r>
      <w:tr>
        <w:trPr>
          <w:trHeight w:val="221"/>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Level 3 security:</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16"/>
        </w:trPr>
        <w:tc>
          <w:tcPr>
            <w:tcW w:w="4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trust</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w:t>
            </w:r>
          </w:p>
        </w:tc>
      </w:tr>
    </w:tbl>
    <w:p>
      <w:pPr>
        <w:spacing w:after="0" w:line="3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does not intend to sell the available-for-sale-security in the near term and does not believe that it will be required to sell the security.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reviews its securities on a quarterly basis to monitor its exposure to other-than-temporary impairment.</w:t>
      </w:r>
    </w:p>
    <w:p>
      <w:pPr>
        <w:spacing w:after="0" w:line="138" w:lineRule="exact"/>
        <w:rPr>
          <w:sz w:val="20"/>
          <w:szCs w:val="20"/>
          <w:color w:val="auto"/>
        </w:rPr>
      </w:pPr>
    </w:p>
    <w:p>
      <w:pPr>
        <w:ind w:right="380" w:firstLine="492"/>
        <w:spacing w:after="0" w:line="266" w:lineRule="auto"/>
        <w:rPr>
          <w:sz w:val="20"/>
          <w:szCs w:val="20"/>
          <w:color w:val="auto"/>
        </w:rPr>
      </w:pPr>
      <w:r>
        <w:rPr>
          <w:rFonts w:ascii="Times New Roman" w:cs="Times New Roman" w:eastAsia="Times New Roman" w:hAnsi="Times New Roman"/>
          <w:sz w:val="18"/>
          <w:szCs w:val="18"/>
          <w:color w:val="auto"/>
        </w:rPr>
        <w:t>No other-than-temporary impairment was recorded in the unaudited condensed consolidated statements of operations for the nine months ended October 30, 2022 or October 31, 2021.</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presents future principal receipts related to the Company’s available-for-sale security by contractual maturity as of October 30,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80" w:type="dxa"/>
            <w:vAlign w:val="bottom"/>
          </w:tcPr>
          <w:p>
            <w:pPr>
              <w:spacing w:after="0"/>
              <w:rPr>
                <w:sz w:val="16"/>
                <w:szCs w:val="16"/>
                <w:color w:val="auto"/>
              </w:rPr>
            </w:pPr>
          </w:p>
        </w:tc>
        <w:tc>
          <w:tcPr>
            <w:tcW w:w="186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99"/>
        </w:trPr>
        <w:tc>
          <w:tcPr>
            <w:tcW w:w="6080" w:type="dxa"/>
            <w:vAlign w:val="bottom"/>
          </w:tcPr>
          <w:p>
            <w:pPr>
              <w:spacing w:after="0"/>
              <w:rPr>
                <w:sz w:val="17"/>
                <w:szCs w:val="17"/>
                <w:color w:val="auto"/>
              </w:rPr>
            </w:pPr>
          </w:p>
        </w:tc>
        <w:tc>
          <w:tcPr>
            <w:tcW w:w="186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Cost</w:t>
            </w:r>
          </w:p>
        </w:tc>
        <w:tc>
          <w:tcPr>
            <w:tcW w:w="7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6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Within one year</w:t>
            </w:r>
          </w:p>
        </w:tc>
        <w:tc>
          <w:tcPr>
            <w:tcW w:w="1860" w:type="dxa"/>
            <w:vAlign w:val="bottom"/>
            <w:shd w:val="clear" w:color="auto" w:fill="CCEEFF"/>
          </w:tcPr>
          <w:p>
            <w:pPr>
              <w:jc w:val="right"/>
              <w:ind w:right="1679"/>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8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8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r>
      <w:tr>
        <w:trPr>
          <w:trHeight w:val="216"/>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After ten years</w:t>
            </w:r>
          </w:p>
        </w:tc>
        <w:tc>
          <w:tcPr>
            <w:tcW w:w="18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3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w:t>
            </w:r>
          </w:p>
        </w:tc>
      </w:tr>
      <w:tr>
        <w:trPr>
          <w:trHeight w:val="196"/>
        </w:trPr>
        <w:tc>
          <w:tcPr>
            <w:tcW w:w="60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1860" w:type="dxa"/>
            <w:vAlign w:val="bottom"/>
            <w:tcBorders>
              <w:bottom w:val="single" w:sz="8" w:color="auto"/>
            </w:tcBorders>
            <w:shd w:val="clear" w:color="auto" w:fill="CCEEFF"/>
          </w:tcPr>
          <w:p>
            <w:pPr>
              <w:jc w:val="right"/>
              <w:ind w:right="167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5,780</w:t>
            </w:r>
          </w:p>
        </w:tc>
        <w:tc>
          <w:tcPr>
            <w:tcW w:w="3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5,285</w:t>
            </w:r>
          </w:p>
        </w:tc>
      </w:tr>
      <w:tr>
        <w:trPr>
          <w:trHeight w:val="20"/>
        </w:trPr>
        <w:tc>
          <w:tcPr>
            <w:tcW w:w="60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carrying values and fair values of other financial instruments in the Consolidated Balance Sheets are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1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January 30, 2022</w:t>
            </w:r>
          </w:p>
        </w:tc>
        <w:tc>
          <w:tcPr>
            <w:tcW w:w="0" w:type="dxa"/>
            <w:vAlign w:val="bottom"/>
          </w:tcPr>
          <w:p>
            <w:pPr>
              <w:spacing w:after="0"/>
              <w:rPr>
                <w:sz w:val="1"/>
                <w:szCs w:val="1"/>
                <w:color w:val="auto"/>
              </w:rPr>
            </w:pPr>
          </w:p>
        </w:tc>
      </w:tr>
      <w:tr>
        <w:trPr>
          <w:trHeight w:val="198"/>
        </w:trPr>
        <w:tc>
          <w:tcPr>
            <w:tcW w:w="4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40" w:type="dxa"/>
            <w:vAlign w:val="bottom"/>
          </w:tcPr>
          <w:p>
            <w:pPr>
              <w:spacing w:after="0"/>
              <w:rPr>
                <w:sz w:val="17"/>
                <w:szCs w:val="17"/>
                <w:color w:val="auto"/>
              </w:rPr>
            </w:pPr>
          </w:p>
        </w:tc>
        <w:tc>
          <w:tcPr>
            <w:tcW w:w="94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6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 including short-term portion</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26,848</w:t>
            </w:r>
          </w:p>
        </w:tc>
        <w:tc>
          <w:tcPr>
            <w:tcW w:w="7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27,301</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27,804</w:t>
            </w:r>
          </w:p>
        </w:tc>
        <w:tc>
          <w:tcPr>
            <w:tcW w:w="0" w:type="dxa"/>
            <w:vAlign w:val="bottom"/>
          </w:tcPr>
          <w:p>
            <w:pPr>
              <w:spacing w:after="0"/>
              <w:rPr>
                <w:sz w:val="1"/>
                <w:szCs w:val="1"/>
                <w:color w:val="auto"/>
              </w:rPr>
            </w:pPr>
          </w:p>
        </w:tc>
      </w:tr>
    </w:tbl>
    <w:p>
      <w:pPr>
        <w:spacing w:after="0" w:line="33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The above long-term debt, including short-term portion is attributable to the consolidation of TRI in accordance with ASC Topic 810, </w:t>
      </w:r>
      <w:r>
        <w:rPr>
          <w:rFonts w:ascii="Times New Roman" w:cs="Times New Roman" w:eastAsia="Times New Roman" w:hAnsi="Times New Roman"/>
          <w:sz w:val="17"/>
          <w:szCs w:val="17"/>
          <w:i w:val="1"/>
          <w:iCs w:val="1"/>
          <w:color w:val="auto"/>
        </w:rPr>
        <w:t>Consolidation</w:t>
      </w:r>
      <w:r>
        <w:rPr>
          <w:rFonts w:ascii="Times New Roman" w:cs="Times New Roman" w:eastAsia="Times New Roman" w:hAnsi="Times New Roman"/>
          <w:sz w:val="17"/>
          <w:szCs w:val="17"/>
          <w:color w:val="auto"/>
        </w:rPr>
        <w: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was also based on a discounted cash flow method (Level 3) based on credit information and an estimate of future cash flows.</w:t>
      </w:r>
    </w:p>
    <w:p>
      <w:pPr>
        <w:spacing w:after="0" w:line="200" w:lineRule="exact"/>
        <w:rPr>
          <w:sz w:val="20"/>
          <w:szCs w:val="20"/>
          <w:color w:val="auto"/>
        </w:rPr>
      </w:pPr>
    </w:p>
    <w:p>
      <w:pPr>
        <w:spacing w:after="0" w:line="31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VARIABLE INTEREST ENTITY</w:t>
      </w:r>
    </w:p>
    <w:p>
      <w:pPr>
        <w:spacing w:after="0" w:line="173" w:lineRule="exact"/>
        <w:rPr>
          <w:sz w:val="20"/>
          <w:szCs w:val="20"/>
          <w:color w:val="auto"/>
        </w:rPr>
      </w:pPr>
    </w:p>
    <w:p>
      <w:pPr>
        <w:ind w:right="340" w:firstLine="492"/>
        <w:spacing w:after="0" w:line="236" w:lineRule="auto"/>
        <w:rPr>
          <w:sz w:val="20"/>
          <w:szCs w:val="20"/>
          <w:color w:val="auto"/>
        </w:rPr>
      </w:pPr>
      <w:r>
        <w:rPr>
          <w:rFonts w:ascii="Times New Roman" w:cs="Times New Roman" w:eastAsia="Times New Roman" w:hAnsi="Times New Roman"/>
          <w:sz w:val="18"/>
          <w:szCs w:val="18"/>
          <w:color w:val="auto"/>
        </w:rPr>
        <w:t xml:space="preserve">Based upon the criteria set forth in ASC 810, </w:t>
      </w:r>
      <w:r>
        <w:rPr>
          <w:rFonts w:ascii="Times New Roman" w:cs="Times New Roman" w:eastAsia="Times New Roman" w:hAnsi="Times New Roman"/>
          <w:sz w:val="18"/>
          <w:szCs w:val="18"/>
          <w:i w:val="1"/>
          <w:iCs w:val="1"/>
          <w:color w:val="auto"/>
        </w:rPr>
        <w:t>Consolidation</w:t>
      </w:r>
      <w:r>
        <w:rPr>
          <w:rFonts w:ascii="Times New Roman" w:cs="Times New Roman" w:eastAsia="Times New Roman" w:hAnsi="Times New Roman"/>
          <w:sz w:val="18"/>
          <w:szCs w:val="18"/>
          <w:color w:val="auto"/>
        </w:rPr>
        <w:t>, the Company consolidates variable interest entities (“VIEs”) in which it has a controlling financial interest and is therefore deemed the primary beneficiary. A controlling financial interest will have both of the following characteristics: (a) the power to direct the VIE activities that most significantly impact economic performance; and (b) the obligation to absorb the VIE losses and the right to receive benefits that are significant to the VIE. The Company has determined that it was the primary beneficiary of one variable interest entity (“VIE”) as of October 30, 2022 and January 30, 2022.</w:t>
      </w:r>
    </w:p>
    <w:p>
      <w:pPr>
        <w:spacing w:after="0" w:line="132" w:lineRule="exact"/>
        <w:rPr>
          <w:sz w:val="20"/>
          <w:szCs w:val="20"/>
          <w:color w:val="auto"/>
        </w:rPr>
      </w:pPr>
    </w:p>
    <w:p>
      <w:pPr>
        <w:ind w:right="40" w:firstLine="428"/>
        <w:spacing w:after="0" w:line="230" w:lineRule="auto"/>
        <w:rPr>
          <w:sz w:val="20"/>
          <w:szCs w:val="20"/>
          <w:color w:val="auto"/>
        </w:rPr>
      </w:pPr>
      <w:r>
        <w:rPr>
          <w:rFonts w:ascii="Times New Roman" w:cs="Times New Roman" w:eastAsia="Times New Roman" w:hAnsi="Times New Roman"/>
          <w:sz w:val="18"/>
          <w:szCs w:val="18"/>
          <w:color w:val="auto"/>
        </w:rPr>
        <w:t>The Company leases the Company’s headquarters in Mt. Horeb, Wisconsin from TRI. In conjunction with the lease, the Company invested $6.3 million in a trust that loaned funds to TRI for the construction of the Company’s headquarters. TRI is a Wisconsin limited liability company whose primary purpose and activity is to own this real property. The Company considers itself the primary beneficiary for TRI as the Company has both the power to direct the activities that most significantly impact the entity’s economic performance and is expected to receive benefits that are significant to TRI. As the Company is the</w:t>
      </w: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5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primary beneficiary, it consolidates TRI and the lease is eliminated in consolidation. The Company does not consolidate the trust as the Company is not the primary beneficiary.</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condensed consolidated balance sheets include the following amounts as a result of the consolidation of TRI as of October 30, 2022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30, 2022: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74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23,715</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24,180</w:t>
            </w:r>
          </w:p>
        </w:tc>
      </w:tr>
      <w:tr>
        <w:trPr>
          <w:trHeight w:val="183"/>
        </w:trPr>
        <w:tc>
          <w:tcPr>
            <w:tcW w:w="7460" w:type="dxa"/>
            <w:vAlign w:val="bottom"/>
            <w:tcBorders>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23,748</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24,201</w:t>
            </w: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0"/>
        </w:trPr>
        <w:tc>
          <w:tcPr>
            <w:tcW w:w="7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1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TRI Long-term debt</w:t>
            </w: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26,608</w:t>
            </w: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 in VIE</w:t>
            </w:r>
          </w:p>
        </w:tc>
        <w:tc>
          <w:tcPr>
            <w:tcW w:w="2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w:t>
            </w:r>
          </w:p>
        </w:tc>
      </w:tr>
      <w:tr>
        <w:trPr>
          <w:trHeight w:val="183"/>
        </w:trPr>
        <w:tc>
          <w:tcPr>
            <w:tcW w:w="74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Total liabilities and shareholders' equity</w:t>
            </w: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23,748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24,201</w:t>
            </w: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60" w:lineRule="exact"/>
        <w:rPr>
          <w:sz w:val="20"/>
          <w:szCs w:val="20"/>
          <w:color w:val="auto"/>
        </w:rPr>
      </w:pPr>
    </w:p>
    <w:p>
      <w:pPr>
        <w:ind w:right="100" w:firstLine="428"/>
        <w:spacing w:after="0" w:line="236" w:lineRule="auto"/>
        <w:rPr>
          <w:sz w:val="20"/>
          <w:szCs w:val="20"/>
          <w:color w:val="auto"/>
        </w:rPr>
      </w:pPr>
      <w:r>
        <w:rPr>
          <w:rFonts w:ascii="Times New Roman" w:cs="Times New Roman" w:eastAsia="Times New Roman" w:hAnsi="Times New Roman"/>
          <w:sz w:val="18"/>
          <w:szCs w:val="18"/>
          <w:color w:val="auto"/>
        </w:rPr>
        <w:t>Earnings per share is computed under the provisions of ASC 260</w:t>
      </w:r>
      <w:r>
        <w:rPr>
          <w:rFonts w:ascii="Times New Roman" w:cs="Times New Roman" w:eastAsia="Times New Roman" w:hAnsi="Times New Roman"/>
          <w:sz w:val="18"/>
          <w:szCs w:val="18"/>
          <w:i w:val="1"/>
          <w:iCs w:val="1"/>
          <w:color w:val="auto"/>
        </w:rPr>
        <w:t>, Earnings Per Share</w:t>
      </w:r>
      <w:r>
        <w:rPr>
          <w:rFonts w:ascii="Times New Roman" w:cs="Times New Roman" w:eastAsia="Times New Roman" w:hAnsi="Times New Roman"/>
          <w:sz w:val="18"/>
          <w:szCs w:val="18"/>
          <w:color w:val="auto"/>
        </w:rPr>
        <w:t>. Basic earnings per share is based on the weighted average number of common shares outstanding for the period. Diluted earnings per share is based on the weighted average number of common shares plus the effect of dilutive potential common shares outstanding during the period using the treasury stock method. Dilutive potential common shares include outstanding restricted stock and are considered only for dilutive earnings per share unless considered anti-dilutive. The reconciliation of the numerator and denominator of the basic and diluted earnings per share calculation is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80" w:type="dxa"/>
            <w:vAlign w:val="bottom"/>
          </w:tcPr>
          <w:p>
            <w:pPr>
              <w:spacing w:after="0"/>
              <w:rPr>
                <w:sz w:val="15"/>
                <w:szCs w:val="15"/>
                <w:color w:val="auto"/>
              </w:rPr>
            </w:pP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180" w:type="dxa"/>
            <w:vAlign w:val="bottom"/>
          </w:tcPr>
          <w:p>
            <w:pPr>
              <w:spacing w:after="0"/>
              <w:rPr>
                <w:sz w:val="15"/>
                <w:szCs w:val="15"/>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80" w:type="dxa"/>
            <w:vAlign w:val="bottom"/>
          </w:tcPr>
          <w:p>
            <w:pPr>
              <w:spacing w:after="0"/>
              <w:rPr>
                <w:sz w:val="15"/>
                <w:szCs w:val="15"/>
                <w:color w:val="auto"/>
              </w:rPr>
            </w:pPr>
          </w:p>
        </w:tc>
        <w:tc>
          <w:tcPr>
            <w:tcW w:w="14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 - net income attributable to</w:t>
            </w: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controlling interest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(6,217)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12,343</w:t>
            </w: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Denominator - weighted average shares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and Class B)</w:t>
            </w: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32,605</w:t>
            </w:r>
          </w:p>
        </w:tc>
        <w:tc>
          <w:tcPr>
            <w:tcW w:w="0" w:type="dxa"/>
            <w:vAlign w:val="bottom"/>
          </w:tcPr>
          <w:p>
            <w:pPr>
              <w:spacing w:after="0"/>
              <w:rPr>
                <w:sz w:val="1"/>
                <w:szCs w:val="1"/>
                <w:color w:val="auto"/>
              </w:rPr>
            </w:pPr>
          </w:p>
        </w:tc>
      </w:tr>
      <w:tr>
        <w:trPr>
          <w:trHeight w:val="216"/>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Dilutive shares</w:t>
            </w:r>
          </w:p>
        </w:tc>
        <w:tc>
          <w:tcPr>
            <w:tcW w:w="18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182"/>
        </w:trPr>
        <w:tc>
          <w:tcPr>
            <w:tcW w:w="4660" w:type="dxa"/>
            <w:vAlign w:val="bottom"/>
            <w:tcBorders>
              <w:top w:val="single" w:sz="8" w:color="CCEEFF"/>
              <w:bottom w:val="single" w:sz="8" w:color="CCEEFF"/>
            </w:tcBorders>
            <w:shd w:val="clear" w:color="auto" w:fill="CCEEFF"/>
          </w:tcPr>
          <w:p>
            <w:pPr>
              <w:ind w:left="120"/>
              <w:spacing w:after="0" w:line="182"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32,792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32,761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32,759</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4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32,825</w:t>
            </w: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 (Class A and Class B)</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r>
        <w:trPr>
          <w:trHeight w:val="243"/>
        </w:trPr>
        <w:tc>
          <w:tcPr>
            <w:tcW w:w="4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21"/>
                <w:szCs w:val="21"/>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0" w:type="dxa"/>
            <w:vAlign w:val="bottom"/>
          </w:tcPr>
          <w:p>
            <w:pPr>
              <w:spacing w:after="0"/>
              <w:rPr>
                <w:sz w:val="1"/>
                <w:szCs w:val="1"/>
                <w:color w:val="auto"/>
              </w:rPr>
            </w:pPr>
          </w:p>
        </w:tc>
      </w:tr>
    </w:tbl>
    <w:p>
      <w:pPr>
        <w:spacing w:after="0" w:line="36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STOCK-BASED COMPENSATION</w:t>
      </w:r>
    </w:p>
    <w:p>
      <w:pPr>
        <w:spacing w:after="0" w:line="173" w:lineRule="exact"/>
        <w:rPr>
          <w:sz w:val="20"/>
          <w:szCs w:val="20"/>
          <w:color w:val="auto"/>
        </w:rPr>
      </w:pPr>
    </w:p>
    <w:p>
      <w:pPr>
        <w:ind w:right="320" w:firstLine="428"/>
        <w:spacing w:after="0" w:line="253" w:lineRule="auto"/>
        <w:rPr>
          <w:sz w:val="20"/>
          <w:szCs w:val="20"/>
          <w:color w:val="auto"/>
        </w:rPr>
      </w:pPr>
      <w:r>
        <w:rPr>
          <w:rFonts w:ascii="Times New Roman" w:cs="Times New Roman" w:eastAsia="Times New Roman" w:hAnsi="Times New Roman"/>
          <w:sz w:val="18"/>
          <w:szCs w:val="18"/>
          <w:color w:val="auto"/>
        </w:rPr>
        <w:t xml:space="preserve">The Company accounts for its stock-based compensation plan in accordance with ASC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which requires the Company to measure all share-based payments at grant date fair value and recognize the cost over the requisite service period of the award.</w:t>
      </w:r>
    </w:p>
    <w:p>
      <w:pPr>
        <w:spacing w:after="0" w:line="133" w:lineRule="exact"/>
        <w:rPr>
          <w:sz w:val="20"/>
          <w:szCs w:val="20"/>
          <w:color w:val="auto"/>
        </w:rPr>
      </w:pPr>
    </w:p>
    <w:p>
      <w:pPr>
        <w:ind w:right="280" w:firstLine="428"/>
        <w:spacing w:after="0" w:line="236" w:lineRule="auto"/>
        <w:rPr>
          <w:sz w:val="20"/>
          <w:szCs w:val="20"/>
          <w:color w:val="auto"/>
        </w:rPr>
      </w:pPr>
      <w:r>
        <w:rPr>
          <w:rFonts w:ascii="Times New Roman" w:cs="Times New Roman" w:eastAsia="Times New Roman" w:hAnsi="Times New Roman"/>
          <w:sz w:val="18"/>
          <w:szCs w:val="18"/>
          <w:color w:val="auto"/>
        </w:rPr>
        <w:t>Total stock compensation expense associated with restricted stock recognized by the Company was $0.7 million and $2.0 million for the three and nine months ended October 30, 2022, respectively. The Company’s total stock compensation expense is included in selling, general and administrative expenses on the Condensed Consolidated Statements of Operations.</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the activity in the Company’s unvested restricted stock during the nine months ended October 30, 2022 is as follows: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229"/>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230"/>
        </w:trPr>
        <w:tc>
          <w:tcPr>
            <w:tcW w:w="8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6"/>
        </w:trPr>
        <w:tc>
          <w:tcPr>
            <w:tcW w:w="8380" w:type="dxa"/>
            <w:vAlign w:val="bottom"/>
          </w:tcPr>
          <w:p>
            <w:pPr>
              <w:spacing w:after="0"/>
              <w:rPr>
                <w:sz w:val="19"/>
                <w:szCs w:val="19"/>
                <w:color w:val="auto"/>
              </w:rPr>
            </w:pPr>
          </w:p>
        </w:tc>
        <w:tc>
          <w:tcPr>
            <w:tcW w:w="15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9"/>
                <w:szCs w:val="19"/>
                <w:color w:val="auto"/>
              </w:rPr>
            </w:pPr>
          </w:p>
        </w:tc>
        <w:tc>
          <w:tcPr>
            <w:tcW w:w="1120" w:type="dxa"/>
            <w:vAlign w:val="bottom"/>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09"/>
        </w:trPr>
        <w:tc>
          <w:tcPr>
            <w:tcW w:w="8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30, 2022</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405,334</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379,990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29"/>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(124,551)</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r>
      <w:tr>
        <w:trPr>
          <w:trHeight w:val="229"/>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(45,036)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196"/>
        </w:trPr>
        <w:tc>
          <w:tcPr>
            <w:tcW w:w="83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Outstanding at October 30, 2022</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615,737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12.88</w:t>
            </w:r>
          </w:p>
        </w:tc>
      </w:tr>
      <w:tr>
        <w:trPr>
          <w:trHeight w:val="20"/>
        </w:trPr>
        <w:tc>
          <w:tcPr>
            <w:tcW w:w="83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00" w:firstLine="428"/>
        <w:spacing w:after="0" w:line="250" w:lineRule="auto"/>
        <w:rPr>
          <w:sz w:val="20"/>
          <w:szCs w:val="20"/>
          <w:color w:val="auto"/>
        </w:rPr>
      </w:pPr>
      <w:r>
        <w:rPr>
          <w:rFonts w:ascii="Times New Roman" w:cs="Times New Roman" w:eastAsia="Times New Roman" w:hAnsi="Times New Roman"/>
          <w:sz w:val="18"/>
          <w:szCs w:val="18"/>
          <w:color w:val="auto"/>
        </w:rPr>
        <w:t>At October 30, 2022, the Company had unrecognized compensation expense of $5.7 million related to the restricted stock awards, which is expected to be recognized over a weighted average period of 2.5 years.</w:t>
      </w:r>
    </w:p>
    <w:p>
      <w:pPr>
        <w:spacing w:after="0" w:line="3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20" w:type="dxa"/>
            <w:vAlign w:val="bottom"/>
          </w:tcPr>
          <w:p>
            <w:pPr>
              <w:spacing w:after="0"/>
              <w:rPr>
                <w:sz w:val="16"/>
                <w:szCs w:val="16"/>
                <w:color w:val="auto"/>
              </w:rPr>
            </w:pPr>
          </w:p>
        </w:tc>
        <w:tc>
          <w:tcPr>
            <w:tcW w:w="156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74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48,318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48,093</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35,359</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Warehouse equipment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17,735</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 and furniture</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53,607</w:t>
            </w:r>
          </w:p>
        </w:tc>
      </w:tr>
      <w:tr>
        <w:trPr>
          <w:trHeight w:val="216"/>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2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8,325</w:t>
            </w:r>
          </w:p>
        </w:tc>
      </w:tr>
      <w:tr>
        <w:trPr>
          <w:trHeight w:val="216"/>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Software</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36,568</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34,207</w:t>
            </w:r>
          </w:p>
        </w:tc>
      </w:tr>
      <w:tr>
        <w:trPr>
          <w:trHeight w:val="196"/>
        </w:trPr>
        <w:tc>
          <w:tcPr>
            <w:tcW w:w="7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213,147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201,973</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40" w:type="dxa"/>
            <w:vAlign w:val="bottom"/>
          </w:tcPr>
          <w:p>
            <w:pPr>
              <w:spacing w:after="0"/>
              <w:rPr>
                <w:sz w:val="18"/>
                <w:szCs w:val="18"/>
                <w:color w:val="auto"/>
              </w:rPr>
            </w:pP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(114,462)</w:t>
            </w:r>
          </w:p>
        </w:tc>
        <w:tc>
          <w:tcPr>
            <w:tcW w:w="22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(97,473)</w:t>
            </w:r>
          </w:p>
        </w:tc>
      </w:tr>
      <w:tr>
        <w:trPr>
          <w:trHeight w:val="196"/>
        </w:trPr>
        <w:tc>
          <w:tcPr>
            <w:tcW w:w="7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98,685</w:t>
            </w:r>
          </w:p>
        </w:tc>
        <w:tc>
          <w:tcPr>
            <w:tcW w:w="2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104,500</w:t>
            </w:r>
          </w:p>
        </w:tc>
      </w:tr>
      <w:tr>
        <w:trPr>
          <w:trHeight w:val="216"/>
        </w:trPr>
        <w:tc>
          <w:tcPr>
            <w:tcW w:w="7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14,115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w:t>
            </w:r>
          </w:p>
        </w:tc>
      </w:tr>
      <w:tr>
        <w:trPr>
          <w:trHeight w:val="183"/>
        </w:trPr>
        <w:tc>
          <w:tcPr>
            <w:tcW w:w="74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auto"/>
            </w:tcBorders>
            <w:shd w:val="clear" w:color="auto" w:fill="CCEEFF"/>
          </w:tcPr>
          <w:p>
            <w:pPr>
              <w:jc w:val="right"/>
              <w:ind w:right="50"/>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112,800</w:t>
            </w:r>
          </w:p>
        </w:tc>
        <w:tc>
          <w:tcPr>
            <w:tcW w:w="2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56"/>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110,078</w:t>
            </w:r>
          </w:p>
        </w:tc>
      </w:tr>
      <w:tr>
        <w:trPr>
          <w:trHeight w:val="20"/>
        </w:trPr>
        <w:tc>
          <w:tcPr>
            <w:tcW w:w="7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REVENUE</w:t>
      </w:r>
    </w:p>
    <w:p>
      <w:pPr>
        <w:spacing w:after="0" w:line="162" w:lineRule="exact"/>
        <w:rPr>
          <w:sz w:val="20"/>
          <w:szCs w:val="20"/>
          <w:color w:val="auto"/>
        </w:rPr>
      </w:pPr>
    </w:p>
    <w:p>
      <w:pPr>
        <w:ind w:right="220" w:firstLine="570"/>
        <w:spacing w:after="0" w:line="235" w:lineRule="auto"/>
        <w:rPr>
          <w:sz w:val="20"/>
          <w:szCs w:val="20"/>
          <w:color w:val="auto"/>
        </w:rPr>
      </w:pPr>
      <w:r>
        <w:rPr>
          <w:rFonts w:ascii="Times New Roman" w:cs="Times New Roman" w:eastAsia="Times New Roman" w:hAnsi="Times New Roman"/>
          <w:sz w:val="18"/>
          <w:szCs w:val="18"/>
          <w:color w:val="auto"/>
        </w:rPr>
        <w:t>The Company’s revenue primarily consists of the sale of apparel, footwear and hard goods. Revenue for merchandise that is shipped to our customers from our distribution centers and stores is recognized upon shipment. Store revenue is recognized at the point of sale, net of returns, and excludes taxes. Shipping and processing revenue generated from customer orders are included as a component of net sales and shipping and processing expense, including handling expense, is included as a component of selling, general and administrative expenses. Sales tax collected from customers and remitted to taxing authorities is excluded from revenue and is included in accrued expenses.</w:t>
      </w:r>
    </w:p>
    <w:p>
      <w:pPr>
        <w:spacing w:after="0" w:line="14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Sales disaggregated based upon sales channel is presented below.</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0"/>
        </w:trPr>
        <w:tc>
          <w:tcPr>
            <w:tcW w:w="4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6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14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60" w:type="dxa"/>
            <w:vAlign w:val="bottom"/>
          </w:tcPr>
          <w:p>
            <w:pPr>
              <w:spacing w:after="0"/>
              <w:rPr>
                <w:sz w:val="18"/>
                <w:szCs w:val="18"/>
                <w:color w:val="auto"/>
              </w:rPr>
            </w:pPr>
          </w:p>
        </w:tc>
        <w:tc>
          <w:tcPr>
            <w:tcW w:w="130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10"/>
        </w:trPr>
        <w:tc>
          <w:tcPr>
            <w:tcW w:w="4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29"/>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Direct-to-consumer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90,999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85,200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254,000</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258,830</w:t>
            </w:r>
          </w:p>
        </w:tc>
      </w:tr>
      <w:tr>
        <w:trPr>
          <w:trHeight w:val="230"/>
        </w:trPr>
        <w:tc>
          <w:tcPr>
            <w:tcW w:w="48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Stores</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56,127</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60,077</w:t>
            </w:r>
          </w:p>
        </w:tc>
        <w:tc>
          <w:tcPr>
            <w:tcW w:w="1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157,541</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168,993</w:t>
            </w:r>
          </w:p>
        </w:tc>
      </w:tr>
      <w:tr>
        <w:trPr>
          <w:trHeight w:val="196"/>
        </w:trPr>
        <w:tc>
          <w:tcPr>
            <w:tcW w:w="4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147,126</w:t>
            </w:r>
          </w:p>
        </w:tc>
        <w:tc>
          <w:tcPr>
            <w:tcW w:w="1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145,277</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411,541</w:t>
            </w: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427,823</w:t>
            </w:r>
          </w:p>
        </w:tc>
      </w:tr>
      <w:tr>
        <w:trPr>
          <w:trHeight w:val="20"/>
        </w:trPr>
        <w:tc>
          <w:tcPr>
            <w:tcW w:w="4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750"/>
        </w:trPr>
        <w:tc>
          <w:tcPr>
            <w:tcW w:w="4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520"/>
        </w:trPr>
        <w:tc>
          <w:tcPr>
            <w:tcW w:w="4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DULUTH HOLDINGS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75" w:lineRule="exact"/>
        <w:rPr>
          <w:sz w:val="20"/>
          <w:szCs w:val="20"/>
          <w:color w:val="auto"/>
        </w:rPr>
      </w:pPr>
    </w:p>
    <w:p>
      <w:pPr>
        <w:ind w:right="160" w:firstLine="492"/>
        <w:spacing w:after="0" w:line="232" w:lineRule="auto"/>
        <w:rPr>
          <w:sz w:val="20"/>
          <w:szCs w:val="20"/>
          <w:color w:val="auto"/>
        </w:rPr>
      </w:pPr>
      <w:r>
        <w:rPr>
          <w:rFonts w:ascii="Times New Roman" w:cs="Times New Roman" w:eastAsia="Times New Roman" w:hAnsi="Times New Roman"/>
          <w:sz w:val="18"/>
          <w:szCs w:val="18"/>
          <w:color w:val="auto"/>
        </w:rPr>
        <w:t>The Company’s contract assets primarily consist of the right of return for amounts of inventory to be returned that is expected to be resold and is recorded in Prepaid expenses and other current assets on the Company’s consolidated balance sheets. The Company’s contract liabilities primarily consist of gift card liabilities and are recorded in Accrued expenses and other current liabilities under deferred revenue (see Note 4 “Accrued Expenses and Other Current Liabilities”) on the Company’s consolidated balance sheets. Upon issuance of a gift card, a liability is established for its cash value. The gift card liability is relieved and revenues on gift cards are recorded at the time of redemption by the customer.</w:t>
      </w:r>
    </w:p>
    <w:p>
      <w:pPr>
        <w:spacing w:after="0" w:line="14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Contract assets and liabilities on the Company’s consolidated balance sheets are presented in the following table: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January 30, 2022</w:t>
            </w:r>
          </w:p>
        </w:tc>
      </w:tr>
      <w:tr>
        <w:trPr>
          <w:trHeight w:val="196"/>
        </w:trPr>
        <w:tc>
          <w:tcPr>
            <w:tcW w:w="6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2,292</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r>
      <w:tr>
        <w:trPr>
          <w:trHeight w:val="234"/>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7,495</w:t>
            </w: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10,791</w:t>
            </w:r>
          </w:p>
        </w:tc>
      </w:tr>
    </w:tbl>
    <w:p>
      <w:pPr>
        <w:spacing w:after="0" w:line="328" w:lineRule="exact"/>
        <w:rPr>
          <w:sz w:val="20"/>
          <w:szCs w:val="20"/>
          <w:color w:val="auto"/>
        </w:rPr>
      </w:pPr>
    </w:p>
    <w:p>
      <w:pPr>
        <w:ind w:firstLine="570"/>
        <w:spacing w:after="0" w:line="236" w:lineRule="auto"/>
        <w:rPr>
          <w:sz w:val="20"/>
          <w:szCs w:val="20"/>
          <w:color w:val="auto"/>
        </w:rPr>
      </w:pPr>
      <w:r>
        <w:rPr>
          <w:rFonts w:ascii="Times New Roman" w:cs="Times New Roman" w:eastAsia="Times New Roman" w:hAnsi="Times New Roman"/>
          <w:sz w:val="18"/>
          <w:szCs w:val="18"/>
          <w:color w:val="auto"/>
        </w:rPr>
        <w:t>Revenue from gift cards is recognized when the gift card is redeemed by the customer for merchandise or as a gift card breakage, an estimate of gift cards which will not be redeemed. The Company does not record breakage revenue when escheat liability to the relevant jurisdictions exists. Gift card breakage is recorded within Net sales on the Company’s consolidated statement of operations. The following table provides the reconciliation of the contract liability related to gift cards for the nine months ended: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0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10,791</w:t>
            </w:r>
          </w:p>
        </w:tc>
        <w:tc>
          <w:tcPr>
            <w:tcW w:w="1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9,788</w:t>
            </w:r>
          </w:p>
        </w:tc>
      </w:tr>
      <w:tr>
        <w:trPr>
          <w:trHeight w:val="22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Gift cards sold</w:t>
            </w:r>
          </w:p>
        </w:tc>
        <w:tc>
          <w:tcPr>
            <w:tcW w:w="3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w:t>
            </w: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3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w:t>
            </w:r>
          </w:p>
        </w:tc>
      </w:tr>
      <w:tr>
        <w:trPr>
          <w:trHeight w:val="230"/>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300" w:type="dxa"/>
            <w:vAlign w:val="bottom"/>
          </w:tcPr>
          <w:p>
            <w:pPr>
              <w:spacing w:after="0"/>
              <w:rPr>
                <w:sz w:val="19"/>
                <w:szCs w:val="19"/>
                <w:color w:val="auto"/>
              </w:rPr>
            </w:pPr>
          </w:p>
        </w:tc>
        <w:tc>
          <w:tcPr>
            <w:tcW w:w="1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196"/>
        </w:trPr>
        <w:tc>
          <w:tcPr>
            <w:tcW w:w="68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Balance as of end of period</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7,495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7,400</w:t>
            </w:r>
          </w:p>
        </w:tc>
      </w:tr>
      <w:tr>
        <w:trPr>
          <w:trHeight w:val="20"/>
        </w:trPr>
        <w:tc>
          <w:tcPr>
            <w:tcW w:w="6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left="400" w:hanging="392"/>
        <w:spacing w:after="0"/>
        <w:tabs>
          <w:tab w:leader="none" w:pos="4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75" w:lineRule="exact"/>
        <w:rPr>
          <w:sz w:val="20"/>
          <w:szCs w:val="20"/>
          <w:color w:val="auto"/>
        </w:rPr>
      </w:pPr>
    </w:p>
    <w:p>
      <w:pPr>
        <w:ind w:right="20" w:firstLine="428"/>
        <w:spacing w:after="0" w:line="236" w:lineRule="auto"/>
        <w:rPr>
          <w:sz w:val="20"/>
          <w:szCs w:val="20"/>
          <w:color w:val="auto"/>
        </w:rPr>
      </w:pPr>
      <w:r>
        <w:rPr>
          <w:rFonts w:ascii="Times New Roman" w:cs="Times New Roman" w:eastAsia="Times New Roman" w:hAnsi="Times New Roman"/>
          <w:sz w:val="18"/>
          <w:szCs w:val="18"/>
          <w:color w:val="auto"/>
        </w:rPr>
        <w:t>The provision for income taxes for the interim period is based on an estimate of the annual effective tax rate adjusted to reflect the impact of discrete items. Management judgment is required in projecting ordinary income to estimate the Company’s annual effective tax rate. The effective tax rate related to controlling interest was 25% and 26% for the three and nine months ended October 30, 2022, respectively. The income from TRI was excluded from the calculation of the Company’s effective tax rate, as TRI is a limited liability company and not subject to income taxes.</w:t>
      </w:r>
    </w:p>
    <w:p>
      <w:pPr>
        <w:spacing w:after="0" w:line="32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RECENT ACCOUNTING PRONOUNCEMENTS</w:t>
      </w:r>
    </w:p>
    <w:p>
      <w:pPr>
        <w:spacing w:after="0" w:line="173" w:lineRule="exact"/>
        <w:rPr>
          <w:sz w:val="20"/>
          <w:szCs w:val="20"/>
          <w:color w:val="auto"/>
        </w:rPr>
      </w:pPr>
    </w:p>
    <w:p>
      <w:pPr>
        <w:ind w:right="140" w:firstLine="648"/>
        <w:spacing w:after="0" w:line="230"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No. 2016-13 </w:t>
      </w:r>
      <w:r>
        <w:rPr>
          <w:rFonts w:ascii="Times New Roman" w:cs="Times New Roman" w:eastAsia="Times New Roman" w:hAnsi="Times New Roman"/>
          <w:sz w:val="18"/>
          <w:szCs w:val="18"/>
          <w:i w:val="1"/>
          <w:iCs w:val="1"/>
          <w:color w:val="auto"/>
        </w:rPr>
        <w:t>“Financial Instruments-Credit Losses (Topic 326): Measurement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Credit Losses on Financial Instruments,” </w:t>
      </w:r>
      <w:r>
        <w:rPr>
          <w:rFonts w:ascii="Times New Roman" w:cs="Times New Roman" w:eastAsia="Times New Roman" w:hAnsi="Times New Roman"/>
          <w:sz w:val="18"/>
          <w:szCs w:val="18"/>
          <w:color w:val="auto"/>
        </w:rPr>
        <w:t>(“ASU 2016-13”), which amends the impairment model by requiring entities to use a forward-looking approach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based on expected losses to estimate credit losses on certain types of financial instruments, which include trade and other receivables, loans and held-to-maturity debt securities, to record an allowance for credit risk based on expected losses rather than incurred losses, otherwise known as “CECL”. In addition, this guidance changes the recognition for credit losses on available-for-sale debt securities, which can occur as a result of market and credit risk and requires additional disclosures. On November 15, 2019, the FASB issued ASU No. 2019-10 </w:t>
      </w:r>
      <w:r>
        <w:rPr>
          <w:rFonts w:ascii="Times New Roman" w:cs="Times New Roman" w:eastAsia="Times New Roman" w:hAnsi="Times New Roman"/>
          <w:sz w:val="18"/>
          <w:szCs w:val="18"/>
          <w:i w:val="1"/>
          <w:iCs w:val="1"/>
          <w:color w:val="auto"/>
        </w:rPr>
        <w:t>“Financial Instruments-Credit Losses (Topic 326),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and Hedging (Topic 815, and Leases (Topic 842),” </w:t>
      </w:r>
      <w:r>
        <w:rPr>
          <w:rFonts w:ascii="Times New Roman" w:cs="Times New Roman" w:eastAsia="Times New Roman" w:hAnsi="Times New Roman"/>
          <w:sz w:val="18"/>
          <w:szCs w:val="18"/>
          <w:color w:val="auto"/>
        </w:rPr>
        <w:t>(ASU 2019-10”), which provides a framework to stagger effective dates for future major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standards and amends the effective dates for certain major new accounting standards to give implementation relief to certain types of entities. ASU 2019-10 amends the effective dates for ASU 2016-13 for smaller reporting companies with fiscal years beginning after December 15, 2022, and interim periods within those years. The Company expects to adopt ASU 2016-13 on January 30, 2023, the first day of the Company’s first quarter for the fiscal year ending January 28, 2024, the Company’s fiscal year 2023. The Company is evaluating the impact adopting ASU 2016-13 will have on the Company’s consolidated financial statements.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9" w:lineRule="exact"/>
        <w:rPr>
          <w:sz w:val="20"/>
          <w:szCs w:val="20"/>
          <w:color w:val="auto"/>
        </w:rPr>
      </w:pPr>
    </w:p>
    <w:p>
      <w:pPr>
        <w:ind w:firstLine="428"/>
        <w:spacing w:after="0" w:line="263"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the financial condition and results of our operations should be read in conjunction with the financial statements and related notes of Duluth Holdings Inc. included in Item 1of this Quarterly Report on Form 10-Q and with our audited financial statements and the related notes included in our Annual Report on Form 10-K for the fiscal year ended January 30, 2022 (“2021 Form 10-K”).</w:t>
      </w:r>
    </w:p>
    <w:p>
      <w:pPr>
        <w:spacing w:after="0" w:line="119" w:lineRule="exact"/>
        <w:rPr>
          <w:sz w:val="20"/>
          <w:szCs w:val="20"/>
          <w:color w:val="auto"/>
        </w:rPr>
      </w:pPr>
    </w:p>
    <w:p>
      <w:pPr>
        <w:ind w:right="260" w:firstLine="428"/>
        <w:spacing w:after="0" w:line="285" w:lineRule="auto"/>
        <w:rPr>
          <w:sz w:val="20"/>
          <w:szCs w:val="20"/>
          <w:color w:val="auto"/>
        </w:rPr>
      </w:pPr>
      <w:r>
        <w:rPr>
          <w:rFonts w:ascii="Times New Roman" w:cs="Times New Roman" w:eastAsia="Times New Roman" w:hAnsi="Times New Roman"/>
          <w:sz w:val="14"/>
          <w:szCs w:val="14"/>
          <w:i w:val="1"/>
          <w:iCs w:val="1"/>
          <w:color w:val="auto"/>
        </w:rPr>
        <w:t>The Company’s fiscal year ends on the Sunday nearest to January 31 of the following year. Fiscal 2022 is a 52-week period and ends on January 29, 2023. Fiscal 2021 was a 52-week period and ended on January 30, 2022. The three months of fiscal 2022 and fiscal 2021 represent our 13-week periods ended October 30, 2022 and October 31, 2021, respectively.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i w:val="1"/>
          <w:iCs w:val="1"/>
          <w:color w:val="auto"/>
        </w:rPr>
        <w:t>Unless the context indicates otherwise, the terms the “Company,” “Duluth,” “Duluth Trading,” “we,” “our,” or “us” are used to refer to Duluth Holdings Inc.</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w:t>
      </w:r>
    </w:p>
    <w:p>
      <w:pPr>
        <w:spacing w:after="0" w:line="16"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18"/>
          <w:szCs w:val="18"/>
          <w:color w:val="auto"/>
        </w:rPr>
        <w:t>1995 that are subject to risks and uncertainties. All statements other than statements of historical or current facts included in this Quarterly Report on Form 10-Q are forward-looking statements. Forward looking statements refer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“could,” “estimate,” “expect,” “project,” “plan,” “potential,” “intend,” “believe,” “may,” “might,” “will,” “objective,” “should,” “would,” “can have,” “likely,” and other words and terms of similar meaning in connection with any discussion of the timing or nature of future operating or financial performance or other events. For example, all statements we make relating to our estimated and projected earnings, revenue, costs, expenditures, cash flows, growth rates and financial results, our plans and objectives for future operations, growth initiatives, or strategies are forward-looking statements. All forward-looking statements are subject to risks and uncertainties, including the risks and uncertainties described under Part I, Item 1A “Risk Factors,” in our 2021 Form 10-K, and other SEC filings, which factors are incorporated by reference herein. These risks and uncertainties include, but are not limited to, the following: the impact of inflation on our results of operations; the prolonged effects of COVID-19 on store traffic and disruptions to our distribution network, supply chains and operations; our ability to maintain and enhance a strong brand image; effectively adapting to new challenges associated with our expansion into new geographic markets; generating adequate cash from our existing stores to support our growth; effectively relying on sources for merchandise located in foreign markets; transportation delays and interruptions, including port congestion; inability to timely and effectively obtain shipments of products from our suppliers and deliver merchandise to our customers; the inability to maintain the performance of a maturing store portfolio; the impact of changes in corporate tax regulations; identifying and responding to new and changing customer preferences; the success of the locations in which our stores are located; our ability to attract and retain customers in the various retail venues and locations in which our stores are located; competing effectively in an environment of intense competition; our ability to adapt to significant changes in sales due to the seasonality of our business; price reductions or inventory shortages resulting from failure to purchase the appropriate amount of inventory in advance of the season in which it will be sold due to global market constraints; increases in costs of fuel or other energy, transportation or utility costs and in the costs of labor and employment; failure of our information technology systems to support our current and growing business, before and after our planned upgrades; and other factors that may be disclosed in our SEC filings or otherwise. Moreover, we operate in an evolving environment, new risk factors and uncertainties emerge from time to time and it is not possible for management to predict all risk factors and uncertainties, nor can we assess the impact of all factors on our business or the extent to which any factor, or combination of factors, may cause actual results to differ materially from those contained in any forward-looking statement. We qualify all of our forward-looking statements by these cautionary statements.</w:t>
      </w:r>
    </w:p>
    <w:p>
      <w:pPr>
        <w:spacing w:after="0" w:line="164" w:lineRule="exact"/>
        <w:rPr>
          <w:sz w:val="20"/>
          <w:szCs w:val="20"/>
          <w:color w:val="auto"/>
        </w:rPr>
      </w:pPr>
    </w:p>
    <w:p>
      <w:pPr>
        <w:ind w:right="1160" w:firstLine="428"/>
        <w:spacing w:after="0" w:line="430" w:lineRule="auto"/>
        <w:rPr>
          <w:sz w:val="20"/>
          <w:szCs w:val="20"/>
          <w:color w:val="auto"/>
        </w:rPr>
      </w:pPr>
      <w:r>
        <w:rPr>
          <w:rFonts w:ascii="Times New Roman" w:cs="Times New Roman" w:eastAsia="Times New Roman" w:hAnsi="Times New Roman"/>
          <w:sz w:val="18"/>
          <w:szCs w:val="18"/>
          <w:color w:val="auto"/>
        </w:rPr>
        <w:t xml:space="preserve">We undertake no obligation to update or revise these forward-looking statements, except as required under the federal securities laws.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ind w:right="140" w:firstLine="428"/>
        <w:spacing w:after="0" w:line="242" w:lineRule="auto"/>
        <w:rPr>
          <w:sz w:val="20"/>
          <w:szCs w:val="20"/>
          <w:color w:val="auto"/>
        </w:rPr>
      </w:pPr>
      <w:r>
        <w:rPr>
          <w:rFonts w:ascii="Times New Roman" w:cs="Times New Roman" w:eastAsia="Times New Roman" w:hAnsi="Times New Roman"/>
          <w:sz w:val="18"/>
          <w:szCs w:val="18"/>
          <w:color w:val="auto"/>
        </w:rPr>
        <w:t>We are a lifestyle brand of men’s and women’s casual wear, workwear and accessories sold primarily through our own omnichannel platform. We offer products nationwide through our website and catalog. In 2010, we initiated our omnichannel platform with the opening of our first store. Since then, we have expanded our retail presence, and as of October 30, 2022, we operated 62 retail stores and three outlet stores.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We offer a comprehensive line of innovative, durable and functional products, such as our Longtail 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shirts, Buck Naked</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underwear, Fire Hose</w:t>
      </w:r>
      <w:r>
        <w:rPr>
          <w:rFonts w:ascii="Times New Roman" w:cs="Times New Roman" w:eastAsia="Times New Roman" w:hAnsi="Times New Roman"/>
          <w:sz w:val="22"/>
          <w:szCs w:val="22"/>
          <w:color w:val="auto"/>
          <w:vertAlign w:val="superscript"/>
        </w:rPr>
        <w:t>®</w:t>
      </w:r>
    </w:p>
    <w:p>
      <w:pPr>
        <w:ind w:right="200"/>
        <w:spacing w:after="0" w:line="205" w:lineRule="auto"/>
        <w:rPr>
          <w:sz w:val="20"/>
          <w:szCs w:val="20"/>
          <w:color w:val="auto"/>
        </w:rPr>
      </w:pPr>
      <w:r>
        <w:rPr>
          <w:rFonts w:ascii="Times New Roman" w:cs="Times New Roman" w:eastAsia="Times New Roman" w:hAnsi="Times New Roman"/>
          <w:sz w:val="18"/>
          <w:szCs w:val="18"/>
          <w:color w:val="auto"/>
        </w:rPr>
        <w:t>work pants, and No-Yank</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Tank, which reflect our position as the Modern, Self-Reliant American Lifestyle brand. Our brand has a heritage in workwear that transcends tradesmen and appeals to a broad demographic for everyday and on-the-job use.</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firstLine="428"/>
        <w:spacing w:after="0" w:line="236" w:lineRule="auto"/>
        <w:rPr>
          <w:sz w:val="20"/>
          <w:szCs w:val="20"/>
          <w:color w:val="auto"/>
        </w:rPr>
      </w:pPr>
      <w:r>
        <w:rPr>
          <w:rFonts w:ascii="Times New Roman" w:cs="Times New Roman" w:eastAsia="Times New Roman" w:hAnsi="Times New Roman"/>
          <w:sz w:val="18"/>
          <w:szCs w:val="18"/>
          <w:color w:val="auto"/>
        </w:rPr>
        <w:t>From our heritage as a catalog for those working in the building trades, Duluth Trading has become a widely recognized brand and proprietary line of innovative and functional apparel and gear. Over the last decade, we have created strong brand awareness, built a loyal customer base and generated robust sales momentum. We have done so by sticking to our roots of “there’s gotta be a better way” and through our relentless focus on providing our customers with quality, functional products.</w:t>
      </w:r>
    </w:p>
    <w:p>
      <w:pPr>
        <w:spacing w:after="0" w:line="1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our financial results is as follows:</w:t>
      </w:r>
    </w:p>
    <w:p>
      <w:pPr>
        <w:spacing w:after="0" w:line="77" w:lineRule="exact"/>
        <w:rPr>
          <w:sz w:val="20"/>
          <w:szCs w:val="20"/>
          <w:color w:val="auto"/>
        </w:rPr>
      </w:pPr>
    </w:p>
    <w:p>
      <w:pPr>
        <w:ind w:left="880" w:right="200"/>
        <w:spacing w:after="0" w:line="266" w:lineRule="auto"/>
        <w:rPr>
          <w:sz w:val="20"/>
          <w:szCs w:val="20"/>
          <w:color w:val="auto"/>
        </w:rPr>
      </w:pPr>
      <w:r>
        <w:rPr>
          <w:rFonts w:ascii="Times New Roman" w:cs="Times New Roman" w:eastAsia="Times New Roman" w:hAnsi="Times New Roman"/>
          <w:sz w:val="18"/>
          <w:szCs w:val="18"/>
          <w:color w:val="auto"/>
        </w:rPr>
        <w:t>Net sales increased by 1.3% over the prior year third quarter to $147.1 million, and net sales in the first nine months of fiscal 2022 decreased by 3.8% over the first nine months of the prior year to $411.5 million;</w:t>
      </w:r>
    </w:p>
    <w:p>
      <w:pPr>
        <w:spacing w:after="0" w:line="27" w:lineRule="exact"/>
        <w:rPr>
          <w:sz w:val="20"/>
          <w:szCs w:val="20"/>
          <w:color w:val="auto"/>
        </w:rPr>
      </w:pPr>
    </w:p>
    <w:p>
      <w:pPr>
        <w:ind w:left="880" w:right="100"/>
        <w:spacing w:after="0" w:line="282" w:lineRule="auto"/>
        <w:rPr>
          <w:sz w:val="20"/>
          <w:szCs w:val="20"/>
          <w:color w:val="auto"/>
        </w:rPr>
      </w:pPr>
      <w:r>
        <w:rPr>
          <w:rFonts w:ascii="Times New Roman" w:cs="Times New Roman" w:eastAsia="Times New Roman" w:hAnsi="Times New Roman"/>
          <w:sz w:val="18"/>
          <w:szCs w:val="18"/>
          <w:color w:val="auto"/>
        </w:rPr>
        <w:t>Net loss of $6.2 million in fiscal 2022 third quarter compared to the prior year third quarter net income of $2.8 million, and net loss in the first nine months of fiscal 2022 of $5.2 million compared to net income in the first nine months of fiscal 2021 of $12.2 million; and</w:t>
      </w:r>
    </w:p>
    <w:p>
      <w:pPr>
        <w:spacing w:after="0" w:line="13" w:lineRule="exact"/>
        <w:rPr>
          <w:sz w:val="20"/>
          <w:szCs w:val="20"/>
          <w:color w:val="auto"/>
        </w:rPr>
      </w:pPr>
    </w:p>
    <w:p>
      <w:pPr>
        <w:ind w:left="880" w:right="140"/>
        <w:spacing w:after="0" w:line="242" w:lineRule="auto"/>
        <w:rPr>
          <w:sz w:val="20"/>
          <w:szCs w:val="20"/>
          <w:color w:val="auto"/>
        </w:rPr>
      </w:pPr>
      <w:r>
        <w:rPr>
          <w:rFonts w:ascii="Times New Roman" w:cs="Times New Roman" w:eastAsia="Times New Roman" w:hAnsi="Times New Roman"/>
          <w:sz w:val="18"/>
          <w:szCs w:val="18"/>
          <w:color w:val="auto"/>
        </w:rPr>
        <w:t>Adjusted EBITDA decreased to $1.7 million in fiscal 2022 third quarter compared to the prior year third quarter Adjusted EBITDA of $13.0 million, and adjusted EBITDA in the first nine months of fiscal 2022 of $22.9 million compared to $44.3 million over the first nine months of the prior year.</w:t>
      </w:r>
    </w:p>
    <w:p>
      <w:pPr>
        <w:spacing w:after="0" w:line="143" w:lineRule="exact"/>
        <w:rPr>
          <w:sz w:val="20"/>
          <w:szCs w:val="20"/>
          <w:color w:val="auto"/>
        </w:rPr>
      </w:pPr>
    </w:p>
    <w:p>
      <w:pPr>
        <w:jc w:val="both"/>
        <w:ind w:firstLine="402"/>
        <w:spacing w:after="0" w:line="242" w:lineRule="auto"/>
        <w:rPr>
          <w:sz w:val="20"/>
          <w:szCs w:val="20"/>
          <w:color w:val="auto"/>
        </w:rPr>
      </w:pPr>
      <w:r>
        <w:rPr>
          <w:rFonts w:ascii="Times New Roman" w:cs="Times New Roman" w:eastAsia="Times New Roman" w:hAnsi="Times New Roman"/>
          <w:sz w:val="18"/>
          <w:szCs w:val="18"/>
          <w:color w:val="auto"/>
        </w:rPr>
        <w:t>See the “Reconciliation of Net Income to EBITDA and EBITDA to Adjusted EBITDA” section for a reconciliation of our net income to EBITDA and EBITDA to Adjusted EBITDA, both of which are non-U.S. GAAP financial measures. See also the information under the heading “Adjusted EBITDA” in the section “How We Assess the Performance of Our Business” for our definition of Adjusted EBITDA.</w:t>
      </w:r>
    </w:p>
    <w:p>
      <w:pPr>
        <w:spacing w:after="0" w:line="143" w:lineRule="exact"/>
        <w:rPr>
          <w:sz w:val="20"/>
          <w:szCs w:val="20"/>
          <w:color w:val="auto"/>
        </w:rPr>
      </w:pPr>
    </w:p>
    <w:p>
      <w:pPr>
        <w:ind w:right="180" w:firstLine="402"/>
        <w:spacing w:after="0" w:line="236" w:lineRule="auto"/>
        <w:rPr>
          <w:sz w:val="20"/>
          <w:szCs w:val="20"/>
          <w:color w:val="auto"/>
        </w:rPr>
      </w:pPr>
      <w:r>
        <w:rPr>
          <w:rFonts w:ascii="Times New Roman" w:cs="Times New Roman" w:eastAsia="Times New Roman" w:hAnsi="Times New Roman"/>
          <w:sz w:val="18"/>
          <w:szCs w:val="18"/>
          <w:color w:val="auto"/>
        </w:rPr>
        <w:t>The Company continues to progress on further defining and executing the “Big Dam Blueprint,” which management believes will unlock the Company’s full potential for long-term, sustainable growth. As introduced in the second quarter of 2021, the Big Dam Blueprint focuses on the following key strategic areas:</w:t>
      </w:r>
    </w:p>
    <w:p>
      <w:pPr>
        <w:spacing w:after="0" w:line="47" w:lineRule="exact"/>
        <w:rPr>
          <w:sz w:val="20"/>
          <w:szCs w:val="20"/>
          <w:color w:val="auto"/>
        </w:rPr>
      </w:pPr>
    </w:p>
    <w:p>
      <w:pPr>
        <w:ind w:left="880" w:right="5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Begin with a digital-first mindset </w:t>
      </w:r>
      <w:r>
        <w:rPr>
          <w:rFonts w:ascii="Times New Roman" w:cs="Times New Roman" w:eastAsia="Times New Roman" w:hAnsi="Times New Roman"/>
          <w:sz w:val="18"/>
          <w:szCs w:val="18"/>
          <w:color w:val="auto"/>
        </w:rPr>
        <w:t>that integrates technology into all areas of the business, fundamentally changing how we operate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value to customers.</w:t>
      </w:r>
    </w:p>
    <w:p>
      <w:pPr>
        <w:spacing w:after="0" w:line="6" w:lineRule="exact"/>
        <w:rPr>
          <w:sz w:val="20"/>
          <w:szCs w:val="20"/>
          <w:color w:val="auto"/>
        </w:rPr>
      </w:pPr>
    </w:p>
    <w:p>
      <w:pPr>
        <w:ind w:left="880" w:right="2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Intensify efforts to optimize Duluth Trading’s owned retail channels </w:t>
      </w:r>
      <w:r>
        <w:rPr>
          <w:rFonts w:ascii="Times New Roman" w:cs="Times New Roman" w:eastAsia="Times New Roman" w:hAnsi="Times New Roman"/>
          <w:sz w:val="18"/>
          <w:szCs w:val="18"/>
          <w:color w:val="auto"/>
        </w:rPr>
        <w:t>by increasing focus and investments in our direct channel as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primary growth vehicle. We are conducting strategic research that will inform decisions on future stores regarding new locations and market share potential, size and layout.</w:t>
      </w:r>
    </w:p>
    <w:p>
      <w:pPr>
        <w:spacing w:after="0" w:line="36" w:lineRule="exact"/>
        <w:rPr>
          <w:sz w:val="20"/>
          <w:szCs w:val="20"/>
          <w:color w:val="auto"/>
        </w:rPr>
      </w:pPr>
    </w:p>
    <w:p>
      <w:pPr>
        <w:ind w:left="880" w:right="60"/>
        <w:spacing w:after="0" w:line="241" w:lineRule="auto"/>
        <w:rPr>
          <w:sz w:val="20"/>
          <w:szCs w:val="20"/>
          <w:color w:val="auto"/>
        </w:rPr>
      </w:pPr>
      <w:r>
        <w:rPr>
          <w:rFonts w:ascii="Times New Roman" w:cs="Times New Roman" w:eastAsia="Times New Roman" w:hAnsi="Times New Roman"/>
          <w:sz w:val="18"/>
          <w:szCs w:val="18"/>
          <w:b w:val="1"/>
          <w:bCs w:val="1"/>
          <w:color w:val="auto"/>
        </w:rPr>
        <w:t xml:space="preserve">Evolve the Company’s multi-brand platform as a new pathway to grow the business. </w:t>
      </w:r>
      <w:r>
        <w:rPr>
          <w:rFonts w:ascii="Times New Roman" w:cs="Times New Roman" w:eastAsia="Times New Roman" w:hAnsi="Times New Roman"/>
          <w:sz w:val="18"/>
          <w:szCs w:val="18"/>
          <w:color w:val="auto"/>
        </w:rPr>
        <w:t>Create unique brand positions, across men’s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women’s, for Duluth, 40Grit, Alaskan Hardgear, Buck Naked, and Best Made to address customer needs for various occasions including work, outdoor recreation, casual lifestyle, and first layer. Invest in the evolution of the Duluth Trading platform to enable the integration of new brands, expand our offerings and broaden our customer base.</w:t>
      </w:r>
    </w:p>
    <w:p>
      <w:pPr>
        <w:spacing w:after="0" w:line="46" w:lineRule="exact"/>
        <w:rPr>
          <w:sz w:val="20"/>
          <w:szCs w:val="20"/>
          <w:color w:val="auto"/>
        </w:rPr>
      </w:pPr>
    </w:p>
    <w:p>
      <w:pPr>
        <w:ind w:left="880" w:right="60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Carefully test and learn to unlock long-term growth potential. </w:t>
      </w:r>
      <w:r>
        <w:rPr>
          <w:rFonts w:ascii="Times New Roman" w:cs="Times New Roman" w:eastAsia="Times New Roman" w:hAnsi="Times New Roman"/>
          <w:sz w:val="18"/>
          <w:szCs w:val="18"/>
          <w:color w:val="auto"/>
        </w:rPr>
        <w:t>Explore new opportunities to engage current and potential customers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products, services and touchpoints that they expect and value.</w:t>
      </w:r>
    </w:p>
    <w:p>
      <w:pPr>
        <w:spacing w:after="0" w:line="18" w:lineRule="exact"/>
        <w:rPr>
          <w:sz w:val="20"/>
          <w:szCs w:val="20"/>
          <w:color w:val="auto"/>
        </w:rPr>
      </w:pPr>
    </w:p>
    <w:p>
      <w:pPr>
        <w:ind w:left="880" w:right="220"/>
        <w:spacing w:after="0" w:line="246" w:lineRule="auto"/>
        <w:rPr>
          <w:sz w:val="20"/>
          <w:szCs w:val="20"/>
          <w:color w:val="auto"/>
        </w:rPr>
      </w:pPr>
      <w:r>
        <w:rPr>
          <w:rFonts w:ascii="Times New Roman" w:cs="Times New Roman" w:eastAsia="Times New Roman" w:hAnsi="Times New Roman"/>
          <w:sz w:val="18"/>
          <w:szCs w:val="18"/>
          <w:b w:val="1"/>
          <w:bCs w:val="1"/>
          <w:color w:val="auto"/>
        </w:rPr>
        <w:t xml:space="preserve">Increase and, in some areas, accelerate investments to future proof the business. </w:t>
      </w:r>
      <w:r>
        <w:rPr>
          <w:rFonts w:ascii="Times New Roman" w:cs="Times New Roman" w:eastAsia="Times New Roman" w:hAnsi="Times New Roman"/>
          <w:sz w:val="18"/>
          <w:szCs w:val="18"/>
          <w:color w:val="auto"/>
        </w:rPr>
        <w:t>Areas under analysis include greater automation across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logistics network; technology that will improve operations, generate positive impact and sustainable returns; support growth through multiple brands and seamlessly integrate new brands into the portfolio; and attract the talent, skillsets and expertise needed to scale the business.</w:t>
      </w:r>
    </w:p>
    <w:p>
      <w:pPr>
        <w:spacing w:after="0" w:line="127" w:lineRule="exact"/>
        <w:rPr>
          <w:sz w:val="20"/>
          <w:szCs w:val="20"/>
          <w:color w:val="auto"/>
        </w:rPr>
      </w:pPr>
    </w:p>
    <w:p>
      <w:pPr>
        <w:jc w:val="both"/>
        <w:ind w:right="100" w:firstLine="402"/>
        <w:spacing w:after="0" w:line="242" w:lineRule="auto"/>
        <w:rPr>
          <w:sz w:val="20"/>
          <w:szCs w:val="20"/>
          <w:color w:val="auto"/>
        </w:rPr>
      </w:pPr>
      <w:r>
        <w:rPr>
          <w:rFonts w:ascii="Times New Roman" w:cs="Times New Roman" w:eastAsia="Times New Roman" w:hAnsi="Times New Roman"/>
          <w:sz w:val="18"/>
          <w:szCs w:val="18"/>
          <w:color w:val="auto"/>
        </w:rPr>
        <w:t>Our management’s discussion and analysis includes market sales metrics for our stores, website and catalog sales. Market areas are determined by a third-party that divides the United States and Puerto Rico into 280 unique geographical areas. Our store market sales metrics include sales from our stores, website and catalog. Our non-store market sales metrics include sales from our website and catalog.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Conditions</w:t>
      </w:r>
    </w:p>
    <w:p>
      <w:pPr>
        <w:spacing w:after="0" w:line="162" w:lineRule="exact"/>
        <w:rPr>
          <w:sz w:val="20"/>
          <w:szCs w:val="20"/>
          <w:color w:val="auto"/>
        </w:rPr>
      </w:pPr>
    </w:p>
    <w:p>
      <w:pPr>
        <w:ind w:right="220" w:firstLine="492"/>
        <w:spacing w:after="0" w:line="266" w:lineRule="auto"/>
        <w:rPr>
          <w:sz w:val="20"/>
          <w:szCs w:val="20"/>
          <w:color w:val="auto"/>
        </w:rPr>
      </w:pPr>
      <w:r>
        <w:rPr>
          <w:rFonts w:ascii="Times New Roman" w:cs="Times New Roman" w:eastAsia="Times New Roman" w:hAnsi="Times New Roman"/>
          <w:sz w:val="18"/>
          <w:szCs w:val="18"/>
          <w:color w:val="auto"/>
        </w:rPr>
        <w:t>In addition to the COVID-19 pandemic, the United States economy has experienced high inflation during the first three quarters of 2022 and there are expectations in the market that inflation may remain at elevated levels.</w:t>
      </w:r>
    </w:p>
    <w:p>
      <w:pPr>
        <w:spacing w:after="0" w:line="122" w:lineRule="exact"/>
        <w:rPr>
          <w:sz w:val="20"/>
          <w:szCs w:val="20"/>
          <w:color w:val="auto"/>
        </w:rPr>
      </w:pPr>
    </w:p>
    <w:p>
      <w:pPr>
        <w:ind w:right="560" w:firstLine="492"/>
        <w:spacing w:after="0" w:line="236" w:lineRule="auto"/>
        <w:rPr>
          <w:sz w:val="20"/>
          <w:szCs w:val="20"/>
          <w:color w:val="auto"/>
        </w:rPr>
      </w:pPr>
      <w:r>
        <w:rPr>
          <w:rFonts w:ascii="Times New Roman" w:cs="Times New Roman" w:eastAsia="Times New Roman" w:hAnsi="Times New Roman"/>
          <w:sz w:val="18"/>
          <w:szCs w:val="18"/>
          <w:color w:val="auto"/>
        </w:rPr>
        <w:t>The ultimate impact of COVID-19 and higher inflationary periods on our operational and financial performance still depends on future developments outside of our control. Given the uncertainty, we cannot reasonably estimate store traffic patterns and the prolonged impact on overall consumer demand.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Assess the Performance of Our Business</w:t>
      </w:r>
    </w:p>
    <w:p>
      <w:pPr>
        <w:spacing w:after="0" w:line="175" w:lineRule="exact"/>
        <w:rPr>
          <w:sz w:val="20"/>
          <w:szCs w:val="20"/>
          <w:color w:val="auto"/>
        </w:rPr>
      </w:pPr>
    </w:p>
    <w:p>
      <w:pPr>
        <w:ind w:left="5540" w:right="1020" w:hanging="5097"/>
        <w:spacing w:after="0" w:line="250"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variety of financial and operating measures that affect our operating results.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62" w:lineRule="exact"/>
        <w:rPr>
          <w:sz w:val="20"/>
          <w:szCs w:val="20"/>
          <w:color w:val="auto"/>
        </w:rPr>
      </w:pPr>
    </w:p>
    <w:p>
      <w:pPr>
        <w:ind w:right="380" w:firstLine="428"/>
        <w:spacing w:after="0" w:line="266" w:lineRule="auto"/>
        <w:rPr>
          <w:sz w:val="20"/>
          <w:szCs w:val="20"/>
          <w:color w:val="auto"/>
        </w:rPr>
      </w:pPr>
      <w:r>
        <w:rPr>
          <w:rFonts w:ascii="Times New Roman" w:cs="Times New Roman" w:eastAsia="Times New Roman" w:hAnsi="Times New Roman"/>
          <w:sz w:val="18"/>
          <w:szCs w:val="18"/>
          <w:color w:val="auto"/>
        </w:rPr>
        <w:t>Net sales reflect our sale of merchandise plus shipping and handling revenue collected from our customers, less returns and discounts. Direct-to-consumer sales are recognized upon shipment of the product and store sales are recognized at the point of sale.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2" w:lineRule="exact"/>
        <w:rPr>
          <w:sz w:val="20"/>
          <w:szCs w:val="20"/>
          <w:color w:val="auto"/>
        </w:rPr>
      </w:pPr>
    </w:p>
    <w:p>
      <w:pPr>
        <w:ind w:firstLine="428"/>
        <w:spacing w:after="0" w:line="233" w:lineRule="auto"/>
        <w:rPr>
          <w:sz w:val="20"/>
          <w:szCs w:val="20"/>
          <w:color w:val="auto"/>
        </w:rPr>
      </w:pPr>
      <w:r>
        <w:rPr>
          <w:rFonts w:ascii="Times New Roman" w:cs="Times New Roman" w:eastAsia="Times New Roman" w:hAnsi="Times New Roman"/>
          <w:sz w:val="18"/>
          <w:szCs w:val="18"/>
          <w:color w:val="auto"/>
        </w:rPr>
        <w:t>Gross profit is equal to our net sales less cost of goods sold. Gross profit as a percentage of our net sales is referred to as gross margin. Cost of goods sold includes the direct cost of purchased merchandise; inventory shrinkage; inventory adjustments due to obsolescence, including excess and slow-moving inventory and lower of cost and net realizable reserves; inbound freight; and freight from our distribution centers to our retail stores. The primary drivers of the costs of individual goods are raw material costs. Depreciation and amortization are excluded from gross profit. We expect gross profit to increase to the extent that we successfully grow our net sales. Our gross profit may not be comparable to other retailers, as we do not include distribution network and store occupancy expenses in calculating gross profit, but instead we include them in selling, general and administrative expenses.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ind w:right="300" w:firstLine="428"/>
        <w:spacing w:after="0" w:line="233" w:lineRule="auto"/>
        <w:rPr>
          <w:sz w:val="20"/>
          <w:szCs w:val="20"/>
          <w:color w:val="auto"/>
        </w:rPr>
      </w:pPr>
      <w:r>
        <w:rPr>
          <w:rFonts w:ascii="Times New Roman" w:cs="Times New Roman" w:eastAsia="Times New Roman" w:hAnsi="Times New Roman"/>
          <w:sz w:val="18"/>
          <w:szCs w:val="18"/>
          <w:color w:val="auto"/>
        </w:rPr>
        <w:t>Selling, general and administrative expenses include all operating costs not included in cost of goods sold. These expenses include all payroll and payroll-related expenses and occupancy expenses related to our stores and to our operations at our headquarters, including utilities, depreciation and amortization. They also include marketing expense, which primarily includes digital and television advertising, catalog production, mailing and print advertising costs, as well as all logistics costs associated with shipping product to our customers, consulting and software expenses and professional services fees. Selling, general and administrative expenses as a percentage of net sales is usually higher in lower-volume quarters and lower in higher-volume quarters because a portion of the costs are relatively fixed.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75" w:lineRule="exact"/>
        <w:rPr>
          <w:sz w:val="20"/>
          <w:szCs w:val="20"/>
          <w:color w:val="auto"/>
        </w:rPr>
      </w:pPr>
    </w:p>
    <w:p>
      <w:pPr>
        <w:ind w:right="100" w:firstLine="428"/>
        <w:spacing w:after="0" w:line="236" w:lineRule="auto"/>
        <w:rPr>
          <w:sz w:val="20"/>
          <w:szCs w:val="20"/>
          <w:color w:val="auto"/>
        </w:rPr>
      </w:pPr>
      <w:r>
        <w:rPr>
          <w:rFonts w:ascii="Times New Roman" w:cs="Times New Roman" w:eastAsia="Times New Roman" w:hAnsi="Times New Roman"/>
          <w:sz w:val="18"/>
          <w:szCs w:val="18"/>
          <w:color w:val="auto"/>
        </w:rPr>
        <w:t>We believe Adjusted EBITDA is a useful measure of operating performance, as it provides a clearer picture of operating results by excluding the effects of financing and investing activities by eliminating the effects of interest and depreciation costs and eliminating expenses that are not reflective of underlying business performance. We use Adjusted EBITDA to facilitate a comparison of our operating performance on a consistent basis from period-to-period and to provide for a more complete understanding of factors and trends affecting our business.</w:t>
      </w:r>
    </w:p>
    <w:p>
      <w:pPr>
        <w:spacing w:after="0" w:line="144" w:lineRule="exact"/>
        <w:rPr>
          <w:sz w:val="20"/>
          <w:szCs w:val="20"/>
          <w:color w:val="auto"/>
        </w:rPr>
      </w:pPr>
    </w:p>
    <w:p>
      <w:pPr>
        <w:ind w:right="100" w:firstLine="428"/>
        <w:spacing w:after="0" w:line="235" w:lineRule="auto"/>
        <w:rPr>
          <w:sz w:val="20"/>
          <w:szCs w:val="20"/>
          <w:color w:val="auto"/>
        </w:rPr>
      </w:pPr>
      <w:r>
        <w:rPr>
          <w:rFonts w:ascii="Times New Roman" w:cs="Times New Roman" w:eastAsia="Times New Roman" w:hAnsi="Times New Roman"/>
          <w:sz w:val="18"/>
          <w:szCs w:val="18"/>
          <w:color w:val="auto"/>
        </w:rPr>
        <w:t>We define Adjusted EBITDA as consolidated net income before depreciation and amortization, interest expense and provision for income taxes adjusted for the impact of certain items, including non-cash and other items we do not consider representative of our ongoing operating performance. We believe Adjusted EBITDA is less susceptible to variances in actual performance resulting from depreciation, amortization and other items. We also use Adjusted EBITDA as the key financial metric in determining bonus compensation for our employees. This non-GAAP measure may not be comparable to similarly 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unaudited consolidated results of operations for the periods indicated, both in dollars and as a percentage of net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147,126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145,277</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411,541</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(excluding depreciation and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70,205</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61,627</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191,949</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196,204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231,619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84,311</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78,792</w:t>
            </w:r>
          </w:p>
        </w:tc>
        <w:tc>
          <w:tcPr>
            <w:tcW w:w="1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224,044</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211,779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income attributable to controlling interest</w:t>
            </w: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(6,217)</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2,806</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(5,143)</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12,343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Percentage of Net sales:</w:t>
            </w: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8"/>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(excluding depreciation</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and amortization)</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29"/>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 income</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(Loss) income before income taxes</w:t>
            </w: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10"/>
        </w:trPr>
        <w:tc>
          <w:tcPr>
            <w:tcW w:w="43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loss attributable to noncontrolling interest</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0"/>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attributable to controlling interest</w:t>
            </w: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6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right="4160"/>
        <w:spacing w:after="0" w:line="432" w:lineRule="auto"/>
        <w:rPr>
          <w:sz w:val="20"/>
          <w:szCs w:val="20"/>
          <w:color w:val="auto"/>
        </w:rPr>
      </w:pPr>
      <w:r>
        <w:rPr>
          <w:rFonts w:ascii="Times New Roman" w:cs="Times New Roman" w:eastAsia="Times New Roman" w:hAnsi="Times New Roman"/>
          <w:sz w:val="18"/>
          <w:szCs w:val="18"/>
          <w:b w:val="1"/>
          <w:bCs w:val="1"/>
          <w:color w:val="auto"/>
        </w:rPr>
        <w:t xml:space="preserve">Three Months Ended October 30, 2022 Compared to Three Months Ended October 31, 2021 </w:t>
      </w:r>
      <w:r>
        <w:rPr>
          <w:rFonts w:ascii="Times New Roman" w:cs="Times New Roman" w:eastAsia="Times New Roman" w:hAnsi="Times New Roman"/>
          <w:sz w:val="18"/>
          <w:szCs w:val="18"/>
          <w:b w:val="1"/>
          <w:bCs w:val="1"/>
          <w:i w:val="1"/>
          <w:iCs w:val="1"/>
          <w:color w:val="auto"/>
        </w:rPr>
        <w:t>Net Sales</w:t>
      </w:r>
    </w:p>
    <w:p>
      <w:pPr>
        <w:spacing w:after="0" w:line="1" w:lineRule="exact"/>
        <w:rPr>
          <w:sz w:val="20"/>
          <w:szCs w:val="20"/>
          <w:color w:val="auto"/>
        </w:rPr>
      </w:pPr>
    </w:p>
    <w:p>
      <w:pPr>
        <w:ind w:right="400" w:firstLine="428"/>
        <w:spacing w:after="0" w:line="250" w:lineRule="auto"/>
        <w:rPr>
          <w:sz w:val="20"/>
          <w:szCs w:val="20"/>
          <w:color w:val="auto"/>
        </w:rPr>
      </w:pPr>
      <w:r>
        <w:rPr>
          <w:rFonts w:ascii="Times New Roman" w:cs="Times New Roman" w:eastAsia="Times New Roman" w:hAnsi="Times New Roman"/>
          <w:sz w:val="18"/>
          <w:szCs w:val="18"/>
          <w:color w:val="auto"/>
        </w:rPr>
        <w:t>Net sales increased $1.8 million, or 1.3%, to $147.1 million in the three months ended October 30, 2022 compared to $145.3 million in the three months ended October 31, 2021.</w:t>
      </w:r>
    </w:p>
    <w:p>
      <w:pPr>
        <w:spacing w:after="0" w:line="136" w:lineRule="exact"/>
        <w:rPr>
          <w:sz w:val="20"/>
          <w:szCs w:val="20"/>
          <w:color w:val="auto"/>
        </w:rPr>
      </w:pPr>
    </w:p>
    <w:p>
      <w:pPr>
        <w:ind w:right="140" w:firstLine="428"/>
        <w:spacing w:after="0" w:line="242" w:lineRule="auto"/>
        <w:rPr>
          <w:sz w:val="20"/>
          <w:szCs w:val="20"/>
          <w:color w:val="auto"/>
        </w:rPr>
      </w:pPr>
      <w:r>
        <w:rPr>
          <w:rFonts w:ascii="Times New Roman" w:cs="Times New Roman" w:eastAsia="Times New Roman" w:hAnsi="Times New Roman"/>
          <w:sz w:val="18"/>
          <w:szCs w:val="18"/>
          <w:color w:val="auto"/>
        </w:rPr>
        <w:t>Store market net sales increased $0.8 million, or 0.8%, to $103.8 million in the three months ended October 30, 2022 compared to $103.0 million in the three months ended October 31, 2021. Non-store market net sales increased by $1.2 million, or 2.9%, to $42.3 million in the three months ended October 30, 2022 compared to $41.1 million in the three months ended October 31, 2021.</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62" w:lineRule="exact"/>
        <w:rPr>
          <w:sz w:val="20"/>
          <w:szCs w:val="20"/>
          <w:color w:val="auto"/>
        </w:rPr>
      </w:pPr>
    </w:p>
    <w:p>
      <w:pPr>
        <w:ind w:right="120" w:firstLine="648"/>
        <w:spacing w:after="0"/>
        <w:rPr>
          <w:sz w:val="20"/>
          <w:szCs w:val="20"/>
          <w:color w:val="auto"/>
        </w:rPr>
      </w:pPr>
      <w:r>
        <w:rPr>
          <w:rFonts w:ascii="Times New Roman" w:cs="Times New Roman" w:eastAsia="Times New Roman" w:hAnsi="Times New Roman"/>
          <w:sz w:val="18"/>
          <w:szCs w:val="18"/>
          <w:color w:val="auto"/>
        </w:rPr>
        <w:t>Gross profit decreased $6.7 million, or 8.0%, to $76.9 million in the three months ended October 30, 2022 compared to $83.6 million in the three months ended October 31, 2021. As a percentage of net sales, gross margin decreased to 52.3% of net sales in the three months ended October 30, 2022, compared to 57.6% of net sales in the three months ended October 31, 2021. The decrease in gross margin was primarily driven by a higher mix of promotional sales during the current period.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75" w:lineRule="exact"/>
        <w:rPr>
          <w:sz w:val="20"/>
          <w:szCs w:val="20"/>
          <w:color w:val="auto"/>
        </w:rPr>
      </w:pPr>
    </w:p>
    <w:p>
      <w:pPr>
        <w:jc w:val="both"/>
        <w:ind w:right="100" w:firstLine="428"/>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expenses increased $5.5 million, or 7.0%, to $84.3 million in the three months ended October 30, 2022 compared to $78.8 million in the three months ended October 31, 2021. Selling, general and administrative expenses as a percentage of net sales increased to 57.3% in the three months ended October 30, 2022, compared to 54.2% in the three months ended October 31, 2021.</w:t>
      </w:r>
    </w:p>
    <w:p>
      <w:pPr>
        <w:spacing w:after="0" w:line="143" w:lineRule="exact"/>
        <w:rPr>
          <w:sz w:val="20"/>
          <w:szCs w:val="20"/>
          <w:color w:val="auto"/>
        </w:rPr>
      </w:pPr>
    </w:p>
    <w:p>
      <w:pPr>
        <w:ind w:right="420" w:firstLine="428"/>
        <w:spacing w:after="0" w:line="250" w:lineRule="auto"/>
        <w:rPr>
          <w:sz w:val="20"/>
          <w:szCs w:val="20"/>
          <w:color w:val="auto"/>
        </w:rPr>
      </w:pPr>
      <w:r>
        <w:rPr>
          <w:rFonts w:ascii="Times New Roman" w:cs="Times New Roman" w:eastAsia="Times New Roman" w:hAnsi="Times New Roman"/>
          <w:sz w:val="18"/>
          <w:szCs w:val="18"/>
          <w:color w:val="auto"/>
        </w:rPr>
        <w:t>The increase in selling, general and administrative expense was primarily due to increased digital advertising to drive brand awareness and store traffic, as well as increased depreciation from continued capital investments.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ind w:firstLine="428"/>
        <w:spacing w:after="0" w:line="242" w:lineRule="auto"/>
        <w:rPr>
          <w:sz w:val="20"/>
          <w:szCs w:val="20"/>
          <w:color w:val="auto"/>
        </w:rPr>
      </w:pPr>
      <w:r>
        <w:rPr>
          <w:rFonts w:ascii="Times New Roman" w:cs="Times New Roman" w:eastAsia="Times New Roman" w:hAnsi="Times New Roman"/>
          <w:sz w:val="18"/>
          <w:szCs w:val="18"/>
          <w:color w:val="auto"/>
        </w:rPr>
        <w:t>Income tax benefit was $2.1 million in the three months ended October 30, 2022, compared to income tax expense of $0.9 million in the three months ended October 31, 2021. The effective tax rate related to controlling interest was 25% for the three months ended October 30, 2022 compared to 25% for the three months ended October 31, 2021.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Attributable to Controlling Interest</w:t>
      </w:r>
    </w:p>
    <w:p>
      <w:pPr>
        <w:spacing w:after="0" w:line="175" w:lineRule="exact"/>
        <w:rPr>
          <w:sz w:val="20"/>
          <w:szCs w:val="20"/>
          <w:color w:val="auto"/>
        </w:rPr>
      </w:pPr>
    </w:p>
    <w:p>
      <w:pPr>
        <w:ind w:right="180" w:firstLine="428"/>
        <w:spacing w:after="0" w:line="250" w:lineRule="auto"/>
        <w:rPr>
          <w:sz w:val="20"/>
          <w:szCs w:val="20"/>
          <w:color w:val="auto"/>
        </w:rPr>
      </w:pPr>
      <w:r>
        <w:rPr>
          <w:rFonts w:ascii="Times New Roman" w:cs="Times New Roman" w:eastAsia="Times New Roman" w:hAnsi="Times New Roman"/>
          <w:sz w:val="18"/>
          <w:szCs w:val="18"/>
          <w:color w:val="auto"/>
        </w:rPr>
        <w:t>Net loss attributable to controlling interest was $6.2 million, in the three months ended October 30, 2022 compared to net income of $2.8 million in the three months ended October 31, 2021, due to the factors discussed above.</w:t>
      </w:r>
    </w:p>
    <w:p>
      <w:pPr>
        <w:spacing w:after="0" w:line="132" w:lineRule="exact"/>
        <w:rPr>
          <w:sz w:val="20"/>
          <w:szCs w:val="20"/>
          <w:color w:val="auto"/>
        </w:rPr>
      </w:pPr>
    </w:p>
    <w:p>
      <w:pPr>
        <w:ind w:right="4360"/>
        <w:spacing w:after="0" w:line="432" w:lineRule="auto"/>
        <w:rPr>
          <w:sz w:val="20"/>
          <w:szCs w:val="20"/>
          <w:color w:val="auto"/>
        </w:rPr>
      </w:pPr>
      <w:r>
        <w:rPr>
          <w:rFonts w:ascii="Times New Roman" w:cs="Times New Roman" w:eastAsia="Times New Roman" w:hAnsi="Times New Roman"/>
          <w:sz w:val="18"/>
          <w:szCs w:val="18"/>
          <w:b w:val="1"/>
          <w:bCs w:val="1"/>
          <w:color w:val="auto"/>
        </w:rPr>
        <w:t xml:space="preserve">Nine Months Ended October 30, 2022 Compared to Nine Months Ended October 31, 2021 </w:t>
      </w:r>
      <w:r>
        <w:rPr>
          <w:rFonts w:ascii="Times New Roman" w:cs="Times New Roman" w:eastAsia="Times New Roman" w:hAnsi="Times New Roman"/>
          <w:sz w:val="18"/>
          <w:szCs w:val="18"/>
          <w:b w:val="1"/>
          <w:bCs w:val="1"/>
          <w:i w:val="1"/>
          <w:iCs w:val="1"/>
          <w:color w:val="auto"/>
        </w:rPr>
        <w:t>Net Sales</w:t>
      </w:r>
    </w:p>
    <w:p>
      <w:pPr>
        <w:spacing w:after="0" w:line="1" w:lineRule="exact"/>
        <w:rPr>
          <w:sz w:val="20"/>
          <w:szCs w:val="20"/>
          <w:color w:val="auto"/>
        </w:rPr>
      </w:pPr>
    </w:p>
    <w:p>
      <w:pPr>
        <w:jc w:val="both"/>
        <w:ind w:right="340" w:firstLine="428"/>
        <w:spacing w:after="0" w:line="242" w:lineRule="auto"/>
        <w:rPr>
          <w:sz w:val="20"/>
          <w:szCs w:val="20"/>
          <w:color w:val="auto"/>
        </w:rPr>
      </w:pPr>
      <w:r>
        <w:rPr>
          <w:rFonts w:ascii="Times New Roman" w:cs="Times New Roman" w:eastAsia="Times New Roman" w:hAnsi="Times New Roman"/>
          <w:sz w:val="18"/>
          <w:szCs w:val="18"/>
          <w:color w:val="auto"/>
        </w:rPr>
        <w:t>Net sales decreased $16.3 million, or 3.8%, to $411.5 million in the nine months ended October 30, 2022 compared to $427.8 million in the nine months ended October 31, 2021. The decrease was primarily driven by continued slower store traffic, partially offset by increased promotional activity, particularly during the current quarter.</w:t>
      </w:r>
    </w:p>
    <w:p>
      <w:pPr>
        <w:spacing w:after="0" w:line="143" w:lineRule="exact"/>
        <w:rPr>
          <w:sz w:val="20"/>
          <w:szCs w:val="20"/>
          <w:color w:val="auto"/>
        </w:rPr>
      </w:pPr>
    </w:p>
    <w:p>
      <w:pPr>
        <w:ind w:right="80" w:firstLine="428"/>
        <w:spacing w:after="0" w:line="236" w:lineRule="auto"/>
        <w:rPr>
          <w:sz w:val="20"/>
          <w:szCs w:val="20"/>
          <w:color w:val="auto"/>
        </w:rPr>
      </w:pPr>
      <w:r>
        <w:rPr>
          <w:rFonts w:ascii="Times New Roman" w:cs="Times New Roman" w:eastAsia="Times New Roman" w:hAnsi="Times New Roman"/>
          <w:sz w:val="18"/>
          <w:szCs w:val="18"/>
          <w:color w:val="auto"/>
        </w:rPr>
        <w:t>Store market net sales decreased $10.7 million, or 3.6%, to $289.3 million in the nine months ended October 30, 2022 compared to $300.0 million in the nine months ended October 31, 2021. Non-store market net sales decreased by $4.8 million, or 3.9%, to $118.9 million in the nine months ended October 30, 2022 compared to $123.7 million in the nine months ended October 31, 2021.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ind w:right="300" w:firstLine="648"/>
        <w:spacing w:after="0" w:line="242" w:lineRule="auto"/>
        <w:rPr>
          <w:sz w:val="20"/>
          <w:szCs w:val="20"/>
          <w:color w:val="auto"/>
        </w:rPr>
      </w:pPr>
      <w:r>
        <w:rPr>
          <w:rFonts w:ascii="Times New Roman" w:cs="Times New Roman" w:eastAsia="Times New Roman" w:hAnsi="Times New Roman"/>
          <w:sz w:val="18"/>
          <w:szCs w:val="18"/>
          <w:color w:val="auto"/>
        </w:rPr>
        <w:t>Gross profit decreased $12.0 million, or 5.2%, to $219.6 million in the nine months ended October 30, 2022 compared to $231.6 million in the nine months ended October 31, 2021. As a percentage of net sales, gross margin decreased to 53.4% of net sales in the nine months ended October 30, 2022, compared to 54.1% of net sales in the nine months ended October 31, 2021.</w:t>
      </w:r>
    </w:p>
    <w:p>
      <w:pPr>
        <w:spacing w:after="0" w:line="130" w:lineRule="exact"/>
        <w:rPr>
          <w:sz w:val="20"/>
          <w:szCs w:val="20"/>
          <w:color w:val="auto"/>
        </w:rPr>
      </w:pPr>
    </w:p>
    <w:p>
      <w:pPr>
        <w:ind w:right="860" w:firstLine="693"/>
        <w:spacing w:after="0" w:line="438" w:lineRule="auto"/>
        <w:rPr>
          <w:sz w:val="20"/>
          <w:szCs w:val="20"/>
          <w:color w:val="auto"/>
        </w:rPr>
      </w:pPr>
      <w:r>
        <w:rPr>
          <w:rFonts w:ascii="Times New Roman" w:cs="Times New Roman" w:eastAsia="Times New Roman" w:hAnsi="Times New Roman"/>
          <w:sz w:val="18"/>
          <w:szCs w:val="18"/>
          <w:color w:val="auto"/>
        </w:rPr>
        <w:t xml:space="preserve">The decrease in gross margin was driven by a higher mix of promotional sales during the second and third quarters of the current year. </w:t>
      </w:r>
      <w:r>
        <w:rPr>
          <w:rFonts w:ascii="Times New Roman" w:cs="Times New Roman" w:eastAsia="Times New Roman" w:hAnsi="Times New Roman"/>
          <w:sz w:val="18"/>
          <w:szCs w:val="18"/>
          <w:b w:val="1"/>
          <w:bCs w:val="1"/>
          <w:i w:val="1"/>
          <w:iCs w:val="1"/>
          <w:color w:val="auto"/>
        </w:rPr>
        <w:t>Selling, General and Administrative Expenses</w:t>
      </w:r>
    </w:p>
    <w:p>
      <w:pPr>
        <w:spacing w:after="0" w:line="1" w:lineRule="exact"/>
        <w:rPr>
          <w:sz w:val="20"/>
          <w:szCs w:val="20"/>
          <w:color w:val="auto"/>
        </w:rPr>
      </w:pPr>
    </w:p>
    <w:p>
      <w:pPr>
        <w:ind w:right="80" w:firstLine="428"/>
        <w:spacing w:after="0" w:line="242" w:lineRule="auto"/>
        <w:rPr>
          <w:sz w:val="20"/>
          <w:szCs w:val="20"/>
          <w:color w:val="auto"/>
        </w:rPr>
      </w:pPr>
      <w:r>
        <w:rPr>
          <w:rFonts w:ascii="Times New Roman" w:cs="Times New Roman" w:eastAsia="Times New Roman" w:hAnsi="Times New Roman"/>
          <w:sz w:val="18"/>
          <w:szCs w:val="18"/>
          <w:color w:val="auto"/>
        </w:rPr>
        <w:t>Selling, general and administrative expenses increased $12.3 million, or 5.8%, to $224.0 million in the nine months ended October 30, 2022 compared to $211.8 million in the nine months ended October 31, 2021. Selling, general and administrative expenses as a percentage of net sales increased to 54.4% in the nine months ended October 30, 2022, compared to 49.5% in the nine months ended October 31, 2021.</w:t>
      </w:r>
    </w:p>
    <w:p>
      <w:pPr>
        <w:spacing w:after="0" w:line="130" w:lineRule="exact"/>
        <w:rPr>
          <w:sz w:val="20"/>
          <w:szCs w:val="20"/>
          <w:color w:val="auto"/>
        </w:rPr>
      </w:pPr>
    </w:p>
    <w:p>
      <w:pPr>
        <w:ind w:right="80" w:firstLine="428"/>
        <w:spacing w:after="0" w:line="238" w:lineRule="auto"/>
        <w:rPr>
          <w:sz w:val="20"/>
          <w:szCs w:val="20"/>
          <w:color w:val="auto"/>
        </w:rPr>
      </w:pPr>
      <w:r>
        <w:rPr>
          <w:rFonts w:ascii="Times New Roman" w:cs="Times New Roman" w:eastAsia="Times New Roman" w:hAnsi="Times New Roman"/>
          <w:sz w:val="18"/>
          <w:szCs w:val="18"/>
          <w:color w:val="auto"/>
        </w:rPr>
        <w:t>The increase in selling, general and administrative expense was primarily due to current year new headcounts, as well as increased depreciation from continued capital investments.</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2" w:lineRule="exact"/>
        <w:rPr>
          <w:sz w:val="20"/>
          <w:szCs w:val="20"/>
          <w:color w:val="auto"/>
        </w:rPr>
      </w:pPr>
    </w:p>
    <w:p>
      <w:pPr>
        <w:ind w:right="100" w:firstLine="428"/>
        <w:spacing w:after="0" w:line="242" w:lineRule="auto"/>
        <w:rPr>
          <w:sz w:val="20"/>
          <w:szCs w:val="20"/>
          <w:color w:val="auto"/>
        </w:rPr>
      </w:pPr>
      <w:r>
        <w:rPr>
          <w:rFonts w:ascii="Times New Roman" w:cs="Times New Roman" w:eastAsia="Times New Roman" w:hAnsi="Times New Roman"/>
          <w:sz w:val="18"/>
          <w:szCs w:val="18"/>
          <w:color w:val="auto"/>
        </w:rPr>
        <w:t>Income tax benefit was $1.8 million in the nine months ended October 30, 2022, compared to income tax expense of $4.0 million in the nine months ended October 31, 2021. The effective tax rate related to controlling interest was 26% for the nine months ended October 30, 2022 compared to 25% for the nine months ended October 31, 2021.</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Attributable to Controlling Interest</w:t>
      </w:r>
    </w:p>
    <w:p>
      <w:pPr>
        <w:spacing w:after="0" w:line="175" w:lineRule="exact"/>
        <w:rPr>
          <w:sz w:val="20"/>
          <w:szCs w:val="20"/>
          <w:color w:val="auto"/>
        </w:rPr>
      </w:pPr>
    </w:p>
    <w:p>
      <w:pPr>
        <w:ind w:right="140" w:firstLine="428"/>
        <w:spacing w:after="0" w:line="250" w:lineRule="auto"/>
        <w:rPr>
          <w:sz w:val="20"/>
          <w:szCs w:val="20"/>
          <w:color w:val="auto"/>
        </w:rPr>
      </w:pPr>
      <w:r>
        <w:rPr>
          <w:rFonts w:ascii="Times New Roman" w:cs="Times New Roman" w:eastAsia="Times New Roman" w:hAnsi="Times New Roman"/>
          <w:sz w:val="18"/>
          <w:szCs w:val="18"/>
          <w:color w:val="auto"/>
        </w:rPr>
        <w:t>Net loss attributable to controlling interest was $5.1 million, in the nine months ended October 30, 2022 compared to net income of $12.3 million in the nine months ended October 31, 2021, due to the factors discussed above.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Net (Loss) Income to EBITDA and EBITDA to Adjusted EBITDA</w:t>
      </w:r>
    </w:p>
    <w:p>
      <w:pPr>
        <w:spacing w:after="0" w:line="175" w:lineRule="exact"/>
        <w:rPr>
          <w:sz w:val="20"/>
          <w:szCs w:val="20"/>
          <w:color w:val="auto"/>
        </w:rPr>
      </w:pPr>
    </w:p>
    <w:p>
      <w:pPr>
        <w:ind w:right="180" w:firstLine="428"/>
        <w:spacing w:after="0" w:line="236" w:lineRule="auto"/>
        <w:rPr>
          <w:sz w:val="20"/>
          <w:szCs w:val="20"/>
          <w:color w:val="auto"/>
        </w:rPr>
      </w:pPr>
      <w:r>
        <w:rPr>
          <w:rFonts w:ascii="Times New Roman" w:cs="Times New Roman" w:eastAsia="Times New Roman" w:hAnsi="Times New Roman"/>
          <w:sz w:val="18"/>
          <w:szCs w:val="18"/>
          <w:color w:val="auto"/>
        </w:rPr>
        <w:t>The following table presents reconciliations of net income to EBITDA and EBITDA to Adjusted EBITDA, both of which are non-U.S. GAAP financial measures, for the periods indicated below. See the above section titled “How We Assess the Performance of Our Business,” for our definition of Adjusted EBITDA.</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160" w:type="dxa"/>
            <w:vAlign w:val="bottom"/>
          </w:tcPr>
          <w:p>
            <w:pPr>
              <w:spacing w:after="0"/>
              <w:rPr>
                <w:sz w:val="17"/>
                <w:szCs w:val="17"/>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October 31, 2021</w:t>
            </w:r>
          </w:p>
        </w:tc>
        <w:tc>
          <w:tcPr>
            <w:tcW w:w="16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196"/>
        </w:trPr>
        <w:tc>
          <w:tcPr>
            <w:tcW w:w="46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w:t>
            </w: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21,822</w:t>
            </w:r>
          </w:p>
        </w:tc>
      </w:tr>
      <w:tr>
        <w:trPr>
          <w:trHeight w:val="216"/>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internal-use software hosting</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4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implementation costs</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16"/>
        </w:trPr>
        <w:tc>
          <w:tcPr>
            <w:tcW w:w="4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w:t>
            </w: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(2,059)</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4,048</w:t>
            </w:r>
          </w:p>
        </w:tc>
      </w:tr>
      <w:tr>
        <w:trPr>
          <w:trHeight w:val="196"/>
        </w:trPr>
        <w:tc>
          <w:tcPr>
            <w:tcW w:w="46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EBITDA</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12,377</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20,877</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42,721</w:t>
            </w:r>
          </w:p>
        </w:tc>
      </w:tr>
      <w:tr>
        <w:trPr>
          <w:trHeight w:val="216"/>
        </w:trPr>
        <w:tc>
          <w:tcPr>
            <w:tcW w:w="4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w:t>
            </w:r>
          </w:p>
        </w:tc>
      </w:tr>
      <w:tr>
        <w:trPr>
          <w:trHeight w:val="183"/>
        </w:trPr>
        <w:tc>
          <w:tcPr>
            <w:tcW w:w="4680" w:type="dxa"/>
            <w:vAlign w:val="bottom"/>
            <w:tcBorders>
              <w:bottom w:val="single" w:sz="8" w:color="CCEEFF"/>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1,747</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12,982</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22,877</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8"/>
                <w:szCs w:val="18"/>
                <w:color w:val="auto"/>
              </w:rPr>
              <w:t>44,333</w:t>
            </w:r>
          </w:p>
        </w:tc>
      </w:tr>
      <w:tr>
        <w:trPr>
          <w:trHeight w:val="20"/>
        </w:trPr>
        <w:tc>
          <w:tcPr>
            <w:tcW w:w="4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40" w:firstLine="428"/>
        <w:spacing w:after="0" w:line="236"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decreased $11.3 million to $1.7 million in the three months ended October 30, 2022 compared to $13.0 million in the three months ended October 31, 2021. As a percentage of net sales, Adjusted EBITDA decreased to 1.2% of net sales in the three months ended October 30, 2022 compared to 8.9% of net sales in the three months ended October 31, 2021.</w:t>
      </w:r>
    </w:p>
    <w:p>
      <w:pPr>
        <w:spacing w:after="0" w:line="144" w:lineRule="exact"/>
        <w:rPr>
          <w:sz w:val="20"/>
          <w:szCs w:val="20"/>
          <w:color w:val="auto"/>
        </w:rPr>
      </w:pPr>
    </w:p>
    <w:p>
      <w:pPr>
        <w:ind w:right="160" w:firstLine="428"/>
        <w:spacing w:after="0" w:line="236" w:lineRule="auto"/>
        <w:rPr>
          <w:sz w:val="20"/>
          <w:szCs w:val="20"/>
          <w:color w:val="auto"/>
        </w:rPr>
      </w:pPr>
      <w:r>
        <w:rPr>
          <w:rFonts w:ascii="Times New Roman" w:cs="Times New Roman" w:eastAsia="Times New Roman" w:hAnsi="Times New Roman"/>
          <w:sz w:val="18"/>
          <w:szCs w:val="18"/>
          <w:color w:val="auto"/>
        </w:rPr>
        <w:t>As a result of the factors discussed above in the “Results of Operations” section, Adjusted EBITDA decreased $21.4 million to $22.9 million in the nine months ended October 30, 2022 compared to $44.3 million in the nine months ended October 31, 2021. As a percentage of net sales, Adjusted EBITDA decreased to 5.6% of net sales in the nine months ended October 30, 2022 compared to 10.4% of net sales in the nine months ended October 31, 2021.</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62" w:lineRule="exact"/>
        <w:rPr>
          <w:sz w:val="20"/>
          <w:szCs w:val="20"/>
          <w:color w:val="auto"/>
        </w:rPr>
      </w:pPr>
    </w:p>
    <w:p>
      <w:pPr>
        <w:ind w:right="240" w:firstLine="428"/>
        <w:spacing w:after="0"/>
        <w:rPr>
          <w:sz w:val="20"/>
          <w:szCs w:val="20"/>
          <w:color w:val="auto"/>
        </w:rPr>
      </w:pPr>
      <w:r>
        <w:rPr>
          <w:rFonts w:ascii="Times New Roman" w:cs="Times New Roman" w:eastAsia="Times New Roman" w:hAnsi="Times New Roman"/>
          <w:sz w:val="18"/>
          <w:szCs w:val="18"/>
          <w:color w:val="auto"/>
        </w:rPr>
        <w:t>Our business relies on cash from operating activities and a credit facility as our primary sources of liquidity. Our primary cash needs have been for inventory, marketing and advertising, payroll, store leases, capital expenditures associated with infrastructure and information technology. The most significant components of our working capital are cash, inventory, accounts payable and other current liabilities. At October 30, 2022, our net working capital was $98.7 million, including $9.4 million of cash and cash equivalents.</w:t>
      </w:r>
    </w:p>
    <w:p>
      <w:pPr>
        <w:spacing w:after="0" w:line="131" w:lineRule="exact"/>
        <w:rPr>
          <w:sz w:val="20"/>
          <w:szCs w:val="20"/>
          <w:color w:val="auto"/>
        </w:rPr>
      </w:pPr>
    </w:p>
    <w:p>
      <w:pPr>
        <w:ind w:right="60" w:firstLine="428"/>
        <w:spacing w:after="0" w:line="236" w:lineRule="auto"/>
        <w:rPr>
          <w:sz w:val="20"/>
          <w:szCs w:val="20"/>
          <w:color w:val="auto"/>
        </w:rPr>
      </w:pPr>
      <w:r>
        <w:rPr>
          <w:rFonts w:ascii="Times New Roman" w:cs="Times New Roman" w:eastAsia="Times New Roman" w:hAnsi="Times New Roman"/>
          <w:sz w:val="18"/>
          <w:szCs w:val="18"/>
          <w:color w:val="auto"/>
        </w:rPr>
        <w:t>We expect to spend approximately $35.0 million in fiscal 2022 on capital expenditures, inclusive of software hosting implementation costs, primarily due to investments in logistics optimization, including investments in the fulfillment network and information technology. Due to the seasonality of our business, a significant amount of cash from operating activities is generated during the fourth quarter of our fiscal year. We also use cash in our investing activities for capital expenditures throughout all four quarters of our fiscal year.</w:t>
      </w:r>
    </w:p>
    <w:p>
      <w:pPr>
        <w:spacing w:after="0" w:line="144" w:lineRule="exact"/>
        <w:rPr>
          <w:sz w:val="20"/>
          <w:szCs w:val="20"/>
          <w:color w:val="auto"/>
        </w:rPr>
      </w:pPr>
    </w:p>
    <w:p>
      <w:pPr>
        <w:ind w:right="60" w:firstLine="428"/>
        <w:spacing w:after="0" w:line="238" w:lineRule="auto"/>
        <w:rPr>
          <w:sz w:val="20"/>
          <w:szCs w:val="20"/>
          <w:color w:val="auto"/>
        </w:rPr>
      </w:pPr>
      <w:r>
        <w:rPr>
          <w:rFonts w:ascii="Times New Roman" w:cs="Times New Roman" w:eastAsia="Times New Roman" w:hAnsi="Times New Roman"/>
          <w:sz w:val="18"/>
          <w:szCs w:val="18"/>
          <w:color w:val="auto"/>
        </w:rPr>
        <w:t>We believe that our cash flow from operating activities and the availability of cash under our credit facility will be sufficient to cover working capital requirements and anticipated capital expenditures for the foreseeable future.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Analysis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summary of operating, investing and financing activities is shown in the following table.</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5"/>
          </w:tcPr>
          <w:p>
            <w:pPr>
              <w:jc w:val="right"/>
              <w:ind w:right="13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3"/>
        </w:trPr>
        <w:tc>
          <w:tcPr>
            <w:tcW w:w="7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October 30, 2022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50"/>
        </w:trPr>
        <w:tc>
          <w:tcPr>
            <w:tcW w:w="708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660" w:type="dxa"/>
            <w:vAlign w:val="bottom"/>
            <w:tcBorders>
              <w:top w:val="single" w:sz="8" w:color="auto"/>
            </w:tcBorders>
          </w:tcPr>
          <w:p>
            <w:pPr>
              <w:spacing w:after="0"/>
              <w:rPr>
                <w:sz w:val="21"/>
                <w:szCs w:val="21"/>
                <w:color w:val="auto"/>
              </w:rPr>
            </w:pPr>
          </w:p>
        </w:tc>
      </w:tr>
      <w:tr>
        <w:trPr>
          <w:trHeight w:val="229"/>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(51,008)</w:t>
            </w:r>
          </w:p>
        </w:tc>
        <w:tc>
          <w:tcPr>
            <w:tcW w:w="28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32,758</w:t>
            </w:r>
          </w:p>
        </w:tc>
      </w:tr>
      <w:tr>
        <w:trPr>
          <w:trHeight w:val="229"/>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9"/>
                <w:szCs w:val="19"/>
                <w:color w:val="auto"/>
              </w:rPr>
            </w:pP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(24,117)</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(8,945)</w:t>
            </w:r>
          </w:p>
        </w:tc>
      </w:tr>
      <w:tr>
        <w:trPr>
          <w:trHeight w:val="230"/>
        </w:trPr>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(50,644)</w:t>
            </w:r>
          </w:p>
        </w:tc>
      </w:tr>
      <w:tr>
        <w:trPr>
          <w:trHeight w:val="196"/>
        </w:trPr>
        <w:tc>
          <w:tcPr>
            <w:tcW w:w="7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Decrease in cash and cash equivalents</w:t>
            </w: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(67,644)</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(26,831)</w:t>
            </w: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Operating Activities</w:t>
      </w:r>
    </w:p>
    <w:p>
      <w:pPr>
        <w:spacing w:after="0" w:line="175" w:lineRule="exact"/>
        <w:rPr>
          <w:sz w:val="20"/>
          <w:szCs w:val="20"/>
          <w:color w:val="auto"/>
        </w:rPr>
      </w:pPr>
    </w:p>
    <w:p>
      <w:pPr>
        <w:jc w:val="both"/>
        <w:ind w:firstLine="428"/>
        <w:spacing w:after="0" w:line="250" w:lineRule="auto"/>
        <w:rPr>
          <w:sz w:val="20"/>
          <w:szCs w:val="20"/>
          <w:color w:val="auto"/>
        </w:rPr>
      </w:pPr>
      <w:r>
        <w:rPr>
          <w:rFonts w:ascii="Times New Roman" w:cs="Times New Roman" w:eastAsia="Times New Roman" w:hAnsi="Times New Roman"/>
          <w:sz w:val="18"/>
          <w:szCs w:val="18"/>
          <w:color w:val="auto"/>
        </w:rPr>
        <w:t>Operating activities consist primarily of net income adjusted for non-cash items that include depreciation and amortization, stock-based compensation and the effect of changes in operating assets and liabilities.</w:t>
      </w:r>
    </w:p>
    <w:p>
      <w:pPr>
        <w:spacing w:after="0" w:line="136" w:lineRule="exact"/>
        <w:rPr>
          <w:sz w:val="20"/>
          <w:szCs w:val="20"/>
          <w:color w:val="auto"/>
        </w:rPr>
      </w:pPr>
    </w:p>
    <w:p>
      <w:pPr>
        <w:jc w:val="both"/>
        <w:ind w:right="480" w:firstLine="428"/>
        <w:spacing w:after="0" w:line="242" w:lineRule="auto"/>
        <w:rPr>
          <w:sz w:val="20"/>
          <w:szCs w:val="20"/>
          <w:color w:val="auto"/>
        </w:rPr>
      </w:pPr>
      <w:r>
        <w:rPr>
          <w:rFonts w:ascii="Times New Roman" w:cs="Times New Roman" w:eastAsia="Times New Roman" w:hAnsi="Times New Roman"/>
          <w:sz w:val="18"/>
          <w:szCs w:val="18"/>
          <w:color w:val="auto"/>
        </w:rPr>
        <w:t>For the nine months ended October 30, 2022, net cash used in operating activities was $51.0 million, which primarily consisted of cash used in operating assets and liabilities of $70.8 million. The cash used in operating assets and liabilities of $70.8 million was primarily due to a $82.0 million increase in inventory and a $13.4 million decrease in accrued expenses, partially offset by a $34.7 million increase in trade accounts payable.</w:t>
      </w:r>
    </w:p>
    <w:p>
      <w:pPr>
        <w:spacing w:after="0" w:line="130" w:lineRule="exact"/>
        <w:rPr>
          <w:sz w:val="20"/>
          <w:szCs w:val="20"/>
          <w:color w:val="auto"/>
        </w:rPr>
      </w:pPr>
    </w:p>
    <w:p>
      <w:pPr>
        <w:ind w:right="60" w:firstLine="428"/>
        <w:spacing w:after="0" w:line="236" w:lineRule="auto"/>
        <w:rPr>
          <w:sz w:val="20"/>
          <w:szCs w:val="20"/>
          <w:color w:val="auto"/>
        </w:rPr>
      </w:pPr>
      <w:r>
        <w:rPr>
          <w:rFonts w:ascii="Times New Roman" w:cs="Times New Roman" w:eastAsia="Times New Roman" w:hAnsi="Times New Roman"/>
          <w:sz w:val="18"/>
          <w:szCs w:val="18"/>
          <w:color w:val="auto"/>
        </w:rPr>
        <w:t>For the nine months ended October 31, 2021, net cash provided by operating activities was $32.8 million, which primarily consisted of net income of $12.2 million, non-cash depreciation and amortization of $21.8 million, and cash used in operating assets and liabilities of $3.0 million. The cash used in operating assets and liabilities of $3.0 million primarily consisted of a $16.0 million increase in inventory and a $7.6 million decrease in income taxes payable, partially offset by a $4.1 million increase in accrued expenses and a $24.9 million increase in trade accounts payable.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Investing activities consist primarily of capital expenditures for growth related to investments in infrastructure and information technology.</w:t>
      </w:r>
    </w:p>
    <w:p>
      <w:pPr>
        <w:spacing w:after="0" w:line="171" w:lineRule="exact"/>
        <w:rPr>
          <w:sz w:val="20"/>
          <w:szCs w:val="20"/>
          <w:color w:val="auto"/>
        </w:rPr>
      </w:pPr>
    </w:p>
    <w:p>
      <w:pPr>
        <w:ind w:right="100" w:firstLine="428"/>
        <w:spacing w:after="0" w:line="250" w:lineRule="auto"/>
        <w:rPr>
          <w:sz w:val="20"/>
          <w:szCs w:val="20"/>
          <w:color w:val="auto"/>
        </w:rPr>
      </w:pPr>
      <w:r>
        <w:rPr>
          <w:rFonts w:ascii="Times New Roman" w:cs="Times New Roman" w:eastAsia="Times New Roman" w:hAnsi="Times New Roman"/>
          <w:sz w:val="18"/>
          <w:szCs w:val="18"/>
          <w:color w:val="auto"/>
        </w:rPr>
        <w:t>For the nine months ended October 30, 2022, net cash used in investing activities was $24.1 million and was primarily driven by new investments in the fulfillment network and information technology.</w:t>
      </w:r>
    </w:p>
    <w:p>
      <w:pPr>
        <w:spacing w:after="0" w:line="136" w:lineRule="exact"/>
        <w:rPr>
          <w:sz w:val="20"/>
          <w:szCs w:val="20"/>
          <w:color w:val="auto"/>
        </w:rPr>
      </w:pPr>
    </w:p>
    <w:p>
      <w:pPr>
        <w:ind w:right="80" w:firstLine="428"/>
        <w:spacing w:after="0" w:line="250" w:lineRule="auto"/>
        <w:rPr>
          <w:sz w:val="20"/>
          <w:szCs w:val="20"/>
          <w:color w:val="auto"/>
        </w:rPr>
      </w:pPr>
      <w:r>
        <w:rPr>
          <w:rFonts w:ascii="Times New Roman" w:cs="Times New Roman" w:eastAsia="Times New Roman" w:hAnsi="Times New Roman"/>
          <w:sz w:val="18"/>
          <w:szCs w:val="18"/>
          <w:color w:val="auto"/>
        </w:rPr>
        <w:t>For the nine months ended October 31, 2021, net cash used in investing activities was $8.9 million and was primarily driven by investments in a new fulfillment center, one new retail store, as well as information technology.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Financing Activities</w:t>
      </w:r>
    </w:p>
    <w:p>
      <w:pPr>
        <w:spacing w:after="0" w:line="175" w:lineRule="exact"/>
        <w:rPr>
          <w:sz w:val="20"/>
          <w:szCs w:val="20"/>
          <w:color w:val="auto"/>
        </w:rPr>
      </w:pPr>
    </w:p>
    <w:p>
      <w:pPr>
        <w:ind w:right="720" w:firstLine="428"/>
        <w:spacing w:after="0" w:line="250" w:lineRule="auto"/>
        <w:rPr>
          <w:sz w:val="20"/>
          <w:szCs w:val="20"/>
          <w:color w:val="auto"/>
        </w:rPr>
      </w:pPr>
      <w:r>
        <w:rPr>
          <w:rFonts w:ascii="Times New Roman" w:cs="Times New Roman" w:eastAsia="Times New Roman" w:hAnsi="Times New Roman"/>
          <w:sz w:val="18"/>
          <w:szCs w:val="18"/>
          <w:color w:val="auto"/>
        </w:rPr>
        <w:t>Financing activities consist primarily of borrowings and payments related to our revolving line of credit and other long-term debt, as well as payments on finance lease obligations.</w:t>
      </w:r>
    </w:p>
    <w:p>
      <w:pPr>
        <w:spacing w:after="0" w:line="136" w:lineRule="exact"/>
        <w:rPr>
          <w:sz w:val="20"/>
          <w:szCs w:val="20"/>
          <w:color w:val="auto"/>
        </w:rPr>
      </w:pPr>
    </w:p>
    <w:p>
      <w:pPr>
        <w:ind w:right="400" w:firstLine="428"/>
        <w:spacing w:after="0" w:line="250" w:lineRule="auto"/>
        <w:rPr>
          <w:sz w:val="20"/>
          <w:szCs w:val="20"/>
          <w:color w:val="auto"/>
        </w:rPr>
      </w:pPr>
      <w:r>
        <w:rPr>
          <w:rFonts w:ascii="Times New Roman" w:cs="Times New Roman" w:eastAsia="Times New Roman" w:hAnsi="Times New Roman"/>
          <w:sz w:val="18"/>
          <w:szCs w:val="18"/>
          <w:color w:val="auto"/>
        </w:rPr>
        <w:t>For the nine months ended October 30, 2022, net cash provided by financing activities was $7.5 million, primarily consisting of $10.0 million in borrowings under our revolving line of credit, partially offset by payments on finance lease obligations.</w:t>
      </w:r>
    </w:p>
    <w:p>
      <w:pPr>
        <w:spacing w:after="0" w:line="136" w:lineRule="exact"/>
        <w:rPr>
          <w:sz w:val="20"/>
          <w:szCs w:val="20"/>
          <w:color w:val="auto"/>
        </w:rPr>
      </w:pPr>
    </w:p>
    <w:p>
      <w:pPr>
        <w:ind w:right="400" w:firstLine="428"/>
        <w:spacing w:after="0" w:line="250" w:lineRule="auto"/>
        <w:rPr>
          <w:sz w:val="20"/>
          <w:szCs w:val="20"/>
          <w:color w:val="auto"/>
        </w:rPr>
      </w:pPr>
      <w:r>
        <w:rPr>
          <w:rFonts w:ascii="Times New Roman" w:cs="Times New Roman" w:eastAsia="Times New Roman" w:hAnsi="Times New Roman"/>
          <w:sz w:val="18"/>
          <w:szCs w:val="18"/>
          <w:color w:val="auto"/>
        </w:rPr>
        <w:t>For the nine months ended October 31, 2021, net cash used in financing activities was $50.6 million, primarily consisting of the full paydown of Duluth’s debt.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75" w:lineRule="exact"/>
        <w:rPr>
          <w:sz w:val="20"/>
          <w:szCs w:val="20"/>
          <w:color w:val="auto"/>
        </w:rPr>
      </w:pPr>
    </w:p>
    <w:p>
      <w:pPr>
        <w:ind w:right="440" w:firstLine="428"/>
        <w:spacing w:after="0" w:line="250" w:lineRule="auto"/>
        <w:rPr>
          <w:sz w:val="20"/>
          <w:szCs w:val="20"/>
          <w:color w:val="auto"/>
        </w:rPr>
      </w:pPr>
      <w:r>
        <w:rPr>
          <w:rFonts w:ascii="Times New Roman" w:cs="Times New Roman" w:eastAsia="Times New Roman" w:hAnsi="Times New Roman"/>
          <w:sz w:val="18"/>
          <w:szCs w:val="18"/>
          <w:color w:val="auto"/>
        </w:rPr>
        <w:t>There have been no significant changes to our contractual obligations as described in our Annual Report on Form 10-K for the fiscal year ended January 30, 2022.</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not a party to any material off-balance sheet arrangements.</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Critical Accounting Estimates</w:t>
      </w:r>
    </w:p>
    <w:p>
      <w:pPr>
        <w:spacing w:after="0" w:line="162" w:lineRule="exact"/>
        <w:rPr>
          <w:sz w:val="20"/>
          <w:szCs w:val="20"/>
          <w:color w:val="auto"/>
        </w:rPr>
      </w:pPr>
    </w:p>
    <w:p>
      <w:pPr>
        <w:ind w:right="240" w:firstLine="428"/>
        <w:spacing w:after="0" w:line="235"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management to make estimates and assumptions that affect the reported amounts of assets, liabilities, revenues, and expenses, as well as the related disclosures of contingent assets and liabilities at the date of the financial statements. We evaluate our accounting policies, estimates, and judgments on an on-going basis. We base our estimates and judgments on historical experience and various other factors that are believed to be reasonable under the circumstances. Actual results may differ from these estimates under different assumptions and conditions and such differences could be material to the consolidated financial statements.</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the date of this filing, there were no significant changes to any of the critical accounting policies and estimates described in our 2021 Form 10-</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ind w:right="360" w:firstLine="428"/>
        <w:spacing w:after="0" w:line="250" w:lineRule="auto"/>
        <w:rPr>
          <w:sz w:val="20"/>
          <w:szCs w:val="20"/>
          <w:color w:val="auto"/>
        </w:rPr>
      </w:pPr>
      <w:r>
        <w:rPr>
          <w:rFonts w:ascii="Times New Roman" w:cs="Times New Roman" w:eastAsia="Times New Roman" w:hAnsi="Times New Roman"/>
          <w:sz w:val="18"/>
          <w:szCs w:val="18"/>
          <w:color w:val="auto"/>
        </w:rPr>
        <w:t>See Note 12 “Recent Accounting Pronouncements,” of Notes to Condensed Consolidated Financial Statements included in Part 1, Item 1, of this quarterly report on Form 10-Q for information regarding recent accounting pronouncements.</w:t>
      </w:r>
    </w:p>
    <w:p>
      <w:pPr>
        <w:spacing w:after="0" w:line="13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94" w:lineRule="exact"/>
        <w:rPr>
          <w:sz w:val="20"/>
          <w:szCs w:val="20"/>
          <w:color w:val="auto"/>
        </w:rPr>
      </w:pPr>
    </w:p>
    <w:p>
      <w:pPr>
        <w:ind w:firstLine="440"/>
        <w:spacing w:after="0" w:line="242" w:lineRule="auto"/>
        <w:rPr>
          <w:sz w:val="20"/>
          <w:szCs w:val="20"/>
          <w:color w:val="auto"/>
        </w:rPr>
      </w:pPr>
      <w:r>
        <w:rPr>
          <w:rFonts w:ascii="Times New Roman" w:cs="Times New Roman" w:eastAsia="Times New Roman" w:hAnsi="Times New Roman"/>
          <w:sz w:val="18"/>
          <w:szCs w:val="18"/>
          <w:color w:val="auto"/>
        </w:rPr>
        <w:t>There have been no significant changes in the market risks described in our 2021 Form 10-K. See Note 3 “Debt and Credit Agreement,” of Notes to Condensed Consolidated Financial Statements included in Part 1, Item 1, of this quarterly report on Form 10-Q, for disclosure on our interest rate related to borrowings under our credit agreement.</w:t>
      </w:r>
    </w:p>
    <w:p>
      <w:pPr>
        <w:spacing w:after="0" w:line="13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ind w:firstLine="428"/>
        <w:spacing w:after="0" w:line="235" w:lineRule="auto"/>
        <w:rPr>
          <w:sz w:val="20"/>
          <w:szCs w:val="20"/>
          <w:color w:val="auto"/>
        </w:rPr>
      </w:pPr>
      <w:r>
        <w:rPr>
          <w:rFonts w:ascii="Times New Roman" w:cs="Times New Roman" w:eastAsia="Times New Roman" w:hAnsi="Times New Roman"/>
          <w:sz w:val="18"/>
          <w:szCs w:val="18"/>
          <w:color w:val="auto"/>
        </w:rPr>
        <w:t>Section 13a-15(b) under the Securities Exchange Act of 1934, as amended (the “Exchange Act”), requires management of an issuer subject to the Exchange Act to evaluate, with the participation of the issuer’s principal executive and principal financial officers, or persons performing similar functions, the effectiveness of the issuer’s disclosure controls and procedures (as defined in Rule 13a-15(e) under the Exchange Act), as of the end of each fiscal quarter. Based on this evaluation, our Chief Executive Officer and Chief Financial Officer have concluded that, as of such date, our disclosure controls and procedures were effective.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ind w:right="220" w:firstLine="428"/>
        <w:spacing w:after="0" w:line="24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13a-15(d) and 15d-15(d) under the Exchange Act) that occurred during the period covered by this Quarterly Report on Form 10-Q that have materially affected, or are reasonably likely to materially affect our internal control over financial reporting.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ind w:right="160" w:firstLine="428"/>
        <w:spacing w:after="0" w:line="236" w:lineRule="auto"/>
        <w:rPr>
          <w:sz w:val="20"/>
          <w:szCs w:val="20"/>
          <w:color w:val="auto"/>
        </w:rPr>
      </w:pPr>
      <w:r>
        <w:rPr>
          <w:rFonts w:ascii="Times New Roman" w:cs="Times New Roman" w:eastAsia="Times New Roman" w:hAnsi="Times New Roman"/>
          <w:sz w:val="18"/>
          <w:szCs w:val="18"/>
          <w:color w:val="auto"/>
        </w:rPr>
        <w:t>From time to time, we are subject to certain legal proceedings and claims in the ordinary course of business. We are not presently party to any legal proceedings the resolution of which we believe would have a material adverse effect on our business, financial condition, operating results or cash flows. We establish reserves for specific legal matters when we determine that the likelihood of an unfavorable outcome is probable and the loss is reasonably estimable.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2" w:lineRule="exact"/>
        <w:rPr>
          <w:sz w:val="20"/>
          <w:szCs w:val="20"/>
          <w:color w:val="auto"/>
        </w:rPr>
      </w:pPr>
    </w:p>
    <w:p>
      <w:pPr>
        <w:ind w:firstLine="440"/>
        <w:spacing w:after="0" w:line="236"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may have a material adverse effect on our business, financial condition and results of operations. For a detailed discussion of the risks that affect our business, please refer to the section entitled “Risk Factors” in our 2021 Form 10-K, or other SEC filings. There have been no material changes to our risk factors as previously disclosed in our fiscal 2021 Annual Report on Form 10-K.</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83"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did not sell any equity securities during the quarter ended October 30, 2022, which were not registered under the Securities Act.</w:t>
      </w:r>
    </w:p>
    <w:p>
      <w:pPr>
        <w:spacing w:after="0" w:line="171" w:lineRule="exact"/>
        <w:rPr>
          <w:sz w:val="20"/>
          <w:szCs w:val="20"/>
          <w:color w:val="auto"/>
        </w:rPr>
      </w:pPr>
    </w:p>
    <w:p>
      <w:pPr>
        <w:ind w:right="600" w:firstLine="492"/>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of shares acquired from employees in lieu of amounts required to satisfy minimum tax withholding requirements upon the vesting of the employees’ restricted stock during the three months ended October 30, 2022.</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 purchased</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 of shares that</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may yet to be</w:t>
            </w:r>
          </w:p>
        </w:tc>
      </w:tr>
      <w:tr>
        <w:trPr>
          <w:trHeight w:val="203"/>
        </w:trPr>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purchased under the</w:t>
            </w:r>
          </w:p>
        </w:tc>
      </w:tr>
      <w:tr>
        <w:trPr>
          <w:trHeight w:val="199"/>
        </w:trPr>
        <w:tc>
          <w:tcPr>
            <w:tcW w:w="3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plans or programs</w:t>
            </w:r>
          </w:p>
        </w:tc>
      </w:tr>
      <w:tr>
        <w:trPr>
          <w:trHeight w:val="210"/>
        </w:trPr>
        <w:tc>
          <w:tcPr>
            <w:tcW w:w="3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 2022 - August 28, 2022</w:t>
            </w:r>
          </w:p>
        </w:tc>
        <w:tc>
          <w:tcPr>
            <w:tcW w:w="2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20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29, 2022 - October 2, 2022</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00" w:type="dxa"/>
            <w:vAlign w:val="bottom"/>
          </w:tcPr>
          <w:p>
            <w:pPr>
              <w:spacing w:after="0"/>
              <w:rPr>
                <w:sz w:val="19"/>
                <w:szCs w:val="19"/>
                <w:color w:val="auto"/>
              </w:rPr>
            </w:pPr>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3, 2022 - October 30, 2022</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33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19"/>
                <w:szCs w:val="19"/>
                <w:color w:val="auto"/>
              </w:rPr>
            </w:pP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00" w:type="dxa"/>
            <w:vAlign w:val="bottom"/>
          </w:tcPr>
          <w:p>
            <w:pPr>
              <w:spacing w:after="0"/>
              <w:rPr>
                <w:sz w:val="19"/>
                <w:szCs w:val="19"/>
                <w:color w:val="auto"/>
              </w:rPr>
            </w:pPr>
          </w:p>
        </w:tc>
        <w:tc>
          <w:tcPr>
            <w:tcW w:w="2000" w:type="dxa"/>
            <w:vAlign w:val="bottom"/>
            <w:tcBorders>
              <w:top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00" w:type="dxa"/>
            <w:vAlign w:val="bottom"/>
            <w:tcBorders>
              <w:top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980" w:type="dxa"/>
            <w:vAlign w:val="bottom"/>
            <w:tcBorders>
              <w:top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w:t>
            </w:r>
          </w:p>
        </w:tc>
      </w:tr>
      <w:tr>
        <w:trPr>
          <w:trHeight w:val="940"/>
        </w:trPr>
        <w:tc>
          <w:tcPr>
            <w:tcW w:w="3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507"/>
        </w:trPr>
        <w:tc>
          <w:tcPr>
            <w:tcW w:w="33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38"/>
        </w:trPr>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680" w:type="dxa"/>
            <w:vAlign w:val="bottom"/>
            <w:gridSpan w:val="4"/>
          </w:tcPr>
          <w:p>
            <w:pPr>
              <w:ind w:left="364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46"/>
        </w:trPr>
        <w:tc>
          <w:tcPr>
            <w:tcW w:w="10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Exhibit No.</w:t>
            </w:r>
          </w:p>
        </w:tc>
        <w:tc>
          <w:tcPr>
            <w:tcW w:w="0" w:type="dxa"/>
            <w:vAlign w:val="bottom"/>
          </w:tcPr>
          <w:p>
            <w:pPr>
              <w:spacing w:after="0"/>
              <w:rPr>
                <w:sz w:val="1"/>
                <w:szCs w:val="1"/>
                <w:color w:val="auto"/>
              </w:rPr>
            </w:pPr>
          </w:p>
        </w:tc>
      </w:tr>
      <w:tr>
        <w:trPr>
          <w:trHeight w:val="180"/>
        </w:trPr>
        <w:tc>
          <w:tcPr>
            <w:tcW w:w="700" w:type="dxa"/>
            <w:vAlign w:val="bottom"/>
          </w:tcPr>
          <w:p>
            <w:pPr>
              <w:spacing w:after="0" w:line="160" w:lineRule="exact"/>
              <w:rPr>
                <w:sz w:val="20"/>
                <w:szCs w:val="20"/>
                <w:color w:val="auto"/>
              </w:rPr>
            </w:pPr>
            <w:r>
              <w:rPr>
                <w:rFonts w:ascii="Times New Roman" w:cs="Times New Roman" w:eastAsia="Times New Roman" w:hAnsi="Times New Roman"/>
                <w:sz w:val="18"/>
                <w:szCs w:val="18"/>
                <w:color w:val="auto"/>
              </w:rPr>
              <w:t>31.1</w:t>
            </w:r>
          </w:p>
        </w:tc>
        <w:tc>
          <w:tcPr>
            <w:tcW w:w="580" w:type="dxa"/>
            <w:vAlign w:val="bottom"/>
          </w:tcPr>
          <w:p>
            <w:pPr>
              <w:spacing w:after="0"/>
              <w:rPr>
                <w:sz w:val="15"/>
                <w:szCs w:val="15"/>
                <w:color w:val="auto"/>
              </w:rPr>
            </w:pPr>
          </w:p>
        </w:tc>
        <w:tc>
          <w:tcPr>
            <w:tcW w:w="9680" w:type="dxa"/>
            <w:vAlign w:val="bottom"/>
            <w:gridSpan w:val="4"/>
          </w:tcPr>
          <w:p>
            <w:pPr>
              <w:spacing w:after="0" w:line="161" w:lineRule="exact"/>
              <w:rPr>
                <w:sz w:val="20"/>
                <w:szCs w:val="20"/>
                <w:color w:val="auto"/>
              </w:rPr>
            </w:pPr>
            <w:r>
              <w:rPr>
                <w:rFonts w:ascii="Times New Roman" w:cs="Times New Roman" w:eastAsia="Times New Roman" w:hAnsi="Times New Roman"/>
                <w:sz w:val="16"/>
                <w:szCs w:val="16"/>
                <w:color w:val="0000FF"/>
              </w:rPr>
              <w:t>Certification of Chief Executive Officer pursuant to Rule 13a-14(a) and Rule 15d-14(a) of the Securities and Exchange Act, as amended.</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169"/>
        </w:trPr>
        <w:tc>
          <w:tcPr>
            <w:tcW w:w="70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31.2</w:t>
            </w:r>
          </w:p>
        </w:tc>
        <w:tc>
          <w:tcPr>
            <w:tcW w:w="580" w:type="dxa"/>
            <w:vAlign w:val="bottom"/>
          </w:tcPr>
          <w:p>
            <w:pPr>
              <w:spacing w:after="0"/>
              <w:rPr>
                <w:sz w:val="14"/>
                <w:szCs w:val="14"/>
                <w:color w:val="auto"/>
              </w:rPr>
            </w:pPr>
          </w:p>
        </w:tc>
        <w:tc>
          <w:tcPr>
            <w:tcW w:w="8880" w:type="dxa"/>
            <w:vAlign w:val="bottom"/>
            <w:tcBorders>
              <w:top w:val="single" w:sz="8" w:color="0000FF"/>
            </w:tcBorders>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Financial Officer pursuant to Rule 13a-14(a) and Rule 15d-14(a) of the Securities and Exchange Act of 1934, as</w:t>
            </w: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6"/>
                <w:szCs w:val="16"/>
                <w:color w:val="0000FF"/>
              </w:rPr>
              <w:t>amended.</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Times New Roman" w:cs="Times New Roman" w:eastAsia="Times New Roman" w:hAnsi="Times New Roman"/>
                <w:sz w:val="18"/>
                <w:szCs w:val="18"/>
                <w:color w:val="auto"/>
              </w:rPr>
              <w:t>32.1</w:t>
            </w:r>
          </w:p>
        </w:tc>
        <w:tc>
          <w:tcPr>
            <w:tcW w:w="580" w:type="dxa"/>
            <w:vAlign w:val="bottom"/>
          </w:tcPr>
          <w:p>
            <w:pPr>
              <w:spacing w:after="0" w:line="20" w:lineRule="exact"/>
              <w:rPr>
                <w:sz w:val="1"/>
                <w:szCs w:val="1"/>
                <w:color w:val="auto"/>
              </w:rPr>
            </w:pPr>
          </w:p>
        </w:tc>
        <w:tc>
          <w:tcPr>
            <w:tcW w:w="93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68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Executive Officer pursuant to 18 U.S.C. Section 1350, as adopted pursuant to Section 906 of the Sarbanes-Oxley Act of 2002.</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20"/>
        </w:trPr>
        <w:tc>
          <w:tcPr>
            <w:tcW w:w="700" w:type="dxa"/>
            <w:vAlign w:val="bottom"/>
            <w:vMerge w:val="restart"/>
          </w:tcPr>
          <w:p>
            <w:pPr>
              <w:spacing w:after="0" w:line="169" w:lineRule="exact"/>
              <w:rPr>
                <w:sz w:val="20"/>
                <w:szCs w:val="20"/>
                <w:color w:val="auto"/>
              </w:rPr>
            </w:pPr>
            <w:r>
              <w:rPr>
                <w:rFonts w:ascii="Times New Roman" w:cs="Times New Roman" w:eastAsia="Times New Roman" w:hAnsi="Times New Roman"/>
                <w:sz w:val="18"/>
                <w:szCs w:val="18"/>
                <w:color w:val="auto"/>
              </w:rPr>
              <w:t>32.2</w:t>
            </w:r>
          </w:p>
        </w:tc>
        <w:tc>
          <w:tcPr>
            <w:tcW w:w="580" w:type="dxa"/>
            <w:vAlign w:val="bottom"/>
          </w:tcPr>
          <w:p>
            <w:pPr>
              <w:spacing w:after="0" w:line="20" w:lineRule="exact"/>
              <w:rPr>
                <w:sz w:val="1"/>
                <w:szCs w:val="1"/>
                <w:color w:val="auto"/>
              </w:rPr>
            </w:pPr>
          </w:p>
        </w:tc>
        <w:tc>
          <w:tcPr>
            <w:tcW w:w="9620" w:type="dxa"/>
            <w:vAlign w:val="bottom"/>
            <w:tcBorders>
              <w:right w:val="single" w:sz="8" w:color="0000EE"/>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9680" w:type="dxa"/>
            <w:vAlign w:val="bottom"/>
            <w:gridSpan w:val="4"/>
          </w:tcPr>
          <w:p>
            <w:pPr>
              <w:spacing w:after="0" w:line="155" w:lineRule="exact"/>
              <w:rPr>
                <w:sz w:val="20"/>
                <w:szCs w:val="20"/>
                <w:color w:val="auto"/>
              </w:rPr>
            </w:pPr>
            <w:r>
              <w:rPr>
                <w:rFonts w:ascii="Times New Roman" w:cs="Times New Roman" w:eastAsia="Times New Roman" w:hAnsi="Times New Roman"/>
                <w:sz w:val="16"/>
                <w:szCs w:val="16"/>
                <w:color w:val="0000FF"/>
              </w:rPr>
              <w:t>Certification of Chief Financial Officer pursuant to 18 U.S.C. Section 1350, as adopted pursuant to Section 906 of the Sarbanes-Oxley Act of 2002.</w:t>
            </w:r>
            <w:r>
              <w:rPr>
                <w:rFonts w:ascii="Times New Roman" w:cs="Times New Roman" w:eastAsia="Times New Roman" w:hAnsi="Times New Roman"/>
                <w:sz w:val="16"/>
                <w:szCs w:val="16"/>
                <w:color w:val="000000"/>
              </w:rPr>
              <w:t>*</w:t>
            </w:r>
          </w:p>
        </w:tc>
        <w:tc>
          <w:tcPr>
            <w:tcW w:w="0" w:type="dxa"/>
            <w:vAlign w:val="bottom"/>
          </w:tcPr>
          <w:p>
            <w:pPr>
              <w:spacing w:after="0"/>
              <w:rPr>
                <w:sz w:val="1"/>
                <w:szCs w:val="1"/>
                <w:color w:val="auto"/>
              </w:rPr>
            </w:pPr>
          </w:p>
        </w:tc>
      </w:tr>
      <w:tr>
        <w:trPr>
          <w:trHeight w:val="178"/>
        </w:trPr>
        <w:tc>
          <w:tcPr>
            <w:tcW w:w="7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101.INS</w:t>
            </w:r>
          </w:p>
        </w:tc>
        <w:tc>
          <w:tcPr>
            <w:tcW w:w="580" w:type="dxa"/>
            <w:vAlign w:val="bottom"/>
          </w:tcPr>
          <w:p>
            <w:pPr>
              <w:spacing w:after="0"/>
              <w:rPr>
                <w:sz w:val="15"/>
                <w:szCs w:val="15"/>
                <w:color w:val="auto"/>
              </w:rPr>
            </w:pPr>
          </w:p>
        </w:tc>
        <w:tc>
          <w:tcPr>
            <w:tcW w:w="9620" w:type="dxa"/>
            <w:vAlign w:val="bottom"/>
            <w:tcBorders>
              <w:top w:val="single" w:sz="8" w:color="0000FF"/>
            </w:tcBorders>
            <w:gridSpan w:val="3"/>
          </w:tcPr>
          <w:p>
            <w:pPr>
              <w:spacing w:after="0" w:line="178" w:lineRule="exact"/>
              <w:rPr>
                <w:sz w:val="20"/>
                <w:szCs w:val="20"/>
                <w:color w:val="auto"/>
              </w:rPr>
            </w:pPr>
            <w:r>
              <w:rPr>
                <w:rFonts w:ascii="Times New Roman" w:cs="Times New Roman" w:eastAsia="Times New Roman" w:hAnsi="Times New Roman"/>
                <w:sz w:val="16"/>
                <w:szCs w:val="16"/>
                <w:color w:val="auto"/>
              </w:rPr>
              <w:t>XBRL Instance Document**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101.SCH</w:t>
            </w:r>
          </w:p>
        </w:tc>
        <w:tc>
          <w:tcPr>
            <w:tcW w:w="580" w:type="dxa"/>
            <w:vAlign w:val="bottom"/>
          </w:tcPr>
          <w:p>
            <w:pPr>
              <w:spacing w:after="0"/>
              <w:rPr>
                <w:sz w:val="16"/>
                <w:szCs w:val="16"/>
                <w:color w:val="auto"/>
              </w:rPr>
            </w:pPr>
          </w:p>
        </w:tc>
        <w:tc>
          <w:tcPr>
            <w:tcW w:w="9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580" w:type="dxa"/>
            <w:vAlign w:val="bottom"/>
          </w:tcPr>
          <w:p>
            <w:pPr>
              <w:spacing w:after="0"/>
              <w:rPr>
                <w:sz w:val="16"/>
                <w:szCs w:val="16"/>
                <w:color w:val="auto"/>
              </w:rPr>
            </w:pPr>
          </w:p>
        </w:tc>
        <w:tc>
          <w:tcPr>
            <w:tcW w:w="9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101.DEF</w:t>
            </w:r>
          </w:p>
        </w:tc>
        <w:tc>
          <w:tcPr>
            <w:tcW w:w="580" w:type="dxa"/>
            <w:vAlign w:val="bottom"/>
          </w:tcPr>
          <w:p>
            <w:pPr>
              <w:spacing w:after="0"/>
              <w:rPr>
                <w:sz w:val="16"/>
                <w:szCs w:val="16"/>
                <w:color w:val="auto"/>
              </w:rPr>
            </w:pPr>
          </w:p>
        </w:tc>
        <w:tc>
          <w:tcPr>
            <w:tcW w:w="9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Definition Document**</w:t>
            </w:r>
          </w:p>
        </w:tc>
        <w:tc>
          <w:tcPr>
            <w:tcW w:w="0" w:type="dxa"/>
            <w:vAlign w:val="bottom"/>
          </w:tcPr>
          <w:p>
            <w:pPr>
              <w:spacing w:after="0"/>
              <w:rPr>
                <w:sz w:val="1"/>
                <w:szCs w:val="1"/>
                <w:color w:val="auto"/>
              </w:rPr>
            </w:pP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580" w:type="dxa"/>
            <w:vAlign w:val="bottom"/>
          </w:tcPr>
          <w:p>
            <w:pPr>
              <w:spacing w:after="0"/>
              <w:rPr>
                <w:sz w:val="16"/>
                <w:szCs w:val="16"/>
                <w:color w:val="auto"/>
              </w:rPr>
            </w:pPr>
          </w:p>
        </w:tc>
        <w:tc>
          <w:tcPr>
            <w:tcW w:w="9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c>
          <w:tcPr>
            <w:tcW w:w="0" w:type="dxa"/>
            <w:vAlign w:val="bottom"/>
          </w:tcPr>
          <w:p>
            <w:pPr>
              <w:spacing w:after="0"/>
              <w:rPr>
                <w:sz w:val="1"/>
                <w:szCs w:val="1"/>
                <w:color w:val="auto"/>
              </w:rPr>
            </w:pPr>
          </w:p>
        </w:tc>
      </w:tr>
      <w:tr>
        <w:trPr>
          <w:trHeight w:val="209"/>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80" w:type="dxa"/>
            <w:vAlign w:val="bottom"/>
          </w:tcPr>
          <w:p>
            <w:pPr>
              <w:spacing w:after="0"/>
              <w:rPr>
                <w:sz w:val="18"/>
                <w:szCs w:val="18"/>
                <w:color w:val="auto"/>
              </w:rPr>
            </w:pPr>
          </w:p>
        </w:tc>
        <w:tc>
          <w:tcPr>
            <w:tcW w:w="96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c>
          <w:tcPr>
            <w:tcW w:w="0" w:type="dxa"/>
            <w:vAlign w:val="bottom"/>
          </w:tcPr>
          <w:p>
            <w:pPr>
              <w:spacing w:after="0"/>
              <w:rPr>
                <w:sz w:val="1"/>
                <w:szCs w:val="1"/>
                <w:color w:val="auto"/>
              </w:rPr>
            </w:pPr>
          </w:p>
        </w:tc>
      </w:tr>
    </w:tbl>
    <w:p>
      <w:pPr>
        <w:ind w:left="1280" w:hanging="1272"/>
        <w:spacing w:after="0" w:line="243"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October 30, 2022 has been formatted in Inline XBRL (Inline Extensible Business Reporting Language and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283"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Filed herewith</w:t>
      </w:r>
    </w:p>
    <w:p>
      <w:pPr>
        <w:spacing w:after="0" w:line="200" w:lineRule="exact"/>
        <w:rPr>
          <w:sz w:val="20"/>
          <w:szCs w:val="20"/>
          <w:color w:val="auto"/>
        </w:rPr>
      </w:pPr>
    </w:p>
    <w:p>
      <w:pPr>
        <w:sectPr>
          <w:pgSz w:w="11900" w:h="16838" w:orient="portrait"/>
          <w:cols w:equalWidth="0" w:num="2">
            <w:col w:w="860" w:space="720"/>
            <w:col w:w="9580"/>
          </w:cols>
          <w:pgMar w:left="320" w:top="283" w:right="41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ind w:right="300"/>
        <w:spacing w:after="0" w:line="263" w:lineRule="auto"/>
        <w:rPr>
          <w:sz w:val="20"/>
          <w:szCs w:val="20"/>
          <w:color w:val="auto"/>
        </w:rPr>
      </w:pPr>
      <w:r>
        <w:rPr>
          <w:rFonts w:ascii="Times New Roman" w:cs="Times New Roman" w:eastAsia="Times New Roman" w:hAnsi="Times New Roman"/>
          <w:sz w:val="16"/>
          <w:szCs w:val="16"/>
          <w:color w:val="auto"/>
        </w:rPr>
        <w:t>In accordance with Regulation S-T, the XBRL-related information in Exhibit 101 to this Quarterly Report on Form 10-Q shall be deemed to be “furnished” and not “filed.”</w:t>
      </w:r>
    </w:p>
    <w:p>
      <w:pPr>
        <w:spacing w:after="0" w:line="200" w:lineRule="exact"/>
        <w:rPr>
          <w:sz w:val="20"/>
          <w:szCs w:val="20"/>
          <w:color w:val="auto"/>
        </w:rPr>
      </w:pPr>
    </w:p>
    <w:p>
      <w:pPr>
        <w:sectPr>
          <w:pgSz w:w="11900" w:h="16838" w:orient="portrait"/>
          <w:cols w:equalWidth="0" w:num="2">
            <w:col w:w="860" w:space="720"/>
            <w:col w:w="9580"/>
          </w:cols>
          <w:pgMar w:left="320" w:top="283"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83" w:right="41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7"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firstLine="42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December 2, 2022</w:t>
      </w:r>
    </w:p>
    <w:p>
      <w:pPr>
        <w:spacing w:after="0" w:line="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DULUTH HOLDINGS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35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11430</wp:posOffset>
            </wp:positionV>
            <wp:extent cx="4071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071620" cy="8890"/>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18"/>
          <w:szCs w:val="18"/>
          <w:b w:val="1"/>
          <w:bCs w:val="1"/>
          <w:color w:val="auto"/>
        </w:rPr>
        <w:t>David Loretta</w:t>
      </w:r>
    </w:p>
    <w:p>
      <w:pPr>
        <w:ind w:left="482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Senior Vice President and Chief Financial Officer</w:t>
      </w: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(On behalf of the Registrant and as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 Michael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11430</wp:posOffset>
            </wp:positionV>
            <wp:extent cx="40716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ind w:left="4820"/>
        <w:spacing w:after="0"/>
        <w:rPr>
          <w:sz w:val="20"/>
          <w:szCs w:val="20"/>
          <w:color w:val="auto"/>
        </w:rPr>
      </w:pPr>
      <w:r>
        <w:rPr>
          <w:rFonts w:ascii="Times New Roman" w:cs="Times New Roman" w:eastAsia="Times New Roman" w:hAnsi="Times New Roman"/>
          <w:sz w:val="18"/>
          <w:szCs w:val="18"/>
          <w:b w:val="1"/>
          <w:bCs w:val="1"/>
          <w:color w:val="auto"/>
        </w:rPr>
        <w:t>Michael Murphy</w:t>
      </w:r>
    </w:p>
    <w:p>
      <w:pPr>
        <w:ind w:left="4820"/>
        <w:spacing w:after="0" w:line="219" w:lineRule="auto"/>
        <w:rPr>
          <w:sz w:val="20"/>
          <w:szCs w:val="20"/>
          <w:color w:val="auto"/>
        </w:rPr>
      </w:pPr>
      <w:r>
        <w:rPr>
          <w:rFonts w:ascii="Times New Roman" w:cs="Times New Roman" w:eastAsia="Times New Roman" w:hAnsi="Times New Roman"/>
          <w:sz w:val="18"/>
          <w:szCs w:val="18"/>
          <w:b w:val="1"/>
          <w:bCs w:val="1"/>
          <w:i w:val="1"/>
          <w:iCs w:val="1"/>
          <w:color w:val="auto"/>
        </w:rPr>
        <w:t>Vice President and Chief Accounting Officer</w:t>
      </w:r>
    </w:p>
    <w:p>
      <w:pPr>
        <w:ind w:left="4820"/>
        <w:spacing w:after="0"/>
        <w:rPr>
          <w:sz w:val="20"/>
          <w:szCs w:val="20"/>
          <w:color w:val="auto"/>
        </w:rPr>
      </w:pPr>
      <w:r>
        <w:rPr>
          <w:rFonts w:ascii="Times New Roman" w:cs="Times New Roman" w:eastAsia="Times New Roman" w:hAnsi="Times New Roman"/>
          <w:sz w:val="18"/>
          <w:szCs w:val="18"/>
          <w:b w:val="1"/>
          <w:bCs w:val="1"/>
          <w:i w:val="1"/>
          <w:iCs w:val="1"/>
          <w:color w:val="auto"/>
        </w:rPr>
        <w:t>(On behalf of the Registrant and as Principal Accounting Officer)</w:t>
      </w:r>
    </w:p>
    <w:p>
      <w:pPr>
        <w:spacing w:after="0" w:line="15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700"/>
          </w:cols>
          <w:pgMar w:left="320" w:top="283" w:right="8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7379970</wp:posOffset>
            </wp:positionV>
            <wp:extent cx="6026150" cy="508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26150" cy="50800"/>
                    </a:xfrm>
                    <a:prstGeom prst="rect">
                      <a:avLst/>
                    </a:prstGeom>
                    <a:noFill/>
                  </pic:spPr>
                </pic:pic>
              </a:graphicData>
            </a:graphic>
          </wp:anchor>
        </w:drawing>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Sam Sato, Chief Executive Officer, certify that:</w:t>
      </w:r>
    </w:p>
    <w:p>
      <w:pPr>
        <w:spacing w:after="0" w:line="171" w:lineRule="exact"/>
        <w:rPr>
          <w:sz w:val="20"/>
          <w:szCs w:val="20"/>
          <w:color w:val="auto"/>
        </w:rPr>
      </w:pPr>
    </w:p>
    <w:p>
      <w:pPr>
        <w:ind w:left="680" w:hanging="348"/>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5"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8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10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102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 2022</w:t>
      </w:r>
    </w:p>
    <w:p>
      <w:pPr>
        <w:spacing w:after="0" w:line="200" w:lineRule="exact"/>
        <w:rPr>
          <w:sz w:val="20"/>
          <w:szCs w:val="20"/>
          <w:color w:val="auto"/>
        </w:rPr>
      </w:pPr>
    </w:p>
    <w:p>
      <w:pPr>
        <w:spacing w:after="0" w:line="2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 Sam Sato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14605</wp:posOffset>
            </wp:positionV>
            <wp:extent cx="2168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Sam Sato</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ectPr>
          <w:pgSz w:w="11900" w:h="16838" w:orient="portrait"/>
          <w:cols w:equalWidth="0" w:num="1">
            <w:col w:w="9440"/>
          </w:cols>
          <w:pgMar w:left="1220" w:top="117" w:right="1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769620</wp:posOffset>
            </wp:positionH>
            <wp:positionV relativeFrom="page">
              <wp:posOffset>7285355</wp:posOffset>
            </wp:positionV>
            <wp:extent cx="602615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26150" cy="51435"/>
                    </a:xfrm>
                    <a:prstGeom prst="rect">
                      <a:avLst/>
                    </a:prstGeom>
                    <a:noFill/>
                  </pic:spPr>
                </pic:pic>
              </a:graphicData>
            </a:graphic>
          </wp:anchor>
        </w:drawing>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Loretta, Chief Financial Officer, certify that:</w:t>
      </w:r>
    </w:p>
    <w:p>
      <w:pPr>
        <w:spacing w:after="0" w:line="171" w:lineRule="exact"/>
        <w:rPr>
          <w:sz w:val="20"/>
          <w:szCs w:val="20"/>
          <w:color w:val="auto"/>
        </w:rPr>
      </w:pPr>
    </w:p>
    <w:p>
      <w:pPr>
        <w:ind w:left="680" w:hanging="348"/>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Duluth Holdings Inc. (the “registrant”);</w:t>
      </w:r>
    </w:p>
    <w:p>
      <w:pPr>
        <w:spacing w:after="0" w:line="171" w:lineRule="exact"/>
        <w:rPr>
          <w:rFonts w:ascii="Times New Roman" w:cs="Times New Roman" w:eastAsia="Times New Roman" w:hAnsi="Times New Roman"/>
          <w:sz w:val="18"/>
          <w:szCs w:val="18"/>
          <w:color w:val="auto"/>
        </w:rPr>
      </w:pPr>
    </w:p>
    <w:p>
      <w:pPr>
        <w:jc w:val="both"/>
        <w:ind w:left="660" w:right="240" w:hanging="328"/>
        <w:spacing w:after="0" w:line="266"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66"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right="140" w:hanging="328"/>
        <w:spacing w:after="0" w:line="266"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4" w:lineRule="exact"/>
        <w:rPr>
          <w:rFonts w:ascii="Times New Roman" w:cs="Times New Roman" w:eastAsia="Times New Roman" w:hAnsi="Times New Roman"/>
          <w:sz w:val="18"/>
          <w:szCs w:val="18"/>
          <w:color w:val="auto"/>
        </w:rPr>
      </w:pPr>
    </w:p>
    <w:p>
      <w:pPr>
        <w:ind w:left="980" w:right="20" w:hanging="324"/>
        <w:spacing w:after="0" w:line="261" w:lineRule="auto"/>
        <w:tabs>
          <w:tab w:leader="none" w:pos="102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Times New Roman" w:cs="Times New Roman" w:eastAsia="Times New Roman" w:hAnsi="Times New Roman"/>
          <w:sz w:val="18"/>
          <w:szCs w:val="18"/>
          <w:color w:val="auto"/>
        </w:rPr>
      </w:pPr>
    </w:p>
    <w:p>
      <w:pPr>
        <w:ind w:left="980" w:right="120" w:hanging="324"/>
        <w:spacing w:after="0" w:line="266" w:lineRule="auto"/>
        <w:tabs>
          <w:tab w:leader="none" w:pos="102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8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280" w:hanging="324"/>
        <w:spacing w:after="0" w:line="266" w:lineRule="auto"/>
        <w:tabs>
          <w:tab w:leader="none" w:pos="101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80" w:right="60" w:hanging="324"/>
        <w:spacing w:after="0" w:line="282" w:lineRule="auto"/>
        <w:tabs>
          <w:tab w:leader="none" w:pos="1022"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 2022</w:t>
      </w: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 David Loretta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19685</wp:posOffset>
            </wp:positionV>
            <wp:extent cx="2168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David Loretta</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ectPr>
          <w:pgSz w:w="11900" w:h="16838" w:orient="portrait"/>
          <w:cols w:equalWidth="0" w:num="1">
            <w:col w:w="9440"/>
          </w:cols>
          <w:pgMar w:left="1220" w:top="117" w:right="1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October 30, 2022 as filed with the Securities and Exchange Commission on the date hereof (the “Report”), I, Sam Sato, as Chief Executive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660" w:right="32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660" w:right="380" w:hanging="328"/>
        <w:spacing w:after="0" w:line="26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6" w:lineRule="exact"/>
        <w:rPr>
          <w:sz w:val="20"/>
          <w:szCs w:val="20"/>
          <w:color w:val="auto"/>
        </w:rPr>
      </w:pPr>
    </w:p>
    <w:p>
      <w:pPr>
        <w:ind w:left="120" w:right="7620" w:firstLine="7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/s/ Sam Sato </w:t>
      </w: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Sam Sato</w:t>
      </w:r>
    </w:p>
    <w:p>
      <w:pPr>
        <w:ind w:left="12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b w:val="1"/>
          <w:bCs w:val="1"/>
          <w:color w:val="auto"/>
        </w:rPr>
        <w:t>Chief Executive Officer</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December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-422275</wp:posOffset>
            </wp:positionV>
            <wp:extent cx="30429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62"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p>
      <w:pPr>
        <w:sectPr>
          <w:pgSz w:w="11900" w:h="16838" w:orient="portrait"/>
          <w:cols w:equalWidth="0" w:num="1">
            <w:col w:w="9440"/>
          </w:cols>
          <w:pgMar w:left="1220" w:top="117" w:right="1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Duluth Holdings Inc. (the “Company”) for the quarterly period ended October 30, 2022 as filed with the Securities and Exchange Commission on the date hereof (the “Report”), I, David Loretta, as Chief Financial Officer of the Company, hereby certify, pursuant to 18 U.S.C. Section 1350, as adopted pursuant to Section 906 of the Sarbanes-Oxley Act of 2002, that, to the best of my knowledge:</w:t>
      </w:r>
    </w:p>
    <w:p>
      <w:pPr>
        <w:spacing w:after="0" w:line="58" w:lineRule="exact"/>
        <w:rPr>
          <w:sz w:val="20"/>
          <w:szCs w:val="20"/>
          <w:color w:val="auto"/>
        </w:rPr>
      </w:pPr>
    </w:p>
    <w:p>
      <w:pPr>
        <w:ind w:left="980" w:right="20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40" w:lineRule="exact"/>
        <w:rPr>
          <w:rFonts w:ascii="Times New Roman" w:cs="Times New Roman" w:eastAsia="Times New Roman" w:hAnsi="Times New Roman"/>
          <w:sz w:val="18"/>
          <w:szCs w:val="18"/>
          <w:color w:val="auto"/>
        </w:rPr>
      </w:pPr>
    </w:p>
    <w:p>
      <w:pPr>
        <w:ind w:left="980" w:right="60" w:hanging="324"/>
        <w:spacing w:after="0" w:line="261"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92" w:lineRule="exact"/>
        <w:rPr>
          <w:sz w:val="20"/>
          <w:szCs w:val="20"/>
          <w:color w:val="auto"/>
        </w:rPr>
      </w:pPr>
    </w:p>
    <w:p>
      <w:pPr>
        <w:ind w:left="120" w:right="7260" w:firstLine="760"/>
        <w:spacing w:after="0" w:line="281" w:lineRule="auto"/>
        <w:rPr>
          <w:sz w:val="20"/>
          <w:szCs w:val="20"/>
          <w:color w:val="auto"/>
        </w:rPr>
      </w:pPr>
      <w:r>
        <w:rPr>
          <w:rFonts w:ascii="Times New Roman" w:cs="Times New Roman" w:eastAsia="Times New Roman" w:hAnsi="Times New Roman"/>
          <w:sz w:val="17"/>
          <w:szCs w:val="17"/>
          <w:b w:val="1"/>
          <w:bCs w:val="1"/>
          <w:color w:val="auto"/>
        </w:rPr>
        <w:t xml:space="preserve">/s/ David Loretta </w:t>
      </w:r>
      <w:r>
        <w:rPr>
          <w:rFonts w:ascii="Times New Roman" w:cs="Times New Roman" w:eastAsia="Times New Roman" w:hAnsi="Times New Roman"/>
          <w:sz w:val="17"/>
          <w:szCs w:val="17"/>
          <w:color w:val="auto"/>
        </w:rPr>
        <w:t xml:space="preserve">Name: </w:t>
      </w:r>
      <w:r>
        <w:rPr>
          <w:rFonts w:ascii="Times New Roman" w:cs="Times New Roman" w:eastAsia="Times New Roman" w:hAnsi="Times New Roman"/>
          <w:sz w:val="17"/>
          <w:szCs w:val="17"/>
          <w:b w:val="1"/>
          <w:bCs w:val="1"/>
          <w:color w:val="auto"/>
        </w:rPr>
        <w:t>David Loretta</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b w:val="1"/>
          <w:bCs w:val="1"/>
          <w:color w:val="auto"/>
        </w:rPr>
        <w:t>Chief Financial Officer</w:t>
      </w:r>
    </w:p>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December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-422275</wp:posOffset>
            </wp:positionV>
            <wp:extent cx="30429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62" w:lineRule="exact"/>
        <w:rPr>
          <w:sz w:val="20"/>
          <w:szCs w:val="20"/>
          <w:color w:val="auto"/>
        </w:rPr>
      </w:pPr>
    </w:p>
    <w:p>
      <w:pPr>
        <w:ind w:right="360" w:firstLine="432"/>
        <w:spacing w:after="0" w:line="235"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be deemed filed by the Company for purposes of Section 18 of the Securities Exchange Act of 1934, as amended, or otherwise subject to liability under that section. This certification shall not be deemed incorporated by reference in any filing under the Securities Act of 1933, as amended or the Exchange Act,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602615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26150" cy="51435"/>
                    </a:xfrm>
                    <a:prstGeom prst="rect">
                      <a:avLst/>
                    </a:prstGeom>
                    <a:noFill/>
                  </pic:spPr>
                </pic:pic>
              </a:graphicData>
            </a:graphic>
          </wp:anchor>
        </w:drawing>
      </w:r>
    </w:p>
    <w:sectPr>
      <w:pgSz w:w="11900" w:h="16838" w:orient="portrait"/>
      <w:cols w:equalWidth="0" w:num="1">
        <w:col w:w="9440"/>
      </w:cols>
      <w:pgMar w:left="1220" w:top="117"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upperLetter"/>
      <w:start w:val="1"/>
    </w:lvl>
  </w:abstractNum>
  <w:abstractNum w:abstractNumId="3">
    <w:nsid w:val="1F16E9E8"/>
    <w:multiLevelType w:val="hybridMultilevel"/>
    <w:lvl w:ilvl="0">
      <w:lvlJc w:val="left"/>
      <w:lvlText w:val="%1."/>
      <w:numFmt w:val="upperLetter"/>
      <w:start w:val="2"/>
    </w:lvl>
  </w:abstractNum>
  <w:abstractNum w:abstractNumId="4">
    <w:nsid w:val="1190CDE7"/>
    <w:multiLevelType w:val="hybridMultilevel"/>
    <w:lvl w:ilvl="0">
      <w:lvlJc w:val="left"/>
      <w:lvlText w:val="%1."/>
      <w:numFmt w:val="upperLetter"/>
      <w:start w:val="3"/>
    </w:lvl>
  </w:abstractNum>
  <w:abstractNum w:abstractNumId="5">
    <w:nsid w:val="66EF438D"/>
    <w:multiLevelType w:val="hybridMultilevel"/>
    <w:lvl w:ilvl="0">
      <w:lvlJc w:val="left"/>
      <w:lvlText w:val="%1."/>
      <w:numFmt w:val="upperLetter"/>
      <w:start w:val="6"/>
    </w:lvl>
  </w:abstractNum>
  <w:abstractNum w:abstractNumId="6">
    <w:nsid w:val="140E0F76"/>
    <w:multiLevelType w:val="hybridMultilevel"/>
    <w:lvl w:ilvl="0">
      <w:lvlJc w:val="left"/>
      <w:lvlText w:val="%1."/>
      <w:numFmt w:val="decimal"/>
      <w:start w:val="3"/>
    </w:lvl>
  </w:abstractNum>
  <w:abstractNum w:abstractNumId="7">
    <w:nsid w:val="3352255A"/>
    <w:multiLevelType w:val="hybridMultilevel"/>
    <w:lvl w:ilvl="0">
      <w:lvlJc w:val="left"/>
      <w:lvlText w:val="%1."/>
      <w:numFmt w:val="decimal"/>
      <w:start w:val="4"/>
    </w:lvl>
  </w:abstractNum>
  <w:abstractNum w:abstractNumId="8">
    <w:nsid w:val="109CF92E"/>
    <w:multiLevelType w:val="hybridMultilevel"/>
    <w:lvl w:ilvl="0">
      <w:lvlJc w:val="left"/>
      <w:lvlText w:val="%1."/>
      <w:numFmt w:val="decimal"/>
      <w:start w:val="11"/>
    </w:lvl>
  </w:abstractNum>
  <w:abstractNum w:abstractNumId="9">
    <w:nsid w:val="DED7263"/>
    <w:multiLevelType w:val="hybridMultilevel"/>
    <w:lvl w:ilvl="0">
      <w:lvlJc w:val="left"/>
      <w:lvlText w:val=" "/>
      <w:numFmt w:val="bullet"/>
      <w:start w:val="1"/>
    </w:lvl>
  </w:abstractNum>
  <w:abstractNum w:abstractNumId="10">
    <w:nsid w:val="7FDCC233"/>
    <w:multiLevelType w:val="hybridMultilevel"/>
    <w:lvl w:ilvl="0">
      <w:lvlJc w:val="left"/>
      <w:lvlText w:val=" "/>
      <w:numFmt w:val="bullet"/>
      <w:start w:val="1"/>
    </w:lvl>
  </w:abstractNum>
  <w:abstractNum w:abstractNumId="11">
    <w:nsid w:val="1BEFD79F"/>
    <w:multiLevelType w:val="hybridMultilevel"/>
    <w:lvl w:ilvl="0">
      <w:lvlJc w:val="left"/>
      <w:lvlText w:val="%1"/>
      <w:numFmt w:val="decimal"/>
      <w:start w:val="104"/>
    </w:lvl>
  </w:abstractNum>
  <w:abstractNum w:abstractNumId="12">
    <w:nsid w:val="41A7C4C9"/>
    <w:multiLevelType w:val="hybridMultilevel"/>
    <w:lvl w:ilvl="0">
      <w:lvlJc w:val="left"/>
      <w:lvlText w:val="%1."/>
      <w:numFmt w:val="decimal"/>
      <w:start w:val="1"/>
    </w:lvl>
    <w:lvl w:ilvl="1">
      <w:lvlJc w:val="left"/>
      <w:lvlText w:val="%2)"/>
      <w:numFmt w:val="lowerLetter"/>
      <w:start w:val="1"/>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 "/>
      <w:numFmt w:val="bullet"/>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2022-12-02T11:04:32Z</dcterms:created>
  <dcterms:modified xsi:type="dcterms:W3CDTF">2022-12-02T11:04:32Z</dcterms:modified>
</cp:coreProperties>
</file>