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jc w:val="center"/>
        <w:ind w:right="-79"/>
        <w:spacing w:after="0" w:line="237" w:lineRule="auto"/>
        <w:rPr>
          <w:sz w:val="20"/>
          <w:szCs w:val="20"/>
          <w:color w:val="auto"/>
        </w:rPr>
      </w:pPr>
      <w:r>
        <w:rPr>
          <w:rFonts w:ascii="Arial" w:cs="Arial" w:eastAsia="Arial" w:hAnsi="Arial"/>
          <w:sz w:val="29"/>
          <w:szCs w:val="29"/>
          <w:b w:val="1"/>
          <w:bCs w:val="1"/>
          <w:color w:val="auto"/>
        </w:rPr>
        <w:t>SECURITIES AND EXCHANGE COMMISSION</w:t>
      </w:r>
    </w:p>
    <w:p>
      <w:pPr>
        <w:jc w:val="center"/>
        <w:ind w:right="-79"/>
        <w:spacing w:after="0" w:line="214" w:lineRule="auto"/>
        <w:rPr>
          <w:sz w:val="20"/>
          <w:szCs w:val="20"/>
          <w:color w:val="auto"/>
        </w:rPr>
      </w:pPr>
      <w:r>
        <w:rPr>
          <w:rFonts w:ascii="Arial" w:cs="Arial" w:eastAsia="Arial" w:hAnsi="Arial"/>
          <w:sz w:val="22"/>
          <w:szCs w:val="22"/>
          <w:b w:val="1"/>
          <w:bCs w:val="1"/>
          <w:color w:val="auto"/>
        </w:rPr>
        <w:t>Washington, D.C. 20549</w:t>
      </w:r>
    </w:p>
    <w:p>
      <w:pPr>
        <w:ind w:left="4140"/>
        <w:spacing w:after="0" w:line="212"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480" w:right="180" w:hanging="472"/>
        <w:spacing w:after="0" w:line="243"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October 31, 2021</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140" w:hanging="492"/>
        <w:spacing w:after="0" w:line="243"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u w:val="single" w:color="auto"/>
          <w:color w:val="auto"/>
        </w:rPr>
        <w:t>_______</w:t>
      </w:r>
      <w:r>
        <w:rPr>
          <w:rFonts w:ascii="Arial" w:cs="Arial" w:eastAsia="Arial" w:hAnsi="Arial"/>
          <w:sz w:val="18"/>
          <w:szCs w:val="18"/>
          <w:b w:val="1"/>
          <w:bCs w:val="1"/>
          <w:color w:val="auto"/>
        </w:rPr>
        <w:t xml:space="preserve"> to </w:t>
      </w:r>
      <w:r>
        <w:rPr>
          <w:rFonts w:ascii="Arial" w:cs="Arial" w:eastAsia="Arial" w:hAnsi="Arial"/>
          <w:sz w:val="18"/>
          <w:szCs w:val="18"/>
          <w:u w:val="single" w:color="auto"/>
          <w:color w:val="auto"/>
        </w:rPr>
        <w:t>_______</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001-37641</w:t>
      </w:r>
    </w:p>
    <w:p>
      <w:pPr>
        <w:ind w:left="4140"/>
        <w:spacing w:after="0" w:line="219"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0" w:lineRule="auto"/>
        <w:rPr>
          <w:sz w:val="20"/>
          <w:szCs w:val="20"/>
          <w:color w:val="auto"/>
        </w:rPr>
      </w:pPr>
      <w:r>
        <w:rPr>
          <w:rFonts w:ascii="Arial" w:cs="Arial" w:eastAsia="Arial" w:hAnsi="Arial"/>
          <w:sz w:val="40"/>
          <w:szCs w:val="40"/>
          <w:b w:val="1"/>
          <w:bCs w:val="1"/>
          <w:color w:val="auto"/>
        </w:rPr>
        <w:t>DULUTH HOLDINGS INC.</w:t>
      </w:r>
    </w:p>
    <w:p>
      <w:pPr>
        <w:jc w:val="center"/>
        <w:ind w:right="-79"/>
        <w:spacing w:after="0" w:line="225" w:lineRule="auto"/>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_________________________________________</w:t>
      </w:r>
    </w:p>
    <w:p>
      <w:pPr>
        <w:spacing w:after="0" w:line="116"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Arial" w:cs="Arial" w:eastAsia="Arial" w:hAnsi="Arial"/>
                <w:sz w:val="18"/>
                <w:szCs w:val="18"/>
                <w:b w:val="1"/>
                <w:bCs w:val="1"/>
                <w:color w:val="auto"/>
                <w:w w:val="86"/>
              </w:rPr>
              <w:t>Wisconsin</w:t>
            </w:r>
          </w:p>
        </w:tc>
        <w:tc>
          <w:tcPr>
            <w:tcW w:w="166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8"/>
        </w:trPr>
        <w:tc>
          <w:tcPr>
            <w:tcW w:w="5860" w:type="dxa"/>
            <w:vAlign w:val="bottom"/>
          </w:tcPr>
          <w:p>
            <w:pPr>
              <w:jc w:val="center"/>
              <w:ind w:right="33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60" w:type="dxa"/>
            <w:vAlign w:val="bottom"/>
          </w:tcPr>
          <w:p>
            <w:pPr>
              <w:jc w:val="center"/>
              <w:ind w:right="3382"/>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1"/>
              </w:rPr>
              <w:t>201 East Front Street</w:t>
            </w:r>
          </w:p>
        </w:tc>
        <w:tc>
          <w:tcPr>
            <w:tcW w:w="1660" w:type="dxa"/>
            <w:vAlign w:val="bottom"/>
          </w:tcPr>
          <w:p>
            <w:pPr>
              <w:spacing w:after="0"/>
              <w:rPr>
                <w:sz w:val="24"/>
                <w:szCs w:val="24"/>
                <w:color w:val="auto"/>
              </w:rPr>
            </w:pPr>
          </w:p>
        </w:tc>
      </w:tr>
      <w:tr>
        <w:trPr>
          <w:trHeight w:val="212"/>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0"/>
              </w:rPr>
              <w:t>Mount Horeb, Wisconsin</w:t>
            </w:r>
          </w:p>
        </w:tc>
        <w:tc>
          <w:tcPr>
            <w:tcW w:w="1660" w:type="dxa"/>
            <w:vAlign w:val="bottom"/>
          </w:tcPr>
          <w:p>
            <w:pPr>
              <w:jc w:val="right"/>
              <w:ind w:right="401"/>
              <w:spacing w:after="0"/>
              <w:rPr>
                <w:sz w:val="20"/>
                <w:szCs w:val="20"/>
                <w:color w:val="auto"/>
              </w:rPr>
            </w:pPr>
            <w:r>
              <w:rPr>
                <w:rFonts w:ascii="Arial" w:cs="Arial" w:eastAsia="Arial" w:hAnsi="Arial"/>
                <w:sz w:val="18"/>
                <w:szCs w:val="18"/>
                <w:b w:val="1"/>
                <w:bCs w:val="1"/>
                <w:color w:val="auto"/>
              </w:rPr>
              <w:t>53572</w:t>
            </w:r>
          </w:p>
        </w:tc>
      </w:tr>
      <w:tr>
        <w:trPr>
          <w:trHeight w:val="186"/>
        </w:trPr>
        <w:tc>
          <w:tcPr>
            <w:tcW w:w="5860" w:type="dxa"/>
            <w:vAlign w:val="bottom"/>
          </w:tcPr>
          <w:p>
            <w:pPr>
              <w:jc w:val="center"/>
              <w:ind w:right="34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178"/>
        </w:trPr>
        <w:tc>
          <w:tcPr>
            <w:tcW w:w="5860" w:type="dxa"/>
            <w:vAlign w:val="bottom"/>
          </w:tcPr>
          <w:p>
            <w:pPr>
              <w:jc w:val="right"/>
              <w:ind w:right="1322"/>
              <w:spacing w:after="0"/>
              <w:rPr>
                <w:sz w:val="20"/>
                <w:szCs w:val="20"/>
                <w:color w:val="auto"/>
              </w:rPr>
            </w:pPr>
            <w:r>
              <w:rPr>
                <w:rFonts w:ascii="Arial" w:cs="Arial" w:eastAsia="Arial" w:hAnsi="Arial"/>
                <w:sz w:val="14"/>
                <w:szCs w:val="14"/>
                <w:b w:val="1"/>
                <w:bCs w:val="1"/>
                <w:color w:val="auto"/>
              </w:rPr>
              <w:t>(608) 424-1544</w:t>
            </w:r>
          </w:p>
        </w:tc>
        <w:tc>
          <w:tcPr>
            <w:tcW w:w="1660" w:type="dxa"/>
            <w:vAlign w:val="bottom"/>
          </w:tcPr>
          <w:p>
            <w:pPr>
              <w:spacing w:after="0"/>
              <w:rPr>
                <w:sz w:val="15"/>
                <w:szCs w:val="15"/>
                <w:color w:val="auto"/>
              </w:rPr>
            </w:pPr>
          </w:p>
        </w:tc>
      </w:tr>
      <w:tr>
        <w:trPr>
          <w:trHeight w:val="166"/>
        </w:trPr>
        <w:tc>
          <w:tcPr>
            <w:tcW w:w="5860" w:type="dxa"/>
            <w:vAlign w:val="bottom"/>
          </w:tcPr>
          <w:p>
            <w:pPr>
              <w:ind w:left="2380"/>
              <w:spacing w:after="0"/>
              <w:rPr>
                <w:sz w:val="20"/>
                <w:szCs w:val="20"/>
                <w:color w:val="auto"/>
              </w:rPr>
            </w:pPr>
            <w:r>
              <w:rPr>
                <w:rFonts w:ascii="Arial" w:cs="Arial" w:eastAsia="Arial" w:hAnsi="Arial"/>
                <w:sz w:val="14"/>
                <w:szCs w:val="14"/>
                <w:b w:val="1"/>
                <w:bCs w:val="1"/>
                <w:color w:val="auto"/>
                <w:w w:val="97"/>
              </w:rPr>
              <w:t>(Registrant’s telephone number, including area code)</w:t>
            </w:r>
          </w:p>
        </w:tc>
        <w:tc>
          <w:tcPr>
            <w:tcW w:w="1660" w:type="dxa"/>
            <w:vAlign w:val="bottom"/>
          </w:tcPr>
          <w:p>
            <w:pPr>
              <w:spacing w:after="0"/>
              <w:rPr>
                <w:sz w:val="14"/>
                <w:szCs w:val="14"/>
                <w:color w:val="auto"/>
              </w:rPr>
            </w:pPr>
          </w:p>
        </w:tc>
      </w:tr>
      <w:tr>
        <w:trPr>
          <w:trHeight w:val="182"/>
        </w:trPr>
        <w:tc>
          <w:tcPr>
            <w:tcW w:w="5860" w:type="dxa"/>
            <w:vAlign w:val="bottom"/>
          </w:tcPr>
          <w:p>
            <w:pPr>
              <w:jc w:val="right"/>
              <w:ind w:right="302"/>
              <w:spacing w:after="0"/>
              <w:rPr>
                <w:sz w:val="20"/>
                <w:szCs w:val="20"/>
                <w:color w:val="auto"/>
              </w:rPr>
            </w:pPr>
            <w:r>
              <w:rPr>
                <w:rFonts w:ascii="Arial" w:cs="Arial" w:eastAsia="Arial" w:hAnsi="Arial"/>
                <w:sz w:val="14"/>
                <w:szCs w:val="14"/>
                <w:color w:val="auto"/>
              </w:rPr>
              <w:t>_________________________________________</w:t>
            </w:r>
          </w:p>
        </w:tc>
        <w:tc>
          <w:tcPr>
            <w:tcW w:w="1660" w:type="dxa"/>
            <w:vAlign w:val="bottom"/>
          </w:tcPr>
          <w:p>
            <w:pPr>
              <w:spacing w:after="0"/>
              <w:rPr>
                <w:sz w:val="15"/>
                <w:szCs w:val="15"/>
                <w:color w:val="auto"/>
              </w:rPr>
            </w:pPr>
          </w:p>
        </w:tc>
      </w:tr>
    </w:tbl>
    <w:p>
      <w:pPr>
        <w:spacing w:after="0" w:line="5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5"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Title of each class</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w w:val="93"/>
              </w:rPr>
              <w:t>Trading Symbol(s)</w:t>
            </w:r>
          </w:p>
        </w:tc>
        <w:tc>
          <w:tcPr>
            <w:tcW w:w="3700" w:type="dxa"/>
            <w:vAlign w:val="bottom"/>
          </w:tcPr>
          <w:p>
            <w:pPr>
              <w:jc w:val="center"/>
              <w:ind w:left="739"/>
              <w:spacing w:after="0"/>
              <w:rPr>
                <w:sz w:val="20"/>
                <w:szCs w:val="20"/>
                <w:color w:val="auto"/>
              </w:rPr>
            </w:pPr>
            <w:r>
              <w:rPr>
                <w:rFonts w:ascii="Arial" w:cs="Arial" w:eastAsia="Arial" w:hAnsi="Arial"/>
                <w:sz w:val="16"/>
                <w:szCs w:val="16"/>
                <w:color w:val="auto"/>
                <w:w w:val="90"/>
              </w:rPr>
              <w:t>Name of each exchange on which registered</w:t>
            </w:r>
          </w:p>
        </w:tc>
      </w:tr>
      <w:tr>
        <w:trPr>
          <w:trHeight w:val="206"/>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Class B Common Stock, No Par Value</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rPr>
              <w:t>DLTH</w:t>
            </w:r>
          </w:p>
        </w:tc>
        <w:tc>
          <w:tcPr>
            <w:tcW w:w="3700" w:type="dxa"/>
            <w:vAlign w:val="bottom"/>
          </w:tcPr>
          <w:p>
            <w:pPr>
              <w:jc w:val="center"/>
              <w:ind w:left="719"/>
              <w:spacing w:after="0"/>
              <w:rPr>
                <w:sz w:val="20"/>
                <w:szCs w:val="20"/>
                <w:color w:val="auto"/>
              </w:rPr>
            </w:pPr>
            <w:r>
              <w:rPr>
                <w:rFonts w:ascii="Arial" w:cs="Arial" w:eastAsia="Arial" w:hAnsi="Arial"/>
                <w:sz w:val="16"/>
                <w:szCs w:val="16"/>
                <w:color w:val="auto"/>
                <w:w w:val="95"/>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4057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31140"/>
                    </a:xfrm>
                    <a:prstGeom prst="rect">
                      <a:avLst/>
                    </a:prstGeom>
                    <a:noFill/>
                  </pic:spPr>
                </pic:pic>
              </a:graphicData>
            </a:graphic>
          </wp:anchor>
        </w:drawing>
      </w:r>
    </w:p>
    <w:p>
      <w:pPr>
        <w:spacing w:after="0" w:line="98" w:lineRule="exact"/>
        <w:rPr>
          <w:sz w:val="24"/>
          <w:szCs w:val="24"/>
          <w:color w:val="auto"/>
        </w:rPr>
      </w:pPr>
    </w:p>
    <w:p>
      <w:pPr>
        <w:ind w:right="120" w:firstLine="428"/>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87" w:lineRule="exact"/>
        <w:rPr>
          <w:sz w:val="24"/>
          <w:szCs w:val="24"/>
          <w:color w:val="auto"/>
        </w:rPr>
      </w:pPr>
    </w:p>
    <w:p>
      <w:pPr>
        <w:ind w:firstLine="428"/>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87" w:lineRule="exact"/>
        <w:rPr>
          <w:sz w:val="24"/>
          <w:szCs w:val="24"/>
          <w:color w:val="auto"/>
        </w:rPr>
      </w:pPr>
    </w:p>
    <w:p>
      <w:pPr>
        <w:jc w:val="both"/>
        <w:ind w:right="220" w:firstLine="428"/>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100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500"/>
              <w:spacing w:after="0"/>
              <w:rPr>
                <w:sz w:val="20"/>
                <w:szCs w:val="20"/>
                <w:color w:val="auto"/>
              </w:rPr>
            </w:pPr>
            <w:r>
              <w:rPr>
                <w:rFonts w:ascii="Arial" w:cs="Arial" w:eastAsia="Arial" w:hAnsi="Arial"/>
                <w:sz w:val="16"/>
                <w:szCs w:val="16"/>
                <w:color w:val="auto"/>
              </w:rPr>
              <w:t>o</w:t>
            </w:r>
          </w:p>
        </w:tc>
        <w:tc>
          <w:tcPr>
            <w:tcW w:w="3240" w:type="dxa"/>
            <w:vAlign w:val="bottom"/>
          </w:tcPr>
          <w:p>
            <w:pPr>
              <w:ind w:left="114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66"/>
        </w:trPr>
        <w:tc>
          <w:tcPr>
            <w:tcW w:w="2020" w:type="dxa"/>
            <w:vAlign w:val="bottom"/>
          </w:tcPr>
          <w:p>
            <w:pPr>
              <w:spacing w:after="0" w:line="166" w:lineRule="exact"/>
              <w:rPr>
                <w:sz w:val="20"/>
                <w:szCs w:val="20"/>
                <w:color w:val="auto"/>
              </w:rPr>
            </w:pPr>
            <w:r>
              <w:rPr>
                <w:rFonts w:ascii="Arial" w:cs="Arial" w:eastAsia="Arial" w:hAnsi="Arial"/>
                <w:sz w:val="16"/>
                <w:szCs w:val="16"/>
                <w:color w:val="auto"/>
              </w:rPr>
              <w:t>Non-accelerated Filer</w:t>
            </w:r>
          </w:p>
        </w:tc>
        <w:tc>
          <w:tcPr>
            <w:tcW w:w="1700" w:type="dxa"/>
            <w:vAlign w:val="bottom"/>
          </w:tcPr>
          <w:p>
            <w:pPr>
              <w:ind w:left="500"/>
              <w:spacing w:after="0" w:line="166" w:lineRule="exact"/>
              <w:rPr>
                <w:sz w:val="20"/>
                <w:szCs w:val="20"/>
                <w:color w:val="auto"/>
              </w:rPr>
            </w:pPr>
            <w:r>
              <w:rPr>
                <w:rFonts w:ascii="Arial" w:cs="Arial" w:eastAsia="Arial" w:hAnsi="Arial"/>
                <w:sz w:val="16"/>
                <w:szCs w:val="16"/>
                <w:color w:val="auto"/>
              </w:rPr>
              <w:t>o</w:t>
            </w:r>
          </w:p>
        </w:tc>
        <w:tc>
          <w:tcPr>
            <w:tcW w:w="3240" w:type="dxa"/>
            <w:vAlign w:val="bottom"/>
          </w:tcPr>
          <w:p>
            <w:pPr>
              <w:ind w:left="1140"/>
              <w:spacing w:after="0" w:line="166" w:lineRule="exact"/>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40" w:type="dxa"/>
            <w:vAlign w:val="bottom"/>
          </w:tcPr>
          <w:p>
            <w:pPr>
              <w:ind w:left="114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rPr>
                <w:sz w:val="20"/>
                <w:szCs w:val="20"/>
                <w:color w:val="auto"/>
              </w:rPr>
            </w:pPr>
            <w:r>
              <w:rPr>
                <w:rFonts w:ascii="Arial" w:cs="Arial" w:eastAsia="Arial" w:hAnsi="Arial"/>
                <w:sz w:val="16"/>
                <w:szCs w:val="16"/>
                <w:color w:val="auto"/>
              </w:rPr>
              <w:t>o</w:t>
            </w:r>
          </w:p>
        </w:tc>
      </w:tr>
    </w:tbl>
    <w:p>
      <w:pPr>
        <w:spacing w:after="0" w:line="104" w:lineRule="exact"/>
        <w:rPr>
          <w:sz w:val="24"/>
          <w:szCs w:val="24"/>
          <w:color w:val="auto"/>
        </w:rPr>
      </w:pPr>
    </w:p>
    <w:p>
      <w:pPr>
        <w:ind w:right="80" w:firstLine="428"/>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4"/>
          <w:szCs w:val="24"/>
          <w:color w:val="auto"/>
        </w:rPr>
      </w:pPr>
    </w:p>
    <w:p>
      <w:pPr>
        <w:ind w:left="440"/>
        <w:spacing w:after="0" w:line="184" w:lineRule="exact"/>
        <w:tabs>
          <w:tab w:leader="none" w:pos="794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number of shares outstanding of the Registrant’s Class A common stock, no par value, as of December 1, 2021, was 3,364,200.</w:t>
      </w:r>
    </w:p>
    <w:p>
      <w:pPr>
        <w:ind w:left="400"/>
        <w:spacing w:after="0"/>
        <w:rPr>
          <w:sz w:val="20"/>
          <w:szCs w:val="20"/>
          <w:color w:val="auto"/>
        </w:rPr>
      </w:pPr>
      <w:r>
        <w:rPr>
          <w:rFonts w:ascii="Arial" w:cs="Arial" w:eastAsia="Arial" w:hAnsi="Arial"/>
          <w:sz w:val="16"/>
          <w:szCs w:val="16"/>
          <w:color w:val="auto"/>
        </w:rPr>
        <w:t>The number of shares outstanding of the Registrant’s Class B common stock, no par value, as of December 1, 2021, was 29,698,318.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02"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QUARTERLY REPORT ON FORM 10-Q</w:t>
      </w:r>
    </w:p>
    <w:p>
      <w:pPr>
        <w:jc w:val="center"/>
        <w:ind w:right="40"/>
        <w:spacing w:after="0" w:line="219" w:lineRule="auto"/>
        <w:rPr>
          <w:sz w:val="20"/>
          <w:szCs w:val="20"/>
          <w:color w:val="auto"/>
        </w:rPr>
      </w:pPr>
      <w:r>
        <w:rPr>
          <w:rFonts w:ascii="Arial" w:cs="Arial" w:eastAsia="Arial" w:hAnsi="Arial"/>
          <w:sz w:val="18"/>
          <w:szCs w:val="18"/>
          <w:b w:val="1"/>
          <w:bCs w:val="1"/>
          <w:color w:val="auto"/>
        </w:rPr>
        <w:t>FOR QUARTER ENDED October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gridSpan w:val="13"/>
          </w:tcPr>
          <w:p>
            <w:pPr>
              <w:jc w:val="center"/>
              <w:ind w:right="2980"/>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Part I—Financial Information</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385"/>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960" w:type="dxa"/>
            <w:vAlign w:val="bottom"/>
            <w:gridSpan w:val="3"/>
          </w:tcPr>
          <w:p>
            <w:pPr>
              <w:spacing w:after="0"/>
              <w:rPr>
                <w:sz w:val="24"/>
                <w:szCs w:val="24"/>
                <w:color w:val="auto"/>
              </w:rPr>
            </w:pPr>
          </w:p>
        </w:tc>
        <w:tc>
          <w:tcPr>
            <w:tcW w:w="304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2140" w:type="dxa"/>
            <w:vAlign w:val="bottom"/>
            <w:tcBorders>
              <w:top w:val="single" w:sz="8" w:color="0000FF"/>
            </w:tcBorders>
            <w:gridSpan w:val="6"/>
          </w:tcPr>
          <w:p>
            <w:pPr>
              <w:spacing w:after="0"/>
              <w:rPr>
                <w:sz w:val="24"/>
                <w:szCs w:val="24"/>
                <w:color w:val="auto"/>
              </w:rPr>
            </w:pPr>
          </w:p>
        </w:tc>
        <w:tc>
          <w:tcPr>
            <w:tcW w:w="2980" w:type="dxa"/>
            <w:vAlign w:val="bottom"/>
            <w:gridSpan w:val="7"/>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2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October 31, 2021 and January 31, 2021 (Unaudited)</w:t>
              </w:r>
            </w:hyperlink>
          </w:p>
        </w:tc>
        <w:tc>
          <w:tcPr>
            <w:tcW w:w="1040" w:type="dxa"/>
            <w:vAlign w:val="bottom"/>
            <w:gridSpan w:val="5"/>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gridSpan w:val="22"/>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Operations for the three and nine months ended October 31, 2021 and</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November 1, 2020 (Unaudited)</w:t>
              </w:r>
            </w:hyperlink>
          </w:p>
        </w:tc>
        <w:tc>
          <w:tcPr>
            <w:tcW w:w="5680" w:type="dxa"/>
            <w:vAlign w:val="bottom"/>
            <w:tcBorders>
              <w:top w:val="single" w:sz="8" w:color="0000FF"/>
            </w:tcBorders>
            <w:gridSpan w:val="13"/>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tcBorders>
              <w:bottom w:val="single" w:sz="8" w:color="0000FF"/>
            </w:tcBorders>
            <w:gridSpan w:val="2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Comprehensive Income for the three and nine months ended October 31,</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160" w:type="dxa"/>
            <w:vAlign w:val="bottom"/>
            <w:gridSpan w:val="22"/>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2021 and November 1, 2020 (Unaudited)</w:t>
              </w:r>
            </w:hyperlink>
          </w:p>
        </w:tc>
        <w:tc>
          <w:tcPr>
            <w:tcW w:w="160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gridSpan w:val="22"/>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Condensed Consolidated Statement of Shareholders’ Equity for the nine months ended October 31, 2021</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58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10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gridSpan w:val="22"/>
          </w:tcPr>
          <w:p>
            <w:pPr>
              <w:spacing w:after="0"/>
              <w:rPr>
                <w:rFonts w:ascii="Arial" w:cs="Arial" w:eastAsia="Arial" w:hAnsi="Arial"/>
                <w:sz w:val="18"/>
                <w:szCs w:val="18"/>
                <w:color w:val="0000FF"/>
                <w:w w:val="96"/>
              </w:rPr>
            </w:pPr>
            <w:hyperlink w:anchor="page8">
              <w:r>
                <w:rPr>
                  <w:rFonts w:ascii="Arial" w:cs="Arial" w:eastAsia="Arial" w:hAnsi="Arial"/>
                  <w:sz w:val="18"/>
                  <w:szCs w:val="18"/>
                  <w:color w:val="0000FF"/>
                  <w:w w:val="96"/>
                </w:rPr>
                <w:t>Condensed Consolidated Statement of Shareholders’ Equity for the nine months ended November 1, 2020</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8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(Unaudited)</w:t>
              </w:r>
            </w:hyperlink>
          </w:p>
        </w:tc>
        <w:tc>
          <w:tcPr>
            <w:tcW w:w="4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gridSpan w:val="22"/>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Condensed Consolidated Statements of Cash Flows for the nine months ended October 31, 2021 and November</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1"/>
              </w:rPr>
            </w:pPr>
            <w:hyperlink w:anchor="page9">
              <w:r>
                <w:rPr>
                  <w:rFonts w:ascii="Arial" w:cs="Arial" w:eastAsia="Arial" w:hAnsi="Arial"/>
                  <w:sz w:val="18"/>
                  <w:szCs w:val="18"/>
                  <w:color w:val="0000FF"/>
                  <w:w w:val="91"/>
                </w:rPr>
                <w:t>1, 2020 (Unaudited)</w:t>
              </w:r>
            </w:hyperlink>
          </w:p>
        </w:tc>
        <w:tc>
          <w:tcPr>
            <w:tcW w:w="6580" w:type="dxa"/>
            <w:vAlign w:val="bottom"/>
            <w:tcBorders>
              <w:top w:val="single" w:sz="8" w:color="0000FF"/>
            </w:tcBorders>
            <w:gridSpan w:val="16"/>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60" w:type="dxa"/>
            <w:vAlign w:val="bottom"/>
            <w:gridSpan w:val="2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w:t>
              </w:r>
            </w:hyperlink>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170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3.</w:t>
              </w:r>
            </w:hyperlink>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Quantitative and Qualitative Disclosures About Market Risk</w:t>
              </w:r>
            </w:hyperlink>
          </w:p>
        </w:tc>
        <w:tc>
          <w:tcPr>
            <w:tcW w:w="3800" w:type="dxa"/>
            <w:vAlign w:val="bottom"/>
            <w:gridSpan w:val="10"/>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85"/>
        </w:trPr>
        <w:tc>
          <w:tcPr>
            <w:tcW w:w="148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4.</w:t>
              </w:r>
            </w:hyperlink>
          </w:p>
        </w:tc>
        <w:tc>
          <w:tcPr>
            <w:tcW w:w="8160" w:type="dxa"/>
            <w:vAlign w:val="bottom"/>
            <w:gridSpan w:val="2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12"/>
          </w:tcPr>
          <w:p>
            <w:pPr>
              <w:jc w:val="center"/>
              <w:ind w:right="3080"/>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Part II—Other Information</w:t>
              </w:r>
            </w:hyperlink>
          </w:p>
        </w:tc>
        <w:tc>
          <w:tcPr>
            <w:tcW w:w="160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1.</w:t>
              </w:r>
            </w:hyperlink>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Legal Proceedings</w:t>
              </w:r>
            </w:hyperlink>
          </w:p>
        </w:tc>
        <w:tc>
          <w:tcPr>
            <w:tcW w:w="1800" w:type="dxa"/>
            <w:vAlign w:val="bottom"/>
            <w:gridSpan w:val="6"/>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080" w:type="dxa"/>
            <w:vAlign w:val="bottom"/>
            <w:gridSpan w:val="8"/>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85"/>
        </w:trPr>
        <w:tc>
          <w:tcPr>
            <w:tcW w:w="148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1A.</w:t>
              </w:r>
            </w:hyperlink>
          </w:p>
        </w:tc>
        <w:tc>
          <w:tcPr>
            <w:tcW w:w="8160" w:type="dxa"/>
            <w:vAlign w:val="bottom"/>
            <w:gridSpan w:val="2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3820" w:type="dxa"/>
            <w:vAlign w:val="bottom"/>
            <w:gridSpan w:val="1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85"/>
        </w:trPr>
        <w:tc>
          <w:tcPr>
            <w:tcW w:w="520" w:type="dxa"/>
            <w:vAlign w:val="bottom"/>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16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Unregistered Sales of Equity Securities and Use of Proceeds</w:t>
              </w:r>
            </w:hyperlink>
          </w:p>
        </w:tc>
        <w:tc>
          <w:tcPr>
            <w:tcW w:w="16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85"/>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6.</w:t>
              </w:r>
            </w:hyperlink>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Exhibits</w:t>
              </w:r>
            </w:hyperlink>
          </w:p>
        </w:tc>
        <w:tc>
          <w:tcPr>
            <w:tcW w:w="3740" w:type="dxa"/>
            <w:vAlign w:val="bottom"/>
            <w:tcBorders>
              <w:top w:val="single" w:sz="8" w:color="0000FF"/>
            </w:tcBorders>
            <w:gridSpan w:val="10"/>
          </w:tcPr>
          <w:p>
            <w:pPr>
              <w:spacing w:after="0"/>
              <w:rPr>
                <w:sz w:val="24"/>
                <w:szCs w:val="24"/>
                <w:color w:val="auto"/>
              </w:rPr>
            </w:pPr>
          </w:p>
        </w:tc>
        <w:tc>
          <w:tcPr>
            <w:tcW w:w="3820" w:type="dxa"/>
            <w:vAlign w:val="bottom"/>
            <w:gridSpan w:val="11"/>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763"/>
        </w:trPr>
        <w:tc>
          <w:tcPr>
            <w:tcW w:w="148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817"/>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1"/>
          </w:tcPr>
          <w:p>
            <w:pPr>
              <w:ind w:left="4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506"/>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21" w:lineRule="auto"/>
        <w:rPr>
          <w:sz w:val="20"/>
          <w:szCs w:val="20"/>
          <w:color w:val="auto"/>
        </w:rPr>
      </w:pPr>
      <w:r>
        <w:rPr>
          <w:rFonts w:ascii="Arial" w:cs="Arial" w:eastAsia="Arial" w:hAnsi="Arial"/>
          <w:sz w:val="18"/>
          <w:szCs w:val="18"/>
          <w:b w:val="1"/>
          <w:bCs w:val="1"/>
          <w:color w:val="auto"/>
        </w:rPr>
        <w:t>DULUTH HOLDINGS INC.</w:t>
      </w:r>
    </w:p>
    <w:p>
      <w:pPr>
        <w:jc w:val="center"/>
        <w:spacing w:after="0" w:line="219" w:lineRule="auto"/>
        <w:rPr>
          <w:sz w:val="20"/>
          <w:szCs w:val="20"/>
          <w:color w:val="auto"/>
        </w:rPr>
      </w:pPr>
      <w:r>
        <w:rPr>
          <w:rFonts w:ascii="Arial" w:cs="Arial" w:eastAsia="Arial" w:hAnsi="Arial"/>
          <w:sz w:val="18"/>
          <w:szCs w:val="18"/>
          <w:b w:val="1"/>
          <w:bCs w:val="1"/>
          <w:color w:val="auto"/>
        </w:rPr>
        <w:t>Condensed Consolidated Balance Sheets - Assets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October 31, 2021</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receivable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700" w:type="dxa"/>
            <w:vAlign w:val="bottom"/>
          </w:tcPr>
          <w:p>
            <w:pPr>
              <w:ind w:left="120"/>
              <w:spacing w:after="0"/>
              <w:rPr>
                <w:sz w:val="20"/>
                <w:szCs w:val="20"/>
                <w:color w:val="auto"/>
              </w:rPr>
            </w:pPr>
            <w:r>
              <w:rPr>
                <w:rFonts w:ascii="Arial" w:cs="Arial" w:eastAsia="Arial" w:hAnsi="Arial"/>
                <w:sz w:val="18"/>
                <w:szCs w:val="18"/>
                <w:color w:val="auto"/>
              </w:rPr>
              <w:t>Inventory, less reserves of $1,439 and $1,600, respectively</w:t>
            </w: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165,078</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149,052</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&amp; other current assets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w:t>
            </w:r>
          </w:p>
        </w:tc>
      </w:tr>
      <w:tr>
        <w:trPr>
          <w:trHeight w:val="230"/>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catalog costs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r>
      <w:tr>
        <w:trPr>
          <w:trHeight w:val="20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209,760</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114,579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124,237</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117,490</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Finance lease right-of-use assets, net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50,866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53,468</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security</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r>
      <w:tr>
        <w:trPr>
          <w:trHeight w:val="229"/>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w:t>
            </w:r>
          </w:p>
        </w:tc>
      </w:tr>
      <w:tr>
        <w:trPr>
          <w:trHeight w:val="196"/>
        </w:trPr>
        <w:tc>
          <w:tcPr>
            <w:tcW w:w="7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508,217</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515,577</w:t>
            </w: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Balance Sheets – Liabilities and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October 31, 2021</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33,647</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41,832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37,686</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12,362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11,050</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liabilities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Duluth long-term debt</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TRI long-term debt</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116,705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95,714</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less current maturities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110,370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104,287</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Finance lease liabilities, less current maturities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40,954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43,299</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Duluth long-term debt, less current maturities</w:t>
            </w: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TRI long-term debt, less current maturities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26,773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27,229</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302,894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324,479</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issued or outstanding as of October 31, 2021 and January 31, 2021</w:t>
            </w: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3,364 shares issued and outstanding as of October 31, 2021 and January 31, 2021</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770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7700" w:type="dxa"/>
            <w:vAlign w:val="bottom"/>
          </w:tcPr>
          <w:p>
            <w:pPr>
              <w:ind w:left="140"/>
              <w:spacing w:after="0" w:line="189" w:lineRule="exact"/>
              <w:rPr>
                <w:sz w:val="20"/>
                <w:szCs w:val="20"/>
                <w:color w:val="auto"/>
              </w:rPr>
            </w:pPr>
            <w:r>
              <w:rPr>
                <w:rFonts w:ascii="Arial" w:cs="Arial" w:eastAsia="Arial" w:hAnsi="Arial"/>
                <w:sz w:val="18"/>
                <w:szCs w:val="18"/>
                <w:color w:val="auto"/>
              </w:rPr>
              <w:t>29,782 shares issued and 29,703 shares outstanding as of October 31, 2021 and</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29,530 shares issued and 29,477 shares outstanding as of January 31, 2021</w:t>
            </w: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79 and 53 shares as of October 31, 2021 and</w:t>
            </w: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31, 2021, respectively</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(998)</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Capital stock</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94,815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92,875</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101,166</w:t>
            </w:r>
          </w:p>
        </w:tc>
      </w:tr>
      <w:tr>
        <w:trPr>
          <w:trHeight w:val="230"/>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 of Duluth Holdings Inc.</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193,461</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(2,497)</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205,323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191,098</w:t>
            </w:r>
          </w:p>
        </w:tc>
      </w:tr>
      <w:tr>
        <w:trPr>
          <w:trHeight w:val="196"/>
        </w:trPr>
        <w:tc>
          <w:tcPr>
            <w:tcW w:w="7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508,217</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515,577</w:t>
            </w: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October 31, 2021</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November 1, 2020</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October 31, 2021</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November 1,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145,277</w:t>
            </w:r>
          </w:p>
        </w:tc>
        <w:tc>
          <w:tcPr>
            <w:tcW w:w="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427,823</w:t>
            </w:r>
          </w:p>
        </w:tc>
        <w:tc>
          <w:tcPr>
            <w:tcW w:w="4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61,627</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64,494</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196,204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78,792</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68,189</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211,779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 net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12,209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Net income (loss) attributable to controlling interest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2,806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940</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12,343</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Basic earnings (loss) per share (Class A and Class B):</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32,476</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32,605</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controlling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 (Class A and Class B):</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 equivalents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32,606</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 (loss) per share attributable to controlling interest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October 31, 2021</w:t>
            </w:r>
          </w:p>
        </w:tc>
        <w:tc>
          <w:tcPr>
            <w:tcW w:w="120" w:type="dxa"/>
            <w:vAlign w:val="bottom"/>
          </w:tcPr>
          <w:p>
            <w:pPr>
              <w:spacing w:after="0"/>
              <w:rPr>
                <w:sz w:val="15"/>
                <w:szCs w:val="15"/>
                <w:color w:val="auto"/>
              </w:rPr>
            </w:pP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November 1, 2020</w:t>
            </w:r>
          </w:p>
        </w:tc>
        <w:tc>
          <w:tcPr>
            <w:tcW w:w="120" w:type="dxa"/>
            <w:vAlign w:val="bottom"/>
          </w:tcPr>
          <w:p>
            <w:pPr>
              <w:spacing w:after="0"/>
              <w:rPr>
                <w:sz w:val="15"/>
                <w:szCs w:val="15"/>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October 31, 2021</w:t>
            </w:r>
          </w:p>
        </w:tc>
        <w:tc>
          <w:tcPr>
            <w:tcW w:w="120" w:type="dxa"/>
            <w:vAlign w:val="bottom"/>
          </w:tcPr>
          <w:p>
            <w:pPr>
              <w:spacing w:after="0"/>
              <w:rPr>
                <w:sz w:val="15"/>
                <w:szCs w:val="15"/>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November 1, 2020</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2,763</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right w:val="single" w:sz="8" w:color="CCEEFF"/>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899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right w:val="single" w:sz="8" w:color="CCEEFF"/>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12,209</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 sale:</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Unrealized security (loss) income arising during the period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30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(loss) income</w:t>
            </w: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38</w:t>
            </w: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446</w:t>
            </w: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12,655</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income (loss) attributable</w:t>
            </w:r>
          </w:p>
        </w:tc>
        <w:tc>
          <w:tcPr>
            <w:tcW w:w="14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2,736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978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12,789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 controlling interest</w:t>
            </w:r>
          </w:p>
        </w:tc>
        <w:tc>
          <w:tcPr>
            <w:tcW w:w="140" w:type="dxa"/>
            <w:vAlign w:val="bottom"/>
            <w:vMerge w:val="continue"/>
            <w:shd w:val="clear" w:color="auto" w:fill="CCEEFF"/>
          </w:tcPr>
          <w:p>
            <w:pPr>
              <w:spacing w:after="0"/>
              <w:rPr>
                <w:sz w:val="17"/>
                <w:szCs w:val="17"/>
                <w:color w:val="auto"/>
              </w:rPr>
            </w:pPr>
          </w:p>
        </w:tc>
        <w:tc>
          <w:tcPr>
            <w:tcW w:w="128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32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30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rPr>
              <w:t>Nine Months Ended October 31, 2021</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Capital stock</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 in</w:t>
            </w:r>
          </w:p>
        </w:tc>
        <w:tc>
          <w:tcPr>
            <w:tcW w:w="100" w:type="dxa"/>
            <w:vAlign w:val="bottom"/>
          </w:tcPr>
          <w:p>
            <w:pPr>
              <w:spacing w:after="0"/>
              <w:rPr>
                <w:sz w:val="16"/>
                <w:szCs w:val="16"/>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Treasury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variable interest</w:t>
            </w:r>
          </w:p>
        </w:tc>
        <w:tc>
          <w:tcPr>
            <w:tcW w:w="100" w:type="dxa"/>
            <w:vAlign w:val="bottom"/>
          </w:tcPr>
          <w:p>
            <w:pPr>
              <w:spacing w:after="0"/>
              <w:rPr>
                <w:sz w:val="17"/>
                <w:szCs w:val="17"/>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entity</w:t>
            </w:r>
          </w:p>
        </w:tc>
        <w:tc>
          <w:tcPr>
            <w:tcW w:w="100" w:type="dxa"/>
            <w:vAlign w:val="bottom"/>
          </w:tcPr>
          <w:p>
            <w:pPr>
              <w:spacing w:after="0"/>
              <w:rPr>
                <w:sz w:val="16"/>
                <w:szCs w:val="16"/>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191,098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Balance at May 2, 2021</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32,917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93,378</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(986)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101,711</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250</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(2,409)</w:t>
            </w: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191,944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August 1, 2021</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33,057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94,080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110,703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(2,454)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201,902</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60" w:type="dxa"/>
            <w:vAlign w:val="bottom"/>
            <w:vMerge w:val="continue"/>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171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183"/>
        </w:trPr>
        <w:tc>
          <w:tcPr>
            <w:tcW w:w="3760" w:type="dxa"/>
            <w:vAlign w:val="bottom"/>
          </w:tcPr>
          <w:p>
            <w:pPr>
              <w:spacing w:after="0" w:line="182" w:lineRule="exact"/>
              <w:rPr>
                <w:sz w:val="20"/>
                <w:szCs w:val="20"/>
                <w:color w:val="auto"/>
              </w:rPr>
            </w:pPr>
            <w:r>
              <w:rPr>
                <w:rFonts w:ascii="Arial" w:cs="Arial" w:eastAsia="Arial" w:hAnsi="Arial"/>
                <w:sz w:val="18"/>
                <w:szCs w:val="18"/>
                <w:color w:val="auto"/>
              </w:rPr>
              <w:t>Balance at October 31, 2021</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33,067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94,815</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113,509</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494</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(2,497)</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205,323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4"/>
                <w:szCs w:val="14"/>
                <w:b w:val="1"/>
                <w:bCs w:val="1"/>
                <w:color w:val="auto"/>
                <w:w w:val="93"/>
              </w:rPr>
              <w:t>Nine Months Ended November 1, 2020</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Capital stock</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 in</w:t>
            </w:r>
          </w:p>
        </w:tc>
        <w:tc>
          <w:tcPr>
            <w:tcW w:w="100" w:type="dxa"/>
            <w:vAlign w:val="bottom"/>
          </w:tcPr>
          <w:p>
            <w:pPr>
              <w:spacing w:after="0"/>
              <w:rPr>
                <w:sz w:val="17"/>
                <w:szCs w:val="17"/>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1"/>
        </w:trPr>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variable interest</w:t>
            </w:r>
          </w:p>
        </w:tc>
        <w:tc>
          <w:tcPr>
            <w:tcW w:w="10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01"/>
        </w:trPr>
        <w:tc>
          <w:tcPr>
            <w:tcW w:w="37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entity</w:t>
            </w:r>
          </w:p>
        </w:tc>
        <w:tc>
          <w:tcPr>
            <w:tcW w:w="100" w:type="dxa"/>
            <w:vAlign w:val="bottom"/>
          </w:tcPr>
          <w:p>
            <w:pPr>
              <w:spacing w:after="0"/>
              <w:rPr>
                <w:sz w:val="17"/>
                <w:szCs w:val="17"/>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February 2, 2020</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32,536</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90,902</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87,589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176,106</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Balance at May 3, 2020</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32,744</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91,451</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(514)</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72,454</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(330)</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(2,210)</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160,851</w:t>
            </w:r>
          </w:p>
        </w:tc>
        <w:tc>
          <w:tcPr>
            <w:tcW w:w="0" w:type="dxa"/>
            <w:vAlign w:val="bottom"/>
          </w:tcPr>
          <w:p>
            <w:pPr>
              <w:spacing w:after="0"/>
              <w:rPr>
                <w:sz w:val="1"/>
                <w:szCs w:val="1"/>
                <w:color w:val="auto"/>
              </w:rPr>
            </w:pPr>
          </w:p>
        </w:tc>
      </w:tr>
      <w:tr>
        <w:trPr>
          <w:trHeight w:val="170"/>
        </w:trPr>
        <w:tc>
          <w:tcPr>
            <w:tcW w:w="376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August 2, 2020</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32,814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91,921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78,395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(2,253)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167,400</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60" w:type="dxa"/>
            <w:vAlign w:val="bottom"/>
            <w:vMerge w:val="continue"/>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133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183"/>
        </w:trPr>
        <w:tc>
          <w:tcPr>
            <w:tcW w:w="3760" w:type="dxa"/>
            <w:vAlign w:val="bottom"/>
          </w:tcPr>
          <w:p>
            <w:pPr>
              <w:spacing w:after="0" w:line="182" w:lineRule="exact"/>
              <w:rPr>
                <w:sz w:val="20"/>
                <w:szCs w:val="20"/>
                <w:color w:val="auto"/>
              </w:rPr>
            </w:pPr>
            <w:r>
              <w:rPr>
                <w:rFonts w:ascii="Arial" w:cs="Arial" w:eastAsia="Arial" w:hAnsi="Arial"/>
                <w:sz w:val="18"/>
                <w:szCs w:val="18"/>
                <w:color w:val="auto"/>
              </w:rPr>
              <w:t>Balance at November 1, 2020</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32,828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92,385</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79,335</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(2,294)</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168,760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October 31, 2021</w:t>
            </w:r>
          </w:p>
        </w:tc>
        <w:tc>
          <w:tcPr>
            <w:tcW w:w="260" w:type="dxa"/>
            <w:vAlign w:val="bottom"/>
          </w:tcPr>
          <w:p>
            <w:pPr>
              <w:spacing w:after="0"/>
              <w:rPr>
                <w:sz w:val="17"/>
                <w:szCs w:val="17"/>
                <w:color w:val="auto"/>
              </w:rPr>
            </w:pPr>
          </w:p>
        </w:tc>
        <w:tc>
          <w:tcPr>
            <w:tcW w:w="1640" w:type="dxa"/>
            <w:vAlign w:val="bottom"/>
          </w:tcPr>
          <w:p>
            <w:pPr>
              <w:jc w:val="right"/>
              <w:ind w:right="310"/>
              <w:spacing w:after="0"/>
              <w:rPr>
                <w:sz w:val="20"/>
                <w:szCs w:val="20"/>
                <w:color w:val="auto"/>
              </w:rPr>
            </w:pPr>
            <w:r>
              <w:rPr>
                <w:rFonts w:ascii="Arial" w:cs="Arial" w:eastAsia="Arial" w:hAnsi="Arial"/>
                <w:sz w:val="14"/>
                <w:szCs w:val="14"/>
                <w:b w:val="1"/>
                <w:bCs w:val="1"/>
                <w:color w:val="auto"/>
              </w:rPr>
              <w:t>November 1, 2020</w:t>
            </w:r>
          </w:p>
        </w:tc>
        <w:tc>
          <w:tcPr>
            <w:tcW w:w="0" w:type="dxa"/>
            <w:vAlign w:val="bottom"/>
          </w:tcPr>
          <w:p>
            <w:pPr>
              <w:spacing w:after="0"/>
              <w:rPr>
                <w:sz w:val="1"/>
                <w:szCs w:val="1"/>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12,209</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45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21,822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(2,863)</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(16,026)</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(65,554)</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Prepaid expense &amp; other current assets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(1,571)</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hosting implementation costs, net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(2,939)</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Deferred catalog costs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21,424</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(7,579)</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(918)</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impacts</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32,758</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(28,614)</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(9,108)</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(11,059)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towards build-to-suit stores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Principal receipts from available-for-sale security</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disposals</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84,588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delayed draw term loan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delayed draw term loan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(48,250)</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Payments on TRI long term debt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 obligations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(1,894)</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Payments of tax withholding on vested restricted shares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(50,644)</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50,657</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(Decrease) increase in cash, cash equivalents</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(26,831)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at end of period</w:t>
            </w:r>
          </w:p>
        </w:tc>
        <w:tc>
          <w:tcPr>
            <w:tcW w:w="6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20,390</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Income taxes paid</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12,585</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Unpaid liability to acquire property and equipment</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2,518</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NATURE OF OPERATIONS AND BASIS OF PRESENTATION</w:t>
      </w:r>
    </w:p>
    <w:p>
      <w:pPr>
        <w:spacing w:after="0" w:line="16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Operations</w:t>
      </w:r>
    </w:p>
    <w:p>
      <w:pPr>
        <w:spacing w:after="0" w:line="158" w:lineRule="exact"/>
        <w:rPr>
          <w:sz w:val="20"/>
          <w:szCs w:val="20"/>
          <w:color w:val="auto"/>
        </w:rPr>
      </w:pPr>
    </w:p>
    <w:p>
      <w:pPr>
        <w:ind w:right="380" w:firstLine="428"/>
        <w:spacing w:after="0" w:line="253"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brand, with the majority of products being exclusively developed and sold as Duluth Trading branded merchandise.</w:t>
      </w:r>
    </w:p>
    <w:p>
      <w:pPr>
        <w:spacing w:after="0" w:line="138" w:lineRule="exact"/>
        <w:rPr>
          <w:sz w:val="20"/>
          <w:szCs w:val="20"/>
          <w:color w:val="auto"/>
        </w:rPr>
      </w:pPr>
    </w:p>
    <w:p>
      <w:pPr>
        <w:ind w:right="280" w:firstLine="492"/>
        <w:spacing w:after="0" w:line="235" w:lineRule="auto"/>
        <w:rPr>
          <w:sz w:val="20"/>
          <w:szCs w:val="20"/>
          <w:color w:val="auto"/>
        </w:rPr>
      </w:pPr>
      <w:r>
        <w:rPr>
          <w:rFonts w:ascii="Arial" w:cs="Arial" w:eastAsia="Arial" w:hAnsi="Arial"/>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34" w:lineRule="exact"/>
        <w:rPr>
          <w:sz w:val="20"/>
          <w:szCs w:val="20"/>
          <w:color w:val="auto"/>
        </w:rPr>
      </w:pPr>
    </w:p>
    <w:p>
      <w:pPr>
        <w:jc w:val="both"/>
        <w:ind w:right="320" w:firstLine="428"/>
        <w:spacing w:after="0" w:line="246" w:lineRule="auto"/>
        <w:rPr>
          <w:sz w:val="20"/>
          <w:szCs w:val="20"/>
          <w:color w:val="auto"/>
        </w:rPr>
      </w:pPr>
      <w:r>
        <w:rPr>
          <w:rFonts w:ascii="Arial" w:cs="Arial" w:eastAsia="Arial" w:hAnsi="Arial"/>
          <w:sz w:val="17"/>
          <w:szCs w:val="17"/>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3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80" w:firstLine="428"/>
        <w:spacing w:after="0" w:line="235"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34" w:lineRule="exact"/>
        <w:rPr>
          <w:sz w:val="20"/>
          <w:szCs w:val="20"/>
          <w:color w:val="auto"/>
        </w:rPr>
      </w:pPr>
    </w:p>
    <w:p>
      <w:pPr>
        <w:ind w:firstLine="428"/>
        <w:spacing w:after="0" w:line="235" w:lineRule="auto"/>
        <w:rPr>
          <w:sz w:val="20"/>
          <w:szCs w:val="20"/>
          <w:color w:val="auto"/>
        </w:rPr>
      </w:pPr>
      <w:r>
        <w:rPr>
          <w:rFonts w:ascii="Arial" w:cs="Arial" w:eastAsia="Arial" w:hAnsi="Arial"/>
          <w:sz w:val="18"/>
          <w:szCs w:val="18"/>
          <w:color w:val="auto"/>
        </w:rPr>
        <w:t>The Company’s fiscal year ends on the Sunday nearest to January 31 of the following year. Fiscal 2021 is a 52-week period and ends on January 30, 2022. Fiscal 2020 was a 52-week period and ended on January 31, 2021. The three months of fiscal 2021 and fiscal 2020 represent the Company’s 13 week periods ended October 31, 2021 and November 1, 2020, respectively.</w:t>
      </w:r>
    </w:p>
    <w:p>
      <w:pPr>
        <w:spacing w:after="0" w:line="134" w:lineRule="exact"/>
        <w:rPr>
          <w:sz w:val="20"/>
          <w:szCs w:val="20"/>
          <w:color w:val="auto"/>
        </w:rPr>
      </w:pPr>
    </w:p>
    <w:p>
      <w:pPr>
        <w:ind w:firstLine="428"/>
        <w:spacing w:after="0" w:line="225" w:lineRule="auto"/>
        <w:rPr>
          <w:sz w:val="20"/>
          <w:szCs w:val="20"/>
          <w:color w:val="auto"/>
        </w:rPr>
      </w:pPr>
      <w:r>
        <w:rPr>
          <w:rFonts w:ascii="Arial" w:cs="Arial" w:eastAsia="Arial" w:hAnsi="Arial"/>
          <w:sz w:val="18"/>
          <w:szCs w:val="18"/>
          <w:color w:val="auto"/>
        </w:rPr>
        <w:t>The accompanying condensed consolidated financial statements as of and for the three and nine months ended October 31, 2021 and November 1, 2020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October 31, 2021 and November 1, 2020. These interim condensed consolidated financial statements should be read in conjunction with the consolidated financial statements and notes included in the Company’s annual report on Form 10-K for the fiscal year ended January 31, 2021.</w:t>
      </w:r>
    </w:p>
    <w:p>
      <w:pPr>
        <w:spacing w:after="0" w:line="14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right="140" w:firstLine="428"/>
        <w:spacing w:after="0" w:line="231" w:lineRule="auto"/>
        <w:rPr>
          <w:sz w:val="20"/>
          <w:szCs w:val="20"/>
          <w:color w:val="auto"/>
        </w:rPr>
      </w:pPr>
      <w:r>
        <w:rPr>
          <w:rFonts w:ascii="Arial" w:cs="Arial" w:eastAsia="Arial" w:hAnsi="Arial"/>
          <w:sz w:val="18"/>
          <w:szCs w:val="18"/>
          <w:color w:val="auto"/>
        </w:rPr>
        <w:t>In March 2020, a novel strain of coronavirus (“COVID -19”)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 These impacts are discussed within these notes to the condensed consolidated financial statements.</w:t>
      </w:r>
    </w:p>
    <w:p>
      <w:pPr>
        <w:spacing w:after="0" w:line="135" w:lineRule="exact"/>
        <w:rPr>
          <w:sz w:val="20"/>
          <w:szCs w:val="20"/>
          <w:color w:val="auto"/>
        </w:rPr>
      </w:pPr>
    </w:p>
    <w:p>
      <w:pPr>
        <w:jc w:val="both"/>
        <w:ind w:right="140" w:firstLine="428"/>
        <w:spacing w:after="0" w:line="235" w:lineRule="auto"/>
        <w:rPr>
          <w:sz w:val="20"/>
          <w:szCs w:val="20"/>
          <w:color w:val="auto"/>
        </w:rPr>
      </w:pPr>
      <w:r>
        <w:rPr>
          <w:rFonts w:ascii="Arial" w:cs="Arial" w:eastAsia="Arial" w:hAnsi="Arial"/>
          <w:sz w:val="18"/>
          <w:szCs w:val="18"/>
          <w:color w:val="auto"/>
        </w:rPr>
        <w:t>The ultimate impact of COVID-19 on our operational and financial performance still depends on future developments outside of our control. Given the uncertainty, we cannot reasonably estimate the continued impact on our business and whether that impact will be different than what we have already experienced.</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Impairment Analysis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October 31, 2021 and for the three and nine months then ended, no triggering events or indicators of asset impairment were noted.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Inventory</w:t>
      </w:r>
    </w:p>
    <w:p>
      <w:pPr>
        <w:spacing w:after="0" w:line="158"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Inventory, consisting of purchased product, is valued at the lower of cost or net realizable value, under the first-in, first-out method. The significant estimates used in inventory valuation are obsolescence (including excess and slow-moving inventory and lower of cost or market reserves) and estimates of inventory shrinkage. Both estimates have calculations that require the Company to make assumptions and apply judgment regarding a number of factors, including market conditions, the selling environment, historical results and current inventory trends. Inventory is adjusted periodically to reflect current market conditions, which requires management’s judgment that may significantly affect the ending inventory valuation, as well as gross margin.</w:t>
      </w:r>
    </w:p>
    <w:p>
      <w:pPr>
        <w:spacing w:after="0" w:line="134" w:lineRule="exact"/>
        <w:rPr>
          <w:sz w:val="20"/>
          <w:szCs w:val="20"/>
          <w:color w:val="auto"/>
        </w:rPr>
      </w:pPr>
    </w:p>
    <w:p>
      <w:pPr>
        <w:jc w:val="both"/>
        <w:ind w:right="140" w:firstLine="648"/>
        <w:spacing w:after="0" w:line="235" w:lineRule="auto"/>
        <w:rPr>
          <w:sz w:val="20"/>
          <w:szCs w:val="20"/>
          <w:color w:val="auto"/>
        </w:rPr>
      </w:pPr>
      <w:r>
        <w:rPr>
          <w:rFonts w:ascii="Arial" w:cs="Arial" w:eastAsia="Arial" w:hAnsi="Arial"/>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Prepaid Expenses and Other Assets</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2021</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Pending returns inventory, net</w:t>
            </w:r>
          </w:p>
        </w:tc>
        <w:tc>
          <w:tcPr>
            <w:tcW w:w="3020" w:type="dxa"/>
            <w:vAlign w:val="bottom"/>
            <w:gridSpan w:val="2"/>
          </w:tcPr>
          <w:p>
            <w:pPr>
              <w:jc w:val="right"/>
              <w:ind w:right="144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1,993</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2,490</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7"/>
              </w:rPr>
              <w:t>11,362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6,564</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4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14,787</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10,203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3020" w:type="dxa"/>
            <w:vAlign w:val="bottom"/>
            <w:gridSpan w:val="2"/>
          </w:tcPr>
          <w:p>
            <w:pPr>
              <w:jc w:val="right"/>
              <w:ind w:right="144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Non-current software hosting implementation costs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2,866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1,090</w:t>
            </w:r>
          </w:p>
        </w:tc>
      </w:tr>
      <w:tr>
        <w:trPr>
          <w:trHeight w:val="183"/>
        </w:trPr>
        <w:tc>
          <w:tcPr>
            <w:tcW w:w="5220" w:type="dxa"/>
            <w:vAlign w:val="bottom"/>
          </w:tcPr>
          <w:p>
            <w:pPr>
              <w:ind w:left="220"/>
              <w:spacing w:after="0" w:line="182" w:lineRule="exact"/>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5,382</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4,511</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58" w:lineRule="exact"/>
        <w:rPr>
          <w:sz w:val="20"/>
          <w:szCs w:val="20"/>
          <w:color w:val="auto"/>
        </w:rPr>
      </w:pPr>
    </w:p>
    <w:p>
      <w:pPr>
        <w:ind w:right="280" w:firstLine="428"/>
        <w:spacing w:after="0" w:line="307" w:lineRule="auto"/>
        <w:rPr>
          <w:sz w:val="20"/>
          <w:szCs w:val="20"/>
          <w:color w:val="auto"/>
        </w:rPr>
      </w:pPr>
      <w:r>
        <w:rPr>
          <w:rFonts w:ascii="Arial" w:cs="Arial" w:eastAsia="Arial" w:hAnsi="Arial"/>
          <w:sz w:val="16"/>
          <w:szCs w:val="16"/>
          <w:color w:val="auto"/>
        </w:rPr>
        <w:t>The Company’s business is affected by the pattern of seasonality common to most apparel businesses. Historically, the Company has recognized a significant portion of its revenue and operating profit in the fourth fiscal quarter of each year as a result of increased sales during the holiday season.</w:t>
      </w:r>
    </w:p>
    <w:p>
      <w:pPr>
        <w:spacing w:after="0" w:line="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171" w:lineRule="exact"/>
        <w:rPr>
          <w:sz w:val="20"/>
          <w:szCs w:val="20"/>
          <w:color w:val="auto"/>
        </w:rPr>
      </w:pPr>
    </w:p>
    <w:p>
      <w:pPr>
        <w:ind w:right="360" w:firstLine="428"/>
        <w:spacing w:after="0" w:line="235" w:lineRule="auto"/>
        <w:rPr>
          <w:sz w:val="20"/>
          <w:szCs w:val="20"/>
          <w:color w:val="auto"/>
        </w:rPr>
      </w:pPr>
      <w:r>
        <w:rPr>
          <w:rFonts w:ascii="Arial" w:cs="Arial" w:eastAsia="Arial" w:hAnsi="Arial"/>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4"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58"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Certain reclassifications have been made to the 2020 financial statements in order to conform to the 2021 presentation. There were no changes to previously reported shareholders’ equity or net income (loss) as a result of the reclassifications.</w:t>
      </w:r>
    </w:p>
    <w:p>
      <w:pPr>
        <w:spacing w:after="0" w:line="1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Significant Accounting Policies</w:t>
      </w:r>
    </w:p>
    <w:p>
      <w:pPr>
        <w:spacing w:after="0" w:line="158" w:lineRule="exact"/>
        <w:rPr>
          <w:sz w:val="20"/>
          <w:szCs w:val="20"/>
          <w:color w:val="auto"/>
        </w:rPr>
      </w:pPr>
    </w:p>
    <w:p>
      <w:pPr>
        <w:ind w:right="100" w:firstLine="428"/>
        <w:spacing w:after="0" w:line="246" w:lineRule="auto"/>
        <w:rPr>
          <w:sz w:val="20"/>
          <w:szCs w:val="20"/>
          <w:color w:val="auto"/>
        </w:rPr>
      </w:pPr>
      <w:r>
        <w:rPr>
          <w:rFonts w:ascii="Arial" w:cs="Arial" w:eastAsia="Arial" w:hAnsi="Arial"/>
          <w:sz w:val="18"/>
          <w:szCs w:val="18"/>
          <w:color w:val="auto"/>
        </w:rPr>
        <w:t>There have been no significant changes to the Company’s significant accounting policies as described in the Company’s Annual Report on Form 10-K for the year ended January 31, 2021.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LEASES</w:t>
      </w:r>
    </w:p>
    <w:p>
      <w:pPr>
        <w:spacing w:after="0" w:line="162" w:lineRule="exact"/>
        <w:rPr>
          <w:sz w:val="20"/>
          <w:szCs w:val="20"/>
          <w:color w:val="auto"/>
        </w:rPr>
      </w:pPr>
    </w:p>
    <w:p>
      <w:pPr>
        <w:ind w:right="40" w:firstLine="492"/>
        <w:spacing w:after="0"/>
        <w:rPr>
          <w:sz w:val="20"/>
          <w:szCs w:val="20"/>
          <w:color w:val="auto"/>
        </w:rPr>
      </w:pPr>
      <w:r>
        <w:rPr>
          <w:rFonts w:ascii="Arial" w:cs="Arial" w:eastAsia="Arial" w:hAnsi="Arial"/>
          <w:sz w:val="17"/>
          <w:szCs w:val="17"/>
          <w:color w:val="auto"/>
        </w:rPr>
        <w:t xml:space="preserve">Based on the criteria set forth in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50" w:lineRule="exact"/>
        <w:rPr>
          <w:sz w:val="20"/>
          <w:szCs w:val="20"/>
          <w:color w:val="auto"/>
        </w:rPr>
      </w:pPr>
    </w:p>
    <w:p>
      <w:pPr>
        <w:ind w:right="180" w:firstLine="492"/>
        <w:spacing w:after="0" w:line="246" w:lineRule="auto"/>
        <w:rPr>
          <w:sz w:val="20"/>
          <w:szCs w:val="20"/>
          <w:color w:val="auto"/>
        </w:rPr>
      </w:pPr>
      <w:r>
        <w:rPr>
          <w:rFonts w:ascii="Arial" w:cs="Arial" w:eastAsia="Arial" w:hAnsi="Arial"/>
          <w:sz w:val="17"/>
          <w:szCs w:val="17"/>
          <w:color w:val="auto"/>
        </w:rPr>
        <w:t>The Company leases retail space under non-cancelable lease agreements, which expire on various dates through 2041.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0" w:lineRule="exact"/>
        <w:rPr>
          <w:sz w:val="20"/>
          <w:szCs w:val="20"/>
          <w:color w:val="auto"/>
        </w:rPr>
      </w:pPr>
    </w:p>
    <w:p>
      <w:pPr>
        <w:ind w:right="560" w:firstLine="492"/>
        <w:spacing w:after="0" w:line="246" w:lineRule="auto"/>
        <w:rPr>
          <w:sz w:val="20"/>
          <w:szCs w:val="20"/>
          <w:color w:val="auto"/>
        </w:rPr>
      </w:pPr>
      <w:r>
        <w:rPr>
          <w:rFonts w:ascii="Arial" w:cs="Arial" w:eastAsia="Arial" w:hAnsi="Arial"/>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29" w:lineRule="exact"/>
        <w:rPr>
          <w:sz w:val="20"/>
          <w:szCs w:val="20"/>
          <w:color w:val="auto"/>
        </w:rPr>
      </w:pPr>
    </w:p>
    <w:p>
      <w:pPr>
        <w:ind w:right="200" w:firstLine="492"/>
        <w:spacing w:after="0" w:line="307" w:lineRule="auto"/>
        <w:rPr>
          <w:sz w:val="20"/>
          <w:szCs w:val="20"/>
          <w:color w:val="auto"/>
        </w:rPr>
      </w:pPr>
      <w:r>
        <w:rPr>
          <w:rFonts w:ascii="Arial" w:cs="Arial" w:eastAsia="Arial" w:hAnsi="Arial"/>
          <w:sz w:val="16"/>
          <w:szCs w:val="16"/>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 Statement</w:t>
            </w: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Arial" w:cs="Arial" w:eastAsia="Arial" w:hAnsi="Arial"/>
                <w:sz w:val="14"/>
                <w:szCs w:val="14"/>
                <w:b w:val="1"/>
                <w:bCs w:val="1"/>
                <w:color w:val="auto"/>
              </w:rPr>
              <w:t>of Operations</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2021</w:t>
            </w: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1, 2020</w:t>
            </w:r>
          </w:p>
        </w:tc>
        <w:tc>
          <w:tcPr>
            <w:tcW w:w="120" w:type="dxa"/>
            <w:vAlign w:val="bottom"/>
          </w:tcPr>
          <w:p>
            <w:pPr>
              <w:spacing w:after="0"/>
              <w:rPr>
                <w:sz w:val="17"/>
                <w:szCs w:val="17"/>
                <w:color w:val="auto"/>
              </w:rPr>
            </w:pPr>
          </w:p>
        </w:tc>
        <w:tc>
          <w:tcPr>
            <w:tcW w:w="126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October 31, 2021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November 1, 2020</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60" w:type="dxa"/>
            <w:vAlign w:val="bottom"/>
          </w:tcPr>
          <w:p>
            <w:pPr>
              <w:spacing w:after="0"/>
              <w:rPr>
                <w:sz w:val="20"/>
                <w:szCs w:val="20"/>
                <w:color w:val="auto"/>
              </w:rPr>
            </w:pPr>
            <w:r>
              <w:rPr>
                <w:rFonts w:ascii="Arial" w:cs="Arial" w:eastAsia="Arial" w:hAnsi="Arial"/>
                <w:sz w:val="18"/>
                <w:szCs w:val="18"/>
                <w:color w:val="auto"/>
              </w:rPr>
              <w:t>Finance lease expenses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line="161" w:lineRule="exact"/>
              <w:rPr>
                <w:sz w:val="20"/>
                <w:szCs w:val="20"/>
                <w:color w:val="auto"/>
              </w:rPr>
            </w:pPr>
            <w:r>
              <w:rPr>
                <w:rFonts w:ascii="Arial" w:cs="Arial" w:eastAsia="Arial" w:hAnsi="Arial"/>
                <w:sz w:val="18"/>
                <w:szCs w:val="18"/>
                <w:color w:val="auto"/>
              </w:rPr>
              <w:t>Amortization of right-of-use</w:t>
            </w: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60" w:type="dxa"/>
            <w:vAlign w:val="bottom"/>
            <w:vMerge w:val="continue"/>
            <w:shd w:val="clear" w:color="auto" w:fill="CCEEFF"/>
          </w:tcPr>
          <w:p>
            <w:pPr>
              <w:spacing w:after="0"/>
              <w:rPr>
                <w:sz w:val="12"/>
                <w:szCs w:val="12"/>
                <w:color w:val="auto"/>
              </w:rPr>
            </w:pP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20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3,915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Amortization of build-to-suit</w:t>
            </w: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leases capital contribution</w:t>
            </w:r>
          </w:p>
        </w:tc>
        <w:tc>
          <w:tcPr>
            <w:tcW w:w="208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60" w:type="dxa"/>
            <w:vAlign w:val="bottom"/>
            <w:vMerge w:val="continue"/>
            <w:shd w:val="clear" w:color="auto" w:fill="CCEEFF"/>
          </w:tcPr>
          <w:p>
            <w:pPr>
              <w:spacing w:after="0"/>
              <w:rPr>
                <w:sz w:val="12"/>
                <w:szCs w:val="12"/>
                <w:color w:val="auto"/>
              </w:rPr>
            </w:pP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67"/>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Arial" w:cs="Arial" w:eastAsia="Arial" w:hAnsi="Arial"/>
                <w:sz w:val="18"/>
                <w:szCs w:val="18"/>
                <w:color w:val="auto"/>
              </w:rPr>
              <w:t>Variable lease expense</w:t>
            </w:r>
          </w:p>
        </w:tc>
        <w:tc>
          <w:tcPr>
            <w:tcW w:w="20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6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administrative expenses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lease expense</w:t>
            </w:r>
          </w:p>
        </w:tc>
        <w:tc>
          <w:tcPr>
            <w:tcW w:w="1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8,587</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23,921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54"/>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information related to leases were as follows:</w:t>
      </w:r>
    </w:p>
    <w:p>
      <w:pPr>
        <w:spacing w:after="0" w:line="271"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6350</wp:posOffset>
            </wp:positionV>
            <wp:extent cx="2682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b w:val="1"/>
                <w:bCs w:val="1"/>
                <w:color w:val="auto"/>
              </w:rPr>
              <w:t>October 31, 2021</w:t>
            </w:r>
          </w:p>
        </w:tc>
        <w:tc>
          <w:tcPr>
            <w:tcW w:w="260" w:type="dxa"/>
            <w:vAlign w:val="bottom"/>
          </w:tcPr>
          <w:p>
            <w:pPr>
              <w:spacing w:after="0"/>
              <w:rPr>
                <w:sz w:val="14"/>
                <w:szCs w:val="14"/>
                <w:color w:val="auto"/>
              </w:rPr>
            </w:pPr>
          </w:p>
        </w:tc>
        <w:tc>
          <w:tcPr>
            <w:tcW w:w="1760" w:type="dxa"/>
            <w:vAlign w:val="bottom"/>
          </w:tcPr>
          <w:p>
            <w:pPr>
              <w:jc w:val="right"/>
              <w:ind w:right="372"/>
              <w:spacing w:after="0"/>
              <w:rPr>
                <w:sz w:val="20"/>
                <w:szCs w:val="20"/>
                <w:color w:val="auto"/>
              </w:rPr>
            </w:pPr>
            <w:r>
              <w:rPr>
                <w:rFonts w:ascii="Arial" w:cs="Arial" w:eastAsia="Arial" w:hAnsi="Arial"/>
                <w:sz w:val="14"/>
                <w:szCs w:val="14"/>
                <w:b w:val="1"/>
                <w:bCs w:val="1"/>
                <w:color w:val="auto"/>
              </w:rPr>
              <w:t>November 1, 2020</w:t>
            </w:r>
          </w:p>
        </w:tc>
      </w:tr>
      <w:tr>
        <w:trPr>
          <w:trHeight w:val="196"/>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1,325</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11,774</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11,537</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the non-cancellable leases are as follows as of October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40" w:type="dxa"/>
            <w:vAlign w:val="bottom"/>
          </w:tcPr>
          <w:p>
            <w:pPr>
              <w:spacing w:after="0"/>
              <w:rPr>
                <w:sz w:val="20"/>
                <w:szCs w:val="20"/>
                <w:color w:val="auto"/>
              </w:rPr>
            </w:pPr>
            <w:r>
              <w:rPr>
                <w:rFonts w:ascii="Arial" w:cs="Arial" w:eastAsia="Arial" w:hAnsi="Arial"/>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2021 (remainder of fiscal year)</w:t>
            </w:r>
          </w:p>
        </w:tc>
        <w:tc>
          <w:tcPr>
            <w:tcW w:w="326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2022</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17,520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2024</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17,130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74,550</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57,264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147,338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(13,631)</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43,633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122,732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ind w:left="440" w:right="8020" w:hanging="432"/>
        <w:spacing w:after="0" w:line="454" w:lineRule="auto"/>
        <w:tabs>
          <w:tab w:leader="none" w:pos="32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AND CREDIT AGREEMENT </w:t>
      </w:r>
      <w:r>
        <w:rPr>
          <w:rFonts w:ascii="Arial" w:cs="Arial" w:eastAsia="Arial" w:hAnsi="Arial"/>
          <w:sz w:val="18"/>
          <w:szCs w:val="18"/>
          <w:color w:val="auto"/>
        </w:rPr>
        <w:t>Debt consists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 2021</w:t>
            </w:r>
          </w:p>
        </w:tc>
        <w:tc>
          <w:tcPr>
            <w:tcW w:w="200" w:type="dxa"/>
            <w:vAlign w:val="bottom"/>
          </w:tcPr>
          <w:p>
            <w:pPr>
              <w:spacing w:after="0"/>
              <w:rPr>
                <w:sz w:val="14"/>
                <w:szCs w:val="14"/>
                <w:color w:val="auto"/>
              </w:rPr>
            </w:pPr>
          </w:p>
        </w:tc>
        <w:tc>
          <w:tcPr>
            <w:tcW w:w="1520" w:type="dxa"/>
            <w:vAlign w:val="bottom"/>
          </w:tcPr>
          <w:p>
            <w:pPr>
              <w:jc w:val="right"/>
              <w:ind w:right="25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TRI Senior Secured Note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TRI Note</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27,448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27,852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TRI long-term debt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26,773</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27,229</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Duluth Delayed draw term loan</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48,250</w:t>
            </w:r>
          </w:p>
        </w:tc>
      </w:tr>
      <w:tr>
        <w:trPr>
          <w:trHeight w:val="196"/>
        </w:trPr>
        <w:tc>
          <w:tcPr>
            <w:tcW w:w="7600" w:type="dxa"/>
            <w:vAlign w:val="bottom"/>
          </w:tcPr>
          <w:p>
            <w:pPr>
              <w:spacing w:after="0"/>
              <w:rPr>
                <w:sz w:val="17"/>
                <w:szCs w:val="17"/>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48,250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183"/>
        </w:trPr>
        <w:tc>
          <w:tcPr>
            <w:tcW w:w="7600" w:type="dxa"/>
            <w:vAlign w:val="bottom"/>
          </w:tcPr>
          <w:p>
            <w:pPr>
              <w:spacing w:after="0" w:line="182" w:lineRule="exact"/>
              <w:rPr>
                <w:sz w:val="20"/>
                <w:szCs w:val="20"/>
                <w:color w:val="auto"/>
              </w:rPr>
            </w:pPr>
            <w:r>
              <w:rPr>
                <w:rFonts w:ascii="Arial" w:cs="Arial" w:eastAsia="Arial" w:hAnsi="Arial"/>
                <w:sz w:val="18"/>
                <w:szCs w:val="18"/>
                <w:color w:val="auto"/>
              </w:rPr>
              <w:t>Duluth long-term debt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45,750</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58" w:lineRule="exact"/>
        <w:rPr>
          <w:sz w:val="20"/>
          <w:szCs w:val="20"/>
          <w:color w:val="auto"/>
        </w:rPr>
      </w:pPr>
    </w:p>
    <w:p>
      <w:pPr>
        <w:jc w:val="both"/>
        <w:ind w:right="460" w:firstLine="428"/>
        <w:spacing w:after="0" w:line="235"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34" w:lineRule="exact"/>
        <w:rPr>
          <w:sz w:val="20"/>
          <w:szCs w:val="20"/>
          <w:color w:val="auto"/>
        </w:rPr>
      </w:pPr>
    </w:p>
    <w:p>
      <w:pPr>
        <w:ind w:right="220" w:firstLine="428"/>
        <w:spacing w:after="0" w:line="246"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While the above notes are consolidated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is not the guarantor nor obligor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ind w:right="40" w:firstLine="428"/>
        <w:spacing w:after="0" w:line="239" w:lineRule="auto"/>
        <w:rPr>
          <w:sz w:val="20"/>
          <w:szCs w:val="20"/>
          <w:color w:val="auto"/>
        </w:rPr>
      </w:pPr>
      <w:r>
        <w:rPr>
          <w:rFonts w:ascii="Arial" w:cs="Arial" w:eastAsia="Arial" w:hAnsi="Arial"/>
          <w:sz w:val="17"/>
          <w:szCs w:val="17"/>
          <w:color w:val="auto"/>
        </w:rPr>
        <w:t>On May 17, 2018, the Company entered into a credit agreement (the “Credit Agreement”) which provided for borrowing availability of up to $80.0 million in revolving credit (the “Revolver”), and borrowing availability of up to $50.0 million in a delayed draw term loan (“DDTL”), for a total credit facility of $130.0 million. The $80.0 million revolving credit facility was scheduled to mature on May 17, 2023. The $50.0 million DDTL was available to draw upon in differing amounts through May 17, 2020 and was scheduled to mature on May 17, 2023. Outstanding balances under the DDTL required quarterly principal payments with a final balloon payment at maturity. The Credit Agreement was secured by essentially all Company assets and required the Company to maintain compliance with certain financial and non-financial covenants, including a maximum rent adjusted leverage ratio and a minimum fixed charge coverage ratio as defined in the Credit Agreement.</w:t>
      </w:r>
    </w:p>
    <w:p>
      <w:pPr>
        <w:spacing w:after="0" w:line="149" w:lineRule="exact"/>
        <w:rPr>
          <w:sz w:val="20"/>
          <w:szCs w:val="20"/>
          <w:color w:val="auto"/>
        </w:rPr>
      </w:pPr>
    </w:p>
    <w:p>
      <w:pPr>
        <w:ind w:right="60" w:firstLine="428"/>
        <w:spacing w:after="0"/>
        <w:rPr>
          <w:sz w:val="20"/>
          <w:szCs w:val="20"/>
          <w:color w:val="auto"/>
        </w:rPr>
      </w:pPr>
      <w:r>
        <w:rPr>
          <w:rFonts w:ascii="Arial" w:cs="Arial" w:eastAsia="Arial" w:hAnsi="Arial"/>
          <w:sz w:val="17"/>
          <w:szCs w:val="17"/>
          <w:color w:val="auto"/>
        </w:rPr>
        <w:t>On April 30, 2020, the Credit Agreement was amended to include an incremental DDTL of $20.5 million (the “Incremental DDTL”) that was available to draw upon before March 31, 2021, and matured on April 29, 2021, for a total credit facility of $150.5 million.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The interest rate applicable to the Incremental DDTL was also a fixed rate over the aforementioned interest periods equal to LIBOR (with a 1% floor) for such interest period plus a margin of 275 to 350 basis points.</w:t>
      </w:r>
    </w:p>
    <w:p>
      <w:pPr>
        <w:spacing w:after="0" w:line="137" w:lineRule="exact"/>
        <w:rPr>
          <w:sz w:val="20"/>
          <w:szCs w:val="20"/>
          <w:color w:val="auto"/>
        </w:rPr>
      </w:pPr>
    </w:p>
    <w:p>
      <w:pPr>
        <w:ind w:right="20" w:firstLine="428"/>
        <w:spacing w:after="0" w:line="234" w:lineRule="auto"/>
        <w:rPr>
          <w:sz w:val="20"/>
          <w:szCs w:val="20"/>
          <w:color w:val="auto"/>
        </w:rPr>
      </w:pPr>
      <w:r>
        <w:rPr>
          <w:rFonts w:ascii="Arial" w:cs="Arial" w:eastAsia="Arial" w:hAnsi="Arial"/>
          <w:sz w:val="17"/>
          <w:szCs w:val="17"/>
          <w:color w:val="auto"/>
        </w:rPr>
        <w:t>On May 14, 2021, the Company terminated the Credit Agreement, and entered into a new credit agreement (the “New Credit Agreement”), which was treated as a modification for accounting purposes. The New Credit Agreement matures on May 14, 2026 and provides for borrowings of up to $150.0 million that are available under a revolving senior credit facility, with a $5.0 million sublimit for issuance of standby letters of credit, as well as a $10.0 million sublimit for swing line loans. At the Company’s option, the interest rate applicable to the revolving senior credit facility will be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is secured by essentially all Company assets and requires the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to maintain compliance with certain financial and non-financial covenants, including a maximum rent adjusted leverage ratio and a minimum fixed charge coverage ratio as defined in the New Credit Agreement</w:t>
      </w:r>
    </w:p>
    <w:p>
      <w:pPr>
        <w:spacing w:after="0" w:line="129"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As of October 31, 2021 and for the nine months then ended, the Company was in compliance with all financial and non-financial covenants contained within the New Credit Agreement.</w:t>
      </w:r>
    </w:p>
    <w:p>
      <w:pPr>
        <w:spacing w:after="0" w:line="328" w:lineRule="exact"/>
        <w:rPr>
          <w:sz w:val="20"/>
          <w:szCs w:val="20"/>
          <w:color w:val="auto"/>
        </w:rPr>
      </w:pPr>
    </w:p>
    <w:p>
      <w:pPr>
        <w:ind w:left="440" w:right="5720" w:hanging="432"/>
        <w:spacing w:after="0" w:line="534" w:lineRule="auto"/>
        <w:tabs>
          <w:tab w:leader="none" w:pos="31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 2021</w:t>
            </w:r>
          </w:p>
        </w:tc>
        <w:tc>
          <w:tcPr>
            <w:tcW w:w="220" w:type="dxa"/>
            <w:vAlign w:val="bottom"/>
          </w:tcPr>
          <w:p>
            <w:pPr>
              <w:spacing w:after="0"/>
              <w:rPr>
                <w:sz w:val="14"/>
                <w:szCs w:val="14"/>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5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1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9,944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Product returns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r>
      <w:tr>
        <w:trPr>
          <w:trHeight w:val="183"/>
        </w:trPr>
        <w:tc>
          <w:tcPr>
            <w:tcW w:w="5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19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41,832</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37,686</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w:t>
      </w:r>
    </w:p>
    <w:p>
      <w:pPr>
        <w:spacing w:after="0" w:line="175" w:lineRule="exact"/>
        <w:rPr>
          <w:sz w:val="20"/>
          <w:szCs w:val="20"/>
          <w:color w:val="auto"/>
        </w:rPr>
      </w:pPr>
    </w:p>
    <w:p>
      <w:pPr>
        <w:ind w:right="60" w:firstLine="440"/>
        <w:spacing w:after="0" w:line="242"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58" w:lineRule="exact"/>
        <w:rPr>
          <w:sz w:val="20"/>
          <w:szCs w:val="20"/>
          <w:color w:val="auto"/>
        </w:rPr>
      </w:pPr>
    </w:p>
    <w:p>
      <w:pPr>
        <w:ind w:right="180" w:firstLine="440"/>
        <w:spacing w:after="0" w:line="235"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69" w:lineRule="exact"/>
        <w:rPr>
          <w:sz w:val="20"/>
          <w:szCs w:val="20"/>
          <w:color w:val="auto"/>
        </w:rPr>
      </w:pPr>
    </w:p>
    <w:p>
      <w:pPr>
        <w:ind w:right="20" w:firstLine="440"/>
        <w:spacing w:after="0" w:line="228" w:lineRule="auto"/>
        <w:rPr>
          <w:sz w:val="20"/>
          <w:szCs w:val="20"/>
          <w:color w:val="auto"/>
        </w:rPr>
      </w:pPr>
      <w:r>
        <w:rPr>
          <w:rFonts w:ascii="Arial" w:cs="Arial" w:eastAsia="Arial" w:hAnsi="Arial"/>
          <w:sz w:val="18"/>
          <w:szCs w:val="18"/>
          <w:color w:val="auto"/>
        </w:rPr>
        <w:t>The fair value of the Company’s available-for-sale security was valued based on a discounted cash flow method (Level 3), which incorporates the U.S. Treasury yield curve, credit information and an estimate of future cash flows. During the nine months ended October 31, 2021, certain changes in the inputs did impact the fair value of the available-for-sale security. The calculated fair value is based on estimates that are subjective in nature and involve uncertainties and matters of significant judgment and, therefore, cannot be determined with precision. Changes in assumptions could significantly affect the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53"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6350</wp:posOffset>
            </wp:positionV>
            <wp:extent cx="4217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r>
      <w:tr>
        <w:trPr>
          <w:trHeight w:val="634"/>
        </w:trPr>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2021</w:t>
            </w: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1"/>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intend to sell the available-for-sale-security in the near term and does not believe that it will be required to sell the security.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securities on a quarterly basis to monitor its exposure to other-than-temporary impairment.</w:t>
      </w:r>
    </w:p>
    <w:p>
      <w:pPr>
        <w:spacing w:after="0" w:line="155" w:lineRule="exact"/>
        <w:rPr>
          <w:sz w:val="20"/>
          <w:szCs w:val="20"/>
          <w:color w:val="auto"/>
        </w:rPr>
      </w:pPr>
    </w:p>
    <w:p>
      <w:pPr>
        <w:ind w:right="380" w:firstLine="492"/>
        <w:spacing w:after="0" w:line="246" w:lineRule="auto"/>
        <w:rPr>
          <w:sz w:val="20"/>
          <w:szCs w:val="20"/>
          <w:color w:val="auto"/>
        </w:rPr>
      </w:pPr>
      <w:r>
        <w:rPr>
          <w:rFonts w:ascii="Arial" w:cs="Arial" w:eastAsia="Arial" w:hAnsi="Arial"/>
          <w:sz w:val="18"/>
          <w:szCs w:val="18"/>
          <w:color w:val="auto"/>
        </w:rPr>
        <w:t>No other-than-temporary impairment was recorded in the unaudited condensed consolidated statements of operations for the nine months ended October 31, 2021 or November 1, 2020.</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future principal receipts related to the Company’s available-for-sale security by contractual maturity as of October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Arial" w:cs="Arial" w:eastAsia="Arial" w:hAnsi="Arial"/>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6080" w:type="dxa"/>
            <w:vAlign w:val="bottom"/>
          </w:tcPr>
          <w:p>
            <w:pPr>
              <w:spacing w:after="0"/>
              <w:rPr>
                <w:sz w:val="16"/>
                <w:szCs w:val="16"/>
                <w:color w:val="auto"/>
              </w:rPr>
            </w:pP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7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1,077</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5,939</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6,598</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values and fair values of other financial instruments in the Consolidated Balance Sheets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October 31, 2021</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8"/>
                <w:szCs w:val="18"/>
                <w:color w:val="auto"/>
              </w:rPr>
            </w:pPr>
          </w:p>
        </w:tc>
        <w:tc>
          <w:tcPr>
            <w:tcW w:w="940" w:type="dxa"/>
            <w:vAlign w:val="bottom"/>
          </w:tcPr>
          <w:p>
            <w:pPr>
              <w:jc w:val="center"/>
              <w:ind w:right="4"/>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 including short-term portion</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27,448</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28,697</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above long-term debt, including short-term portion is attributable to the consolidation of TRI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was also based on a discounted cash flow method (Level 3) based on credit information and an estimate of future cash flows.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2021, the carrying value of the delayed draw term loan approximated its fair value.</w:t>
      </w: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62" w:lineRule="exact"/>
        <w:rPr>
          <w:sz w:val="20"/>
          <w:szCs w:val="20"/>
          <w:color w:val="auto"/>
        </w:rPr>
      </w:pPr>
    </w:p>
    <w:p>
      <w:pPr>
        <w:ind w:right="340" w:firstLine="492"/>
        <w:spacing w:after="0" w:line="228" w:lineRule="auto"/>
        <w:rPr>
          <w:sz w:val="20"/>
          <w:szCs w:val="20"/>
          <w:color w:val="auto"/>
        </w:rPr>
      </w:pPr>
      <w:r>
        <w:rPr>
          <w:rFonts w:ascii="Arial" w:cs="Arial" w:eastAsia="Arial" w:hAnsi="Arial"/>
          <w:sz w:val="18"/>
          <w:szCs w:val="18"/>
          <w:color w:val="auto"/>
        </w:rPr>
        <w:t xml:space="preserve">Based upon the criteria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October 31, 2021 and January 31, 2021.</w:t>
      </w:r>
    </w:p>
    <w:p>
      <w:pPr>
        <w:spacing w:after="0" w:line="151" w:lineRule="exact"/>
        <w:rPr>
          <w:sz w:val="20"/>
          <w:szCs w:val="20"/>
          <w:color w:val="auto"/>
        </w:rPr>
      </w:pPr>
    </w:p>
    <w:p>
      <w:pPr>
        <w:ind w:right="40" w:firstLine="428"/>
        <w:spacing w:after="0" w:line="227"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TRI as of October 31, 2021 and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31, 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4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24,800</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25,085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25,547</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27,229</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Noncontrolling interest in VIE</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25,085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25,547</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(LOSS) PER SHARE</w:t>
      </w:r>
    </w:p>
    <w:p>
      <w:pPr>
        <w:spacing w:after="0" w:line="175" w:lineRule="exact"/>
        <w:rPr>
          <w:sz w:val="20"/>
          <w:szCs w:val="20"/>
          <w:color w:val="auto"/>
        </w:rPr>
      </w:pPr>
    </w:p>
    <w:p>
      <w:pPr>
        <w:ind w:firstLine="428"/>
        <w:spacing w:after="0" w:line="242" w:lineRule="auto"/>
        <w:rPr>
          <w:sz w:val="20"/>
          <w:szCs w:val="20"/>
          <w:color w:val="auto"/>
        </w:rPr>
      </w:pPr>
      <w:r>
        <w:rPr>
          <w:rFonts w:ascii="Arial" w:cs="Arial" w:eastAsia="Arial" w:hAnsi="Arial"/>
          <w:sz w:val="17"/>
          <w:szCs w:val="17"/>
          <w:color w:val="auto"/>
        </w:rPr>
        <w:t>Earnings (loss)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(loss) per share is based on the weighted average number of common shares outstanding for the period. Diluted earnings (loss)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(loss) per share unless considered anti-dilutive. The reconciliation of the numerator and denominator of the basic and diluted earnings (loss) per share calculation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2021</w:t>
            </w:r>
          </w:p>
        </w:tc>
        <w:tc>
          <w:tcPr>
            <w:tcW w:w="1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1, 2020</w:t>
            </w: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2021</w:t>
            </w:r>
          </w:p>
        </w:tc>
        <w:tc>
          <w:tcPr>
            <w:tcW w:w="180" w:type="dxa"/>
            <w:vAlign w:val="bottom"/>
          </w:tcPr>
          <w:p>
            <w:pPr>
              <w:spacing w:after="0"/>
              <w:rPr>
                <w:sz w:val="15"/>
                <w:szCs w:val="15"/>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7"/>
              </w:rPr>
              <w:t>November 1, 2020</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 attributable to</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0"/>
                <w:szCs w:val="20"/>
                <w:color w:val="auto"/>
              </w:rPr>
            </w:pPr>
            <w:r>
              <w:rPr>
                <w:rFonts w:ascii="Arial" w:cs="Arial" w:eastAsia="Arial" w:hAnsi="Arial"/>
                <w:sz w:val="18"/>
                <w:szCs w:val="18"/>
                <w:color w:val="auto"/>
              </w:rPr>
              <w:t>Denominator - weighted average shares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140"/>
              <w:spacing w:after="0"/>
              <w:rPr>
                <w:sz w:val="20"/>
                <w:szCs w:val="20"/>
                <w:color w:val="auto"/>
              </w:rPr>
            </w:pPr>
            <w:r>
              <w:rPr>
                <w:rFonts w:ascii="Arial" w:cs="Arial" w:eastAsia="Arial" w:hAnsi="Arial"/>
                <w:sz w:val="18"/>
                <w:szCs w:val="18"/>
                <w:color w:val="auto"/>
              </w:rPr>
              <w:t>(Class A and Class B)</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32,431</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Dilutive shares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32,761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32,606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32,825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32,431</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Earnings (loss) per share (Class A and Class B)</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78"/>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240" w:firstLine="492"/>
        <w:spacing w:after="0" w:line="246" w:lineRule="auto"/>
        <w:rPr>
          <w:sz w:val="20"/>
          <w:szCs w:val="20"/>
          <w:color w:val="auto"/>
        </w:rPr>
      </w:pPr>
      <w:r>
        <w:rPr>
          <w:rFonts w:ascii="Arial" w:cs="Arial" w:eastAsia="Arial" w:hAnsi="Arial"/>
          <w:sz w:val="18"/>
          <w:szCs w:val="18"/>
          <w:color w:val="auto"/>
        </w:rPr>
        <w:t>The computation of diluted loss per share for the nine months ended November 1, 2020 excluded (0.1) million shares of unvested restricted stock, respectively, because their inclusion would be anti-dilutive.</w:t>
      </w:r>
    </w:p>
    <w:p>
      <w:pPr>
        <w:spacing w:after="0" w:line="3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175" w:lineRule="exact"/>
        <w:rPr>
          <w:sz w:val="20"/>
          <w:szCs w:val="20"/>
          <w:color w:val="auto"/>
        </w:rPr>
      </w:pPr>
    </w:p>
    <w:p>
      <w:pPr>
        <w:ind w:right="320" w:firstLine="428"/>
        <w:spacing w:after="0" w:line="274" w:lineRule="auto"/>
        <w:rPr>
          <w:sz w:val="20"/>
          <w:szCs w:val="20"/>
          <w:color w:val="auto"/>
        </w:rPr>
      </w:pPr>
      <w:r>
        <w:rPr>
          <w:rFonts w:ascii="Arial" w:cs="Arial" w:eastAsia="Arial" w:hAnsi="Arial"/>
          <w:sz w:val="17"/>
          <w:szCs w:val="17"/>
          <w:color w:val="auto"/>
        </w:rPr>
        <w:t xml:space="preserve">The Company accounts for its stock-based compensation plan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ind w:right="40" w:firstLine="428"/>
        <w:spacing w:after="0" w:line="231" w:lineRule="auto"/>
        <w:rPr>
          <w:sz w:val="20"/>
          <w:szCs w:val="20"/>
          <w:color w:val="auto"/>
        </w:rPr>
      </w:pPr>
      <w:r>
        <w:rPr>
          <w:rFonts w:ascii="Arial" w:cs="Arial" w:eastAsia="Arial" w:hAnsi="Arial"/>
          <w:sz w:val="18"/>
          <w:szCs w:val="18"/>
          <w:color w:val="auto"/>
        </w:rPr>
        <w:t>Total stock compensation expense associated with restricted stock recognized by the Company was $0.6 million and $1.6 million for the three and nine months ended October 31, 2021, respectively and $0.3 million and $1.1 million for the three and nine months ended November 1, 2020, respectively. The Company’s total stock compensation expense is included in selling, general and administrative expenses on the Condensed Consolidated Statements of Operations.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activity in the Company’s unvested restricted stock during the nine months ended October 31, 2021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fair value</w:t>
            </w:r>
          </w:p>
        </w:tc>
      </w:tr>
      <w:tr>
        <w:trPr>
          <w:trHeight w:val="215"/>
        </w:trPr>
        <w:tc>
          <w:tcPr>
            <w:tcW w:w="838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8"/>
                <w:szCs w:val="18"/>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338,239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227,740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(150,688)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(4,165)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October 31, 2021</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411,126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13.43</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428"/>
        <w:spacing w:after="0" w:line="246" w:lineRule="auto"/>
        <w:rPr>
          <w:sz w:val="20"/>
          <w:szCs w:val="20"/>
          <w:color w:val="auto"/>
        </w:rPr>
      </w:pPr>
      <w:r>
        <w:rPr>
          <w:rFonts w:ascii="Arial" w:cs="Arial" w:eastAsia="Arial" w:hAnsi="Arial"/>
          <w:sz w:val="18"/>
          <w:szCs w:val="18"/>
          <w:color w:val="auto"/>
        </w:rPr>
        <w:t>At October 31, 2021, the Company had unrecognized compensation expense of $4.2 million related to the restricted stock awards, which is expected to be recognized over a weighted average period of 2.4 years.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October 31, 2021</w:t>
            </w:r>
          </w:p>
        </w:tc>
        <w:tc>
          <w:tcPr>
            <w:tcW w:w="220" w:type="dxa"/>
            <w:vAlign w:val="bottom"/>
          </w:tcPr>
          <w:p>
            <w:pPr>
              <w:spacing w:after="0"/>
              <w:rPr>
                <w:sz w:val="14"/>
                <w:szCs w:val="14"/>
                <w:color w:val="auto"/>
              </w:rPr>
            </w:pPr>
          </w:p>
        </w:tc>
        <w:tc>
          <w:tcPr>
            <w:tcW w:w="1560" w:type="dxa"/>
            <w:vAlign w:val="bottom"/>
          </w:tcPr>
          <w:p>
            <w:pPr>
              <w:jc w:val="right"/>
              <w:ind w:right="271"/>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46,988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47,451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Vehicles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52,898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52,614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34,003</w:t>
            </w:r>
          </w:p>
        </w:tc>
      </w:tr>
      <w:tr>
        <w:trPr>
          <w:trHeight w:val="196"/>
        </w:trPr>
        <w:tc>
          <w:tcPr>
            <w:tcW w:w="7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199,445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198,605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(91,092)</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(75,958)</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108,353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122,647</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r>
      <w:tr>
        <w:trPr>
          <w:trHeight w:val="182"/>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114,579</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124,237</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REVENUE</w:t>
      </w:r>
    </w:p>
    <w:p>
      <w:pPr>
        <w:spacing w:after="0" w:line="162" w:lineRule="exact"/>
        <w:rPr>
          <w:sz w:val="20"/>
          <w:szCs w:val="20"/>
          <w:color w:val="auto"/>
        </w:rPr>
      </w:pPr>
    </w:p>
    <w:p>
      <w:pPr>
        <w:ind w:right="660" w:firstLine="570"/>
        <w:spacing w:after="0" w:line="228" w:lineRule="auto"/>
        <w:rPr>
          <w:sz w:val="20"/>
          <w:szCs w:val="20"/>
          <w:color w:val="auto"/>
        </w:rPr>
      </w:pPr>
      <w:r>
        <w:rPr>
          <w:rFonts w:ascii="Arial" w:cs="Arial" w:eastAsia="Arial" w:hAnsi="Arial"/>
          <w:sz w:val="18"/>
          <w:szCs w:val="18"/>
          <w:color w:val="auto"/>
        </w:rPr>
        <w:t>The Company’s revenue primarily consists of the sale of apparel, footwear and hard goods. Revenue for merchandise that is shipped to our customers from our distribution centers and stores is recognized upon shipment. Store revenue 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2021</w:t>
            </w:r>
          </w:p>
        </w:tc>
        <w:tc>
          <w:tcPr>
            <w:tcW w:w="14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1, 2020</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2021</w:t>
            </w:r>
          </w:p>
        </w:tc>
        <w:tc>
          <w:tcPr>
            <w:tcW w:w="140" w:type="dxa"/>
            <w:vAlign w:val="bottom"/>
          </w:tcPr>
          <w:p>
            <w:pPr>
              <w:spacing w:after="0"/>
              <w:rPr>
                <w:sz w:val="18"/>
                <w:szCs w:val="18"/>
                <w:color w:val="auto"/>
              </w:rPr>
            </w:pPr>
          </w:p>
        </w:tc>
        <w:tc>
          <w:tcPr>
            <w:tcW w:w="132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November 1, 2020</w:t>
            </w:r>
          </w:p>
        </w:tc>
      </w:tr>
      <w:tr>
        <w:trPr>
          <w:trHeight w:val="210"/>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258,830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273,503</w:t>
            </w:r>
          </w:p>
        </w:tc>
      </w:tr>
      <w:tr>
        <w:trPr>
          <w:trHeight w:val="229"/>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Stores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168,993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109,320</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145,277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135,531</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427,823</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382,823</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58" w:lineRule="exact"/>
        <w:rPr>
          <w:sz w:val="20"/>
          <w:szCs w:val="20"/>
          <w:color w:val="auto"/>
        </w:rPr>
      </w:pPr>
    </w:p>
    <w:p>
      <w:pPr>
        <w:ind w:right="160" w:firstLine="492"/>
        <w:spacing w:after="0" w:line="242" w:lineRule="auto"/>
        <w:rPr>
          <w:sz w:val="20"/>
          <w:szCs w:val="20"/>
          <w:color w:val="auto"/>
        </w:rPr>
      </w:pPr>
      <w:r>
        <w:rPr>
          <w:rFonts w:ascii="Arial" w:cs="Arial" w:eastAsia="Arial" w:hAnsi="Arial"/>
          <w:sz w:val="17"/>
          <w:szCs w:val="17"/>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assets and liabilities on the Company’s consolidated balance sheets are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October 31, 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7,400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9,788</w:t>
            </w:r>
          </w:p>
        </w:tc>
      </w:tr>
    </w:tbl>
    <w:p>
      <w:pPr>
        <w:spacing w:after="0" w:line="336" w:lineRule="exact"/>
        <w:rPr>
          <w:sz w:val="20"/>
          <w:szCs w:val="20"/>
          <w:color w:val="auto"/>
        </w:rPr>
      </w:pPr>
    </w:p>
    <w:p>
      <w:pPr>
        <w:ind w:firstLine="570"/>
        <w:spacing w:after="0" w:line="231" w:lineRule="auto"/>
        <w:rPr>
          <w:sz w:val="20"/>
          <w:szCs w:val="20"/>
          <w:color w:val="auto"/>
        </w:rPr>
      </w:pPr>
      <w:r>
        <w:rPr>
          <w:rFonts w:ascii="Arial" w:cs="Arial" w:eastAsia="Arial" w:hAnsi="Arial"/>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nine months ended: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November 1, 2020</w:t>
            </w:r>
          </w:p>
        </w:tc>
      </w:tr>
      <w:tr>
        <w:trPr>
          <w:trHeight w:val="210"/>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1560" w:type="dxa"/>
            <w:vAlign w:val="bottom"/>
            <w:shd w:val="clear" w:color="auto" w:fill="CCEEFF"/>
          </w:tcPr>
          <w:p>
            <w:pPr>
              <w:jc w:val="right"/>
              <w:ind w:right="140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9,788</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Gift cards sold</w:t>
            </w:r>
          </w:p>
        </w:tc>
        <w:tc>
          <w:tcPr>
            <w:tcW w:w="1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5,740</w:t>
            </w: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Gift cards redeemed</w:t>
            </w:r>
          </w:p>
        </w:tc>
        <w:tc>
          <w:tcPr>
            <w:tcW w:w="15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(8,112)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Gift card breakage</w:t>
            </w:r>
          </w:p>
        </w:tc>
        <w:tc>
          <w:tcPr>
            <w:tcW w:w="15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end of period</w:t>
            </w:r>
          </w:p>
        </w:tc>
        <w:tc>
          <w:tcPr>
            <w:tcW w:w="1560" w:type="dxa"/>
            <w:vAlign w:val="bottom"/>
            <w:tcBorders>
              <w:top w:val="single" w:sz="8" w:color="auto"/>
              <w:bottom w:val="single" w:sz="8" w:color="auto"/>
            </w:tcBorders>
            <w:shd w:val="clear" w:color="auto" w:fill="CCEEFF"/>
          </w:tcPr>
          <w:p>
            <w:pPr>
              <w:jc w:val="right"/>
              <w:ind w:right="14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7,400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7,030</w:t>
            </w:r>
          </w:p>
        </w:tc>
      </w:tr>
      <w:tr>
        <w:trPr>
          <w:trHeight w:val="20"/>
        </w:trPr>
        <w:tc>
          <w:tcPr>
            <w:tcW w:w="6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20" w:firstLine="428"/>
        <w:spacing w:after="0" w:line="266" w:lineRule="auto"/>
        <w:rPr>
          <w:sz w:val="20"/>
          <w:szCs w:val="20"/>
          <w:color w:val="auto"/>
        </w:rPr>
      </w:pPr>
      <w:r>
        <w:rPr>
          <w:rFonts w:ascii="Arial" w:cs="Arial" w:eastAsia="Arial" w:hAnsi="Arial"/>
          <w:sz w:val="16"/>
          <w:szCs w:val="16"/>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25% for the three months ended October 31, 2021 and 25% for the nine months ended October 31, 2021. The income from TRI was excluded from the calculation of the Company’s effective tax rate, as TRI is a limited liability company and not subject to income taxes.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RECENT ACCOUNTING PRONOUNCEMENTS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(“ASU 2016-13”), which amends the impairment model by requiring entities to use a forward-looking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Derivatives and Hedging (Topic 815, and Leases (Topic 842),” </w:t>
      </w:r>
      <w:r>
        <w:rPr>
          <w:rFonts w:ascii="Arial" w:cs="Arial" w:eastAsia="Arial" w:hAnsi="Arial"/>
          <w:sz w:val="17"/>
          <w:szCs w:val="17"/>
          <w:color w:val="auto"/>
        </w:rPr>
        <w:t>(ASU 2019-10”), which provides framework to stagger effective dates for future major</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impact adopting ASU 2016-13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7" w:right="4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right="2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31, 2021 (“2020 Form 10-K”).</w:t>
      </w:r>
    </w:p>
    <w:p>
      <w:pPr>
        <w:spacing w:after="0" w:line="156" w:lineRule="exact"/>
        <w:rPr>
          <w:sz w:val="20"/>
          <w:szCs w:val="20"/>
          <w:color w:val="auto"/>
        </w:rPr>
      </w:pPr>
    </w:p>
    <w:p>
      <w:pPr>
        <w:ind w:right="280" w:firstLine="428"/>
        <w:spacing w:after="0" w:line="238" w:lineRule="auto"/>
        <w:rPr>
          <w:sz w:val="20"/>
          <w:szCs w:val="20"/>
          <w:color w:val="auto"/>
        </w:rPr>
      </w:pPr>
      <w:r>
        <w:rPr>
          <w:rFonts w:ascii="Arial" w:cs="Arial" w:eastAsia="Arial" w:hAnsi="Arial"/>
          <w:sz w:val="14"/>
          <w:szCs w:val="14"/>
          <w:i w:val="1"/>
          <w:iCs w:val="1"/>
          <w:color w:val="auto"/>
        </w:rPr>
        <w:t>The Company’s fiscal year ends on the Sunday nearest to January 31 of the following year. Fiscal 2021 is a 52-week period and ends on January 30, 2022. Fiscal 2020 was a 52-week period and ended on January 31, 2021. The three and nine months of fiscal 2021 and fiscal 2020 represent our 13 and 39 week periods ended October 31, 2021 and November 1, 2020, respectively.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28"/>
        <w:spacing w:after="0" w:line="24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including the risks and uncertainties described under Part I, Item 1A “Risk Factors,” in our 2020 Form 10-K, and other SEC filings, which factors are incorporated by reference herein. These risks and uncertainties include, but are not limited to, the following: the prolonged effects of COVID-19 on store traffic and disruptions to our distribution network, supply chains and operations; our ability to maintain and enhance a strong brand image; effectively adapting to new challenges associated with our expansion into new geographic markets; generating adequate cash from our existing stores to support our growth;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in global market constraints;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28" w:lineRule="exact"/>
        <w:rPr>
          <w:sz w:val="20"/>
          <w:szCs w:val="20"/>
          <w:color w:val="auto"/>
        </w:rPr>
      </w:pPr>
    </w:p>
    <w:p>
      <w:pPr>
        <w:ind w:right="1180" w:firstLine="428"/>
        <w:spacing w:after="0" w:line="430" w:lineRule="auto"/>
        <w:rPr>
          <w:sz w:val="20"/>
          <w:szCs w:val="20"/>
          <w:color w:val="auto"/>
        </w:rPr>
      </w:pPr>
      <w:r>
        <w:rPr>
          <w:rFonts w:ascii="Arial" w:cs="Arial" w:eastAsia="Arial" w:hAnsi="Arial"/>
          <w:sz w:val="18"/>
          <w:szCs w:val="18"/>
          <w:color w:val="auto"/>
        </w:rPr>
        <w:t xml:space="preserve">We undertake no obligation to update or revise these forward-looking statements, except as required under the federal securities laws.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60" w:firstLine="428"/>
        <w:spacing w:after="0" w:line="253" w:lineRule="auto"/>
        <w:rPr>
          <w:sz w:val="20"/>
          <w:szCs w:val="20"/>
          <w:color w:val="auto"/>
        </w:rPr>
      </w:pPr>
      <w:r>
        <w:rPr>
          <w:rFonts w:ascii="Arial" w:cs="Arial" w:eastAsia="Arial" w:hAnsi="Arial"/>
          <w:sz w:val="17"/>
          <w:szCs w:val="17"/>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October 31, 2021, we operated 62 retail stores and three outlet stores.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offer a comprehensive line of innovative, durable and functional products, such as our Longtail 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shirts, Buck Naked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underwear, Fire Hose</w:t>
      </w:r>
      <w:r>
        <w:rPr>
          <w:rFonts w:ascii="Arial" w:cs="Arial" w:eastAsia="Arial" w:hAnsi="Arial"/>
          <w:sz w:val="20"/>
          <w:szCs w:val="20"/>
          <w:color w:val="auto"/>
          <w:vertAlign w:val="superscript"/>
        </w:rPr>
        <w:t>®</w:t>
      </w:r>
    </w:p>
    <w:p>
      <w:pPr>
        <w:spacing w:after="0" w:line="15" w:lineRule="exact"/>
        <w:rPr>
          <w:sz w:val="20"/>
          <w:szCs w:val="20"/>
          <w:color w:val="auto"/>
        </w:rPr>
      </w:pPr>
    </w:p>
    <w:p>
      <w:pPr>
        <w:ind w:right="220"/>
        <w:spacing w:after="0" w:line="205" w:lineRule="auto"/>
        <w:rPr>
          <w:sz w:val="20"/>
          <w:szCs w:val="20"/>
          <w:color w:val="auto"/>
        </w:rPr>
      </w:pPr>
      <w:r>
        <w:rPr>
          <w:rFonts w:ascii="Arial" w:cs="Arial" w:eastAsia="Arial" w:hAnsi="Arial"/>
          <w:sz w:val="18"/>
          <w:szCs w:val="18"/>
          <w:color w:val="auto"/>
        </w:rPr>
        <w:t>work pants, and No-Yank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428"/>
        <w:spacing w:after="0" w:line="231" w:lineRule="auto"/>
        <w:rPr>
          <w:sz w:val="20"/>
          <w:szCs w:val="20"/>
          <w:color w:val="auto"/>
        </w:rPr>
      </w:pPr>
      <w:r>
        <w:rPr>
          <w:rFonts w:ascii="Arial" w:cs="Arial" w:eastAsia="Arial" w:hAnsi="Arial"/>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77" w:lineRule="exact"/>
        <w:rPr>
          <w:sz w:val="20"/>
          <w:szCs w:val="20"/>
          <w:color w:val="auto"/>
        </w:rPr>
      </w:pPr>
    </w:p>
    <w:p>
      <w:pPr>
        <w:ind w:left="880"/>
        <w:spacing w:after="0" w:line="261" w:lineRule="auto"/>
        <w:rPr>
          <w:sz w:val="20"/>
          <w:szCs w:val="20"/>
          <w:color w:val="auto"/>
        </w:rPr>
      </w:pPr>
      <w:r>
        <w:rPr>
          <w:rFonts w:ascii="Arial" w:cs="Arial" w:eastAsia="Arial" w:hAnsi="Arial"/>
          <w:sz w:val="18"/>
          <w:szCs w:val="18"/>
          <w:color w:val="auto"/>
        </w:rPr>
        <w:t>Net sales in fiscal 2021 third quarter increased by 7.2% over the prior year third quarter to $145.3 million, and net sales in the first nine months of fiscal 2021 increased by 11.8% over the first nine months of the prior year to $427.8 million;</w:t>
      </w:r>
    </w:p>
    <w:p>
      <w:pPr>
        <w:spacing w:after="0" w:line="36" w:lineRule="exact"/>
        <w:rPr>
          <w:sz w:val="20"/>
          <w:szCs w:val="20"/>
          <w:color w:val="auto"/>
        </w:rPr>
      </w:pPr>
    </w:p>
    <w:p>
      <w:pPr>
        <w:ind w:left="880" w:right="160"/>
        <w:spacing w:after="0" w:line="308" w:lineRule="auto"/>
        <w:rPr>
          <w:sz w:val="20"/>
          <w:szCs w:val="20"/>
          <w:color w:val="auto"/>
        </w:rPr>
      </w:pPr>
      <w:r>
        <w:rPr>
          <w:rFonts w:ascii="Arial" w:cs="Arial" w:eastAsia="Arial" w:hAnsi="Arial"/>
          <w:sz w:val="16"/>
          <w:szCs w:val="16"/>
          <w:color w:val="auto"/>
        </w:rPr>
        <w:t>Net income of $2.8 million in fiscal 2021 third quarter compared to the prior year third quarter net income of $0.9 million, and net income in the first nine months of fiscal 2021 of $12.3 million compared to a net loss in the first nine months of fiscal 2020 of $8.3 million; and</w:t>
      </w:r>
    </w:p>
    <w:p>
      <w:pPr>
        <w:jc w:val="both"/>
        <w:ind w:left="880" w:right="140"/>
        <w:spacing w:after="0"/>
        <w:rPr>
          <w:sz w:val="20"/>
          <w:szCs w:val="20"/>
          <w:color w:val="auto"/>
        </w:rPr>
      </w:pPr>
      <w:r>
        <w:rPr>
          <w:rFonts w:ascii="Arial" w:cs="Arial" w:eastAsia="Arial" w:hAnsi="Arial"/>
          <w:sz w:val="18"/>
          <w:szCs w:val="18"/>
          <w:color w:val="auto"/>
        </w:rPr>
        <w:t>Adjusted EBITDA increased to $13.2 million in fiscal 2021 third quarter compared to the prior year third quarter Adjusted EBITDA of $11.4 million, and Adjusted EBITDA in the first nine months of fiscal 2021 increased to $44.9 million compared to $16.6 million for the first nine months of the prior year.</w:t>
      </w:r>
    </w:p>
    <w:p>
      <w:pPr>
        <w:spacing w:after="0" w:line="149" w:lineRule="exact"/>
        <w:rPr>
          <w:sz w:val="20"/>
          <w:szCs w:val="20"/>
          <w:color w:val="auto"/>
        </w:rPr>
      </w:pPr>
    </w:p>
    <w:p>
      <w:pPr>
        <w:jc w:val="both"/>
        <w:ind w:right="20" w:firstLine="402"/>
        <w:spacing w:after="0" w:line="253" w:lineRule="auto"/>
        <w:rPr>
          <w:sz w:val="20"/>
          <w:szCs w:val="20"/>
          <w:color w:val="auto"/>
        </w:rPr>
      </w:pPr>
      <w:r>
        <w:rPr>
          <w:rFonts w:ascii="Arial" w:cs="Arial" w:eastAsia="Arial" w:hAnsi="Arial"/>
          <w:sz w:val="17"/>
          <w:szCs w:val="17"/>
          <w:color w:val="auto"/>
        </w:rPr>
        <w:t>See the “Reconciliation of Net Income (Loss) to EBITDA and EBITDA to Adjusted EBITDA” section for a reconciliation of our net income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24" w:lineRule="exact"/>
        <w:rPr>
          <w:sz w:val="20"/>
          <w:szCs w:val="20"/>
          <w:color w:val="auto"/>
        </w:rPr>
      </w:pPr>
    </w:p>
    <w:p>
      <w:pPr>
        <w:ind w:right="140" w:firstLine="402"/>
        <w:spacing w:after="0" w:line="235" w:lineRule="auto"/>
        <w:rPr>
          <w:sz w:val="20"/>
          <w:szCs w:val="20"/>
          <w:color w:val="auto"/>
        </w:rPr>
      </w:pPr>
      <w:r>
        <w:rPr>
          <w:rFonts w:ascii="Arial" w:cs="Arial" w:eastAsia="Arial" w:hAnsi="Arial"/>
          <w:sz w:val="18"/>
          <w:szCs w:val="18"/>
          <w:color w:val="auto"/>
        </w:rPr>
        <w:t>The Company continues to progress on further defining and executing the “Big Dam Blueprint,” which management believes will unlock the Company’s full potential for long-term, sustainable growth. As introduced in the second quarter of 2021, the Big Dam Blueprint focuses on the following key strategic areas:</w:t>
      </w:r>
    </w:p>
    <w:p>
      <w:pPr>
        <w:spacing w:after="0" w:line="49" w:lineRule="exact"/>
        <w:rPr>
          <w:sz w:val="20"/>
          <w:szCs w:val="20"/>
          <w:color w:val="auto"/>
        </w:rPr>
      </w:pPr>
    </w:p>
    <w:p>
      <w:pPr>
        <w:ind w:left="880" w:right="480"/>
        <w:spacing w:after="0" w:line="266" w:lineRule="auto"/>
        <w:rPr>
          <w:sz w:val="20"/>
          <w:szCs w:val="20"/>
          <w:color w:val="auto"/>
        </w:rPr>
      </w:pPr>
      <w:r>
        <w:rPr>
          <w:rFonts w:ascii="Arial" w:cs="Arial" w:eastAsia="Arial" w:hAnsi="Arial"/>
          <w:sz w:val="18"/>
          <w:szCs w:val="18"/>
          <w:b w:val="1"/>
          <w:bCs w:val="1"/>
          <w:color w:val="auto"/>
        </w:rPr>
        <w:t xml:space="preserve">Begin with a digital-first mindset </w:t>
      </w:r>
      <w:r>
        <w:rPr>
          <w:rFonts w:ascii="Arial" w:cs="Arial" w:eastAsia="Arial" w:hAnsi="Arial"/>
          <w:sz w:val="18"/>
          <w:szCs w:val="18"/>
          <w:color w:val="auto"/>
        </w:rPr>
        <w:t>that integrates technology into all areas of the business, fundamentally changing how we operate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value to customers.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Intensify efforts to optimize Duluth Trading’s owned retail channels </w:t>
      </w:r>
      <w:r>
        <w:rPr>
          <w:rFonts w:ascii="Arial" w:cs="Arial" w:eastAsia="Arial" w:hAnsi="Arial"/>
          <w:sz w:val="16"/>
          <w:szCs w:val="16"/>
          <w:color w:val="auto"/>
        </w:rPr>
        <w:t>by increasing focus and investments in our direct channel as our</w:t>
      </w:r>
    </w:p>
    <w:p>
      <w:pPr>
        <w:spacing w:after="0" w:line="39" w:lineRule="exact"/>
        <w:rPr>
          <w:sz w:val="20"/>
          <w:szCs w:val="20"/>
          <w:color w:val="auto"/>
        </w:rPr>
      </w:pPr>
    </w:p>
    <w:p>
      <w:pPr>
        <w:ind w:left="880" w:right="220"/>
        <w:spacing w:after="0" w:line="233" w:lineRule="auto"/>
        <w:rPr>
          <w:sz w:val="20"/>
          <w:szCs w:val="20"/>
          <w:color w:val="auto"/>
        </w:rPr>
      </w:pPr>
      <w:r>
        <w:rPr>
          <w:rFonts w:ascii="Arial" w:cs="Arial" w:eastAsia="Arial" w:hAnsi="Arial"/>
          <w:sz w:val="18"/>
          <w:szCs w:val="18"/>
          <w:color w:val="auto"/>
        </w:rPr>
        <w:t>primary growth vehicle. We are conducting strategic research that will inform decisions on future stores regarding new locations and market share potential, size and layout.</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Evolve the Company’s multi-brand platform as a new pathway to grow the business. </w:t>
      </w:r>
      <w:r>
        <w:rPr>
          <w:rFonts w:ascii="Arial" w:cs="Arial" w:eastAsia="Arial" w:hAnsi="Arial"/>
          <w:sz w:val="16"/>
          <w:szCs w:val="16"/>
          <w:color w:val="auto"/>
        </w:rPr>
        <w:t>Create unique brand positions, across men’s and</w:t>
      </w:r>
    </w:p>
    <w:p>
      <w:pPr>
        <w:spacing w:after="0" w:line="39" w:lineRule="exact"/>
        <w:rPr>
          <w:sz w:val="20"/>
          <w:szCs w:val="20"/>
          <w:color w:val="auto"/>
        </w:rPr>
      </w:pPr>
    </w:p>
    <w:p>
      <w:pPr>
        <w:ind w:left="880" w:right="20"/>
        <w:spacing w:after="0" w:line="228" w:lineRule="auto"/>
        <w:rPr>
          <w:sz w:val="20"/>
          <w:szCs w:val="20"/>
          <w:color w:val="auto"/>
        </w:rPr>
      </w:pPr>
      <w:r>
        <w:rPr>
          <w:rFonts w:ascii="Arial" w:cs="Arial" w:eastAsia="Arial" w:hAnsi="Arial"/>
          <w:sz w:val="18"/>
          <w:szCs w:val="18"/>
          <w:color w:val="auto"/>
        </w:rPr>
        <w:t>women’s, for Duluth, 40Grit, Alaskan Hardgear, Buck Naked, and Best Made to address customer needs for various occasions including work, outdoor recreation, casual lifestyle, and first layer. Invest in the evolution of the Duluth Trading platform to enable the integration of new brands, expand our offerings and broaden our customer base.</w:t>
      </w:r>
    </w:p>
    <w:p>
      <w:pPr>
        <w:spacing w:after="0" w:line="52" w:lineRule="exact"/>
        <w:rPr>
          <w:sz w:val="20"/>
          <w:szCs w:val="20"/>
          <w:color w:val="auto"/>
        </w:rPr>
      </w:pPr>
    </w:p>
    <w:p>
      <w:pPr>
        <w:ind w:left="880" w:right="560"/>
        <w:spacing w:after="0" w:line="266" w:lineRule="auto"/>
        <w:rPr>
          <w:sz w:val="20"/>
          <w:szCs w:val="20"/>
          <w:color w:val="auto"/>
        </w:rPr>
      </w:pPr>
      <w:r>
        <w:rPr>
          <w:rFonts w:ascii="Arial" w:cs="Arial" w:eastAsia="Arial" w:hAnsi="Arial"/>
          <w:sz w:val="18"/>
          <w:szCs w:val="18"/>
          <w:b w:val="1"/>
          <w:bCs w:val="1"/>
          <w:color w:val="auto"/>
        </w:rPr>
        <w:t xml:space="preserve">Carefully test and learn to unlock long-term growth potential. </w:t>
      </w:r>
      <w:r>
        <w:rPr>
          <w:rFonts w:ascii="Arial" w:cs="Arial" w:eastAsia="Arial" w:hAnsi="Arial"/>
          <w:sz w:val="18"/>
          <w:szCs w:val="18"/>
          <w:color w:val="auto"/>
        </w:rPr>
        <w:t>Explore new opportunities to engage current and potential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products, services and touchpoints that they expect and value.</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Increase and, in some areas, accelerate investments to future proof the business. </w:t>
      </w:r>
      <w:r>
        <w:rPr>
          <w:rFonts w:ascii="Arial" w:cs="Arial" w:eastAsia="Arial" w:hAnsi="Arial"/>
          <w:sz w:val="16"/>
          <w:szCs w:val="16"/>
          <w:color w:val="auto"/>
        </w:rPr>
        <w:t>Areas under analysis include greater automation across</w:t>
      </w:r>
    </w:p>
    <w:p>
      <w:pPr>
        <w:spacing w:after="0" w:line="39" w:lineRule="exact"/>
        <w:rPr>
          <w:sz w:val="20"/>
          <w:szCs w:val="20"/>
          <w:color w:val="auto"/>
        </w:rPr>
      </w:pPr>
    </w:p>
    <w:p>
      <w:pPr>
        <w:ind w:left="880" w:right="500"/>
        <w:spacing w:after="0" w:line="228" w:lineRule="auto"/>
        <w:rPr>
          <w:sz w:val="20"/>
          <w:szCs w:val="20"/>
          <w:color w:val="auto"/>
        </w:rPr>
      </w:pPr>
      <w:r>
        <w:rPr>
          <w:rFonts w:ascii="Arial" w:cs="Arial" w:eastAsia="Arial" w:hAnsi="Arial"/>
          <w:sz w:val="18"/>
          <w:szCs w:val="18"/>
          <w:color w:val="auto"/>
        </w:rPr>
        <w:t>the logistics network; technology that will improve operations, generate positive impact and sustainable returns; support growth through multiple brands and seamlessly integrate new brands into the portfolio; and attract the talent, skillsets and expertise needed to scale the business.</w:t>
      </w:r>
    </w:p>
    <w:p>
      <w:pPr>
        <w:spacing w:after="0" w:line="150" w:lineRule="exact"/>
        <w:rPr>
          <w:sz w:val="20"/>
          <w:szCs w:val="20"/>
          <w:color w:val="auto"/>
        </w:rPr>
      </w:pPr>
    </w:p>
    <w:p>
      <w:pPr>
        <w:jc w:val="both"/>
        <w:ind w:right="60" w:firstLine="402"/>
        <w:spacing w:after="0" w:line="235" w:lineRule="auto"/>
        <w:rPr>
          <w:sz w:val="20"/>
          <w:szCs w:val="20"/>
          <w:color w:val="auto"/>
        </w:rPr>
      </w:pPr>
      <w:r>
        <w:rPr>
          <w:rFonts w:ascii="Arial" w:cs="Arial" w:eastAsia="Arial" w:hAnsi="Arial"/>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right="80" w:firstLine="492"/>
        <w:spacing w:after="0" w:line="235" w:lineRule="auto"/>
        <w:rPr>
          <w:sz w:val="20"/>
          <w:szCs w:val="20"/>
          <w:color w:val="auto"/>
        </w:rPr>
      </w:pPr>
      <w:r>
        <w:rPr>
          <w:rFonts w:ascii="Arial" w:cs="Arial" w:eastAsia="Arial" w:hAnsi="Arial"/>
          <w:sz w:val="18"/>
          <w:szCs w:val="18"/>
          <w:color w:val="auto"/>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48" w:lineRule="exact"/>
        <w:rPr>
          <w:sz w:val="20"/>
          <w:szCs w:val="20"/>
          <w:color w:val="auto"/>
        </w:rPr>
      </w:pPr>
    </w:p>
    <w:p>
      <w:pPr>
        <w:ind w:right="40" w:firstLine="492"/>
        <w:spacing w:after="0" w:line="236" w:lineRule="auto"/>
        <w:rPr>
          <w:sz w:val="20"/>
          <w:szCs w:val="20"/>
          <w:color w:val="auto"/>
        </w:rPr>
      </w:pPr>
      <w:r>
        <w:rPr>
          <w:rFonts w:ascii="Arial" w:cs="Arial" w:eastAsia="Arial" w:hAnsi="Arial"/>
          <w:sz w:val="17"/>
          <w:szCs w:val="17"/>
          <w:color w:val="auto"/>
        </w:rPr>
        <w:t>The ultimate impact of COVID-19 on our operational and financial performance still depends on future developments outside of our control, including the duration and spread of the pandemic and related actions taken by federal, state and local government officials, and international governments to prevent disease spread. Given the uncertainty, we cannot reasonably estimate store traffic patterns and the prolonged impact on overall consumer demand. We continue to actively evaluate all federal, state and local regulations to ensure compliance by our store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assessing the performance of our business, we consider a variety of financial and operating measures that affect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ind w:right="380" w:firstLine="428"/>
        <w:spacing w:after="0" w:line="246"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firstLine="428"/>
        <w:spacing w:after="0" w:line="258"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300" w:firstLine="428"/>
        <w:spacing w:after="0"/>
        <w:rPr>
          <w:sz w:val="20"/>
          <w:szCs w:val="20"/>
          <w:color w:val="auto"/>
        </w:rPr>
      </w:pPr>
      <w:r>
        <w:rPr>
          <w:rFonts w:ascii="Arial" w:cs="Arial" w:eastAsia="Arial" w:hAnsi="Arial"/>
          <w:sz w:val="17"/>
          <w:szCs w:val="17"/>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50" w:lineRule="exact"/>
        <w:rPr>
          <w:sz w:val="20"/>
          <w:szCs w:val="20"/>
          <w:color w:val="auto"/>
        </w:rPr>
      </w:pPr>
    </w:p>
    <w:p>
      <w:pPr>
        <w:ind w:right="220" w:firstLine="428"/>
        <w:spacing w:after="0" w:line="276" w:lineRule="auto"/>
        <w:rPr>
          <w:sz w:val="20"/>
          <w:szCs w:val="20"/>
          <w:color w:val="auto"/>
        </w:rPr>
      </w:pPr>
      <w:r>
        <w:rPr>
          <w:rFonts w:ascii="Arial" w:cs="Arial" w:eastAsia="Arial" w:hAnsi="Arial"/>
          <w:sz w:val="16"/>
          <w:szCs w:val="16"/>
          <w:color w:val="auto"/>
        </w:rPr>
        <w:t>Our historical sales growth has been accompanied by increased selling, general and administrative expenses. The most significant components of these increases are advertising, rent/occupancy and payroll costs. While we expect these expenses to increase as we continue to grow our organization to support our growing business and increase brand awareness, we believe these expenses will decrease as a percentage of sales over time.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100" w:firstLine="428"/>
        <w:spacing w:after="0" w:line="246"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60" w:firstLine="428"/>
        <w:spacing w:after="0" w:line="228" w:lineRule="auto"/>
        <w:rPr>
          <w:sz w:val="20"/>
          <w:szCs w:val="20"/>
          <w:color w:val="auto"/>
        </w:rPr>
      </w:pPr>
      <w:r>
        <w:rPr>
          <w:rFonts w:ascii="Arial" w:cs="Arial" w:eastAsia="Arial" w:hAnsi="Arial"/>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the key financial metric in determining our fiscal 2021 bonus compensation for our employees. This non-GAAP measure may not be comparable to similarly titled measures used by other companies.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unaudited consolidated results of operations for the periods indicated, both in dollars and as a percentage of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51"/>
              <w:spacing w:after="0"/>
              <w:rPr>
                <w:sz w:val="20"/>
                <w:szCs w:val="20"/>
                <w:color w:val="auto"/>
              </w:rPr>
            </w:pPr>
            <w:r>
              <w:rPr>
                <w:rFonts w:ascii="Arial" w:cs="Arial" w:eastAsia="Arial" w:hAnsi="Arial"/>
                <w:sz w:val="14"/>
                <w:szCs w:val="14"/>
                <w:b w:val="1"/>
                <w:bCs w:val="1"/>
                <w:color w:val="auto"/>
                <w:w w:val="98"/>
              </w:rPr>
              <w:t>October 31, 2021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November 1, 2020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51"/>
              <w:spacing w:after="0"/>
              <w:rPr>
                <w:sz w:val="20"/>
                <w:szCs w:val="20"/>
                <w:color w:val="auto"/>
              </w:rPr>
            </w:pPr>
            <w:r>
              <w:rPr>
                <w:rFonts w:ascii="Arial" w:cs="Arial" w:eastAsia="Arial" w:hAnsi="Arial"/>
                <w:sz w:val="14"/>
                <w:szCs w:val="14"/>
                <w:b w:val="1"/>
                <w:bCs w:val="1"/>
                <w:color w:val="auto"/>
                <w:w w:val="98"/>
              </w:rPr>
              <w:t>October 31, 2021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5"/>
              </w:rPr>
              <w:t>November 1, 2020</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382,823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Arial" w:cs="Arial" w:eastAsia="Arial" w:hAnsi="Arial"/>
                <w:sz w:val="18"/>
                <w:szCs w:val="18"/>
                <w:color w:val="auto"/>
              </w:rPr>
              <w:t>Cost of goods sold (excluding depreciation and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196,204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78,792</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211,779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202,175</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16,257</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12,209</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(loss) attributable to controlling interest</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2,806</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940</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12,343</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(8,254)</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Percentage of Net sales:</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and amortization)</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(loss) income, net</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controlling interest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4080"/>
        <w:spacing w:after="0" w:line="432" w:lineRule="auto"/>
        <w:rPr>
          <w:sz w:val="20"/>
          <w:szCs w:val="20"/>
          <w:color w:val="auto"/>
        </w:rPr>
      </w:pPr>
      <w:r>
        <w:rPr>
          <w:rFonts w:ascii="Arial" w:cs="Arial" w:eastAsia="Arial" w:hAnsi="Arial"/>
          <w:sz w:val="18"/>
          <w:szCs w:val="18"/>
          <w:b w:val="1"/>
          <w:bCs w:val="1"/>
          <w:color w:val="auto"/>
        </w:rPr>
        <w:t xml:space="preserve">Three Months Ended October 31, 2021 Compared to Three Months Ended November 1, 2020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400" w:firstLine="428"/>
        <w:spacing w:after="0" w:line="246" w:lineRule="auto"/>
        <w:rPr>
          <w:sz w:val="20"/>
          <w:szCs w:val="20"/>
          <w:color w:val="auto"/>
        </w:rPr>
      </w:pPr>
      <w:r>
        <w:rPr>
          <w:rFonts w:ascii="Arial" w:cs="Arial" w:eastAsia="Arial" w:hAnsi="Arial"/>
          <w:sz w:val="18"/>
          <w:szCs w:val="18"/>
          <w:color w:val="auto"/>
        </w:rPr>
        <w:t>Net sales increased $9.7 million, or 7.2%, to $145.3 million in the three months ended October 31, 2021 compared to $135.5 million in the three months ended November 1, 2020. The increase was primarily due to an increase in store market sales.</w:t>
      </w:r>
    </w:p>
    <w:p>
      <w:pPr>
        <w:spacing w:after="0" w:line="129" w:lineRule="exact"/>
        <w:rPr>
          <w:sz w:val="20"/>
          <w:szCs w:val="20"/>
          <w:color w:val="auto"/>
        </w:rPr>
      </w:pPr>
    </w:p>
    <w:p>
      <w:pPr>
        <w:ind w:right="20" w:firstLine="428"/>
        <w:spacing w:after="0" w:line="231" w:lineRule="auto"/>
        <w:rPr>
          <w:sz w:val="20"/>
          <w:szCs w:val="20"/>
          <w:color w:val="auto"/>
        </w:rPr>
      </w:pPr>
      <w:r>
        <w:rPr>
          <w:rFonts w:ascii="Arial" w:cs="Arial" w:eastAsia="Arial" w:hAnsi="Arial"/>
          <w:sz w:val="18"/>
          <w:szCs w:val="18"/>
          <w:color w:val="auto"/>
        </w:rPr>
        <w:t>Store market sales increased $9.4 million, or 10.5%, to $103.0 million in the three months ended October 31, 2021 compared to $93.6 million in the three months ended November 1, 2020. The year-over-year sales difference was primarily driven by continued increases in store traffic and conversion as compared to the prior year. Non-store market sales increased slightly by $0.3 million, or 0.7%, to $41.1 million in the three months ended October 31, 2021 compared to $40.7 million in the three months ended November 1, 2020.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right="240" w:firstLine="648"/>
        <w:spacing w:after="0" w:line="266" w:lineRule="auto"/>
        <w:rPr>
          <w:sz w:val="20"/>
          <w:szCs w:val="20"/>
          <w:color w:val="auto"/>
        </w:rPr>
      </w:pPr>
      <w:r>
        <w:rPr>
          <w:rFonts w:ascii="Arial" w:cs="Arial" w:eastAsia="Arial" w:hAnsi="Arial"/>
          <w:sz w:val="16"/>
          <w:szCs w:val="16"/>
          <w:color w:val="auto"/>
        </w:rPr>
        <w:t>Gross profit increased $12.6 million, or 17.8%, to $83.6 million in the three months ended October 31, 2021 compared to $71.0 million in the three months ended November 1, 2020. As a percentage of net sales, gross margin increased to 57.6% of net sales in the three months ended October 31, 2021, compared to 52.4% of net sales in the three months ended November 1, 2020. The increase in gross margin rate was driven by a higher mix of full price sales due to lower clearance inventory and fewer promotional events as compared to the same period in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20" w:firstLine="428"/>
        <w:spacing w:after="0" w:line="253" w:lineRule="auto"/>
        <w:rPr>
          <w:sz w:val="20"/>
          <w:szCs w:val="20"/>
          <w:color w:val="auto"/>
        </w:rPr>
      </w:pPr>
      <w:r>
        <w:rPr>
          <w:rFonts w:ascii="Arial" w:cs="Arial" w:eastAsia="Arial" w:hAnsi="Arial"/>
          <w:sz w:val="17"/>
          <w:szCs w:val="17"/>
          <w:color w:val="auto"/>
        </w:rPr>
        <w:t>Selling, general and administrative expenses increased $10.6 million, or 15.5%, to $78.8 million in the three months ended October 31, 2021 compared to $68.2 million in the three months ended November 1, 2020. Selling, general and administrative expenses as a percentage of net sales increased to 54.2% in the three months ended October 31, 2021, compared to 50.3% in the three months ended November 1, 2020.</w:t>
      </w:r>
    </w:p>
    <w:p>
      <w:pPr>
        <w:spacing w:after="0" w:line="124" w:lineRule="exact"/>
        <w:rPr>
          <w:sz w:val="20"/>
          <w:szCs w:val="20"/>
          <w:color w:val="auto"/>
        </w:rPr>
      </w:pPr>
    </w:p>
    <w:p>
      <w:pPr>
        <w:ind w:right="120" w:firstLine="428"/>
        <w:spacing w:after="0" w:line="274" w:lineRule="auto"/>
        <w:rPr>
          <w:sz w:val="20"/>
          <w:szCs w:val="20"/>
          <w:color w:val="auto"/>
        </w:rPr>
      </w:pPr>
      <w:r>
        <w:rPr>
          <w:rFonts w:ascii="Arial" w:cs="Arial" w:eastAsia="Arial" w:hAnsi="Arial"/>
          <w:sz w:val="17"/>
          <w:szCs w:val="17"/>
          <w:color w:val="auto"/>
        </w:rPr>
        <w:t>The increase in selling, general and administrative expense was primarily due to higher personnel costs, coupled with increased advertising spend as advertising was limited in the prior year based on our uncertainty about customer demand resulting from the pandemic.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180" w:firstLine="428"/>
        <w:spacing w:after="0" w:line="235" w:lineRule="auto"/>
        <w:rPr>
          <w:sz w:val="20"/>
          <w:szCs w:val="20"/>
          <w:color w:val="auto"/>
        </w:rPr>
      </w:pPr>
      <w:r>
        <w:rPr>
          <w:rFonts w:ascii="Arial" w:cs="Arial" w:eastAsia="Arial" w:hAnsi="Arial"/>
          <w:sz w:val="18"/>
          <w:szCs w:val="18"/>
          <w:color w:val="auto"/>
        </w:rPr>
        <w:t>Income tax expense was $0.9 million in the three months ended October 31, 2021, compared to an income tax expense of $0.4 million in the three months ended November 1, 2020. The effective tax rate related to controlling interest was 25% for the three months ended October 31, 2021 compared to 29% for the three months ended November 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Controlling Interest</w:t>
      </w:r>
    </w:p>
    <w:p>
      <w:pPr>
        <w:spacing w:after="0" w:line="171" w:lineRule="exact"/>
        <w:rPr>
          <w:sz w:val="20"/>
          <w:szCs w:val="20"/>
          <w:color w:val="auto"/>
        </w:rPr>
      </w:pPr>
    </w:p>
    <w:p>
      <w:pPr>
        <w:ind w:right="120" w:firstLine="428"/>
        <w:spacing w:after="0" w:line="246" w:lineRule="auto"/>
        <w:rPr>
          <w:sz w:val="20"/>
          <w:szCs w:val="20"/>
          <w:color w:val="auto"/>
        </w:rPr>
      </w:pPr>
      <w:r>
        <w:rPr>
          <w:rFonts w:ascii="Arial" w:cs="Arial" w:eastAsia="Arial" w:hAnsi="Arial"/>
          <w:sz w:val="18"/>
          <w:szCs w:val="18"/>
          <w:color w:val="auto"/>
        </w:rPr>
        <w:t>Net income attributable to controlling interest was $2.8 million, in the three months ended October 31, 2021 compared to net income of $0.9 million in the three months ended November 1, 2020, due to the factors discussed above.</w:t>
      </w:r>
    </w:p>
    <w:p>
      <w:pPr>
        <w:spacing w:after="0" w:line="125" w:lineRule="exact"/>
        <w:rPr>
          <w:sz w:val="20"/>
          <w:szCs w:val="20"/>
          <w:color w:val="auto"/>
        </w:rPr>
      </w:pPr>
    </w:p>
    <w:p>
      <w:pPr>
        <w:ind w:right="4280"/>
        <w:spacing w:after="0" w:line="432" w:lineRule="auto"/>
        <w:rPr>
          <w:sz w:val="20"/>
          <w:szCs w:val="20"/>
          <w:color w:val="auto"/>
        </w:rPr>
      </w:pPr>
      <w:r>
        <w:rPr>
          <w:rFonts w:ascii="Arial" w:cs="Arial" w:eastAsia="Arial" w:hAnsi="Arial"/>
          <w:sz w:val="18"/>
          <w:szCs w:val="18"/>
          <w:b w:val="1"/>
          <w:bCs w:val="1"/>
          <w:color w:val="auto"/>
        </w:rPr>
        <w:t xml:space="preserve">Nine Months Ended October 31, 2021 Compared to Nine Months Ended November 1, 2020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260" w:firstLine="428"/>
        <w:spacing w:after="0" w:line="307" w:lineRule="auto"/>
        <w:rPr>
          <w:sz w:val="20"/>
          <w:szCs w:val="20"/>
          <w:color w:val="auto"/>
        </w:rPr>
      </w:pPr>
      <w:r>
        <w:rPr>
          <w:rFonts w:ascii="Arial" w:cs="Arial" w:eastAsia="Arial" w:hAnsi="Arial"/>
          <w:sz w:val="16"/>
          <w:szCs w:val="16"/>
          <w:color w:val="auto"/>
        </w:rPr>
        <w:t>Net sales increased $45.0 million, or 11.8%, to $427.8 million in the nine months ended October 31, 2021 compared to $382.8 million in the nine months ended November 1, 2020. The increase was also due to an increase in store market sales, partially offset by a decrease in non-store market sales.</w:t>
      </w:r>
    </w:p>
    <w:p>
      <w:pPr>
        <w:spacing w:after="0" w:line="83" w:lineRule="exact"/>
        <w:rPr>
          <w:sz w:val="20"/>
          <w:szCs w:val="20"/>
          <w:color w:val="auto"/>
        </w:rPr>
      </w:pPr>
    </w:p>
    <w:p>
      <w:pPr>
        <w:ind w:right="20" w:firstLine="428"/>
        <w:spacing w:after="0"/>
        <w:rPr>
          <w:sz w:val="20"/>
          <w:szCs w:val="20"/>
          <w:color w:val="auto"/>
        </w:rPr>
      </w:pPr>
      <w:r>
        <w:rPr>
          <w:rFonts w:ascii="Arial" w:cs="Arial" w:eastAsia="Arial" w:hAnsi="Arial"/>
          <w:sz w:val="17"/>
          <w:szCs w:val="17"/>
          <w:color w:val="auto"/>
        </w:rPr>
        <w:t>Store market sales increased $49.7 million, or 19.9%, to $300.0 million in the nine months ended October 31, 2021 compared to $250.3 million in the nine months ended November 1, 2020. The year-over-year sales difference was driven by temporary store closures in fiscal 2020 beginning on March 20, 2020 through the third week of June, as well as growth in online sales from both existing customers and new buyers. Non-store market sales decreased $5.0 million, or 3.9%, to $123.8 million in the nine months ended October 31, 2021 compared to $128.8 million in the nine months ended November 1, 2020 also due to heavy volume in the prior year as customer purchasing patterns migrating online, coupled with extended free shipping offers, higher promotions and deeper investments in digital prospecting in the prior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200" w:firstLine="648"/>
        <w:spacing w:after="0" w:line="266" w:lineRule="auto"/>
        <w:rPr>
          <w:sz w:val="20"/>
          <w:szCs w:val="20"/>
          <w:color w:val="auto"/>
        </w:rPr>
      </w:pPr>
      <w:r>
        <w:rPr>
          <w:rFonts w:ascii="Arial" w:cs="Arial" w:eastAsia="Arial" w:hAnsi="Arial"/>
          <w:sz w:val="16"/>
          <w:szCs w:val="16"/>
          <w:color w:val="auto"/>
        </w:rPr>
        <w:t>Gross profit increased $35.8 million, or 18.3%, to $231.6 million in the nine months ended October 31, 2021 compared to $195.8 million in the nine months ended November 1, 2020. As a percentage of net sales, gross margin increased to 54.1% of net sales in the nine months ended October 31, 2021, compared to 51.2% of net sales in the nine months ended November 1, 2020. The increase in gross margin rate was driven by a higher mix of full price sales due to lower clearance inventory and fewer promotional events, as well as improved gross margin rates on both full price and clearance items.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firstLine="428"/>
        <w:spacing w:after="0" w:line="222" w:lineRule="auto"/>
        <w:rPr>
          <w:sz w:val="20"/>
          <w:szCs w:val="20"/>
          <w:color w:val="auto"/>
        </w:rPr>
      </w:pPr>
      <w:r>
        <w:rPr>
          <w:rFonts w:ascii="Arial" w:cs="Arial" w:eastAsia="Arial" w:hAnsi="Arial"/>
          <w:sz w:val="18"/>
          <w:szCs w:val="18"/>
          <w:color w:val="auto"/>
        </w:rPr>
        <w:t>Selling, general and administrative expenses increased $9.6 million, or 4.8%, to $211.8 million in the nine months ended October 31, 2021 compared to $202.2 million in the nine months ended November 1, 2020. Selling, general and administrative expenses as a percentage of net sales decreased to 49.5% in the nine months ended October 31, 2021, compared to 52.8% in the nine months ended November 1, 2020. The positive leverage was primarily due to shifting to a more efficient digital marketing approach, as well as lower shipping expenses driven in part by a shift in channel mix resulting from higher store traffic during the current year.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100" w:firstLine="428"/>
        <w:spacing w:after="0" w:line="235" w:lineRule="auto"/>
        <w:rPr>
          <w:sz w:val="20"/>
          <w:szCs w:val="20"/>
          <w:color w:val="auto"/>
        </w:rPr>
      </w:pPr>
      <w:r>
        <w:rPr>
          <w:rFonts w:ascii="Arial" w:cs="Arial" w:eastAsia="Arial" w:hAnsi="Arial"/>
          <w:sz w:val="18"/>
          <w:szCs w:val="18"/>
          <w:color w:val="auto"/>
        </w:rPr>
        <w:t>The increase in selling, general and administrative expense was primarily due to increased wages due to Company retail locations being open for the full fiscal year, wage increases at both the stores and distribution centers, as well as increased depreciation expense associated with investments in technology.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20" w:firstLine="428"/>
        <w:spacing w:after="0" w:line="235" w:lineRule="auto"/>
        <w:rPr>
          <w:sz w:val="20"/>
          <w:szCs w:val="20"/>
          <w:color w:val="auto"/>
        </w:rPr>
      </w:pPr>
      <w:r>
        <w:rPr>
          <w:rFonts w:ascii="Arial" w:cs="Arial" w:eastAsia="Arial" w:hAnsi="Arial"/>
          <w:sz w:val="18"/>
          <w:szCs w:val="18"/>
          <w:color w:val="auto"/>
        </w:rPr>
        <w:t>Income tax expense was $4.0 million in the nine months ended October 31, 2021, compared to an income tax benefit of $2.8 million in the nine months ended November 1, 2020. The effective tax rate related to controlling interest was 25% for the nine months ended October 31, 2021 compared to 26% for the nine months ended November 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Controlling Interest</w:t>
      </w:r>
    </w:p>
    <w:p>
      <w:pPr>
        <w:spacing w:after="0" w:line="158" w:lineRule="exact"/>
        <w:rPr>
          <w:sz w:val="20"/>
          <w:szCs w:val="20"/>
          <w:color w:val="auto"/>
        </w:rPr>
      </w:pPr>
    </w:p>
    <w:p>
      <w:pPr>
        <w:ind w:right="20" w:firstLine="428"/>
        <w:spacing w:after="0" w:line="246" w:lineRule="auto"/>
        <w:rPr>
          <w:sz w:val="20"/>
          <w:szCs w:val="20"/>
          <w:color w:val="auto"/>
        </w:rPr>
      </w:pPr>
      <w:r>
        <w:rPr>
          <w:rFonts w:ascii="Arial" w:cs="Arial" w:eastAsia="Arial" w:hAnsi="Arial"/>
          <w:sz w:val="18"/>
          <w:szCs w:val="18"/>
          <w:color w:val="auto"/>
        </w:rPr>
        <w:t>Net income attributable to controlling interest was $12.3 million, in the nine months ended October 31, 2021 compared to a net loss of $8.3 million in the nine months ended November 1, 2020,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to EBITDA and EBITDA to Adjusted EBITDA</w:t>
      </w:r>
    </w:p>
    <w:p>
      <w:pPr>
        <w:spacing w:after="0" w:line="162" w:lineRule="exact"/>
        <w:rPr>
          <w:sz w:val="20"/>
          <w:szCs w:val="20"/>
          <w:color w:val="auto"/>
        </w:rPr>
      </w:pPr>
    </w:p>
    <w:p>
      <w:pPr>
        <w:jc w:val="both"/>
        <w:ind w:right="100" w:firstLine="428"/>
        <w:spacing w:after="0" w:line="235" w:lineRule="auto"/>
        <w:rPr>
          <w:sz w:val="20"/>
          <w:szCs w:val="20"/>
          <w:color w:val="auto"/>
        </w:rPr>
      </w:pPr>
      <w:r>
        <w:rPr>
          <w:rFonts w:ascii="Arial" w:cs="Arial" w:eastAsia="Arial" w:hAnsi="Arial"/>
          <w:sz w:val="18"/>
          <w:szCs w:val="18"/>
          <w:color w:val="auto"/>
        </w:rPr>
        <w:t>The following table presents reconciliations of net income (loss)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87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2021</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1, 2020</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November 1, 2020</w:t>
            </w:r>
          </w:p>
        </w:tc>
      </w:tr>
      <w:tr>
        <w:trPr>
          <w:trHeight w:val="196"/>
        </w:trPr>
        <w:tc>
          <w:tcPr>
            <w:tcW w:w="4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12,209</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21,209</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internal-use software hosting</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subscription implementation costs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r>
      <w:tr>
        <w:trPr>
          <w:trHeight w:val="242"/>
        </w:trPr>
        <w:tc>
          <w:tcPr>
            <w:tcW w:w="4680" w:type="dxa"/>
            <w:vAlign w:val="bottom"/>
          </w:tcPr>
          <w:p>
            <w:pPr>
              <w:ind w:left="120"/>
              <w:spacing w:after="0"/>
              <w:rPr>
                <w:sz w:val="20"/>
                <w:szCs w:val="20"/>
                <w:color w:val="auto"/>
              </w:rPr>
            </w:pPr>
            <w:r>
              <w:rPr>
                <w:rFonts w:ascii="Arial" w:cs="Arial" w:eastAsia="Arial" w:hAnsi="Arial"/>
                <w:sz w:val="18"/>
                <w:szCs w:val="18"/>
                <w:color w:val="auto"/>
              </w:rPr>
              <w:t>Amortization of build-to-suit operating leases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7"/>
        </w:trPr>
        <w:tc>
          <w:tcPr>
            <w:tcW w:w="4680" w:type="dxa"/>
            <w:vAlign w:val="bottom"/>
          </w:tcPr>
          <w:p>
            <w:pPr>
              <w:ind w:left="120"/>
              <w:spacing w:after="0"/>
              <w:rPr>
                <w:sz w:val="20"/>
                <w:szCs w:val="20"/>
                <w:color w:val="auto"/>
              </w:rPr>
            </w:pPr>
            <w:r>
              <w:rPr>
                <w:rFonts w:ascii="Arial" w:cs="Arial" w:eastAsia="Arial" w:hAnsi="Arial"/>
                <w:sz w:val="18"/>
                <w:szCs w:val="18"/>
                <w:color w:val="auto"/>
              </w:rPr>
              <w:t>capital contribution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12,575</w:t>
            </w:r>
          </w:p>
        </w:tc>
        <w:tc>
          <w:tcPr>
            <w:tcW w:w="1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11,051</w:t>
            </w:r>
          </w:p>
        </w:tc>
        <w:tc>
          <w:tcPr>
            <w:tcW w:w="1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43,316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15,367</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183"/>
        </w:trPr>
        <w:tc>
          <w:tcPr>
            <w:tcW w:w="46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13,180</w:t>
            </w: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11,433</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44,928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16,630</w:t>
            </w: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firstLine="428"/>
        <w:spacing w:after="0" w:line="231" w:lineRule="auto"/>
        <w:rPr>
          <w:sz w:val="20"/>
          <w:szCs w:val="20"/>
          <w:color w:val="auto"/>
        </w:rPr>
      </w:pPr>
      <w:r>
        <w:rPr>
          <w:rFonts w:ascii="Arial" w:cs="Arial" w:eastAsia="Arial" w:hAnsi="Arial"/>
          <w:sz w:val="18"/>
          <w:szCs w:val="18"/>
          <w:color w:val="auto"/>
        </w:rPr>
        <w:t>As a result of the factors discussed above in the “Results of Operations” section, Adjusted EBITDA increased $1.8 million to $13.2 million in the three months ended October 31, 2021 compared to $11.4 million in the three months ended November 1, 2020. As a percentage of net sales, Adjusted EBITDA increased to 9.1% of net sales in the three months ended October 31, 2021 compared to 8.4% of net sales in the three months ended November 1, 2020.</w:t>
      </w:r>
    </w:p>
    <w:p>
      <w:pPr>
        <w:spacing w:after="0" w:line="135" w:lineRule="exact"/>
        <w:rPr>
          <w:sz w:val="20"/>
          <w:szCs w:val="20"/>
          <w:color w:val="auto"/>
        </w:rPr>
      </w:pPr>
    </w:p>
    <w:p>
      <w:pPr>
        <w:ind w:right="100" w:firstLine="428"/>
        <w:spacing w:after="0" w:line="231" w:lineRule="auto"/>
        <w:rPr>
          <w:sz w:val="20"/>
          <w:szCs w:val="20"/>
          <w:color w:val="auto"/>
        </w:rPr>
      </w:pPr>
      <w:r>
        <w:rPr>
          <w:rFonts w:ascii="Arial" w:cs="Arial" w:eastAsia="Arial" w:hAnsi="Arial"/>
          <w:sz w:val="18"/>
          <w:szCs w:val="18"/>
          <w:color w:val="auto"/>
        </w:rPr>
        <w:t>As a result of the factors discussed above in the “Results of Operations” section, Adjusted EBITDA increased $28.3 million to $44.9 million in the nine months ended October 31, 2021 compared to $16.6 million in the nine months ended November 1, 2020. As a percentage of net sales, Adjusted EBITDA increased to 10.5% of net sales in the nine months ended October 31, 2021 compared to 4.3% of net sales in the nine months ended November 1, 2020.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right="80" w:firstLine="428"/>
        <w:spacing w:after="0" w:line="231" w:lineRule="auto"/>
        <w:rPr>
          <w:sz w:val="20"/>
          <w:szCs w:val="20"/>
          <w:color w:val="auto"/>
        </w:rPr>
      </w:pPr>
      <w:r>
        <w:rPr>
          <w:rFonts w:ascii="Arial" w:cs="Arial" w:eastAsia="Arial" w:hAnsi="Arial"/>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 infrastructure, information technology, and opening new stores. The most significant components of our working capital are cash, inventory, accounts payable and other current liabilities. At October 31, 2021, our net working capital was $89.9 million, including $20.4 million of cash and cash equivalents.</w:t>
      </w:r>
    </w:p>
    <w:p>
      <w:pPr>
        <w:spacing w:after="0" w:line="148" w:lineRule="exact"/>
        <w:rPr>
          <w:sz w:val="20"/>
          <w:szCs w:val="20"/>
          <w:color w:val="auto"/>
        </w:rPr>
      </w:pPr>
    </w:p>
    <w:p>
      <w:pPr>
        <w:ind w:right="100" w:firstLine="428"/>
        <w:spacing w:after="0" w:line="225" w:lineRule="auto"/>
        <w:rPr>
          <w:sz w:val="20"/>
          <w:szCs w:val="20"/>
          <w:color w:val="auto"/>
        </w:rPr>
      </w:pPr>
      <w:r>
        <w:rPr>
          <w:rFonts w:ascii="Arial" w:cs="Arial" w:eastAsia="Arial" w:hAnsi="Arial"/>
          <w:sz w:val="18"/>
          <w:szCs w:val="18"/>
          <w:color w:val="auto"/>
        </w:rPr>
        <w:t>We expect to spend approximately $18.5 million in fiscal 2021 on capital expenditures, inclusive of software hosting implementation costs. Capital expenditures includes a total of approximately $16.4 million related to investments in technology and $2.1 million for the one planned new retail store that opened in the third quarter. Due to the seasonality of our business, 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significant amount of cash from operating activities is generated during the fourth quarter of our fiscal year. We also use cash in our investing activities for capital expenditures throughout all four quarters of our fiscal year.</w:t>
      </w:r>
    </w:p>
    <w:p>
      <w:pPr>
        <w:spacing w:after="0" w:line="129" w:lineRule="exact"/>
        <w:rPr>
          <w:sz w:val="20"/>
          <w:szCs w:val="20"/>
          <w:color w:val="auto"/>
        </w:rPr>
      </w:pPr>
    </w:p>
    <w:p>
      <w:pPr>
        <w:ind w:right="60" w:firstLine="428"/>
        <w:spacing w:after="0" w:line="246" w:lineRule="auto"/>
        <w:rPr>
          <w:sz w:val="20"/>
          <w:szCs w:val="20"/>
          <w:color w:val="auto"/>
        </w:rPr>
      </w:pPr>
      <w:r>
        <w:rPr>
          <w:rFonts w:ascii="Arial" w:cs="Arial" w:eastAsia="Arial" w:hAnsi="Arial"/>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5"/>
          </w:tcPr>
          <w:p>
            <w:pPr>
              <w:jc w:val="right"/>
              <w:ind w:right="137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7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31, 2021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334"/>
              <w:spacing w:after="0"/>
              <w:rPr>
                <w:sz w:val="20"/>
                <w:szCs w:val="20"/>
                <w:color w:val="auto"/>
              </w:rPr>
            </w:pPr>
            <w:r>
              <w:rPr>
                <w:rFonts w:ascii="Arial" w:cs="Arial" w:eastAsia="Arial" w:hAnsi="Arial"/>
                <w:sz w:val="14"/>
                <w:szCs w:val="14"/>
                <w:b w:val="1"/>
                <w:bCs w:val="1"/>
                <w:color w:val="auto"/>
              </w:rPr>
              <w:t>November 1, 2020</w:t>
            </w:r>
          </w:p>
        </w:tc>
      </w:tr>
      <w:tr>
        <w:trPr>
          <w:trHeight w:val="250"/>
        </w:trPr>
        <w:tc>
          <w:tcPr>
            <w:tcW w:w="7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32,758</w:t>
            </w:r>
          </w:p>
        </w:tc>
        <w:tc>
          <w:tcPr>
            <w:tcW w:w="3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(28,614)</w:t>
            </w: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(8,945)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(11,483)</w:t>
            </w:r>
          </w:p>
        </w:tc>
      </w:tr>
      <w:tr>
        <w:trPr>
          <w:trHeight w:val="22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(50,644)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50,657</w:t>
            </w:r>
          </w:p>
        </w:tc>
      </w:tr>
      <w:tr>
        <w:trPr>
          <w:trHeight w:val="196"/>
        </w:trPr>
        <w:tc>
          <w:tcPr>
            <w:tcW w:w="7080" w:type="dxa"/>
            <w:vAlign w:val="bottom"/>
          </w:tcPr>
          <w:p>
            <w:pPr>
              <w:spacing w:after="0" w:line="196" w:lineRule="exact"/>
              <w:rPr>
                <w:sz w:val="20"/>
                <w:szCs w:val="20"/>
                <w:color w:val="auto"/>
              </w:rPr>
            </w:pPr>
            <w:r>
              <w:rPr>
                <w:rFonts w:ascii="Arial" w:cs="Arial" w:eastAsia="Arial" w:hAnsi="Arial"/>
                <w:sz w:val="18"/>
                <w:szCs w:val="18"/>
                <w:color w:val="auto"/>
              </w:rPr>
              <w:t>(Decrease) increase in cash, cash equivalents</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(26,831)</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10,560</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71"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29" w:lineRule="exact"/>
        <w:rPr>
          <w:sz w:val="20"/>
          <w:szCs w:val="20"/>
          <w:color w:val="auto"/>
        </w:rPr>
      </w:pPr>
    </w:p>
    <w:p>
      <w:pPr>
        <w:ind w:right="60" w:firstLine="428"/>
        <w:spacing w:after="0" w:line="246" w:lineRule="auto"/>
        <w:rPr>
          <w:sz w:val="20"/>
          <w:szCs w:val="20"/>
          <w:color w:val="auto"/>
        </w:rPr>
      </w:pPr>
      <w:r>
        <w:rPr>
          <w:rFonts w:ascii="Arial" w:cs="Arial" w:eastAsia="Arial" w:hAnsi="Arial"/>
          <w:sz w:val="17"/>
          <w:szCs w:val="17"/>
          <w:color w:val="auto"/>
        </w:rPr>
        <w:t>For the nine months ended October 31, 2021, net cash provided by operating activities was $32.8 million, which primarily consisted of net income of $12.2 million, non-cash depreciation and amortization of $21.8 million, and cash used in operating assets and liabilities of $3.0 million. The cash used in operating assets and liabilities of $3.0 million primarily consisted of a $16.0 million increase in inventory and a $7.6 million decrease in income taxes payable offset by a $4.1 million increase in accrued expenses and a $24.9 million increase in trade accounts payable.</w:t>
      </w:r>
    </w:p>
    <w:p>
      <w:pPr>
        <w:spacing w:after="0" w:line="130" w:lineRule="exact"/>
        <w:rPr>
          <w:sz w:val="20"/>
          <w:szCs w:val="20"/>
          <w:color w:val="auto"/>
        </w:rPr>
      </w:pPr>
    </w:p>
    <w:p>
      <w:pPr>
        <w:ind w:right="60" w:firstLine="428"/>
        <w:spacing w:after="0" w:line="266" w:lineRule="auto"/>
        <w:rPr>
          <w:sz w:val="20"/>
          <w:szCs w:val="20"/>
          <w:color w:val="auto"/>
        </w:rPr>
      </w:pPr>
      <w:r>
        <w:rPr>
          <w:rFonts w:ascii="Arial" w:cs="Arial" w:eastAsia="Arial" w:hAnsi="Arial"/>
          <w:sz w:val="16"/>
          <w:szCs w:val="16"/>
          <w:color w:val="auto"/>
        </w:rPr>
        <w:t>For the nine months ended November 1, 2020, net cash used in operating activities was $28.6 million, which consisted of net loss of $8.4 million and cash used in operating assets and liabilities of $46.5 million, partially offset by non-cash depreciation and amortization of $21.2 million, stock based compensation of $1.3 million and deferred income taxes of $3.5 million. The cash used in operating assets and liabilities of $46.5 million primarily consisted of a $65.6 million increase in inventory in advance of our peak season, partially offset by a $21.4 million increase in trade accounts payable.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58"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Investing activities consist primarily of capital expenditures for growth related to investments in infrastructure, information technology, and new store openings.</w:t>
      </w:r>
    </w:p>
    <w:p>
      <w:pPr>
        <w:spacing w:after="0" w:line="129" w:lineRule="exact"/>
        <w:rPr>
          <w:sz w:val="20"/>
          <w:szCs w:val="20"/>
          <w:color w:val="auto"/>
        </w:rPr>
      </w:pPr>
    </w:p>
    <w:p>
      <w:pPr>
        <w:ind w:right="140" w:firstLine="428"/>
        <w:spacing w:after="0" w:line="246" w:lineRule="auto"/>
        <w:rPr>
          <w:sz w:val="20"/>
          <w:szCs w:val="20"/>
          <w:color w:val="auto"/>
        </w:rPr>
      </w:pPr>
      <w:r>
        <w:rPr>
          <w:rFonts w:ascii="Arial" w:cs="Arial" w:eastAsia="Arial" w:hAnsi="Arial"/>
          <w:sz w:val="18"/>
          <w:szCs w:val="18"/>
          <w:color w:val="auto"/>
        </w:rPr>
        <w:t>For the nine months ended October 31, 2021, net cash used in investing activities was $8.9 million and was primarily driven by capital expenditures of $9.1 million for a new distribution center and one new retail store, as well as investments in information technology.</w:t>
      </w:r>
    </w:p>
    <w:p>
      <w:pPr>
        <w:spacing w:after="0" w:line="143" w:lineRule="exact"/>
        <w:rPr>
          <w:sz w:val="20"/>
          <w:szCs w:val="20"/>
          <w:color w:val="auto"/>
        </w:rPr>
      </w:pPr>
    </w:p>
    <w:p>
      <w:pPr>
        <w:ind w:right="940" w:firstLine="428"/>
        <w:spacing w:after="0" w:line="246" w:lineRule="auto"/>
        <w:rPr>
          <w:sz w:val="20"/>
          <w:szCs w:val="20"/>
          <w:color w:val="auto"/>
        </w:rPr>
      </w:pPr>
      <w:r>
        <w:rPr>
          <w:rFonts w:ascii="Arial" w:cs="Arial" w:eastAsia="Arial" w:hAnsi="Arial"/>
          <w:sz w:val="18"/>
          <w:szCs w:val="18"/>
          <w:color w:val="auto"/>
        </w:rPr>
        <w:t>For the nine months ended November 1, 2020, net cash used in investing activities was $11.5 million and was primarily driven by capital expenditures of $11.1 million for new retail stores, as well as investments in information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58" w:lineRule="exact"/>
        <w:rPr>
          <w:sz w:val="20"/>
          <w:szCs w:val="20"/>
          <w:color w:val="auto"/>
        </w:rPr>
      </w:pPr>
    </w:p>
    <w:p>
      <w:pPr>
        <w:ind w:right="720" w:firstLine="428"/>
        <w:spacing w:after="0" w:line="246"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 as well as payments on finance lease obligations.</w:t>
      </w:r>
    </w:p>
    <w:p>
      <w:pPr>
        <w:spacing w:after="0" w:line="143" w:lineRule="exact"/>
        <w:rPr>
          <w:sz w:val="20"/>
          <w:szCs w:val="20"/>
          <w:color w:val="auto"/>
        </w:rPr>
      </w:pPr>
    </w:p>
    <w:p>
      <w:pPr>
        <w:ind w:right="400" w:firstLine="428"/>
        <w:spacing w:after="0" w:line="246" w:lineRule="auto"/>
        <w:rPr>
          <w:sz w:val="20"/>
          <w:szCs w:val="20"/>
          <w:color w:val="auto"/>
        </w:rPr>
      </w:pPr>
      <w:r>
        <w:rPr>
          <w:rFonts w:ascii="Arial" w:cs="Arial" w:eastAsia="Arial" w:hAnsi="Arial"/>
          <w:sz w:val="18"/>
          <w:szCs w:val="18"/>
          <w:color w:val="auto"/>
        </w:rPr>
        <w:t>For the nine months ended October 31, 2021, net cash used in financing activities was $50.6 million, primarily consisting of the full paydown of Duluth’s debt.</w:t>
      </w:r>
    </w:p>
    <w:p>
      <w:pPr>
        <w:spacing w:after="0" w:line="129" w:lineRule="exact"/>
        <w:rPr>
          <w:sz w:val="20"/>
          <w:szCs w:val="20"/>
          <w:color w:val="auto"/>
        </w:rPr>
      </w:pPr>
    </w:p>
    <w:p>
      <w:pPr>
        <w:ind w:right="100" w:firstLine="428"/>
        <w:spacing w:after="0" w:line="228" w:lineRule="auto"/>
        <w:rPr>
          <w:sz w:val="20"/>
          <w:szCs w:val="20"/>
          <w:color w:val="auto"/>
        </w:rPr>
      </w:pPr>
      <w:r>
        <w:rPr>
          <w:rFonts w:ascii="Arial" w:cs="Arial" w:eastAsia="Arial" w:hAnsi="Arial"/>
          <w:sz w:val="18"/>
          <w:szCs w:val="18"/>
          <w:color w:val="auto"/>
        </w:rPr>
        <w:t>For the nine months ended November 1, 2020, net cash provided by financing activities was $50.7 million, primarily consisting of proceeds of $28.9 million, net from our term loan and proceeds of $23.7 million, net from our revolving line of credit to fund working capital.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right="400" w:firstLine="428"/>
        <w:spacing w:after="0" w:line="246"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75" w:lineRule="exact"/>
        <w:rPr>
          <w:sz w:val="20"/>
          <w:szCs w:val="20"/>
          <w:color w:val="auto"/>
        </w:rPr>
      </w:pPr>
    </w:p>
    <w:p>
      <w:pPr>
        <w:ind w:right="240" w:firstLine="428"/>
        <w:spacing w:after="0" w:line="261"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the date of this filing, there were no significant changes to any of the critical accounting policies and estimates described in our 2020 Form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There have been no significant changes in the market risks described in our 2020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firstLine="428"/>
        <w:spacing w:after="0" w:line="228" w:lineRule="auto"/>
        <w:rPr>
          <w:sz w:val="20"/>
          <w:szCs w:val="20"/>
          <w:color w:val="auto"/>
        </w:rPr>
      </w:pPr>
      <w:r>
        <w:rPr>
          <w:rFonts w:ascii="Arial" w:cs="Arial" w:eastAsia="Arial" w:hAnsi="Arial"/>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20" w:firstLine="428"/>
        <w:spacing w:after="0" w:line="235" w:lineRule="auto"/>
        <w:rPr>
          <w:sz w:val="20"/>
          <w:szCs w:val="20"/>
          <w:color w:val="auto"/>
        </w:rPr>
      </w:pPr>
      <w:r>
        <w:rPr>
          <w:rFonts w:ascii="Arial" w:cs="Arial" w:eastAsia="Arial" w:hAnsi="Arial"/>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right="160" w:firstLine="428"/>
        <w:spacing w:after="0" w:line="231"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2020 Form 10-K, or other SEC filings. There have been no material changes to our risk factors as previously disclosed in our fiscal 2020 Annual Report on Form 10-K.</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sell any equity securities during the quarter ended October 31, 2021, which were not registered under the Securities Act.</w:t>
      </w:r>
    </w:p>
    <w:p>
      <w:pPr>
        <w:spacing w:after="0" w:line="171" w:lineRule="exact"/>
        <w:rPr>
          <w:sz w:val="20"/>
          <w:szCs w:val="20"/>
          <w:color w:val="auto"/>
        </w:rPr>
      </w:pPr>
    </w:p>
    <w:p>
      <w:pPr>
        <w:ind w:right="600" w:firstLine="492"/>
        <w:spacing w:after="0" w:line="246" w:lineRule="auto"/>
        <w:rPr>
          <w:sz w:val="20"/>
          <w:szCs w:val="20"/>
          <w:color w:val="auto"/>
        </w:rPr>
      </w:pPr>
      <w:r>
        <w:rPr>
          <w:rFonts w:ascii="Arial" w:cs="Arial" w:eastAsia="Arial" w:hAnsi="Arial"/>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October 31, 2021.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Arial" w:cs="Arial" w:eastAsia="Arial" w:hAnsi="Arial"/>
                <w:sz w:val="14"/>
                <w:szCs w:val="14"/>
                <w:b w:val="1"/>
                <w:bCs w:val="1"/>
                <w:color w:val="auto"/>
                <w:w w:val="91"/>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 price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purchased under the</w:t>
            </w:r>
          </w:p>
        </w:tc>
      </w:tr>
      <w:tr>
        <w:trPr>
          <w:trHeight w:val="188"/>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per share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or programs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plans or programs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 2021 - August 29, 2021</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gridSpan w:val="2"/>
          </w:tcPr>
          <w:p>
            <w:pPr>
              <w:spacing w:after="0"/>
              <w:rPr>
                <w:sz w:val="20"/>
                <w:szCs w:val="20"/>
                <w:color w:val="auto"/>
              </w:rPr>
            </w:pPr>
            <w:r>
              <w:rPr>
                <w:rFonts w:ascii="Arial" w:cs="Arial" w:eastAsia="Arial" w:hAnsi="Arial"/>
                <w:sz w:val="18"/>
                <w:szCs w:val="18"/>
                <w:color w:val="auto"/>
              </w:rPr>
              <w:t>August 30, 2021 - October 3, 2021</w:t>
            </w:r>
          </w:p>
        </w:tc>
        <w:tc>
          <w:tcPr>
            <w:tcW w:w="130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4, 2021 - October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4"/>
        </w:trPr>
        <w:tc>
          <w:tcPr>
            <w:tcW w:w="3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w:t>
            </w:r>
          </w:p>
        </w:tc>
      </w:tr>
      <w:tr>
        <w:trPr>
          <w:trHeight w:val="931"/>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7"/>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80" w:type="dxa"/>
            <w:vAlign w:val="bottom"/>
            <w:gridSpan w:val="4"/>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7"/>
        </w:trPr>
        <w:tc>
          <w:tcPr>
            <w:tcW w:w="1096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0" w:type="dxa"/>
            <w:vAlign w:val="bottom"/>
          </w:tcPr>
          <w:p>
            <w:pPr>
              <w:spacing w:after="0"/>
              <w:rPr>
                <w:sz w:val="1"/>
                <w:szCs w:val="1"/>
                <w:color w:val="auto"/>
              </w:rPr>
            </w:pPr>
          </w:p>
        </w:tc>
      </w:tr>
      <w:tr>
        <w:trPr>
          <w:trHeight w:val="176"/>
        </w:trPr>
        <w:tc>
          <w:tcPr>
            <w:tcW w:w="700" w:type="dxa"/>
            <w:vAlign w:val="bottom"/>
          </w:tcPr>
          <w:p>
            <w:pPr>
              <w:spacing w:after="0" w:line="157" w:lineRule="exact"/>
              <w:rPr>
                <w:sz w:val="20"/>
                <w:szCs w:val="20"/>
                <w:color w:val="auto"/>
              </w:rPr>
            </w:pPr>
            <w:r>
              <w:rPr>
                <w:rFonts w:ascii="Arial" w:cs="Arial" w:eastAsia="Arial" w:hAnsi="Arial"/>
                <w:sz w:val="18"/>
                <w:szCs w:val="18"/>
                <w:color w:val="auto"/>
              </w:rPr>
              <w:t>31.1</w:t>
            </w:r>
          </w:p>
        </w:tc>
        <w:tc>
          <w:tcPr>
            <w:tcW w:w="580" w:type="dxa"/>
            <w:vAlign w:val="bottom"/>
          </w:tcPr>
          <w:p>
            <w:pPr>
              <w:spacing w:after="0"/>
              <w:rPr>
                <w:sz w:val="15"/>
                <w:szCs w:val="15"/>
                <w:color w:val="auto"/>
              </w:rPr>
            </w:pPr>
          </w:p>
        </w:tc>
        <w:tc>
          <w:tcPr>
            <w:tcW w:w="9680" w:type="dxa"/>
            <w:vAlign w:val="bottom"/>
            <w:gridSpan w:val="4"/>
          </w:tcPr>
          <w:p>
            <w:pPr>
              <w:spacing w:after="0" w:line="156" w:lineRule="exact"/>
              <w:rPr>
                <w:rFonts w:ascii="Arial" w:cs="Arial" w:eastAsia="Arial" w:hAnsi="Arial"/>
                <w:sz w:val="16"/>
                <w:szCs w:val="16"/>
                <w:color w:val="0000FF"/>
                <w:w w:val="99"/>
              </w:rPr>
            </w:pPr>
            <w:hyperlink w:anchor="page32">
              <w:r>
                <w:rPr>
                  <w:rFonts w:ascii="Arial" w:cs="Arial" w:eastAsia="Arial" w:hAnsi="Arial"/>
                  <w:sz w:val="16"/>
                  <w:szCs w:val="16"/>
                  <w:color w:val="0000FF"/>
                  <w:w w:val="99"/>
                </w:rPr>
                <w:t>Certification of Chief Executive Officer pursuant to Rule 13a-14(a) and Rule 15d-14(a) of the Securities and Exchange Act, as amended.</w:t>
              </w:r>
            </w:hyperlink>
            <w:r>
              <w:rPr>
                <w:rFonts w:ascii="Arial" w:cs="Arial" w:eastAsia="Arial" w:hAnsi="Arial"/>
                <w:sz w:val="16"/>
                <w:szCs w:val="16"/>
                <w:color w:val="000000"/>
                <w:w w:val="99"/>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31.2</w:t>
            </w:r>
          </w:p>
        </w:tc>
        <w:tc>
          <w:tcPr>
            <w:tcW w:w="580" w:type="dxa"/>
            <w:vAlign w:val="bottom"/>
          </w:tcPr>
          <w:p>
            <w:pPr>
              <w:spacing w:after="0" w:line="20" w:lineRule="exact"/>
              <w:rPr>
                <w:sz w:val="1"/>
                <w:szCs w:val="1"/>
                <w:color w:val="auto"/>
              </w:rPr>
            </w:pPr>
          </w:p>
        </w:tc>
        <w:tc>
          <w:tcPr>
            <w:tcW w:w="88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gridSpan w:val="4"/>
          </w:tcPr>
          <w:p>
            <w:pPr>
              <w:spacing w:after="0" w:line="155" w:lineRule="exact"/>
              <w:rPr>
                <w:rFonts w:ascii="Arial" w:cs="Arial" w:eastAsia="Arial" w:hAnsi="Arial"/>
                <w:sz w:val="16"/>
                <w:szCs w:val="16"/>
                <w:color w:val="0000FF"/>
                <w:w w:val="94"/>
              </w:rPr>
            </w:pPr>
            <w:hyperlink w:anchor="page33">
              <w:r>
                <w:rPr>
                  <w:rFonts w:ascii="Arial" w:cs="Arial" w:eastAsia="Arial" w:hAnsi="Arial"/>
                  <w:sz w:val="16"/>
                  <w:szCs w:val="16"/>
                  <w:color w:val="0000FF"/>
                  <w:w w:val="94"/>
                </w:rPr>
                <w:t>Certification of Chief Financial Officer pursuant to Rule 13a-14(a) and Rule 15d-14(a) of the Securities and Exchange Act of 1934, as amended.</w:t>
              </w:r>
            </w:hyperlink>
            <w:r>
              <w:rPr>
                <w:rFonts w:ascii="Arial" w:cs="Arial" w:eastAsia="Arial" w:hAnsi="Arial"/>
                <w:sz w:val="16"/>
                <w:szCs w:val="16"/>
                <w:color w:val="000000"/>
                <w:w w:val="94"/>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32.1</w:t>
            </w:r>
          </w:p>
        </w:tc>
        <w:tc>
          <w:tcPr>
            <w:tcW w:w="580" w:type="dxa"/>
            <w:vAlign w:val="bottom"/>
          </w:tcPr>
          <w:p>
            <w:pPr>
              <w:spacing w:after="0" w:line="20" w:lineRule="exact"/>
              <w:rPr>
                <w:sz w:val="1"/>
                <w:szCs w:val="1"/>
                <w:color w:val="auto"/>
              </w:rPr>
            </w:pPr>
          </w:p>
        </w:tc>
        <w:tc>
          <w:tcPr>
            <w:tcW w:w="938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gridSpan w:val="4"/>
          </w:tcPr>
          <w:p>
            <w:pPr>
              <w:spacing w:after="0" w:line="155" w:lineRule="exact"/>
              <w:rPr>
                <w:rFonts w:ascii="Arial" w:cs="Arial" w:eastAsia="Arial" w:hAnsi="Arial"/>
                <w:sz w:val="16"/>
                <w:szCs w:val="16"/>
                <w:color w:val="0000FF"/>
                <w:w w:val="92"/>
              </w:rPr>
            </w:pPr>
            <w:hyperlink w:anchor="page34">
              <w:r>
                <w:rPr>
                  <w:rFonts w:ascii="Arial" w:cs="Arial" w:eastAsia="Arial" w:hAnsi="Arial"/>
                  <w:sz w:val="16"/>
                  <w:szCs w:val="16"/>
                  <w:color w:val="0000FF"/>
                  <w:w w:val="92"/>
                </w:rPr>
                <w:t>Certification of Chief Executive Officer pursuant to 18 U.S.C. Section 1350, as adopted pursuant to Section 906 of the Sarbanes-Oxley Act of 2002.</w:t>
              </w:r>
            </w:hyperlink>
            <w:r>
              <w:rPr>
                <w:rFonts w:ascii="Arial" w:cs="Arial" w:eastAsia="Arial" w:hAnsi="Arial"/>
                <w:sz w:val="16"/>
                <w:szCs w:val="16"/>
                <w:color w:val="000000"/>
                <w:w w:val="92"/>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32.2</w:t>
            </w:r>
          </w:p>
        </w:tc>
        <w:tc>
          <w:tcPr>
            <w:tcW w:w="580" w:type="dxa"/>
            <w:vAlign w:val="bottom"/>
          </w:tcPr>
          <w:p>
            <w:pPr>
              <w:spacing w:after="0" w:line="20" w:lineRule="exact"/>
              <w:rPr>
                <w:sz w:val="1"/>
                <w:szCs w:val="1"/>
                <w:color w:val="auto"/>
              </w:rPr>
            </w:pPr>
          </w:p>
        </w:tc>
        <w:tc>
          <w:tcPr>
            <w:tcW w:w="96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gridSpan w:val="4"/>
          </w:tcPr>
          <w:p>
            <w:pPr>
              <w:spacing w:after="0" w:line="155" w:lineRule="exact"/>
              <w:rPr>
                <w:rFonts w:ascii="Arial" w:cs="Arial" w:eastAsia="Arial" w:hAnsi="Arial"/>
                <w:sz w:val="16"/>
                <w:szCs w:val="16"/>
                <w:color w:val="0000FF"/>
                <w:w w:val="92"/>
              </w:rPr>
            </w:pPr>
            <w:hyperlink w:anchor="page35">
              <w:r>
                <w:rPr>
                  <w:rFonts w:ascii="Arial" w:cs="Arial" w:eastAsia="Arial" w:hAnsi="Arial"/>
                  <w:sz w:val="16"/>
                  <w:szCs w:val="16"/>
                  <w:color w:val="0000FF"/>
                  <w:w w:val="92"/>
                </w:rPr>
                <w:t>Certification of Chief Financial Officer pursuant to 18 U.S.C. Section 1350, as adopted pursuant to Section 906 of the Sarbanes-Oxley Act of 2002.</w:t>
              </w:r>
            </w:hyperlink>
            <w:r>
              <w:rPr>
                <w:rFonts w:ascii="Arial" w:cs="Arial" w:eastAsia="Arial" w:hAnsi="Arial"/>
                <w:sz w:val="16"/>
                <w:szCs w:val="16"/>
                <w:color w:val="000000"/>
                <w:w w:val="92"/>
              </w:rPr>
              <w:t>*</w:t>
            </w:r>
          </w:p>
        </w:tc>
        <w:tc>
          <w:tcPr>
            <w:tcW w:w="0" w:type="dxa"/>
            <w:vAlign w:val="bottom"/>
          </w:tcPr>
          <w:p>
            <w:pPr>
              <w:spacing w:after="0"/>
              <w:rPr>
                <w:sz w:val="1"/>
                <w:szCs w:val="1"/>
                <w:color w:val="auto"/>
              </w:rPr>
            </w:pPr>
          </w:p>
        </w:tc>
      </w:tr>
      <w:tr>
        <w:trPr>
          <w:trHeight w:val="182"/>
        </w:trPr>
        <w:tc>
          <w:tcPr>
            <w:tcW w:w="700" w:type="dxa"/>
            <w:vAlign w:val="bottom"/>
          </w:tcPr>
          <w:p>
            <w:pPr>
              <w:spacing w:after="0" w:line="182" w:lineRule="exact"/>
              <w:rPr>
                <w:sz w:val="20"/>
                <w:szCs w:val="20"/>
                <w:color w:val="auto"/>
              </w:rPr>
            </w:pPr>
            <w:r>
              <w:rPr>
                <w:rFonts w:ascii="Arial" w:cs="Arial" w:eastAsia="Arial" w:hAnsi="Arial"/>
                <w:sz w:val="18"/>
                <w:szCs w:val="18"/>
                <w:color w:val="auto"/>
              </w:rPr>
              <w:t>101.INS</w:t>
            </w:r>
          </w:p>
        </w:tc>
        <w:tc>
          <w:tcPr>
            <w:tcW w:w="580" w:type="dxa"/>
            <w:vAlign w:val="bottom"/>
          </w:tcPr>
          <w:p>
            <w:pPr>
              <w:spacing w:after="0"/>
              <w:rPr>
                <w:sz w:val="15"/>
                <w:szCs w:val="15"/>
                <w:color w:val="auto"/>
              </w:rPr>
            </w:pPr>
          </w:p>
        </w:tc>
        <w:tc>
          <w:tcPr>
            <w:tcW w:w="9620" w:type="dxa"/>
            <w:vAlign w:val="bottom"/>
            <w:tcBorders>
              <w:top w:val="single" w:sz="8" w:color="0000FF"/>
            </w:tcBorders>
            <w:gridSpan w:val="3"/>
          </w:tcPr>
          <w:p>
            <w:pPr>
              <w:spacing w:after="0" w:line="181" w:lineRule="exact"/>
              <w:rPr>
                <w:sz w:val="20"/>
                <w:szCs w:val="20"/>
                <w:color w:val="auto"/>
              </w:rPr>
            </w:pPr>
            <w:r>
              <w:rPr>
                <w:rFonts w:ascii="Arial" w:cs="Arial" w:eastAsia="Arial" w:hAnsi="Arial"/>
                <w:sz w:val="16"/>
                <w:szCs w:val="16"/>
                <w:color w:val="auto"/>
              </w:rPr>
              <w:t>XBRL Instance Document**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3"/>
              </w:rPr>
              <w:t>101.SCH</w:t>
            </w:r>
          </w:p>
        </w:tc>
        <w:tc>
          <w:tcPr>
            <w:tcW w:w="580" w:type="dxa"/>
            <w:vAlign w:val="bottom"/>
          </w:tcPr>
          <w:p>
            <w:pPr>
              <w:spacing w:after="0"/>
              <w:rPr>
                <w:sz w:val="16"/>
                <w:szCs w:val="16"/>
                <w:color w:val="auto"/>
              </w:rPr>
            </w:pPr>
          </w:p>
        </w:tc>
        <w:tc>
          <w:tcPr>
            <w:tcW w:w="968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7"/>
              </w:rPr>
              <w:t>101.CAL</w:t>
            </w:r>
          </w:p>
        </w:tc>
        <w:tc>
          <w:tcPr>
            <w:tcW w:w="580" w:type="dxa"/>
            <w:vAlign w:val="bottom"/>
          </w:tcPr>
          <w:p>
            <w:pPr>
              <w:spacing w:after="0"/>
              <w:rPr>
                <w:sz w:val="16"/>
                <w:szCs w:val="16"/>
                <w:color w:val="auto"/>
              </w:rPr>
            </w:pPr>
          </w:p>
        </w:tc>
        <w:tc>
          <w:tcPr>
            <w:tcW w:w="968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5"/>
              </w:rPr>
              <w:t>101.DEF</w:t>
            </w:r>
          </w:p>
        </w:tc>
        <w:tc>
          <w:tcPr>
            <w:tcW w:w="580" w:type="dxa"/>
            <w:vAlign w:val="bottom"/>
          </w:tcPr>
          <w:p>
            <w:pPr>
              <w:spacing w:after="0"/>
              <w:rPr>
                <w:sz w:val="16"/>
                <w:szCs w:val="16"/>
                <w:color w:val="auto"/>
              </w:rPr>
            </w:pPr>
          </w:p>
        </w:tc>
        <w:tc>
          <w:tcPr>
            <w:tcW w:w="9680" w:type="dxa"/>
            <w:vAlign w:val="bottom"/>
            <w:gridSpan w:val="4"/>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8"/>
              </w:rPr>
              <w:t>101.LAB</w:t>
            </w:r>
          </w:p>
        </w:tc>
        <w:tc>
          <w:tcPr>
            <w:tcW w:w="580" w:type="dxa"/>
            <w:vAlign w:val="bottom"/>
          </w:tcPr>
          <w:p>
            <w:pPr>
              <w:spacing w:after="0"/>
              <w:rPr>
                <w:sz w:val="16"/>
                <w:szCs w:val="16"/>
                <w:color w:val="auto"/>
              </w:rPr>
            </w:pPr>
          </w:p>
        </w:tc>
        <w:tc>
          <w:tcPr>
            <w:tcW w:w="968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5"/>
        </w:trPr>
        <w:tc>
          <w:tcPr>
            <w:tcW w:w="700" w:type="dxa"/>
            <w:vAlign w:val="bottom"/>
          </w:tcPr>
          <w:p>
            <w:pPr>
              <w:spacing w:after="0" w:line="205" w:lineRule="exact"/>
              <w:rPr>
                <w:sz w:val="20"/>
                <w:szCs w:val="20"/>
                <w:color w:val="auto"/>
              </w:rPr>
            </w:pPr>
            <w:r>
              <w:rPr>
                <w:rFonts w:ascii="Arial" w:cs="Arial" w:eastAsia="Arial" w:hAnsi="Arial"/>
                <w:sz w:val="18"/>
                <w:szCs w:val="18"/>
                <w:color w:val="auto"/>
                <w:w w:val="94"/>
              </w:rPr>
              <w:t>101.PRE</w:t>
            </w:r>
          </w:p>
        </w:tc>
        <w:tc>
          <w:tcPr>
            <w:tcW w:w="580" w:type="dxa"/>
            <w:vAlign w:val="bottom"/>
          </w:tcPr>
          <w:p>
            <w:pPr>
              <w:spacing w:after="0"/>
              <w:rPr>
                <w:sz w:val="17"/>
                <w:szCs w:val="17"/>
                <w:color w:val="auto"/>
              </w:rPr>
            </w:pPr>
          </w:p>
        </w:tc>
        <w:tc>
          <w:tcPr>
            <w:tcW w:w="968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hanging="1272"/>
        <w:spacing w:after="0" w:line="233"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October 31, 2021 has been formatted in Inline XBRL (Inline Extensible Business Reporting Language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8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05" w:lineRule="exact"/>
        <w:rPr>
          <w:sz w:val="20"/>
          <w:szCs w:val="20"/>
          <w:color w:val="auto"/>
        </w:rPr>
      </w:pPr>
    </w:p>
    <w:p>
      <w:pPr>
        <w:sectPr>
          <w:pgSz w:w="11900" w:h="16838" w:orient="portrait"/>
          <w:cols w:equalWidth="0" w:num="2">
            <w:col w:w="860" w:space="720"/>
            <w:col w:w="9580"/>
          </w:cols>
          <w:pgMar w:left="320" w:top="287" w:right="41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00"/>
        <w:spacing w:after="0"/>
        <w:rPr>
          <w:sz w:val="20"/>
          <w:szCs w:val="20"/>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580"/>
          </w:cols>
          <w:pgMar w:left="320" w:top="287"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7" w:right="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Date: December 3, 2021</w:t>
      </w:r>
    </w:p>
    <w:p>
      <w:pPr>
        <w:ind w:left="4540"/>
        <w:spacing w:after="0" w:line="238" w:lineRule="auto"/>
        <w:rPr>
          <w:sz w:val="20"/>
          <w:szCs w:val="20"/>
          <w:color w:val="auto"/>
        </w:rPr>
      </w:pPr>
      <w:r>
        <w:rPr>
          <w:rFonts w:ascii="Arial" w:cs="Arial" w:eastAsia="Arial" w:hAnsi="Arial"/>
          <w:sz w:val="18"/>
          <w:szCs w:val="18"/>
          <w:color w:val="auto"/>
        </w:rPr>
        <w:t>DULUTH HOLDINGS INC.</w:t>
      </w:r>
    </w:p>
    <w:p>
      <w:pPr>
        <w:ind w:left="4540"/>
        <w:spacing w:after="0"/>
        <w:rPr>
          <w:sz w:val="20"/>
          <w:szCs w:val="20"/>
          <w:color w:val="auto"/>
        </w:rPr>
      </w:pPr>
      <w:r>
        <w:rPr>
          <w:rFonts w:ascii="Arial" w:cs="Arial" w:eastAsia="Arial" w:hAnsi="Arial"/>
          <w:sz w:val="18"/>
          <w:szCs w:val="18"/>
          <w:color w:val="auto"/>
        </w:rPr>
        <w:t>(Registrant)</w:t>
      </w:r>
    </w:p>
    <w:p>
      <w:pPr>
        <w:spacing w:after="0" w:line="34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David Loretta</w:t>
      </w:r>
    </w:p>
    <w:p>
      <w:pPr>
        <w:ind w:left="4820"/>
        <w:spacing w:after="0" w:line="219" w:lineRule="auto"/>
        <w:rPr>
          <w:sz w:val="20"/>
          <w:szCs w:val="20"/>
          <w:color w:val="auto"/>
        </w:rPr>
      </w:pPr>
      <w:r>
        <w:rPr>
          <w:rFonts w:ascii="Arial" w:cs="Arial" w:eastAsia="Arial" w:hAnsi="Arial"/>
          <w:sz w:val="18"/>
          <w:szCs w:val="18"/>
          <w:b w:val="1"/>
          <w:bCs w:val="1"/>
          <w:i w:val="1"/>
          <w:iCs w:val="1"/>
          <w:color w:val="auto"/>
        </w:rPr>
        <w:t>Senior Vice President and Chief Financial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Michael Murphy</w:t>
      </w:r>
    </w:p>
    <w:p>
      <w:pPr>
        <w:ind w:left="4820"/>
        <w:spacing w:after="0" w:line="219" w:lineRule="auto"/>
        <w:rPr>
          <w:sz w:val="20"/>
          <w:szCs w:val="20"/>
          <w:color w:val="auto"/>
        </w:rPr>
      </w:pPr>
      <w:r>
        <w:rPr>
          <w:rFonts w:ascii="Arial" w:cs="Arial" w:eastAsia="Arial" w:hAnsi="Arial"/>
          <w:sz w:val="18"/>
          <w:szCs w:val="18"/>
          <w:b w:val="1"/>
          <w:bCs w:val="1"/>
          <w:i w:val="1"/>
          <w:iCs w:val="1"/>
          <w:color w:val="auto"/>
        </w:rPr>
        <w:t>Vice President and Chief Accounting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Accounting Officer)</w:t>
      </w:r>
    </w:p>
    <w:p>
      <w:pPr>
        <w:spacing w:after="0" w:line="1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00"/>
          </w:cols>
          <w:pgMar w:left="320" w:top="287" w:right="8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602615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120" w:hanging="324"/>
        <w:spacing w:after="0" w:line="263"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602615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October 31, 2021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660" w:right="3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3, 2021</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02615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October 31, 2021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2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3, 2021</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0261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upperLetter"/>
      <w:start w:val="2"/>
    </w:lvl>
  </w:abstractNum>
  <w:abstractNum w:abstractNumId="4">
    <w:nsid w:val="4DB127F8"/>
    <w:multiLevelType w:val="hybridMultilevel"/>
    <w:lvl w:ilvl="0">
      <w:lvlJc w:val="left"/>
      <w:lvlText w:val="%1."/>
      <w:numFmt w:val="upperLetter"/>
      <w:start w:val="3"/>
    </w:lvl>
  </w:abstractNum>
  <w:abstractNum w:abstractNumId="5">
    <w:nsid w:val="216231B"/>
    <w:multiLevelType w:val="hybridMultilevel"/>
    <w:lvl w:ilvl="0">
      <w:lvlJc w:val="left"/>
      <w:lvlText w:val="%1."/>
      <w:numFmt w:val="upperLetter"/>
      <w:start w:val="5"/>
    </w:lvl>
  </w:abstractNum>
  <w:abstractNum w:abstractNumId="6">
    <w:nsid w:val="1F16E9E8"/>
    <w:multiLevelType w:val="hybridMultilevel"/>
    <w:lvl w:ilvl="0">
      <w:lvlJc w:val="left"/>
      <w:lvlText w:val="%1."/>
      <w:numFmt w:val="upperLetter"/>
      <w:start w:val="9"/>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4"/>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2021-12-03T10:50:30Z</dcterms:created>
  <dcterms:modified xsi:type="dcterms:W3CDTF">2021-12-03T10:50:30Z</dcterms:modified>
</cp:coreProperties>
</file>