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lth-20260802.htm"/>
        <w:bookmarkStart w:id="1" w:name="ksdlth20260802"/>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August 2,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r>
        <w:rPr>
          <w:rFonts w:ascii="Times New Roman" w:hAnsi="Times New Roman"/>
          <w:color w:val="000000"/>
          <w:sz w:val="20"/>
          <w:u w:val="single"/>
        </w:rPr>
        <w:t>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color w:val="000000"/>
          <w:sz w:val="20"/>
          <w:u w:val="single"/>
        </w:rPr>
        <w:t>_______</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001-37641</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742" w:type="dxa"/>
        <w:jc w:val="left"/>
        <w:tblInd w:w="0" w:type="dxa"/>
        <w:tblLayout w:type="fixed"/>
        <w:tblCellMar>
          <w:top w:w="28" w:type="dxa"/>
          <w:left w:w="28" w:type="dxa"/>
          <w:bottom w:w="28" w:type="dxa"/>
          <w:right w:w="28" w:type="dxa"/>
        </w:tblCellMar>
      </w:tblPr>
      <w:tblGrid>
        <w:gridCol w:w="292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39-1564801</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East Front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 Horeb, Wisconsin</w:t>
            </w:r>
          </w:p>
        </w:tc>
        <w:tc>
          <w:tcPr>
            <w:tcW w:w="181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 424-1544</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23" w:type="dxa"/>
        <w:jc w:val="left"/>
        <w:tblInd w:w="0" w:type="dxa"/>
        <w:tblLayout w:type="fixed"/>
        <w:tblCellMar>
          <w:top w:w="28" w:type="dxa"/>
          <w:left w:w="28" w:type="dxa"/>
          <w:bottom w:w="28" w:type="dxa"/>
          <w:right w:w="28" w:type="dxa"/>
        </w:tblCellMar>
      </w:tblPr>
      <w:tblGrid>
        <w:gridCol w:w="2896"/>
        <w:gridCol w:w="1456"/>
        <w:gridCol w:w="3271"/>
      </w:tblGrid>
      <w:tr>
        <w:trPr/>
        <w:tc>
          <w:tcPr>
            <w:tcW w:w="28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8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28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 No Par Value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DLTH</w:t>
            </w:r>
          </w:p>
        </w:tc>
        <w:tc>
          <w:tcPr>
            <w:tcW w:w="32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5" w:type="dxa"/>
        <w:jc w:val="left"/>
        <w:tblInd w:w="0" w:type="dxa"/>
        <w:tblLayout w:type="fixed"/>
        <w:tblCellMar>
          <w:top w:w="28" w:type="dxa"/>
          <w:left w:w="28" w:type="dxa"/>
          <w:bottom w:w="28" w:type="dxa"/>
          <w:right w:w="28" w:type="dxa"/>
        </w:tblCellMar>
      </w:tblPr>
      <w:tblGrid>
        <w:gridCol w:w="1771"/>
        <w:gridCol w:w="932"/>
        <w:gridCol w:w="2131"/>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93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93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ind w:left="0" w:right="0" w:firstLine="786"/>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ind w:left="0" w:right="0" w:firstLine="786"/>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The number of shares outstanding of the Registrant’s Class A common stock, no par value, as of September 3, 2026, was 3,364,200.</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The number of shares outstanding of the Registrant’s Class B common stock, no par value, as of September 3, 2026, was 34,640,801.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sz w:val="20"/>
        </w:rPr>
      </w:pPr>
      <w:r>
        <w:rPr>
          <w:rFonts w:ascii="Times New Roman" w:hAnsi="Times New Roman"/>
          <w:b/>
          <w:color w:val="000000"/>
          <w:sz w:val="20"/>
        </w:rPr>
        <w:t>FOR QUARTER ENDED August 2, 2026</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733"/>
        <w:gridCol w:w="496"/>
      </w:tblGrid>
      <w:tr>
        <w:trPr/>
        <w:tc>
          <w:tcPr>
            <w:tcW w:w="976" w:type="dxa"/>
            <w:tcBorders/>
            <w:vAlign w:val="center"/>
          </w:tcPr>
          <w:p>
            <w:pPr>
              <w:pStyle w:val="TableContents"/>
              <w:bidi w:val="0"/>
              <w:spacing w:before="0" w:after="283"/>
              <w:jc w:val="left"/>
              <w:rPr>
                <w:sz w:val="4"/>
                <w:szCs w:val="4"/>
              </w:rPr>
            </w:pPr>
            <w:r>
              <w:rPr>
                <w:sz w:val="4"/>
                <w:szCs w:val="4"/>
              </w:rPr>
            </w:r>
          </w:p>
        </w:tc>
        <w:tc>
          <w:tcPr>
            <w:tcW w:w="87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center"/>
              <w:rPr/>
            </w:pPr>
            <w:hyperlink w:anchor="part_i_financial_information">
              <w:r>
                <w:rPr>
                  <w:rStyle w:val="InternetLink"/>
                  <w:rFonts w:ascii="Times New Roman" w:hAnsi="Times New Roman"/>
                  <w:color w:val="0000FF"/>
                  <w:sz w:val="20"/>
                  <w:u w:val="single"/>
                </w:rPr>
                <w:t>Part I—Financial Information</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Page</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1_financial_statements">
              <w:r>
                <w:rPr>
                  <w:rStyle w:val="InternetLink"/>
                  <w:rFonts w:ascii="Times New Roman" w:hAnsi="Times New Roman"/>
                  <w:color w:val="0000FF"/>
                  <w:sz w:val="20"/>
                  <w:u w:val="single"/>
                </w:rPr>
                <w:t>Item 1.</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1_financial_statements">
              <w:r>
                <w:rPr>
                  <w:rStyle w:val="InternetLink"/>
                  <w:rFonts w:ascii="Times New Roman" w:hAnsi="Times New Roman"/>
                  <w:color w:val="0000FF"/>
                  <w:sz w:val="20"/>
                  <w:u w:val="single"/>
                </w:rPr>
                <w:t>Financial Statements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3</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condensed_consolidated_balance_sheets">
              <w:r>
                <w:rPr>
                  <w:rStyle w:val="InternetLink"/>
                  <w:rFonts w:ascii="Times New Roman" w:hAnsi="Times New Roman"/>
                  <w:color w:val="0000FF"/>
                  <w:sz w:val="20"/>
                  <w:u w:val="single"/>
                </w:rPr>
                <w:t>Condensed Consolidated Balance Sheets as of August 2, 2026 and February 1, 2026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3</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consolidated_statements_of_operations">
              <w:r>
                <w:rPr>
                  <w:rStyle w:val="InternetLink"/>
                  <w:rFonts w:ascii="Times New Roman" w:hAnsi="Times New Roman"/>
                  <w:color w:val="0000FF"/>
                  <w:sz w:val="20"/>
                  <w:u w:val="single"/>
                </w:rPr>
                <w:t>Condensed Consolidated Statements of Operations for the three and six months ended August 2, 2026 and August 3, 2025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4</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consolidate_stmt_of_comprehensive_income">
              <w:r>
                <w:rPr>
                  <w:rStyle w:val="InternetLink"/>
                  <w:rFonts w:ascii="Times New Roman" w:hAnsi="Times New Roman"/>
                  <w:color w:val="0000FF"/>
                  <w:sz w:val="20"/>
                  <w:u w:val="single"/>
                </w:rPr>
                <w:t>Condensed Consolidated Statements of Comprehensive Income (Loss) for the three and six months ended August 2, 2026 and August 3, 2025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5</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consolidated_stmt_of_shareholder_equity">
              <w:r>
                <w:rPr>
                  <w:rStyle w:val="InternetLink"/>
                  <w:rFonts w:ascii="Times New Roman" w:hAnsi="Times New Roman"/>
                  <w:color w:val="0000FF"/>
                  <w:sz w:val="20"/>
                  <w:u w:val="single"/>
                </w:rPr>
                <w:t>Condensed Consolidated Statement of Shareholders’ Equity for the three and six months ended August 2, 2026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6</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consolidate_stmt_of_shareholder_equity_2">
              <w:r>
                <w:rPr>
                  <w:rStyle w:val="InternetLink"/>
                  <w:rFonts w:ascii="Times New Roman" w:hAnsi="Times New Roman"/>
                  <w:color w:val="0000FF"/>
                  <w:sz w:val="20"/>
                  <w:u w:val="single"/>
                </w:rPr>
                <w:t>Condensed Consolidated Statement of Shareholders’ Equity for the three and six months ended August 3, 2025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7</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consolidated_statements_of_cash_flows">
              <w:r>
                <w:rPr>
                  <w:rStyle w:val="InternetLink"/>
                  <w:rFonts w:ascii="Times New Roman" w:hAnsi="Times New Roman"/>
                  <w:color w:val="0000FF"/>
                  <w:sz w:val="20"/>
                  <w:u w:val="single"/>
                </w:rPr>
                <w:t>Condensed Consolidated Statements of Cash Flows for the six months ended August 2, 2026 and August 3, 2025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8</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notes_consolidated_financial_statements">
              <w:r>
                <w:rPr>
                  <w:rStyle w:val="InternetLink"/>
                  <w:rFonts w:ascii="Times New Roman" w:hAnsi="Times New Roman"/>
                  <w:color w:val="0000FF"/>
                  <w:sz w:val="20"/>
                  <w:u w:val="single"/>
                </w:rPr>
                <w:t>Notes to Condensed Consolidated Financial Statements (Unaudited)</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9</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2_mda">
              <w:r>
                <w:rPr>
                  <w:rStyle w:val="InternetLink"/>
                  <w:rFonts w:ascii="Times New Roman" w:hAnsi="Times New Roman"/>
                  <w:color w:val="0000FF"/>
                  <w:sz w:val="20"/>
                  <w:u w:val="single"/>
                </w:rPr>
                <w:t>Item 2.</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20</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3_quantitative_and_qualitative">
              <w:r>
                <w:rPr>
                  <w:rStyle w:val="InternetLink"/>
                  <w:rFonts w:ascii="Times New Roman" w:hAnsi="Times New Roman"/>
                  <w:color w:val="0000FF"/>
                  <w:sz w:val="20"/>
                  <w:u w:val="single"/>
                </w:rPr>
                <w:t>Item 3.</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27</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4_controls_and_procedures">
              <w:r>
                <w:rPr>
                  <w:rStyle w:val="InternetLink"/>
                  <w:rFonts w:ascii="Times New Roman" w:hAnsi="Times New Roman"/>
                  <w:color w:val="0000FF"/>
                  <w:sz w:val="20"/>
                  <w:u w:val="single"/>
                </w:rPr>
                <w:t>Item 4.</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27</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center"/>
              <w:rPr/>
            </w:pPr>
            <w:hyperlink w:anchor="part_ii_other_information">
              <w:r>
                <w:rPr>
                  <w:rStyle w:val="InternetLink"/>
                  <w:rFonts w:ascii="Times New Roman" w:hAnsi="Times New Roman"/>
                  <w:color w:val="0000FF"/>
                  <w:sz w:val="20"/>
                  <w:u w:val="single"/>
                </w:rPr>
                <w:t>Part II—Other Information</w:t>
              </w:r>
            </w:hyperlink>
          </w:p>
        </w:tc>
        <w:tc>
          <w:tcPr>
            <w:tcW w:w="496" w:type="dxa"/>
            <w:tcBorders/>
            <w:tcMar>
              <w:top w:w="0" w:type="dxa"/>
              <w:left w:w="0" w:type="dxa"/>
              <w:bottom w:w="0" w:type="dxa"/>
              <w:right w:w="0" w:type="dxa"/>
            </w:tcMar>
            <w:vAlign w:val="center"/>
          </w:tcPr>
          <w:p>
            <w:pPr>
              <w:pStyle w:val="TableContents"/>
              <w:bidi w:val="0"/>
              <w:spacing w:before="20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1_legal_proceedings">
              <w:r>
                <w:rPr>
                  <w:rStyle w:val="InternetLink"/>
                  <w:rFonts w:ascii="Times New Roman" w:hAnsi="Times New Roman"/>
                  <w:color w:val="0000FF"/>
                  <w:sz w:val="20"/>
                  <w:u w:val="single"/>
                </w:rPr>
                <w:t>Item 1.</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1_legal_proceedings">
              <w:r>
                <w:rPr>
                  <w:rStyle w:val="InternetLink"/>
                  <w:rFonts w:ascii="Times New Roman" w:hAnsi="Times New Roman"/>
                  <w:color w:val="0000FF"/>
                  <w:sz w:val="20"/>
                  <w:u w:val="single"/>
                </w:rPr>
                <w:t>Legal Proceedings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27</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1a_risk_factors">
              <w:r>
                <w:rPr>
                  <w:rStyle w:val="InternetLink"/>
                  <w:rFonts w:ascii="Times New Roman" w:hAnsi="Times New Roman"/>
                  <w:color w:val="0000FF"/>
                  <w:sz w:val="20"/>
                  <w:u w:val="single"/>
                </w:rPr>
                <w:t>Item 1A.</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1a_risk_factors">
              <w:r>
                <w:rPr>
                  <w:rStyle w:val="InternetLink"/>
                  <w:rFonts w:ascii="Times New Roman" w:hAnsi="Times New Roman"/>
                  <w:color w:val="0000FF"/>
                  <w:sz w:val="20"/>
                  <w:u w:val="single"/>
                </w:rPr>
                <w:t>Risk Factors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27</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2_unregistered_sales_of_equity">
              <w:r>
                <w:rPr>
                  <w:rStyle w:val="InternetLink"/>
                  <w:rFonts w:ascii="Times New Roman" w:hAnsi="Times New Roman"/>
                  <w:color w:val="0000FF"/>
                  <w:sz w:val="20"/>
                  <w:u w:val="single"/>
                </w:rPr>
                <w:t>Item 2.</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28</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5_other_information">
              <w:r>
                <w:rPr>
                  <w:rStyle w:val="InternetLink"/>
                  <w:rFonts w:ascii="Times New Roman" w:hAnsi="Times New Roman"/>
                  <w:color w:val="0000FF"/>
                  <w:sz w:val="20"/>
                  <w:u w:val="single"/>
                </w:rPr>
                <w:t>Item 5.</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5_other_information">
              <w:r>
                <w:rPr>
                  <w:rStyle w:val="InternetLink"/>
                  <w:rFonts w:ascii="Times New Roman" w:hAnsi="Times New Roman"/>
                  <w:color w:val="0000FF"/>
                  <w:sz w:val="20"/>
                  <w:u w:val="single"/>
                </w:rPr>
                <w:t>Other Information</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28</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item_6_exhibits">
              <w:r>
                <w:rPr>
                  <w:rStyle w:val="InternetLink"/>
                  <w:rFonts w:ascii="Times New Roman" w:hAnsi="Times New Roman"/>
                  <w:color w:val="0000FF"/>
                  <w:sz w:val="20"/>
                  <w:u w:val="single"/>
                </w:rPr>
                <w:t>Item 6.</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hyperlink w:anchor="item_6_exhibits">
              <w:r>
                <w:rPr>
                  <w:rStyle w:val="InternetLink"/>
                  <w:rFonts w:ascii="Times New Roman" w:hAnsi="Times New Roman"/>
                  <w:color w:val="0000FF"/>
                  <w:sz w:val="20"/>
                  <w:u w:val="single"/>
                </w:rPr>
                <w:t>Exhibits</w:t>
              </w:r>
            </w:hyperlink>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29</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733" w:type="dxa"/>
            <w:tcBorders/>
            <w:tcMar>
              <w:top w:w="0" w:type="dxa"/>
              <w:left w:w="0" w:type="dxa"/>
              <w:bottom w:w="0" w:type="dxa"/>
              <w:right w:w="0" w:type="dxa"/>
            </w:tcMar>
            <w:vAlign w:val="center"/>
          </w:tcPr>
          <w:p>
            <w:pPr>
              <w:pStyle w:val="TableContents"/>
              <w:bidi w:val="0"/>
              <w:spacing w:before="200" w:after="283"/>
              <w:jc w:val="left"/>
              <w:rPr/>
            </w:pPr>
            <w:r>
              <w:rPr/>
              <w:t> </w:t>
            </w:r>
          </w:p>
        </w:tc>
        <w:tc>
          <w:tcPr>
            <w:tcW w:w="496" w:type="dxa"/>
            <w:tcBorders/>
            <w:tcMar>
              <w:top w:w="0" w:type="dxa"/>
              <w:left w:w="0" w:type="dxa"/>
              <w:bottom w:w="0" w:type="dxa"/>
              <w:right w:w="0" w:type="dxa"/>
            </w:tcMar>
            <w:vAlign w:val="center"/>
          </w:tcPr>
          <w:p>
            <w:pPr>
              <w:pStyle w:val="TableContents"/>
              <w:bidi w:val="0"/>
              <w:spacing w:before="20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200" w:after="283"/>
              <w:jc w:val="left"/>
              <w:rPr/>
            </w:pPr>
            <w:hyperlink w:anchor="signatures">
              <w:r>
                <w:rPr>
                  <w:rStyle w:val="InternetLink"/>
                  <w:rFonts w:ascii="Times New Roman" w:hAnsi="Times New Roman"/>
                  <w:color w:val="0000FF"/>
                  <w:sz w:val="20"/>
                  <w:u w:val="single"/>
                </w:rPr>
                <w:t>Signatures</w:t>
              </w:r>
            </w:hyperlink>
          </w:p>
        </w:tc>
        <w:tc>
          <w:tcPr>
            <w:tcW w:w="8733" w:type="dxa"/>
            <w:tcBorders/>
            <w:tcMar>
              <w:top w:w="0" w:type="dxa"/>
              <w:left w:w="0" w:type="dxa"/>
              <w:bottom w:w="0" w:type="dxa"/>
              <w:right w:w="0" w:type="dxa"/>
            </w:tcMar>
            <w:vAlign w:val="center"/>
          </w:tcPr>
          <w:p>
            <w:pPr>
              <w:pStyle w:val="TableContents"/>
              <w:bidi w:val="0"/>
              <w:spacing w:before="200" w:after="283"/>
              <w:jc w:val="left"/>
              <w:rPr/>
            </w:pPr>
            <w:r>
              <w:rPr/>
              <w:t> </w:t>
            </w:r>
          </w:p>
        </w:tc>
        <w:tc>
          <w:tcPr>
            <w:tcW w:w="496" w:type="dxa"/>
            <w:tcBorders/>
            <w:tcMar>
              <w:top w:w="0" w:type="dxa"/>
              <w:left w:w="0" w:type="dxa"/>
              <w:bottom w:w="0" w:type="dxa"/>
              <w:right w:w="0" w:type="dxa"/>
            </w:tcMar>
            <w:vAlign w:val="center"/>
          </w:tcPr>
          <w:p>
            <w:pPr>
              <w:pStyle w:val="TableContents"/>
              <w:bidi w:val="0"/>
              <w:spacing w:before="200" w:after="283"/>
              <w:jc w:val="right"/>
              <w:rPr>
                <w:rFonts w:ascii="Times New Roman" w:hAnsi="Times New Roman"/>
                <w:color w:val="000000"/>
                <w:sz w:val="18"/>
              </w:rPr>
            </w:pPr>
            <w:r>
              <w:rPr>
                <w:rFonts w:ascii="Times New Roman" w:hAnsi="Times New Roman"/>
                <w:color w:val="000000"/>
                <w:sz w:val="18"/>
              </w:rPr>
              <w:t>30</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spacing w:before="20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pPr>
      <w:r>
        <w:rPr/>
        <w:t> </w:t>
      </w:r>
    </w:p>
    <w:p>
      <w:pPr>
        <w:pStyle w:val="TextBody"/>
        <w:bidi w:val="0"/>
        <w:jc w:val="left"/>
        <w:rPr/>
      </w:pPr>
      <w:r>
        <w:rPr/>
        <w:t> </w:t>
      </w:r>
    </w:p>
    <w:tbl>
      <w:tblPr>
        <w:tblW w:w="9945" w:type="dxa"/>
        <w:jc w:val="left"/>
        <w:tblInd w:w="0" w:type="dxa"/>
        <w:tblLayout w:type="fixed"/>
        <w:tblCellMar>
          <w:top w:w="28" w:type="dxa"/>
          <w:left w:w="28" w:type="dxa"/>
          <w:bottom w:w="28" w:type="dxa"/>
          <w:right w:w="28" w:type="dxa"/>
        </w:tblCellMar>
      </w:tblPr>
      <w:tblGrid>
        <w:gridCol w:w="6496"/>
        <w:gridCol w:w="146"/>
        <w:gridCol w:w="255"/>
        <w:gridCol w:w="945"/>
        <w:gridCol w:w="166"/>
        <w:gridCol w:w="146"/>
        <w:gridCol w:w="293"/>
        <w:gridCol w:w="1087"/>
        <w:gridCol w:w="41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&amp;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172,051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394,046</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402,609</w:t>
            </w:r>
          </w:p>
        </w:tc>
        <w:tc>
          <w:tcPr>
            <w:tcW w:w="4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TRI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 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no par value; 10,000 shares authorized; no shares </w:t>
              <w:br/>
              <w:t>   issued or outstanding as of August 2, 2026 and February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A), no par value; 10,000 shares authorized; 3,364 shares</w:t>
              <w:br/>
              <w:t>   issued and outstanding as of August 2, 2026 and February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(Class B), no par value; 200,000 shares authorized; </w:t>
              <w:br/>
              <w:t>   35,288 shares issued and 34,636 shares outstanding as of August 2, 2026 and</w:t>
              <w:br/>
              <w:t>   33,854 shares issued and 33,384 shares outstanding as of February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652 and 470 shares as of August 2, 2026 and</w:t>
              <w:br/>
              <w:t>   February 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 of Duluth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bookmarkStart w:id="6" w:name="consolidated_statements_of_operation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figures)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6"/>
        <w:gridCol w:w="146"/>
        <w:gridCol w:w="245"/>
        <w:gridCol w:w="910"/>
        <w:gridCol w:w="146"/>
        <w:gridCol w:w="146"/>
        <w:gridCol w:w="245"/>
        <w:gridCol w:w="910"/>
        <w:gridCol w:w="166"/>
        <w:gridCol w:w="146"/>
        <w:gridCol w:w="245"/>
        <w:gridCol w:w="910"/>
        <w:gridCol w:w="146"/>
        <w:gridCol w:w="146"/>
        <w:gridCol w:w="245"/>
        <w:gridCol w:w="910"/>
        <w:gridCol w:w="217"/>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 (Class A and Class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controlling</w:t>
              <w:br/>
              <w: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 (Class A and 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and equivalents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controlling</w:t>
              <w:br/>
              <w: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bookmarkStart w:id="7" w:name="consolidate_stmt_of_comprehensive_income"/>
      <w:bookmarkEnd w:id="7"/>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11"/>
        <w:gridCol w:w="146"/>
        <w:gridCol w:w="270"/>
        <w:gridCol w:w="867"/>
        <w:gridCol w:w="166"/>
        <w:gridCol w:w="146"/>
        <w:gridCol w:w="301"/>
        <w:gridCol w:w="815"/>
        <w:gridCol w:w="146"/>
        <w:gridCol w:w="146"/>
        <w:gridCol w:w="301"/>
        <w:gridCol w:w="815"/>
        <w:gridCol w:w="166"/>
        <w:gridCol w:w="146"/>
        <w:gridCol w:w="255"/>
        <w:gridCol w:w="893"/>
        <w:gridCol w:w="215"/>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available-for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security gain (loss) arising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 attributable to controlling</w:t>
              <w:br/>
              <w:t>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bookmarkStart w:id="8" w:name="consolidated_stmt_of_shareholder_equity"/>
      <w:bookmarkEnd w:id="8"/>
      <w:r>
        <w:rPr>
          <w:rFonts w:ascii="Times New Roman" w:hAnsi="Times New Roman"/>
          <w:b/>
          <w:color w:val="000000"/>
          <w:sz w:val="20"/>
        </w:rPr>
        <w:t>Condensed Consolidated Statement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98"/>
        <w:gridCol w:w="146"/>
        <w:gridCol w:w="146"/>
        <w:gridCol w:w="601"/>
        <w:gridCol w:w="166"/>
        <w:gridCol w:w="146"/>
        <w:gridCol w:w="196"/>
        <w:gridCol w:w="691"/>
        <w:gridCol w:w="146"/>
        <w:gridCol w:w="146"/>
        <w:gridCol w:w="196"/>
        <w:gridCol w:w="571"/>
        <w:gridCol w:w="166"/>
        <w:gridCol w:w="146"/>
        <w:gridCol w:w="196"/>
        <w:gridCol w:w="661"/>
        <w:gridCol w:w="166"/>
        <w:gridCol w:w="146"/>
        <w:gridCol w:w="307"/>
        <w:gridCol w:w="684"/>
        <w:gridCol w:w="166"/>
        <w:gridCol w:w="146"/>
        <w:gridCol w:w="266"/>
        <w:gridCol w:w="779"/>
        <w:gridCol w:w="166"/>
        <w:gridCol w:w="146"/>
        <w:gridCol w:w="199"/>
        <w:gridCol w:w="702"/>
        <w:gridCol w:w="314"/>
      </w:tblGrid>
      <w:tr>
        <w:trPr/>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7"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August 2, 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variable interest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entity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February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166,115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surrendered for</w:t>
              <w:br/>
              <w: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156,570</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surrendered for</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August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175,187</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bookmarkStart w:id="9" w:name="consolidate_stmt_of_shareholder_equity_2"/>
      <w:bookmarkEnd w:id="9"/>
      <w:r>
        <w:rPr>
          <w:rFonts w:ascii="Times New Roman" w:hAnsi="Times New Roman"/>
          <w:b/>
          <w:color w:val="000000"/>
          <w:sz w:val="20"/>
        </w:rPr>
        <w:t>Condensed Consolidated Statement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98"/>
        <w:gridCol w:w="146"/>
        <w:gridCol w:w="146"/>
        <w:gridCol w:w="601"/>
        <w:gridCol w:w="166"/>
        <w:gridCol w:w="146"/>
        <w:gridCol w:w="196"/>
        <w:gridCol w:w="691"/>
        <w:gridCol w:w="146"/>
        <w:gridCol w:w="146"/>
        <w:gridCol w:w="196"/>
        <w:gridCol w:w="571"/>
        <w:gridCol w:w="166"/>
        <w:gridCol w:w="146"/>
        <w:gridCol w:w="196"/>
        <w:gridCol w:w="661"/>
        <w:gridCol w:w="166"/>
        <w:gridCol w:w="146"/>
        <w:gridCol w:w="307"/>
        <w:gridCol w:w="684"/>
        <w:gridCol w:w="166"/>
        <w:gridCol w:w="146"/>
        <w:gridCol w:w="266"/>
        <w:gridCol w:w="779"/>
        <w:gridCol w:w="166"/>
        <w:gridCol w:w="146"/>
        <w:gridCol w:w="199"/>
        <w:gridCol w:w="702"/>
        <w:gridCol w:w="314"/>
      </w:tblGrid>
      <w:tr>
        <w:trPr/>
        <w:tc>
          <w:tcPr>
            <w:tcW w:w="1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August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variable interest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entity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February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179,679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surrendered for</w:t>
              <w:br/>
              <w: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(15,264</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May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164,893</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stock surrendered for</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August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167,058</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bookmarkStart w:id="10" w:name="consolidated_statements_of_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1"/>
        <w:gridCol w:w="146"/>
        <w:gridCol w:w="258"/>
        <w:gridCol w:w="903"/>
        <w:gridCol w:w="166"/>
        <w:gridCol w:w="146"/>
        <w:gridCol w:w="258"/>
        <w:gridCol w:w="903"/>
        <w:gridCol w:w="414"/>
      </w:tblGrid>
      <w:tr>
        <w:trPr/>
        <w:tc>
          <w:tcPr>
            <w:tcW w:w="7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 &amp;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hosting implementation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receipts from available-for-sale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4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TRI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tax withholding on vested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liability to acquire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000000"/>
          <w:sz w:val="20"/>
        </w:rPr>
      </w:pPr>
      <w:bookmarkStart w:id="11" w:name="notes_consolidated_financial_statements"/>
      <w:bookmarkEnd w:id="11"/>
      <w:r>
        <w:rPr>
          <w:rFonts w:ascii="Times New Roman" w:hAnsi="Times New Roman"/>
          <w:b/>
          <w:color w:val="000000"/>
          <w:sz w:val="20"/>
        </w:rPr>
        <w:t>1. NATURE OF OPERATIONS AND BASIS OF PRESENTATION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Nature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Duluth Holdings Inc. (“Duluth Trading” or the “Company”), a Wisconsin corporation, is a lifestyle brand of men’s and women’s workwear, casual wear, outdoor apparel and accessories sold primarily through the Company’s own omnichannel platform. The Company’s products are marketed under the Duluth Trading Company brand, with the majority of products being exclusively developed and sold as Duluth Trading branded merchandise.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 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fiscal year ends on the Sunday nearest to January 31 of the following year. Fiscal 2026 is a 52-week period and ends on January 31, 2027. Fiscal 2025 was a 52-week period and ended on February 1, 2026. The three and six months of fiscal 2026 and fiscal 2025 represent the Company’s 13-week and 26-week periods ended August 2, 2026 and August 3, 2025,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as of and for the three and six months ended August 2, 2026 and August 3, 2025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August 2, 2026 and August 3, 2025. These interim condensed consolidated financial statements should be read in conjunction with the consolidated financial statements and notes included in the Company’s annual report on Form 10-K for the fiscal year ended February 1, 2026.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 Inventory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$5.8 million and $4.4 million as of August 2, 2026 and February 1, 2026, respectively.</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 Prepaid Expenses and Other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Prepaid expenses and other assets consist of the following:</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4361"/>
        <w:gridCol w:w="146"/>
        <w:gridCol w:w="285"/>
        <w:gridCol w:w="915"/>
        <w:gridCol w:w="146"/>
        <w:gridCol w:w="146"/>
        <w:gridCol w:w="328"/>
        <w:gridCol w:w="1052"/>
        <w:gridCol w:w="391"/>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expenses &amp;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Pending returns 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software hosting implementation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&amp;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software hosting implementation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 Seasonality of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 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 Reclassifications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Certain prior year amounts, which are not material, have been reclassified to conform to the current year presentation in the condensed consolidated financial statements and accompanying notes to the condensed consolidated financial statements.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 Significant Accounting Policies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to the Company’s significant accounting policies as described in the Company’s Annual Report on Form 10-K for the year ended February 1, 2026 except as described below.</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IEEPA Tariff Refunds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20, 2026, the U.S. Supreme Court issued a ruling relating to tariffs imposed under the International Emergency Economic Powers Act ("IEEPA"). Following the ruling, the U.S. Customs and Border Protection and other federal agencies issued additional guidance and took actions affecting the assessment, collection, refund, and/or protest of certain tariffs. In March 2026, the U.S. Court of International Trade issued an additional ruling stating that importers that have paid tariffs under IEEPA are due refunds. The Company submitted its refund request in the first quarter of 2026 for reimbursement in the amount of $12.5 million, which reflected the amount of IEEPA tariffs the Company determined were paid while such tariffs were in effect from February 2025 through February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received tariff refunds of $12.8 million for the three and six months ended August 2, 2026, which consisted of $12.4 million in tariff principal and $0.4 million in interest. The Company recorded a receivable of $0.1 million for the remaining uncollected tariff principal amount, which is included in prepaid expenses &amp; other current assets on the condensed consolidated balance sheets as of August 2, 2026, as the Company believes it is probable that it will recover the remaining uncollected amount under the loss recovery accounting model due to the history of collecting substantially all of the submitted amounts as of period-end. The Company recorded a reduction to cost of goods sold of $12.5 million, which is consistent with the original accounting treatment of the underlying tariff costs, and $0.4 million in interest income in the condensed consolidated statement of operations for the three and six months ended August 2, 2026.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2026, the Company also reached an agreement and obtained a credit memorandum from a vendor to collect $5.5 million in refunds of tariff charges that were previously passed through to the Company by the vendor. The Company recorded a receivable of $5.5 million, which is included in prepaid expenses &amp; other current assets on the condensed consolidated balance sheet as of August 2, 2026. The Company recorded a reduction to cost of goods sold for $5.5 million for these refunds for the three and six months ended August 2, 2026, which is consistent with the original accounting treatment of the underlying tariff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 Company expects to reimburse certain vendors for tariff charges that the Company previously passed through to those vendors, which the Company was refunded in the second quarter of 2026. The Company expects to pay approximately $2.0 million to such vendors and as such has recorded an accrual for this amount, which is included in accrued expenses &amp; other current liabilities on the condensed consolidated balance sheet as of August 2, 2026. The accrual was recorded as a charge to cost of goods sold for the three and six months ended August 2, 2026, which is consistent with the original accounting treatment of the underlying tariff costs.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expense components of the Company’s leases reflected on the Company’s condensed consolidated statement of operations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0"/>
        <w:gridCol w:w="146"/>
        <w:gridCol w:w="1899"/>
        <w:gridCol w:w="146"/>
        <w:gridCol w:w="301"/>
        <w:gridCol w:w="814"/>
        <w:gridCol w:w="146"/>
        <w:gridCol w:w="146"/>
        <w:gridCol w:w="301"/>
        <w:gridCol w:w="814"/>
        <w:gridCol w:w="146"/>
        <w:gridCol w:w="146"/>
        <w:gridCol w:w="270"/>
        <w:gridCol w:w="867"/>
        <w:gridCol w:w="146"/>
        <w:gridCol w:w="146"/>
        <w:gridCol w:w="270"/>
        <w:gridCol w:w="867"/>
        <w:gridCol w:w="394"/>
      </w:tblGrid>
      <w:tr>
        <w:trPr/>
        <w:tc>
          <w:tcPr>
            <w:tcW w:w="2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Statement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w:t>
              <w:br/>
              <w:t>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Selling, general and </w:t>
              <w:b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Selling, general and </w:t>
              <w:br/>
              <w:t>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build-to-</w:t>
              <w:br/>
              <w:t>   suit leases capital</w:t>
              <w:br/>
              <w:t>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Selling, general and </w:t>
              <w:b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Selling, general and </w:t>
              <w:br/>
              <w:t>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information related to leases were as follows:</w:t>
      </w:r>
    </w:p>
    <w:p>
      <w:pPr>
        <w:pStyle w:val="TextBody"/>
        <w:bidi w:val="0"/>
        <w:jc w:val="left"/>
        <w:rPr/>
      </w:pPr>
      <w:r>
        <w:rPr/>
        <w:t> </w:t>
      </w:r>
    </w:p>
    <w:tbl>
      <w:tblPr>
        <w:tblW w:w="9540" w:type="dxa"/>
        <w:jc w:val="left"/>
        <w:tblInd w:w="0" w:type="dxa"/>
        <w:tblLayout w:type="fixed"/>
        <w:tblCellMar>
          <w:top w:w="28" w:type="dxa"/>
          <w:left w:w="28" w:type="dxa"/>
          <w:bottom w:w="28" w:type="dxa"/>
          <w:right w:w="28" w:type="dxa"/>
        </w:tblCellMar>
      </w:tblPr>
      <w:tblGrid>
        <w:gridCol w:w="6061"/>
        <w:gridCol w:w="146"/>
        <w:gridCol w:w="285"/>
        <w:gridCol w:w="915"/>
        <w:gridCol w:w="271"/>
        <w:gridCol w:w="146"/>
        <w:gridCol w:w="324"/>
        <w:gridCol w:w="876"/>
        <w:gridCol w:w="516"/>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under the non-cancellable leases are as follows as of August 2, 2026:</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3181"/>
        <w:gridCol w:w="146"/>
        <w:gridCol w:w="211"/>
        <w:gridCol w:w="676"/>
        <w:gridCol w:w="166"/>
        <w:gridCol w:w="146"/>
        <w:gridCol w:w="211"/>
        <w:gridCol w:w="736"/>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first quarter of 2026, the Company recorded an impairment charge of $2.7 million, which consisted of a right-of-use asset of $2.0 million and associated leasehold improvements of $0.7 million relating to the closure of the Salt Lake City fulfillment center as discussed in further detail in Note 13. The Company performed a recoverability test on the asset group. This test indicated that the carrying amount of the asset was not recoverable, as it exceeded the sum of the future undiscounted cash flows expected to result from the use and eventual disposition of the assets. Consequently, the Company proceeded to measure the impairment loss by comparing the asset group's carrying amount to its fair value. The fair value, which is considered to be a level 3 non-recurring fair value measurement, was determined using a discounted cash flow analysis (an income approach). The discounted cash flow analysis utilized level 3 fair value inputs including cash flow projections and discount rates. The resulting impairment charge of $2.7 million represents the amount by which the carrying value exceeded the calculated fair value. The impairment charge recorded is included in impairment of long-lived assets in the Company's condensed consolidated statement of operations for the six months ended August 2,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DEBT AND CREDIT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Debt consists of the following:</w:t>
      </w:r>
    </w:p>
    <w:p>
      <w:pPr>
        <w:pStyle w:val="TextBody"/>
        <w:bidi w:val="0"/>
        <w:jc w:val="left"/>
        <w:rPr/>
      </w:pPr>
      <w:r>
        <w:rPr/>
        <w:t> </w:t>
      </w:r>
    </w:p>
    <w:tbl>
      <w:tblPr>
        <w:tblW w:w="5340" w:type="dxa"/>
        <w:jc w:val="left"/>
        <w:tblInd w:w="0" w:type="dxa"/>
        <w:tblLayout w:type="fixed"/>
        <w:tblCellMar>
          <w:top w:w="28" w:type="dxa"/>
          <w:left w:w="28" w:type="dxa"/>
          <w:bottom w:w="28" w:type="dxa"/>
          <w:right w:w="28" w:type="dxa"/>
        </w:tblCellMar>
      </w:tblPr>
      <w:tblGrid>
        <w:gridCol w:w="2131"/>
        <w:gridCol w:w="146"/>
        <w:gridCol w:w="285"/>
        <w:gridCol w:w="915"/>
        <w:gridCol w:w="146"/>
        <w:gridCol w:w="146"/>
        <w:gridCol w:w="328"/>
        <w:gridCol w:w="1052"/>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 Senior Secured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Duluth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Duluth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TRI Holdings, LLC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TRI entered into a promissory note (“TRI Note”) with an original balance of $3.5 million. The TRI Note is scheduled to mature in November 2038 and requires annual interest payments at a rate of 3.05%, with a final balloon payment due in November 2038.</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While the above notes are consolidated in accordance with Accounting Standards Codification (“ASC”) Topic 810, </w:t>
      </w:r>
      <w:r>
        <w:rPr>
          <w:rFonts w:ascii="Times New Roman" w:hAnsi="Times New Roman"/>
          <w:i/>
          <w:color w:val="000000"/>
          <w:sz w:val="20"/>
        </w:rPr>
        <w:t>Consolidation</w:t>
      </w:r>
      <w:r>
        <w:rPr>
          <w:rFonts w:ascii="Times New Roman" w:hAnsi="Times New Roman"/>
          <w:color w:val="000000"/>
          <w:sz w:val="20"/>
        </w:rPr>
        <w:t>, the Company is not the guarantor nor the obligor of these notes.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28, 2025, the Company entered into a credit agreement (the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Credit Agreement) plus 50 basis points; (iii) each swing line loan will bear interest on the 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also permitted to voluntarily prepay the Credit Agreement in whole or in part at any time, where borrowings bearing interest based on the base rate may be prepaid at any time without penalty and borrowings bearing interest based on SOFR may be prepaid, subject to payment of usual and customary breakage and redeployment costs. The revolver will mature on April 28, 2030. Pursuant to the Credit Agreement, the Company may request an increase in the revolving credit commitments in the aggregate amount of up to $25.0 million during the term of the Credit Agreement and with the consent of the Administrative Agent, subject to credit approval of the Lenders and the satisfaction of certain conditions. The Credit Agreement contains customary events of default and financial, affirmative and negative covenants and is secured by a first-priority perfected security interest in substantially all of the tangible and intangible assets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new $100.0 million Revolver replaced the prior revolving credit facility at a lower interest rate and extends the availability of funds to April 28, 2030. The Company believes the Credit Agreement will provide the Company with flexibility and liquidity to finance seasonal inventory builds.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July 16, 2025, the Company entered into the First Amendment to the Credit Agreement, pursuant to which all revolving credit loans advanced or prepaid pursuant to any Sweep to Loan Arrangement then in effect shall bear interest based on the Base Rate.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1, 2025, the Company entered into the Second Amendment to the Credit Agreement, which, among other things, temporarily increased the aggregate revolving credit commitment under the Credit Agreement from $100.0 million to $125.0 million, as allowed by the existing Credit Agreement, beginning on October 1, 2025 until March 31, 2026, as of which date the revolving credit commitment returned to $100.0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second quarter of 2026, the Company reduced the aggregate revolving credit commitment under the Credit Agreement from $100.0 million to $70.0 million as allowed by the Second Amendment to the Credit Agreement. The aggregate revolving credit commitment will return to $100.0 million in the third quarter of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August 2, 2026, the Company had no balance drawn and had issued and outstanding letters of credit of $0.7 million under the Revolver, which reduced the amount available for cash advances under the facility to $69.3 million.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ACCRUED EXPENSES AND OTHER CURRENT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w:t>
      </w:r>
    </w:p>
    <w:p>
      <w:pPr>
        <w:pStyle w:val="TextBody"/>
        <w:bidi w:val="0"/>
        <w:jc w:val="left"/>
        <w:rPr/>
      </w:pPr>
      <w:r>
        <w:rPr/>
        <w:t> </w:t>
      </w:r>
    </w:p>
    <w:tbl>
      <w:tblPr>
        <w:tblW w:w="7470" w:type="dxa"/>
        <w:jc w:val="left"/>
        <w:tblInd w:w="0" w:type="dxa"/>
        <w:tblLayout w:type="fixed"/>
        <w:tblCellMar>
          <w:top w:w="28" w:type="dxa"/>
          <w:left w:w="28" w:type="dxa"/>
          <w:bottom w:w="28" w:type="dxa"/>
          <w:right w:w="28" w:type="dxa"/>
        </w:tblCellMar>
      </w:tblPr>
      <w:tblGrid>
        <w:gridCol w:w="4261"/>
        <w:gridCol w:w="146"/>
        <w:gridCol w:w="285"/>
        <w:gridCol w:w="915"/>
        <w:gridCol w:w="146"/>
        <w:gridCol w:w="146"/>
        <w:gridCol w:w="328"/>
        <w:gridCol w:w="1052"/>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returns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purchases of property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FAIR VALUE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 xml:space="preserve">Fair Value Measurements and Disclosures </w:t>
      </w:r>
      <w:r>
        <w:rPr>
          <w:rFonts w:ascii="Times New Roman" w:hAnsi="Times New Roman"/>
          <w:color w:val="000000"/>
          <w:sz w:val="20"/>
        </w:rPr>
        <w:t>(“ASC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assets and liabilities measured at fair value are categorized as Level 3 instruments. The fair value of the Company’s available-for-sale security was valued based on a discounted cash flow method (Level 3), which incorporates the U.S. Treasury yield curve, credit information and an estimate of future cash flows. During the three and six months ended August 2, 2026,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amortized cost and fair value of the Company’s available-for-sale security and the corresponding amount of gross unrealized gains and losses recognized in accumulated other comprehensive income are as follows:</w:t>
      </w:r>
    </w:p>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1901"/>
        <w:gridCol w:w="146"/>
        <w:gridCol w:w="211"/>
        <w:gridCol w:w="676"/>
        <w:gridCol w:w="146"/>
        <w:gridCol w:w="146"/>
        <w:gridCol w:w="335"/>
        <w:gridCol w:w="551"/>
        <w:gridCol w:w="146"/>
        <w:gridCol w:w="146"/>
        <w:gridCol w:w="270"/>
        <w:gridCol w:w="616"/>
        <w:gridCol w:w="166"/>
        <w:gridCol w:w="146"/>
        <w:gridCol w:w="211"/>
        <w:gridCol w:w="67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1901"/>
        <w:gridCol w:w="146"/>
        <w:gridCol w:w="211"/>
        <w:gridCol w:w="676"/>
        <w:gridCol w:w="146"/>
        <w:gridCol w:w="146"/>
        <w:gridCol w:w="335"/>
        <w:gridCol w:w="551"/>
        <w:gridCol w:w="146"/>
        <w:gridCol w:w="146"/>
        <w:gridCol w:w="270"/>
        <w:gridCol w:w="616"/>
        <w:gridCol w:w="166"/>
        <w:gridCol w:w="146"/>
        <w:gridCol w:w="211"/>
        <w:gridCol w:w="676"/>
        <w:gridCol w:w="291"/>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 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a reconciliation of the beginning and ending balances of the Company's corporate trust security measured at fair value on a recurring basis using significant unobservable inputs (Level 3):</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4531"/>
        <w:gridCol w:w="146"/>
        <w:gridCol w:w="324"/>
        <w:gridCol w:w="876"/>
        <w:gridCol w:w="166"/>
        <w:gridCol w:w="146"/>
        <w:gridCol w:w="324"/>
        <w:gridCol w:w="876"/>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trust -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gains (losses) included in OCI (Change in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pPr>
      <w:r>
        <w:rPr/>
        <w:t> </w:t>
      </w:r>
    </w:p>
    <w:tbl>
      <w:tblPr>
        <w:tblW w:w="6295" w:type="dxa"/>
        <w:jc w:val="left"/>
        <w:tblInd w:w="0" w:type="dxa"/>
        <w:tblLayout w:type="fixed"/>
        <w:tblCellMar>
          <w:top w:w="28" w:type="dxa"/>
          <w:left w:w="28" w:type="dxa"/>
          <w:bottom w:w="28" w:type="dxa"/>
          <w:right w:w="28" w:type="dxa"/>
        </w:tblCellMar>
      </w:tblPr>
      <w:tblGrid>
        <w:gridCol w:w="2836"/>
        <w:gridCol w:w="146"/>
        <w:gridCol w:w="324"/>
        <w:gridCol w:w="876"/>
        <w:gridCol w:w="271"/>
        <w:gridCol w:w="146"/>
        <w:gridCol w:w="371"/>
        <w:gridCol w:w="1009"/>
        <w:gridCol w:w="31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Significant 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 credit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Cash Flows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intend to sell the available-for-sale-security in the near term and does not believe that it will be required to sell the security. The Company reviews its securities on a quarterly basis to monitor its exposure to other-than-temporary impairment.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other-than-temporary impairment was recorded in the unaudited condensed consolidated statements of operations for the three and six months ended August 2, 2026 and August 3,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future principal receipts related to the Company’s available-for-sale security by contractual maturity as of August 2, 2026.</w:t>
      </w:r>
    </w:p>
    <w:p>
      <w:pPr>
        <w:pStyle w:val="TextBody"/>
        <w:bidi w:val="0"/>
        <w:jc w:val="left"/>
        <w:rPr/>
      </w:pPr>
      <w:r>
        <w:rPr/>
        <w:t> </w:t>
      </w:r>
    </w:p>
    <w:tbl>
      <w:tblPr>
        <w:tblW w:w="5191" w:type="dxa"/>
        <w:jc w:val="left"/>
        <w:tblInd w:w="0" w:type="dxa"/>
        <w:tblLayout w:type="fixed"/>
        <w:tblCellMar>
          <w:top w:w="28" w:type="dxa"/>
          <w:left w:w="28" w:type="dxa"/>
          <w:bottom w:w="28" w:type="dxa"/>
          <w:right w:w="28" w:type="dxa"/>
        </w:tblCellMar>
      </w:tblPr>
      <w:tblGrid>
        <w:gridCol w:w="2806"/>
        <w:gridCol w:w="146"/>
        <w:gridCol w:w="235"/>
        <w:gridCol w:w="636"/>
        <w:gridCol w:w="146"/>
        <w:gridCol w:w="146"/>
        <w:gridCol w:w="238"/>
        <w:gridCol w:w="647"/>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ten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values and fair values of other financial instruments in the Consolidated Balance Sheets are as follows:</w:t>
      </w:r>
    </w:p>
    <w:p>
      <w:pPr>
        <w:pStyle w:val="TextBody"/>
        <w:bidi w:val="0"/>
        <w:jc w:val="left"/>
        <w:rPr/>
      </w:pPr>
      <w:r>
        <w:rPr/>
        <w:t> </w:t>
      </w:r>
    </w:p>
    <w:tbl>
      <w:tblPr>
        <w:tblW w:w="9948" w:type="dxa"/>
        <w:jc w:val="left"/>
        <w:tblInd w:w="0" w:type="dxa"/>
        <w:tblLayout w:type="fixed"/>
        <w:tblCellMar>
          <w:top w:w="28" w:type="dxa"/>
          <w:left w:w="28" w:type="dxa"/>
          <w:bottom w:w="28" w:type="dxa"/>
          <w:right w:w="28" w:type="dxa"/>
        </w:tblCellMar>
      </w:tblPr>
      <w:tblGrid>
        <w:gridCol w:w="4141"/>
        <w:gridCol w:w="146"/>
        <w:gridCol w:w="335"/>
        <w:gridCol w:w="1075"/>
        <w:gridCol w:w="146"/>
        <w:gridCol w:w="146"/>
        <w:gridCol w:w="211"/>
        <w:gridCol w:w="676"/>
        <w:gridCol w:w="146"/>
        <w:gridCol w:w="146"/>
        <w:gridCol w:w="335"/>
        <w:gridCol w:w="1075"/>
        <w:gridCol w:w="146"/>
        <w:gridCol w:w="146"/>
        <w:gridCol w:w="211"/>
        <w:gridCol w:w="67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 Long-term debt, including short-term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above long-term debt, including short-term portion is attributable to the consolidation of TRI in accordance with ASC Topic 810, </w:t>
      </w:r>
      <w:r>
        <w:rPr>
          <w:rFonts w:ascii="Times New Roman" w:hAnsi="Times New Roman"/>
          <w:i/>
          <w:color w:val="000000"/>
          <w:sz w:val="20"/>
        </w:rPr>
        <w:t>Consolidation</w:t>
      </w:r>
      <w:r>
        <w:rPr>
          <w:rFonts w:ascii="Times New Roman" w:hAnsi="Times New Roman"/>
          <w:color w:val="000000"/>
          <w:sz w:val="20"/>
        </w:rPr>
        <w:t>. The fair value was also based on a discounted cash flow method (Level 3) based on credit information and an estimate of future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VARIABLE INTEREST ENTITIES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Based upon the criteria set forth in ASC 810, </w:t>
      </w:r>
      <w:r>
        <w:rPr>
          <w:rFonts w:ascii="Times New Roman" w:hAnsi="Times New Roman"/>
          <w:i/>
          <w:color w:val="000000"/>
          <w:sz w:val="20"/>
        </w:rPr>
        <w:t>Consolidation</w:t>
      </w:r>
      <w:r>
        <w:rPr>
          <w:rFonts w:ascii="Times New Roman" w:hAnsi="Times New Roman"/>
          <w:color w:val="000000"/>
          <w:sz w:val="20"/>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August 2, 2026 and February 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balance sheets include the following amounts as a result of the consolidation of TRI as of August 2, 2026 and February 1, 2026:</w:t>
      </w:r>
    </w:p>
    <w:p>
      <w:pPr>
        <w:pStyle w:val="TextBody"/>
        <w:bidi w:val="0"/>
        <w:jc w:val="left"/>
        <w:rPr/>
      </w:pPr>
      <w:r>
        <w:rPr/>
        <w:t> </w:t>
      </w:r>
    </w:p>
    <w:tbl>
      <w:tblPr>
        <w:tblW w:w="6840" w:type="dxa"/>
        <w:jc w:val="left"/>
        <w:tblInd w:w="0" w:type="dxa"/>
        <w:tblLayout w:type="fixed"/>
        <w:tblCellMar>
          <w:top w:w="28" w:type="dxa"/>
          <w:left w:w="28" w:type="dxa"/>
          <w:bottom w:w="28" w:type="dxa"/>
          <w:right w:w="28" w:type="dxa"/>
        </w:tblCellMar>
      </w:tblPr>
      <w:tblGrid>
        <w:gridCol w:w="3491"/>
        <w:gridCol w:w="146"/>
        <w:gridCol w:w="285"/>
        <w:gridCol w:w="915"/>
        <w:gridCol w:w="166"/>
        <w:gridCol w:w="146"/>
        <w:gridCol w:w="328"/>
        <w:gridCol w:w="1052"/>
        <w:gridCol w:w="31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in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EARNINGS PER SHARE</w:t>
      </w:r>
    </w:p>
    <w:p>
      <w:pPr>
        <w:pStyle w:val="TextBody"/>
        <w:bidi w:val="0"/>
        <w:spacing w:before="200" w:after="283"/>
        <w:jc w:val="left"/>
        <w:rPr>
          <w:rFonts w:ascii="Times New Roman" w:hAnsi="Times New Roman"/>
          <w:sz w:val="20"/>
        </w:rPr>
      </w:pPr>
      <w:r>
        <w:rPr>
          <w:rFonts w:ascii="Times New Roman" w:hAnsi="Times New Roman"/>
          <w:color w:val="000000"/>
          <w:sz w:val="20"/>
        </w:rPr>
        <w:t>Earnings per share is computed under the provisions of ASC 260</w:t>
      </w:r>
      <w:r>
        <w:rPr>
          <w:rFonts w:ascii="Times New Roman" w:hAnsi="Times New Roman"/>
          <w:i/>
          <w:color w:val="000000"/>
          <w:sz w:val="20"/>
        </w:rPr>
        <w:t>, Earnings Per Share</w:t>
      </w:r>
      <w:r>
        <w:rPr>
          <w:rFonts w:ascii="Times New Roman" w:hAnsi="Times New Roman"/>
          <w:color w:val="000000"/>
          <w:sz w:val="20"/>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pStyle w:val="TextBody"/>
        <w:bidi w:val="0"/>
        <w:jc w:val="left"/>
        <w:rPr/>
      </w:pPr>
      <w:r>
        <w:rPr/>
        <w:t> </w:t>
      </w:r>
    </w:p>
    <w:tbl>
      <w:tblPr>
        <w:tblW w:w="10004" w:type="dxa"/>
        <w:jc w:val="left"/>
        <w:tblInd w:w="0" w:type="dxa"/>
        <w:tblLayout w:type="fixed"/>
        <w:tblCellMar>
          <w:top w:w="28" w:type="dxa"/>
          <w:left w:w="28" w:type="dxa"/>
          <w:bottom w:w="28" w:type="dxa"/>
          <w:right w:w="28" w:type="dxa"/>
        </w:tblCellMar>
      </w:tblPr>
      <w:tblGrid>
        <w:gridCol w:w="3871"/>
        <w:gridCol w:w="146"/>
        <w:gridCol w:w="285"/>
        <w:gridCol w:w="915"/>
        <w:gridCol w:w="146"/>
        <w:gridCol w:w="146"/>
        <w:gridCol w:w="285"/>
        <w:gridCol w:w="915"/>
        <w:gridCol w:w="146"/>
        <w:gridCol w:w="146"/>
        <w:gridCol w:w="285"/>
        <w:gridCol w:w="915"/>
        <w:gridCol w:w="146"/>
        <w:gridCol w:w="146"/>
        <w:gridCol w:w="267"/>
        <w:gridCol w:w="933"/>
        <w:gridCol w:w="3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Numerator - net income (loss) attributable to </w:t>
              <w:br/>
              <w:t>   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Denominator - weighted average shares </w:t>
              <w:br/>
              <w:t>   (Class A and 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(Class A and 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computation of diluted loss per share excluded 0.2 million of unvested restricted stock for the six months ended August 3, 2025, because their inclusion would be anti-dilutive due to a net loss.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accounts for its stock-based compensation plan in accordance with ASC 718, </w:t>
      </w:r>
      <w:r>
        <w:rPr>
          <w:rFonts w:ascii="Times New Roman" w:hAnsi="Times New Roman"/>
          <w:i/>
          <w:color w:val="000000"/>
          <w:sz w:val="20"/>
        </w:rPr>
        <w:t>Stock Compensation</w:t>
      </w:r>
      <w:r>
        <w:rPr>
          <w:rFonts w:ascii="Times New Roman" w:hAnsi="Times New Roman"/>
          <w:color w:val="000000"/>
          <w:sz w:val="20"/>
        </w:rPr>
        <w:t>, which requires the Company to measure all share-based payments at grant date fair value and recognize the cost over the requisite service period of the award.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stock compensation expense associated with restricted stock recognized by the Company was $0.9 million and $1.1 million for the three months ended August 2, 2026 and August 3, 2025, respectively. Total stock compensation expense associated with restricted stock recognized by the Company was $1.6 million and $1.3 million for the six months ended August 2, 2026 and August 3, 2025, respectively. The Company’s total stock compensation expense is included in selling, general and administrative expenses on the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the activity in the Company’s unvested restricted stock during the six months ended August 2, 2026 is as follows:</w:t>
      </w:r>
    </w:p>
    <w:p>
      <w:pPr>
        <w:pStyle w:val="TextBody"/>
        <w:bidi w:val="0"/>
        <w:jc w:val="left"/>
        <w:rPr/>
      </w:pPr>
      <w:r>
        <w:rPr/>
        <w:t> </w:t>
      </w:r>
    </w:p>
    <w:tbl>
      <w:tblPr>
        <w:tblW w:w="5422" w:type="dxa"/>
        <w:jc w:val="left"/>
        <w:tblInd w:w="0" w:type="dxa"/>
        <w:tblLayout w:type="fixed"/>
        <w:tblCellMar>
          <w:top w:w="28" w:type="dxa"/>
          <w:left w:w="28" w:type="dxa"/>
          <w:bottom w:w="28" w:type="dxa"/>
          <w:right w:w="28" w:type="dxa"/>
        </w:tblCellMar>
      </w:tblPr>
      <w:tblGrid>
        <w:gridCol w:w="2746"/>
        <w:gridCol w:w="146"/>
        <w:gridCol w:w="146"/>
        <w:gridCol w:w="931"/>
        <w:gridCol w:w="166"/>
        <w:gridCol w:w="146"/>
        <w:gridCol w:w="252"/>
        <w:gridCol w:w="558"/>
        <w:gridCol w:w="33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February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August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August 2, 2026, the Company had unrecognized compensation expense of $6.7 million related to the restricted stock awards, which is expected to be recognized over a weighted average period of 2.1 years.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PROPERTY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consist of the following:</w:t>
      </w:r>
    </w:p>
    <w:p>
      <w:pPr>
        <w:pStyle w:val="TextBody"/>
        <w:bidi w:val="0"/>
        <w:jc w:val="left"/>
        <w:rPr/>
      </w:pPr>
      <w:r>
        <w:rPr/>
        <w:t> </w:t>
      </w:r>
    </w:p>
    <w:tbl>
      <w:tblPr>
        <w:tblW w:w="6940" w:type="dxa"/>
        <w:jc w:val="left"/>
        <w:tblInd w:w="0" w:type="dxa"/>
        <w:tblLayout w:type="fixed"/>
        <w:tblCellMar>
          <w:top w:w="28" w:type="dxa"/>
          <w:left w:w="28" w:type="dxa"/>
          <w:bottom w:w="28" w:type="dxa"/>
          <w:right w:w="28" w:type="dxa"/>
        </w:tblCellMar>
      </w:tblPr>
      <w:tblGrid>
        <w:gridCol w:w="3691"/>
        <w:gridCol w:w="146"/>
        <w:gridCol w:w="240"/>
        <w:gridCol w:w="960"/>
        <w:gridCol w:w="166"/>
        <w:gridCol w:w="146"/>
        <w:gridCol w:w="276"/>
        <w:gridCol w:w="1104"/>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Warehouse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revenue primarily consists of the sale of apparel, footwear and hard goods.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disaggregated based upon sales channel is presented below.</w:t>
      </w:r>
    </w:p>
    <w:p>
      <w:pPr>
        <w:pStyle w:val="TextBody"/>
        <w:bidi w:val="0"/>
        <w:jc w:val="left"/>
        <w:rPr/>
      </w:pPr>
      <w:r>
        <w:rPr/>
        <w:t> </w:t>
      </w:r>
    </w:p>
    <w:tbl>
      <w:tblPr>
        <w:tblW w:w="7694" w:type="dxa"/>
        <w:jc w:val="left"/>
        <w:tblInd w:w="0" w:type="dxa"/>
        <w:tblLayout w:type="fixed"/>
        <w:tblCellMar>
          <w:top w:w="28" w:type="dxa"/>
          <w:left w:w="28" w:type="dxa"/>
          <w:bottom w:w="28" w:type="dxa"/>
          <w:right w:w="28" w:type="dxa"/>
        </w:tblCellMar>
      </w:tblPr>
      <w:tblGrid>
        <w:gridCol w:w="1681"/>
        <w:gridCol w:w="146"/>
        <w:gridCol w:w="255"/>
        <w:gridCol w:w="945"/>
        <w:gridCol w:w="146"/>
        <w:gridCol w:w="146"/>
        <w:gridCol w:w="255"/>
        <w:gridCol w:w="945"/>
        <w:gridCol w:w="146"/>
        <w:gridCol w:w="146"/>
        <w:gridCol w:w="255"/>
        <w:gridCol w:w="945"/>
        <w:gridCol w:w="146"/>
        <w:gridCol w:w="146"/>
        <w:gridCol w:w="255"/>
        <w:gridCol w:w="945"/>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Direct-to-consumer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Liabilities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 assets and liabilities on the Company’s consolidated balance sheets are presented in the following table:</w:t>
      </w:r>
    </w:p>
    <w:p>
      <w:pPr>
        <w:pStyle w:val="TextBody"/>
        <w:bidi w:val="0"/>
        <w:jc w:val="left"/>
        <w:rPr/>
      </w:pPr>
      <w:r>
        <w:rPr/>
        <w:t> </w:t>
      </w:r>
    </w:p>
    <w:tbl>
      <w:tblPr>
        <w:tblW w:w="4860" w:type="dxa"/>
        <w:jc w:val="left"/>
        <w:tblInd w:w="0" w:type="dxa"/>
        <w:tblLayout w:type="fixed"/>
        <w:tblCellMar>
          <w:top w:w="28" w:type="dxa"/>
          <w:left w:w="28" w:type="dxa"/>
          <w:bottom w:w="28" w:type="dxa"/>
          <w:right w:w="28" w:type="dxa"/>
        </w:tblCellMar>
      </w:tblPr>
      <w:tblGrid>
        <w:gridCol w:w="1651"/>
        <w:gridCol w:w="146"/>
        <w:gridCol w:w="324"/>
        <w:gridCol w:w="876"/>
        <w:gridCol w:w="146"/>
        <w:gridCol w:w="146"/>
        <w:gridCol w:w="371"/>
        <w:gridCol w:w="1009"/>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the reconciliation of the contract liability related to gift cards for the six months ended:</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2866"/>
        <w:gridCol w:w="146"/>
        <w:gridCol w:w="300"/>
        <w:gridCol w:w="900"/>
        <w:gridCol w:w="166"/>
        <w:gridCol w:w="146"/>
        <w:gridCol w:w="300"/>
        <w:gridCol w:w="900"/>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cards redeemed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breakage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effective tax rate related to controlling interest was 2.1% and (6.0%) for the six months ended August 2, 2026 and August 3, 2025, respectively. The income from TRI was excluded from the calculation of the Company’s effective tax rate, as TRI is a limited liability company and not subject to income tax. The Company maintains a valuation allowance against its deferred tax assets as of August 2,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August 2, 2026 and August 3, 2025, the Company had one reportable segment. The Company’s operating segment is based on how the Chief Operating Decision Maker (“CODM”) makes decisions about allocating resources and assessing performance. The Company's CODM is its Chief Executive Officer. The CODM has the ultimate decision-making authority for resource allocation and assessing the performance of the Company. Thereby, the CODM regularly reviews consolidated net income as the measure of segment profit or loss, as well as significant segment expenses included in the below table, to evaluate operating performance, generate future operating plans and make strategic decisions regarding the allocation of capital. The CODM also uses these measures in monitoring plan versus actual results. The CODM does not review segment assets at a different level or category than those disclosed in the condensed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gross margin and selling, general and administrative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9"/>
        <w:gridCol w:w="146"/>
        <w:gridCol w:w="249"/>
        <w:gridCol w:w="925"/>
        <w:gridCol w:w="146"/>
        <w:gridCol w:w="146"/>
        <w:gridCol w:w="249"/>
        <w:gridCol w:w="925"/>
        <w:gridCol w:w="166"/>
        <w:gridCol w:w="146"/>
        <w:gridCol w:w="249"/>
        <w:gridCol w:w="925"/>
        <w:gridCol w:w="146"/>
        <w:gridCol w:w="146"/>
        <w:gridCol w:w="249"/>
        <w:gridCol w:w="925"/>
        <w:gridCol w:w="218"/>
      </w:tblGrid>
      <w:tr>
        <w:trPr/>
        <w:tc>
          <w:tcPr>
            <w:tcW w:w="4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weeks)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weeks)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(26 weeks)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(26 weeks)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125,374</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Outbound shipping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DULUTH HOLDINGS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(1) Cost of goods sold includes a reduction of $16.0 million and other (loss) income, net includes interest income of $0.4 million for the three and six months ended August 2, 2026 related to IEEPA tariff refunds as further discussed in Note 1. </w:t>
      </w:r>
    </w:p>
    <w:p>
      <w:pPr>
        <w:pStyle w:val="TextBody"/>
        <w:bidi w:val="0"/>
        <w:jc w:val="left"/>
        <w:rPr>
          <w:rFonts w:ascii="Times New Roman" w:hAnsi="Times New Roman"/>
          <w:b/>
          <w:color w:val="000000"/>
          <w:sz w:val="20"/>
        </w:rPr>
      </w:pPr>
      <w:r>
        <w:rPr>
          <w:rFonts w:ascii="Times New Roman" w:hAnsi="Times New Roman"/>
          <w:b/>
          <w:color w:val="000000"/>
          <w:sz w:val="20"/>
        </w:rPr>
        <w:t>13. RESTRUCTURING</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January 8, 2026, as a result of additional analysis of the Company's fulfillment center network, the Company communicated its intent to close the Salt Lake City fulfillment center, as such, the Company recorded employment related termination benefits and other restructuring related expenses beginning in the fourth quarter of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June 4, 2025, as a result of right-sizing the expense structure of the Company, the Company voluntarily underwent a reduction in force.</w:t>
      </w:r>
    </w:p>
    <w:tbl>
      <w:tblPr>
        <w:tblW w:w="9293" w:type="dxa"/>
        <w:jc w:val="left"/>
        <w:tblInd w:w="0" w:type="dxa"/>
        <w:tblLayout w:type="fixed"/>
        <w:tblCellMar>
          <w:top w:w="28" w:type="dxa"/>
          <w:left w:w="28" w:type="dxa"/>
          <w:bottom w:w="28" w:type="dxa"/>
          <w:right w:w="28" w:type="dxa"/>
        </w:tblCellMar>
      </w:tblPr>
      <w:tblGrid>
        <w:gridCol w:w="3256"/>
        <w:gridCol w:w="146"/>
        <w:gridCol w:w="454"/>
        <w:gridCol w:w="746"/>
        <w:gridCol w:w="158"/>
        <w:gridCol w:w="158"/>
        <w:gridCol w:w="400"/>
        <w:gridCol w:w="800"/>
        <w:gridCol w:w="146"/>
        <w:gridCol w:w="146"/>
        <w:gridCol w:w="324"/>
        <w:gridCol w:w="876"/>
        <w:gridCol w:w="146"/>
        <w:gridCol w:w="146"/>
        <w:gridCol w:w="400"/>
        <w:gridCol w:w="800"/>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termination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RECENT ACCOUNTING PRONOUNCEMENTS</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Recent Accounting Pronouncements Not Yet Adopted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Income Statement – Reporting Comprehensive Income – Expense Disaggregation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Financial Accounting Standards Board issued Accounting Standards Update (“ASU”) No. 2024-03, “Income Statement – Reporting Comprehensive Income – Expense Disaggregation Disclosures.”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2026. Early adoption is permitted. Management is currently evaluating the effects this guidance will have on its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jc w:val="left"/>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the financial condition and results of our operations should be read in conjunction with the financial statements and related notes of Duluth Holdings Inc. included in Item 1 of this Quarterly Report on Form 10-Q and with our audited financial statements and the related notes included in our Annual Report on Form 10-K for the fiscal year ended February 1, 2026 (“2025 Form 10-K”).</w:t>
      </w:r>
    </w:p>
    <w:p>
      <w:pPr>
        <w:pStyle w:val="TextBody"/>
        <w:bidi w:val="0"/>
        <w:spacing w:before="200" w:after="283"/>
        <w:jc w:val="left"/>
        <w:rPr>
          <w:rFonts w:ascii="Times New Roman" w:hAnsi="Times New Roman"/>
          <w:sz w:val="20"/>
        </w:rPr>
      </w:pPr>
      <w:r>
        <w:rPr>
          <w:rFonts w:ascii="Times New Roman" w:hAnsi="Times New Roman"/>
          <w:i/>
          <w:color w:val="000000"/>
          <w:sz w:val="20"/>
        </w:rPr>
        <w:t>The Company’s fiscal year ends on the Sunday nearest to January 31 of the following year. Fiscal 2026 is a 52-week period and ends on January 31, 2027. Fiscal 2025 was a 52-week period and ended on February 1, 2026. The three months of fiscal 2026 and fiscal 2025 represent our 13-week periods ended August 2, 2026 and August 3, 2025,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Unless the context indicates otherwise, the terms the “Company,” “Duluth,” “Duluth Trading,” “we,” “our,” or “us” are used to refer to Duluth Holdings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 the risks and uncertainties described under Part I, Item 1A “Risk Factors,” in our 2025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the susceptibility of the price and availability of our merchandise to international trade conditions including tariffs;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employees; failure to comply with data privacy regulations;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undertake no obligation to update or revise these forward-looking statements, except as required under the federal securities laws.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lifestyle brand of men’s and women’s workwear, casual wear, outdoor apparel and accessories sold primarily through our own omnichannel platform. We offer products nationwide through our website and direct mail. In 2010, we initiated our omnichannel platform with the opening of our first store. Since then, we have expanded our retail presence, and as of August 2, 2026, we operated 63 retail stores and three outlet stores. </w:t>
      </w:r>
    </w:p>
    <w:p>
      <w:pPr>
        <w:pStyle w:val="TextBody"/>
        <w:bidi w:val="0"/>
        <w:spacing w:lineRule="auto" w:line="360" w:before="200" w:after="283"/>
        <w:jc w:val="left"/>
        <w:rPr>
          <w:rFonts w:ascii="Times New Roman" w:hAnsi="Times New Roman"/>
          <w:sz w:val="13"/>
        </w:rPr>
      </w:pPr>
      <w:r>
        <w:rPr>
          <w:rFonts w:ascii="Times New Roman" w:hAnsi="Times New Roman"/>
          <w:color w:val="000000"/>
          <w:sz w:val="20"/>
        </w:rPr>
        <w:t>We offer a comprehensive line of innovative, durable and functional products, such as our Longtail T</w:t>
      </w:r>
      <w:r>
        <w:rPr>
          <w:rFonts w:ascii="Times New Roman" w:hAnsi="Times New Roman"/>
          <w:color w:val="000000"/>
          <w:sz w:val="13"/>
        </w:rPr>
        <w:t xml:space="preserve">® </w:t>
      </w:r>
      <w:r>
        <w:rPr>
          <w:rFonts w:ascii="Times New Roman" w:hAnsi="Times New Roman"/>
          <w:color w:val="000000"/>
          <w:sz w:val="20"/>
        </w:rPr>
        <w:t>shirts, Buck Naked</w:t>
      </w:r>
      <w:r>
        <w:rPr>
          <w:rFonts w:ascii="Times New Roman" w:hAnsi="Times New Roman"/>
          <w:color w:val="000000"/>
          <w:sz w:val="13"/>
        </w:rPr>
        <w:t xml:space="preserve">® </w:t>
      </w:r>
      <w:r>
        <w:rPr>
          <w:rFonts w:ascii="Times New Roman" w:hAnsi="Times New Roman"/>
          <w:color w:val="000000"/>
          <w:sz w:val="20"/>
        </w:rPr>
        <w:t>underwear, Fire Hose</w:t>
      </w:r>
      <w:r>
        <w:rPr>
          <w:rFonts w:ascii="Times New Roman" w:hAnsi="Times New Roman"/>
          <w:color w:val="000000"/>
          <w:sz w:val="13"/>
        </w:rPr>
        <w:t xml:space="preserve">® </w:t>
      </w:r>
      <w:r>
        <w:rPr>
          <w:rFonts w:ascii="Times New Roman" w:hAnsi="Times New Roman"/>
          <w:color w:val="000000"/>
          <w:sz w:val="20"/>
        </w:rPr>
        <w:t>work pants, and No-Yank</w:t>
      </w:r>
      <w:r>
        <w:rPr>
          <w:rFonts w:ascii="Times New Roman" w:hAnsi="Times New Roman"/>
          <w:color w:val="000000"/>
          <w:sz w:val="13"/>
        </w:rPr>
        <w:t xml:space="preserve">® </w:t>
      </w:r>
      <w:r>
        <w:rPr>
          <w:rFonts w:ascii="Times New Roman" w:hAnsi="Times New Roman"/>
          <w:color w:val="000000"/>
          <w:sz w:val="20"/>
        </w:rPr>
        <w:t>Tank, which reflect our position as the Modern, Self-Reliant American Lifestyle brand. Our brand has a heritage in workwear that transcends tradesmen and appeals to a broad demographic for everyday and on-the-job use.</w:t>
      </w:r>
      <w:r>
        <w:rPr>
          <w:rFonts w:ascii="Times New Roman" w:hAnsi="Times New Roman"/>
          <w:color w:val="000000"/>
          <w:sz w:val="13"/>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growth. We have done so by sticking to our roots of “there’s gotta be a better way” and through our relentless focus on providing our customers with quality, functional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summary of our financial results is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7.8% over the prior year second quarter to $121.4 million, and net sales decreased by 6.2% in the first six months of the year to $220.0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$18.4 million in fiscal 2026 second quarter compared to the prior year second quarter net income of $1.3 million, and net income in the first six months of fiscal 2026 of $8.4 million compared to a net loss in the first six months of fiscal 2025 of $14.0 million. Net income includes the impact of $16.3 million in tariff refunds for the three and six months ended August 2,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increased to $27.0 million in fiscal 2026 second quarter compared to the prior year second quarter Adjusted EBITDA of $12.0 million, and Adjusted EBITDA in the first six months of fiscal 2026 of $29.7 million compared to $8.2 million in the first six months of fiscal 2025. Adjusted EBITDA includes the impact of $16.3 million in tariff refunds for the three and six months ended August 2,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Economic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macroeconomic environment is experiencing inflation, including rising transportation costs, and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 However, we expect that our operations will continue to be impacted by these macroeconomic headwinds, which may increase our merchandise costs, affect merchandise availability, and impact our financial performance.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20, 2026, the U.S. Supreme Court issued a ruling relating to tariffs imposed under the International Emergency Economic Powers Act (“IEEPA”). Following the ruling, the U.S. Customs and Border Protection and other federal agencies issued additional guidance and took actions affecting the assessment, collection, refund, and/or protest of certain tariffs. In March 2026, the U.S. Court of International Trade issued an additional ruling stating that importers that have paid tariffs under IEEPA are due refunds. We submitted our refund request in the first quarter of 2026 for reimbursement in the amount of $12.5 million, which reflected the amount of IEEPA tariffs we determined were paid while such tariffs were in effect from February 2025 through February 2026. As of August 2, 2026, we collected tariff refunds of approximately $12.8 million, inclusive of an insignificant amount of interest. In addition, we recorded a receivable for additional refunds due from vendors from previously passed through tariff costs, and we have recorded an accrual for the reimbursement of certain vendors for tariff charges that we previously passed through to those vendors. Refer to the Results of Operations section for further discussion of the impact of refunds on our operations for the three and six months ended August 2,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continuing to evaluate the impact of these developments on previously paid tariffs and related matters, including the potential for additional recovery. At this time, we cannot reasonably estimate the amount or timing of any further recovery, if any, or the ultimate impact of these developments on our condensed consolidated financial statements.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We Assess the Performance of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assessing the performance of our business, we consider a variety of financial and operating measures that affect our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sales reflect our sale of merchandise plus shipping and handling revenue collected from our customers, less returns and discounts. Direct-to-consumer sales are recognized upon shipment to a customer, while store sales are recognized at the point of sale.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print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Adjusted EBITDA is a useful measure of operating performance, as it provides a clearer picture of operating results by excluding the effects of financing and investing activities by eliminating the effects of interest, taxes, and depreciation and amortization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define Adjusted EBITDA as consolidated net income (loss) before depreciation and amortization, and interest expense, including non-cash items, and other charges or benefits resulting from transactions or events that are highly variable, significant in size, and that we do not believe are indicative of ongoing or future business operations. We believe Adjusted EBITDA is less susceptible to variances in actual performance resulting from depreciation, amortization and other items. This non-GAAP measure may not be comparable to similarly titled measures used by other companies.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unaudited consolidated results of operations for the periods indicated, both in dollars and as a percentage of net sales.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9"/>
        <w:gridCol w:w="146"/>
        <w:gridCol w:w="211"/>
        <w:gridCol w:w="781"/>
        <w:gridCol w:w="146"/>
        <w:gridCol w:w="146"/>
        <w:gridCol w:w="147"/>
        <w:gridCol w:w="576"/>
        <w:gridCol w:w="147"/>
        <w:gridCol w:w="273"/>
        <w:gridCol w:w="146"/>
        <w:gridCol w:w="211"/>
        <w:gridCol w:w="781"/>
        <w:gridCol w:w="166"/>
        <w:gridCol w:w="146"/>
        <w:gridCol w:w="146"/>
        <w:gridCol w:w="573"/>
        <w:gridCol w:w="166"/>
        <w:gridCol w:w="271"/>
        <w:gridCol w:w="146"/>
        <w:gridCol w:w="211"/>
        <w:gridCol w:w="736"/>
        <w:gridCol w:w="166"/>
        <w:gridCol w:w="146"/>
        <w:gridCol w:w="146"/>
        <w:gridCol w:w="721"/>
        <w:gridCol w:w="166"/>
        <w:gridCol w:w="319"/>
      </w:tblGrid>
      <w:tr>
        <w:trPr/>
        <w:tc>
          <w:tcPr>
            <w:tcW w:w="2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(excluding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7"/>
        <w:gridCol w:w="146"/>
        <w:gridCol w:w="211"/>
        <w:gridCol w:w="781"/>
        <w:gridCol w:w="146"/>
        <w:gridCol w:w="146"/>
        <w:gridCol w:w="147"/>
        <w:gridCol w:w="576"/>
        <w:gridCol w:w="147"/>
        <w:gridCol w:w="273"/>
        <w:gridCol w:w="146"/>
        <w:gridCol w:w="211"/>
        <w:gridCol w:w="781"/>
        <w:gridCol w:w="166"/>
        <w:gridCol w:w="146"/>
        <w:gridCol w:w="146"/>
        <w:gridCol w:w="573"/>
        <w:gridCol w:w="166"/>
        <w:gridCol w:w="271"/>
        <w:gridCol w:w="146"/>
        <w:gridCol w:w="211"/>
        <w:gridCol w:w="736"/>
        <w:gridCol w:w="166"/>
        <w:gridCol w:w="146"/>
        <w:gridCol w:w="146"/>
        <w:gridCol w:w="571"/>
        <w:gridCol w:w="166"/>
        <w:gridCol w:w="321"/>
      </w:tblGrid>
      <w:tr>
        <w:trPr/>
        <w:tc>
          <w:tcPr>
            <w:tcW w:w="2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(excluding 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Three Months Ended August 2, 2026, Compared to Three Months Ended August 3,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decrease in net sales for the three months ended August 2, 2026 was primarily driven by a decline in direct-to-consumer net sales resulting from declines in web traffic and web conversion due to reduced promotional activity partially offset by higher average order values.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gross profit and gross margin rate for the three months ended August 2, 2026 was primarily driven by a net reduction of cost of goods sold of $16.0 million related to refunds of previously incurred tariff charges as discussed in further detail above. The gross margin rate was also favorably impacted by an increase in average unit retail sales from reduced promotional activity coupled with an improvement in product costs from our direct to factory sourcing initiative. Excluding the impact of tariff refunds, gross margin was 59.6% for the three months ended August 2, 2026, compared to 54.7% for the three months ended August 3,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selling, general and administrative expense and as a percentage of sales for the three months ended August 2, 2026 was mainly driven by an increase in advertising and shipping expenses, which was partially offset by leverage in variable expenses in our fulfillment centers and stores coupled with lower overhead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Restructuring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restructuring expenses incurred for the three months ended August 3, 2025 related to a reduction in force to right-size our expense structure.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decreased for the three months ended August 2, 2026 due to a lower average balance on our outstanding line of credit.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(Loss),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other income increased for the three months ended August 2, 2026 primarily due to interest received on the tariffs refunded as discussed in further detail above.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increased for the three months ended August 2, 2026 primarily due to the net income generated during the period.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Six Months Ended August 2, 2026, Compared to Six Months Ended August 3,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decrease in net sales for the six months ended August 2, 2026 was primarily driven by a decline in direct-to-consumer net sales resulting from declines in web traffic and web conversion due to reduced promotional activity partially offset by higher average order values.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gross profit and gross margin rate for the six months ended August 2, 2026 was primarily driven by a net reduction of cost of goods sold of $16.0 million related to refunds of previously incurred tariff charges as discussed in further detail above. Gross profit and gross margin rate were also favorably impacted by an increase in average unit retail sales from reduced promotional activity coupled with an improvement in product costs from our direct to factory sourcing initiative. Excluding the impact of tariff refunds, gross margin was 58.7% for the six months ended August 2, 2026, compared to 53.5% for the six months ended August 3, 2025.</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in selling, general and administrative expense for the six months ended August 2, 2026 was mainly driven by leverage in variable expenses in our fulfillment centers and stores coupled with lower overhead expenses, which was partially offset by an increase in advertising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impairment charge recorded during the six months ended August 2, 2026 related to the closure of our Salt Lake City fulfillment center and corresponding leasehold improvements, which is discussed in further detail in Note 2 of our Notes to Condensed Consolidated Financial Statements. The impairment charge recorded during the six months ended August 3, 2025 related to certain software that was no longer utilized in our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Restructuring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restructuring expenses incurred for the six months ended August 2, 2026 related to the closure of our Salt Lake City fulfillment center. The restructuring expenses incurred for the six months ended August 3, 2025 related to a reduction in force to right-size our expense structure. Refer to Note 13 of our Notes to Condensed Consolidated Financial Statements for further information on the restructuring expenses incurred.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decreased for the six months ended August 2, 2026 due to a lower average balance on our outstanding line of credit.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(Loss),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other income increased for the six months ended August 2, 2026 primarily due to interest received on the tariffs refunded as discussed in further detail above.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decreased for the six months ended August 2, 2026 primarily due to the recognition of additional valuation allowance in the first quarter of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Reconciliation of Net Income (Loss) to EBITDA and EBITDA to Adjusted EBITDA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pStyle w:val="TextBody"/>
        <w:bidi w:val="0"/>
        <w:jc w:val="left"/>
        <w:rPr/>
      </w:pPr>
      <w:r>
        <w:rPr/>
        <w:t> </w:t>
      </w:r>
    </w:p>
    <w:tbl>
      <w:tblPr>
        <w:tblW w:w="10129" w:type="dxa"/>
        <w:jc w:val="left"/>
        <w:tblInd w:w="0" w:type="dxa"/>
        <w:tblLayout w:type="fixed"/>
        <w:tblCellMar>
          <w:top w:w="28" w:type="dxa"/>
          <w:left w:w="28" w:type="dxa"/>
          <w:bottom w:w="28" w:type="dxa"/>
          <w:right w:w="28" w:type="dxa"/>
        </w:tblCellMar>
      </w:tblPr>
      <w:tblGrid>
        <w:gridCol w:w="3896"/>
        <w:gridCol w:w="146"/>
        <w:gridCol w:w="285"/>
        <w:gridCol w:w="915"/>
        <w:gridCol w:w="146"/>
        <w:gridCol w:w="146"/>
        <w:gridCol w:w="285"/>
        <w:gridCol w:w="915"/>
        <w:gridCol w:w="166"/>
        <w:gridCol w:w="146"/>
        <w:gridCol w:w="285"/>
        <w:gridCol w:w="915"/>
        <w:gridCol w:w="146"/>
        <w:gridCol w:w="146"/>
        <w:gridCol w:w="267"/>
        <w:gridCol w:w="933"/>
        <w:gridCol w:w="39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internal-use software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implementation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incentive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Adjusted EBITDA was primarily due to tariff refunds received in the second quarter of 2026 along with leverage across our cost of goods sold and operating expenses as discussed above in the “Results of Operations” section.</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As of August 2, 2026, our net working capital was $85.7 million, including $26.8 million of 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2025, we entered into a credit agreement, which was subsequently amended throughout 2025 and provides us with borrowings of up to $100.0 million that are available under an asset-based revolving senior credit facility with a $10.0 million sublimit for the issuance of standby letters of credit. Due to the seasonality of our business, a significant amount of cash from operating activities is generated during the fourth quarter of our fiscal year. During the first three quarters of our fiscal year, we typically are net users of cash in our operating activities through funding received on our line of credit as we acquire inventory in anticipation of our peak selling season, which typically occurs in the fourth quarter of our fiscal year. We also use cash in our investing activities for capital expenditures throughout all four quarters of our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our cash flow from operating activities and the availability of cash under our credit facility will be sufficient to cover working capital requirements and anticipated capital expenditures for the foreseeable future.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Analysis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operating, investing and financing activities is shown in the following table.</w:t>
      </w:r>
    </w:p>
    <w:p>
      <w:pPr>
        <w:pStyle w:val="TextBody"/>
        <w:bidi w:val="0"/>
        <w:jc w:val="left"/>
        <w:rPr/>
      </w:pPr>
      <w:r>
        <w:rPr/>
        <w:t> </w:t>
      </w:r>
    </w:p>
    <w:tbl>
      <w:tblPr>
        <w:tblW w:w="7285" w:type="dxa"/>
        <w:jc w:val="left"/>
        <w:tblInd w:w="0" w:type="dxa"/>
        <w:tblLayout w:type="fixed"/>
        <w:tblCellMar>
          <w:top w:w="28" w:type="dxa"/>
          <w:left w:w="28" w:type="dxa"/>
          <w:bottom w:w="28" w:type="dxa"/>
          <w:right w:w="28" w:type="dxa"/>
        </w:tblCellMar>
      </w:tblPr>
      <w:tblGrid>
        <w:gridCol w:w="4216"/>
        <w:gridCol w:w="146"/>
        <w:gridCol w:w="285"/>
        <w:gridCol w:w="915"/>
        <w:gridCol w:w="166"/>
        <w:gridCol w:w="146"/>
        <w:gridCol w:w="267"/>
        <w:gridCol w:w="933"/>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3,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activities consist primarily of net income (loss) adjusted for non-cash items that include depreciation and amortization, stock-based compensation and the effect of changes in operating assets and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increase in cash provided by operating activities for the six months ended August 2, 2026 was primarily due to the tariff refunds received, increase in gross margin rate, lower net outflows on trade payables and accrued expenses, and a decrease in selling, general and administrative expenses as discussed in further detail above.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Investing activities consist primarily of capital expenditures related to investments in infrastructure, retail stores and information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in cash used in investing activities was primarily driven by a decrease in purchases of property and equipment.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Financing activities consist primarily of borrowings and payments related to our revolving line of credit as well as payments on finance lease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decrease in cash provided by financing activities for the six months ended August 2, 2026 was primarily due to lower proceeds from our line of credit as a result of lower use of cash in our operations. </w:t>
      </w:r>
    </w:p>
    <w:p>
      <w:pPr>
        <w:pStyle w:val="TextBody"/>
        <w:bidi w:val="0"/>
        <w:spacing w:before="200" w:after="283"/>
        <w:jc w:val="left"/>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to our contractual obligations as described in our Annual Report on Form 10-K for the fiscal year ended February 1, 2026.</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not a party to any material off-balance sheet arrangements.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the date of this filing, there were no significant changes to any of the critical accounting policies and estimates described in our 2025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14 “Recent Accounting Pronouncements,” of Notes to Condensed Consolidated Financial Statements included in Part 1, Item 1, of this quarterly report on Form 10-Q for information regarding recent accounting pronouncements.</w:t>
      </w:r>
    </w:p>
    <w:p>
      <w:pPr>
        <w:pStyle w:val="TextBody"/>
        <w:bidi w:val="0"/>
        <w:spacing w:before="200" w:after="283"/>
        <w:jc w:val="left"/>
        <w:rPr>
          <w:rFonts w:ascii="Times New Roman" w:hAnsi="Times New Roman"/>
          <w:b/>
          <w:color w:val="000000"/>
          <w:sz w:val="20"/>
        </w:rPr>
      </w:pPr>
      <w:bookmarkStart w:id="13" w:name="item_3_quantitative_and_qualitative"/>
      <w:bookmarkEnd w:id="13"/>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significant changes in the market risks described in our 2025 Form 10-K. See Note 3 “Debt and Credit Agreement,” of Notes to Condensed Consolidated Financial Statements included in Part 1, Item 1, of this quarterly report on Form 10-Q, for disclosure on our interest rate related to borrowings under our credit agreement.</w:t>
      </w:r>
    </w:p>
    <w:p>
      <w:pPr>
        <w:pStyle w:val="TextBody"/>
        <w:bidi w:val="0"/>
        <w:spacing w:before="200" w:after="283"/>
        <w:jc w:val="left"/>
        <w:rPr>
          <w:rFonts w:ascii="Times New Roman" w:hAnsi="Times New Roman"/>
          <w:b/>
          <w:color w:val="000000"/>
          <w:sz w:val="20"/>
        </w:rPr>
      </w:pPr>
      <w:bookmarkStart w:id="14" w:name="item_4_controls_and_procedures"/>
      <w:bookmarkEnd w:id="14"/>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 </w:t>
      </w:r>
    </w:p>
    <w:p>
      <w:pPr>
        <w:pStyle w:val="TextBody"/>
        <w:bidi w:val="0"/>
        <w:spacing w:before="20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pStyle w:val="TextBody"/>
        <w:bidi w:val="0"/>
        <w:spacing w:before="200" w:after="283"/>
        <w:jc w:val="left"/>
        <w:rPr>
          <w:rFonts w:ascii="Times New Roman" w:hAnsi="Times New Roman"/>
          <w:b/>
          <w:color w:val="000000"/>
          <w:sz w:val="20"/>
        </w:rPr>
      </w:pPr>
      <w:bookmarkStart w:id="15" w:name="part_ii_other_information"/>
      <w:bookmarkEnd w:id="15"/>
      <w:r>
        <w:rPr>
          <w:rFonts w:ascii="Times New Roman" w:hAnsi="Times New Roman"/>
          <w:b/>
          <w:color w:val="000000"/>
          <w:sz w:val="20"/>
        </w:rPr>
        <w:t>PART II. OTHER INFORMATION</w:t>
      </w:r>
    </w:p>
    <w:p>
      <w:pPr>
        <w:pStyle w:val="TextBody"/>
        <w:bidi w:val="0"/>
        <w:spacing w:before="200" w:after="283"/>
        <w:jc w:val="left"/>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pStyle w:val="TextBody"/>
        <w:bidi w:val="0"/>
        <w:spacing w:before="20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2025 Form 10-K, or other SEC filings. There have been no material changes to our risk factors as previously disclosed in our fiscal 2025 Annual Report on Form 10-K.</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spacing w:before="200" w:after="283"/>
        <w:jc w:val="left"/>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did not sell any equity securities during the quarter ended August 2, 2026, which were not registered under the Securities Act.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contains information regarding shares acquired by us during the quarter, which consisted solely of shares acquired from employees in lieu of amounts required to satisfy minimum tax withholding requirements upon the vesting of the employees’ restricted stock during the three months ended August 2, 2026.</w:t>
      </w:r>
    </w:p>
    <w:tbl>
      <w:tblPr>
        <w:tblW w:w="9174" w:type="dxa"/>
        <w:jc w:val="left"/>
        <w:tblInd w:w="0" w:type="dxa"/>
        <w:tblLayout w:type="fixed"/>
        <w:tblCellMar>
          <w:top w:w="28" w:type="dxa"/>
          <w:left w:w="28" w:type="dxa"/>
          <w:bottom w:w="28" w:type="dxa"/>
          <w:right w:w="28" w:type="dxa"/>
        </w:tblCellMar>
      </w:tblPr>
      <w:tblGrid>
        <w:gridCol w:w="2521"/>
        <w:gridCol w:w="146"/>
        <w:gridCol w:w="172"/>
        <w:gridCol w:w="923"/>
        <w:gridCol w:w="146"/>
        <w:gridCol w:w="146"/>
        <w:gridCol w:w="353"/>
        <w:gridCol w:w="787"/>
        <w:gridCol w:w="146"/>
        <w:gridCol w:w="146"/>
        <w:gridCol w:w="453"/>
        <w:gridCol w:w="1077"/>
        <w:gridCol w:w="146"/>
        <w:gridCol w:w="146"/>
        <w:gridCol w:w="595"/>
        <w:gridCol w:w="980"/>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shares that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yet to be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 under the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plans or programs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4, 2026 - 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 July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2026 - August 2,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August 2, 2026, no director or Section 16 officer of the Company adopted or terminated a “Rule 10b5-1 trading arrangement” or “non-Rule 10b5-1 trading arrangement,” as each term is defined in Item 408(a) of Regulation S-K.</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00"/>
        <w:gridCol w:w="146"/>
        <w:gridCol w:w="9059"/>
      </w:tblGrid>
      <w:tr>
        <w:trPr/>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9"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w:anchor="dlth-ex31_1.htm">
              <w:r>
                <w:rPr>
                  <w:rStyle w:val="InternetLink"/>
                  <w:rFonts w:ascii="Times New Roman" w:hAnsi="Times New Roman"/>
                  <w:color w:val="0000FF"/>
                  <w:sz w:val="20"/>
                  <w:u w:val="single"/>
                </w:rPr>
                <w:t>Certification of Chief Executive Officer pursuant to Rule 13a-14(a) and Rule 15d-14(a) of the Securities and Exchange Act, as amended.*</w:t>
              </w:r>
            </w:hyperlink>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w:anchor="dlth-ex31_2.htm">
              <w:r>
                <w:rPr>
                  <w:rStyle w:val="InternetLink"/>
                  <w:rFonts w:ascii="Times New Roman" w:hAnsi="Times New Roman"/>
                  <w:color w:val="0000FF"/>
                  <w:sz w:val="20"/>
                  <w:u w:val="single"/>
                </w:rPr>
                <w:t>Certification of Chief Financial Officer pursuant to Rule 13a-14(a) and Rule 15d-14(a) of the Securities and Exchange Act of 1934, as amended.*</w:t>
              </w:r>
            </w:hyperlink>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w:anchor="dlth-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w:anchor="dlth-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XBRL Instance Document**</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1000"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August 2, 2026 has been formatted in Inline XBRL (Inline Extensible Business Reporting Language and contained in Exhibits 101).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
        <w:gridCol w:w="146"/>
        <w:gridCol w:w="9763"/>
      </w:tblGrid>
      <w:tr>
        <w:trPr/>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3"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compensation plan or arrangement</w:t>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accordance with Regulation S-T, the XBRL-related information in Exhibit 101 to this Quarterly Report on Form 10-Q shall be deemed to be “furnished” and not “filed.”</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00" w:after="20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7"/>
        <w:gridCol w:w="713"/>
        <w:gridCol w:w="2855"/>
        <w:gridCol w:w="4950"/>
      </w:tblGrid>
      <w:tr>
        <w:trPr/>
        <w:tc>
          <w:tcPr>
            <w:tcW w:w="168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9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September 4, 2026</w:t>
            </w:r>
          </w:p>
        </w:tc>
        <w:tc>
          <w:tcPr>
            <w:tcW w:w="851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85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DULUTH HOLDINGS INC.</w:t>
              <w:br/>
              <w:t>(Registrant)</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851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780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Heena Agrawal</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7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Heena Agrawal</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7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Senior Vice President, Chief Financial Officer</w:t>
            </w:r>
          </w:p>
        </w:tc>
      </w:tr>
      <w:tr>
        <w:trPr/>
        <w:tc>
          <w:tcPr>
            <w:tcW w:w="1687"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78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(On behalf of the Registrant and as Principal Financial Officer and Interim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bkmk_128"/>
      <w:bookmarkStart w:id="23" w:name="bkmk_126"/>
      <w:bookmarkStart w:id="24" w:name="bkmk_127"/>
      <w:bookmarkStart w:id="25" w:name="dlth-ex31_1.htm"/>
      <w:bookmarkStart w:id="26" w:name="ksdlthex31_1"/>
      <w:bookmarkEnd w:id="22"/>
      <w:bookmarkEnd w:id="23"/>
      <w:bookmarkEnd w:id="24"/>
      <w:bookmarkEnd w:id="25"/>
      <w:bookmarkEnd w:id="26"/>
      <w:r>
        <w:rPr>
          <w:rFonts w:ascii="Times New Roman" w:hAnsi="Times New Roman"/>
          <w:b/>
          <w:color w:val="000000"/>
          <w:sz w:val="20"/>
        </w:rPr>
        <w:t>Exhibit 31.1</w:t>
      </w:r>
      <w:bookmarkStart w:id="27" w:name="bkmk_129"/>
      <w:bookmarkEnd w:id="27"/>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Stephanie Pugliese, Chief Executive Officer,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1.I have reviewed this Quarterly Report on Form 10-Q of Duluth Holdings Inc.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September 4, 2026</w:t>
      </w:r>
    </w:p>
    <w:p>
      <w:pPr>
        <w:pStyle w:val="TextBody"/>
        <w:bidi w:val="0"/>
        <w:jc w:val="left"/>
        <w:rPr>
          <w:rFonts w:cs="Tahoma;sans-serif"/>
          <w:color w:val="000000"/>
          <w:szCs w:val="20"/>
        </w:rPr>
      </w:pPr>
      <w:r>
        <w:rPr>
          <w:rFonts w:cs="Tahoma;sans-serif"/>
          <w:color w:val="000000"/>
          <w:szCs w:val="20"/>
        </w:rPr>
        <w:t>﻿</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ind w:left="0" w:right="0" w:firstLine="58"/>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ind w:left="0" w:right="0" w:firstLine="58"/>
              <w:jc w:val="left"/>
              <w:rPr>
                <w:rFonts w:ascii="Times New Roman" w:hAnsi="Times New Roman"/>
                <w:b/>
                <w:color w:val="000000"/>
                <w:sz w:val="20"/>
              </w:rPr>
            </w:pPr>
            <w:r>
              <w:rPr>
                <w:rFonts w:ascii="Times New Roman" w:hAnsi="Times New Roman"/>
                <w:b/>
                <w:color w:val="000000"/>
                <w:sz w:val="20"/>
              </w:rPr>
              <w:t>/s/ Stephanie Pugliese</w:t>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58"/>
              <w:jc w:val="left"/>
              <w:rPr>
                <w:rFonts w:ascii="Times New Roman" w:hAnsi="Times New Roman"/>
                <w:b/>
                <w:color w:val="000000"/>
                <w:sz w:val="20"/>
              </w:rPr>
            </w:pPr>
            <w:r>
              <w:rPr>
                <w:rFonts w:ascii="Times New Roman" w:hAnsi="Times New Roman"/>
                <w:b/>
                <w:color w:val="000000"/>
                <w:sz w:val="20"/>
              </w:rPr>
              <w:t>Stephanie Pugliese</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bkmk_133"/>
      <w:bookmarkStart w:id="29" w:name="dlth-ex31_2.htm"/>
      <w:bookmarkStart w:id="30" w:name="ksdlthex31_2"/>
      <w:bookmarkEnd w:id="28"/>
      <w:bookmarkEnd w:id="29"/>
      <w:bookmarkEnd w:id="30"/>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Heena Agrawal, Chief Financial Officer,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1.I have reviewed this Quarterly Report on Form 10-Q of Duluth Holdings Inc.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4, 2026</w:t>
      </w:r>
    </w:p>
    <w:p>
      <w:pPr>
        <w:pStyle w:val="TextBody"/>
        <w:bidi w:val="0"/>
        <w:jc w:val="left"/>
        <w:rPr>
          <w:rFonts w:cs="Tahoma;sans-serif"/>
          <w:color w:val="000000"/>
          <w:szCs w:val="20"/>
        </w:rPr>
      </w:pPr>
      <w:r>
        <w:rPr>
          <w:rFonts w:cs="Tahoma;sans-serif"/>
          <w:color w:val="000000"/>
          <w:szCs w:val="20"/>
        </w:rPr>
        <w:t>﻿</w:t>
      </w:r>
    </w:p>
    <w:tbl>
      <w:tblPr>
        <w:tblW w:w="5300" w:type="dxa"/>
        <w:jc w:val="left"/>
        <w:tblInd w:w="0" w:type="dxa"/>
        <w:tblLayout w:type="fixed"/>
        <w:tblCellMar>
          <w:top w:w="28" w:type="dxa"/>
          <w:left w:w="28" w:type="dxa"/>
          <w:bottom w:w="28" w:type="dxa"/>
          <w:right w:w="28" w:type="dxa"/>
        </w:tblCellMar>
      </w:tblPr>
      <w:tblGrid>
        <w:gridCol w:w="5300"/>
      </w:tblGrid>
      <w:tr>
        <w:trPr/>
        <w:tc>
          <w:tcPr>
            <w:tcW w:w="5300" w:type="dxa"/>
            <w:tcBorders/>
            <w:vAlign w:val="center"/>
          </w:tcPr>
          <w:p>
            <w:pPr>
              <w:pStyle w:val="TableContents"/>
              <w:bidi w:val="0"/>
              <w:spacing w:before="0" w:after="283"/>
              <w:ind w:left="0" w:right="0" w:firstLine="64"/>
              <w:jc w:val="left"/>
              <w:rPr>
                <w:sz w:val="4"/>
                <w:szCs w:val="4"/>
              </w:rPr>
            </w:pPr>
            <w:r>
              <w:rPr>
                <w:sz w:val="4"/>
                <w:szCs w:val="4"/>
              </w:rPr>
            </w:r>
          </w:p>
        </w:tc>
      </w:tr>
      <w:tr>
        <w:trPr/>
        <w:tc>
          <w:tcPr>
            <w:tcW w:w="5300" w:type="dxa"/>
            <w:tcBorders>
              <w:bottom w:val="single" w:sz="6" w:space="0" w:color="000000"/>
            </w:tcBorders>
            <w:tcMar>
              <w:top w:w="0" w:type="dxa"/>
              <w:left w:w="0" w:type="dxa"/>
              <w:right w:w="0" w:type="dxa"/>
            </w:tcMar>
            <w:vAlign w:val="center"/>
          </w:tcPr>
          <w:p>
            <w:pPr>
              <w:pStyle w:val="TableContents"/>
              <w:bidi w:val="0"/>
              <w:spacing w:before="0" w:after="283"/>
              <w:ind w:left="0" w:right="0" w:firstLine="64"/>
              <w:jc w:val="left"/>
              <w:rPr>
                <w:rFonts w:ascii="Times New Roman" w:hAnsi="Times New Roman"/>
                <w:sz w:val="20"/>
              </w:rPr>
            </w:pPr>
            <w:r>
              <w:rPr>
                <w:rFonts w:ascii="Times New Roman" w:hAnsi="Times New Roman"/>
                <w:b/>
                <w:color w:val="000000"/>
                <w:sz w:val="20"/>
              </w:rPr>
              <w:t>/s/</w:t>
            </w:r>
            <w:r>
              <w:rPr>
                <w:rFonts w:ascii="Times New Roman" w:hAnsi="Times New Roman"/>
                <w:color w:val="000000"/>
                <w:sz w:val="20"/>
              </w:rPr>
              <w:t xml:space="preserve"> </w:t>
            </w:r>
            <w:r>
              <w:rPr>
                <w:rFonts w:ascii="Times New Roman" w:hAnsi="Times New Roman"/>
                <w:b/>
                <w:color w:val="000000"/>
                <w:sz w:val="20"/>
              </w:rPr>
              <w:t>Heena Agrawal</w:t>
            </w:r>
          </w:p>
        </w:tc>
      </w:tr>
      <w:tr>
        <w:trPr/>
        <w:tc>
          <w:tcPr>
            <w:tcW w:w="5300" w:type="dxa"/>
            <w:tcBorders/>
            <w:tcMar>
              <w:top w:w="0" w:type="dxa"/>
              <w:left w:w="0" w:type="dxa"/>
              <w:bottom w:w="0" w:type="dxa"/>
              <w:right w:w="0" w:type="dxa"/>
            </w:tcMar>
            <w:vAlign w:val="center"/>
          </w:tcPr>
          <w:p>
            <w:pPr>
              <w:pStyle w:val="TableContents"/>
              <w:bidi w:val="0"/>
              <w:spacing w:before="0" w:after="283"/>
              <w:ind w:left="0" w:right="0" w:firstLine="64"/>
              <w:jc w:val="left"/>
              <w:rPr>
                <w:rFonts w:ascii="Times New Roman" w:hAnsi="Times New Roman"/>
                <w:b/>
                <w:color w:val="000000"/>
                <w:sz w:val="20"/>
              </w:rPr>
            </w:pPr>
            <w:r>
              <w:rPr>
                <w:rFonts w:ascii="Times New Roman" w:hAnsi="Times New Roman"/>
                <w:b/>
                <w:color w:val="000000"/>
                <w:sz w:val="20"/>
              </w:rPr>
              <w:t>Heena Agrawal</w:t>
            </w:r>
          </w:p>
        </w:tc>
      </w:tr>
      <w:tr>
        <w:trPr/>
        <w:tc>
          <w:tcPr>
            <w:tcW w:w="5300" w:type="dxa"/>
            <w:tcBorders/>
            <w:tcMar>
              <w:top w:w="0" w:type="dxa"/>
              <w:left w:w="0" w:type="dxa"/>
              <w:bottom w:w="0" w:type="dxa"/>
              <w:right w:w="0" w:type="dxa"/>
            </w:tcMar>
            <w:vAlign w:val="center"/>
          </w:tcPr>
          <w:p>
            <w:pPr>
              <w:pStyle w:val="TableContents"/>
              <w:bidi w:val="0"/>
              <w:spacing w:before="0" w:after="283"/>
              <w:ind w:left="0" w:right="0" w:firstLine="64"/>
              <w:jc w:val="left"/>
              <w:rPr>
                <w:rFonts w:ascii="Times New Roman" w:hAnsi="Times New Roman"/>
                <w:b/>
                <w:i/>
                <w:color w:val="000000"/>
                <w:sz w:val="20"/>
              </w:rPr>
            </w:pPr>
            <w:r>
              <w:rPr>
                <w:rFonts w:ascii="Times New Roman" w:hAnsi="Times New Roman"/>
                <w:b/>
                <w:i/>
                <w:color w:val="000000"/>
                <w:sz w:val="20"/>
              </w:rPr>
              <w:t>Chief Financial Officer and Interim Chief Accounting Officer</w:t>
            </w:r>
          </w:p>
        </w:tc>
      </w:tr>
    </w:tbl>
    <w:p>
      <w:pPr>
        <w:pStyle w:val="TextBody"/>
        <w:bidi w:val="0"/>
        <w:jc w:val="left"/>
        <w:rPr>
          <w:rFonts w:cs="Tahoma;sans-serif"/>
          <w:color w:val="000000"/>
          <w:szCs w:val="20"/>
        </w:rPr>
      </w:pPr>
      <w:r>
        <w:rPr>
          <w:rFonts w:cs="Tahoma;sans-serif"/>
          <w:color w:val="000000"/>
          <w:szCs w:val="20"/>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31" w:name="bkmk_137"/>
      <w:bookmarkStart w:id="32" w:name="dlth-ex32_1.htm"/>
      <w:bookmarkStart w:id="33" w:name="ksdlthex32_1"/>
      <w:bookmarkEnd w:id="31"/>
      <w:bookmarkEnd w:id="32"/>
      <w:bookmarkEnd w:id="33"/>
      <w:r>
        <w:rPr>
          <w:rFonts w:ascii="Times New Roman" w:hAnsi="Times New Roman"/>
          <w:b/>
          <w:color w:val="000000"/>
          <w:sz w:val="18"/>
        </w:rPr>
        <w:t>Exhibit 32.1</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THE CHIEF EXECUTIVE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on Form 10-Q of Duluth Holdings Inc. (the “Company”) for the quarterly period ended August 2, 2026 as filed with the Securities and Exchange Commission on the date hereof (the “Report”), I, Stephanie Pugliese, as Chief Executive Officer of the Company,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(the “Exchange Act”);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2507" w:type="dxa"/>
        <w:jc w:val="left"/>
        <w:tblInd w:w="0" w:type="dxa"/>
        <w:tblLayout w:type="fixed"/>
        <w:tblCellMar>
          <w:top w:w="28" w:type="dxa"/>
          <w:left w:w="28" w:type="dxa"/>
          <w:bottom w:w="28" w:type="dxa"/>
          <w:right w:w="28" w:type="dxa"/>
        </w:tblCellMar>
      </w:tblPr>
      <w:tblGrid>
        <w:gridCol w:w="586"/>
        <w:gridCol w:w="1921"/>
      </w:tblGrid>
      <w:tr>
        <w:trPr/>
        <w:tc>
          <w:tcPr>
            <w:tcW w:w="58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cs="Tahoma;sans-serif"/>
                <w:color w:val="000000"/>
                <w:szCs w:val="18"/>
              </w:rPr>
            </w:pPr>
            <w:r>
              <w:rPr>
                <w:rFonts w:cs="Tahoma;sans-serif"/>
                <w:color w:val="000000"/>
                <w:szCs w:val="18"/>
              </w:rPr>
              <w:t>﻿</w:t>
            </w:r>
          </w:p>
        </w:tc>
        <w:tc>
          <w:tcPr>
            <w:tcW w:w="19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 Stephanie Pugliese</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Stephanie Pugliese</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Chief Executive Officer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September 4, 2026</w:t>
            </w:r>
          </w:p>
        </w:tc>
      </w:tr>
    </w:tbl>
    <w:p>
      <w:pPr>
        <w:pStyle w:val="TextBody"/>
        <w:bidi w:val="0"/>
        <w:jc w:val="left"/>
        <w:rPr>
          <w:rFonts w:cs="Times New Roman"/>
          <w:color w:val="000000"/>
          <w:szCs w:val="24"/>
        </w:rPr>
      </w:pPr>
      <w:r>
        <w:rPr>
          <w:rFonts w:cs="Times New Roman"/>
          <w:color w:val="000000"/>
          <w:szCs w:val="24"/>
        </w:rPr>
        <w:t>﻿</w:t>
      </w:r>
    </w:p>
    <w:p>
      <w:pPr>
        <w:pStyle w:val="TextBody"/>
        <w:bidi w:val="0"/>
        <w:jc w:val="left"/>
        <w:rPr>
          <w:rFonts w:ascii="Times New Roman" w:hAnsi="Times New Roman"/>
          <w:color w:val="000000"/>
          <w:sz w:val="18"/>
        </w:rPr>
      </w:pPr>
      <w:r>
        <w:rPr>
          <w:rFonts w:ascii="Times New Roman" w:hAnsi="Times New Roman"/>
          <w:color w:val="000000"/>
          <w:sz w:val="18"/>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34" w:name="bkmk_141"/>
      <w:bookmarkStart w:id="35" w:name="dlth-ex32_2.htm"/>
      <w:bookmarkStart w:id="36" w:name="ksdlthex32_2"/>
      <w:bookmarkEnd w:id="34"/>
      <w:bookmarkEnd w:id="35"/>
      <w:bookmarkEnd w:id="36"/>
      <w:r>
        <w:rPr>
          <w:rFonts w:ascii="Times New Roman" w:hAnsi="Times New Roman"/>
          <w:b/>
          <w:color w:val="000000"/>
          <w:sz w:val="18"/>
        </w:rPr>
        <w:t>Exhibit 32.2</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THE CHIEF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on Form 10-Q of Duluth Holdings Inc. (the “Company”) for the quarterly period ended August 2, 2026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(the “Exchange Act”);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417" w:type="dxa"/>
        <w:jc w:val="left"/>
        <w:tblInd w:w="0" w:type="dxa"/>
        <w:tblLayout w:type="fixed"/>
        <w:tblCellMar>
          <w:top w:w="28" w:type="dxa"/>
          <w:left w:w="28" w:type="dxa"/>
          <w:bottom w:w="28" w:type="dxa"/>
          <w:right w:w="28" w:type="dxa"/>
        </w:tblCellMar>
      </w:tblPr>
      <w:tblGrid>
        <w:gridCol w:w="586"/>
        <w:gridCol w:w="4831"/>
      </w:tblGrid>
      <w:tr>
        <w:trPr/>
        <w:tc>
          <w:tcPr>
            <w:tcW w:w="58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cs="Tahoma;sans-serif"/>
                <w:color w:val="000000"/>
                <w:szCs w:val="18"/>
              </w:rPr>
            </w:pPr>
            <w:r>
              <w:rPr>
                <w:rFonts w:cs="Tahoma;sans-serif"/>
                <w:color w:val="000000"/>
                <w:szCs w:val="18"/>
              </w:rPr>
              <w:t>﻿</w:t>
            </w:r>
          </w:p>
        </w:tc>
        <w:tc>
          <w:tcPr>
            <w:tcW w:w="483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/s/</w:t>
            </w:r>
            <w:r>
              <w:rPr>
                <w:rFonts w:ascii="Times New Roman" w:hAnsi="Times New Roman"/>
                <w:color w:val="000000"/>
                <w:sz w:val="18"/>
              </w:rPr>
              <w:t xml:space="preserve"> </w:t>
            </w:r>
            <w:r>
              <w:rPr>
                <w:rFonts w:ascii="Times New Roman" w:hAnsi="Times New Roman"/>
                <w:b/>
                <w:color w:val="000000"/>
                <w:sz w:val="18"/>
              </w:rPr>
              <w:t>Heena Agrawal</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Heena Agrawal</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Chief Financial Officer and Interim Chief Accounting Officer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September 4, 2026</w:t>
            </w:r>
          </w:p>
        </w:tc>
      </w:tr>
    </w:tbl>
    <w:p>
      <w:pPr>
        <w:pStyle w:val="TextBody"/>
        <w:bidi w:val="0"/>
        <w:jc w:val="left"/>
        <w:rPr>
          <w:rFonts w:cs="Times New Roman"/>
          <w:color w:val="000000"/>
          <w:szCs w:val="24"/>
        </w:rPr>
      </w:pPr>
      <w:r>
        <w:rPr>
          <w:rFonts w:cs="Times New Roman"/>
          <w:color w:val="000000"/>
          <w:szCs w:val="24"/>
        </w:rPr>
        <w:t>﻿</w:t>
      </w:r>
    </w:p>
    <w:p>
      <w:pPr>
        <w:pStyle w:val="TextBody"/>
        <w:bidi w:val="0"/>
        <w:jc w:val="left"/>
        <w:rPr>
          <w:rFonts w:ascii="Times New Roman" w:hAnsi="Times New Roman"/>
          <w:color w:val="000000"/>
          <w:sz w:val="18"/>
        </w:rPr>
      </w:pPr>
      <w:r>
        <w:rPr>
          <w:rFonts w:ascii="Times New Roman" w:hAnsi="Times New Roman"/>
          <w:color w:val="000000"/>
          <w:sz w:val="18"/>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14463</Words>
  <Characters>78126</Characters>
  <CharactersWithSpaces>94195</CharactersWithSpaces>
  <Paragraphs>6510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