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99"/>
        <w:spacing w:after="0" w:line="236"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11" w:lineRule="exact"/>
        <w:rPr>
          <w:sz w:val="24"/>
          <w:szCs w:val="24"/>
          <w:color w:val="auto"/>
        </w:rPr>
      </w:pPr>
    </w:p>
    <w:p>
      <w:pPr>
        <w:ind w:left="380" w:hanging="359"/>
        <w:spacing w:after="0"/>
        <w:tabs>
          <w:tab w:leader="none" w:pos="3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6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For the Fiscal Year Ended January 29, 2023</w:t>
      </w:r>
    </w:p>
    <w:p>
      <w:pPr>
        <w:spacing w:after="0" w:line="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36" w:lineRule="exact"/>
        <w:rPr>
          <w:sz w:val="24"/>
          <w:szCs w:val="24"/>
          <w:color w:val="auto"/>
        </w:rPr>
      </w:pPr>
    </w:p>
    <w:p>
      <w:pPr>
        <w:ind w:left="380" w:hanging="359"/>
        <w:spacing w:after="0"/>
        <w:tabs>
          <w:tab w:leader="none" w:pos="3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6"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1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w:t>
            </w:r>
          </w:p>
        </w:tc>
        <w:tc>
          <w:tcPr>
            <w:tcW w:w="1760" w:type="dxa"/>
            <w:vAlign w:val="bottom"/>
          </w:tcPr>
          <w:p>
            <w:pPr>
              <w:spacing w:after="0"/>
              <w:rPr>
                <w:sz w:val="17"/>
                <w:szCs w:val="17"/>
                <w:color w:val="auto"/>
              </w:rPr>
            </w:pPr>
          </w:p>
        </w:tc>
      </w:tr>
      <w:tr>
        <w:trPr>
          <w:trHeight w:val="184"/>
        </w:trPr>
        <w:tc>
          <w:tcPr>
            <w:tcW w:w="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920" w:type="dxa"/>
            <w:vAlign w:val="bottom"/>
          </w:tcPr>
          <w:p>
            <w:pPr>
              <w:jc w:val="center"/>
              <w:ind w:left="239"/>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Commission file No. 001-37641</w:t>
            </w:r>
          </w:p>
        </w:tc>
        <w:tc>
          <w:tcPr>
            <w:tcW w:w="15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407"/>
        </w:trPr>
        <w:tc>
          <w:tcPr>
            <w:tcW w:w="660" w:type="dxa"/>
            <w:vAlign w:val="bottom"/>
          </w:tcPr>
          <w:p>
            <w:pPr>
              <w:spacing w:after="0"/>
              <w:rPr>
                <w:sz w:val="24"/>
                <w:szCs w:val="24"/>
                <w:color w:val="auto"/>
              </w:rPr>
            </w:pPr>
          </w:p>
        </w:tc>
        <w:tc>
          <w:tcPr>
            <w:tcW w:w="7500" w:type="dxa"/>
            <w:vAlign w:val="bottom"/>
            <w:gridSpan w:val="3"/>
          </w:tcPr>
          <w:p>
            <w:pPr>
              <w:jc w:val="center"/>
              <w:ind w:left="1653"/>
              <w:spacing w:after="0" w:line="408" w:lineRule="exact"/>
              <w:rPr>
                <w:sz w:val="20"/>
                <w:szCs w:val="20"/>
                <w:color w:val="auto"/>
              </w:rPr>
            </w:pPr>
            <w:r>
              <w:rPr>
                <w:rFonts w:ascii="Times New Roman" w:cs="Times New Roman" w:eastAsia="Times New Roman" w:hAnsi="Times New Roman"/>
                <w:sz w:val="36"/>
                <w:szCs w:val="36"/>
                <w:b w:val="1"/>
                <w:bCs w:val="1"/>
                <w:color w:val="auto"/>
                <w:w w:val="99"/>
              </w:rPr>
              <w:t>DULUTH HOLDINGS INC.</w:t>
            </w:r>
          </w:p>
        </w:tc>
        <w:tc>
          <w:tcPr>
            <w:tcW w:w="1760" w:type="dxa"/>
            <w:vAlign w:val="bottom"/>
          </w:tcPr>
          <w:p>
            <w:pPr>
              <w:spacing w:after="0"/>
              <w:rPr>
                <w:sz w:val="24"/>
                <w:szCs w:val="24"/>
                <w:color w:val="auto"/>
              </w:rPr>
            </w:pPr>
          </w:p>
        </w:tc>
      </w:tr>
      <w:tr>
        <w:trPr>
          <w:trHeight w:val="190"/>
        </w:trPr>
        <w:tc>
          <w:tcPr>
            <w:tcW w:w="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500" w:type="dxa"/>
            <w:vAlign w:val="bottom"/>
            <w:gridSpan w:val="2"/>
          </w:tcPr>
          <w:p>
            <w:pPr>
              <w:jc w:val="center"/>
              <w:ind w:right="1162"/>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760" w:type="dxa"/>
            <w:vAlign w:val="bottom"/>
          </w:tcPr>
          <w:p>
            <w:pPr>
              <w:spacing w:after="0"/>
              <w:rPr>
                <w:sz w:val="16"/>
                <w:szCs w:val="16"/>
                <w:color w:val="auto"/>
              </w:rPr>
            </w:pPr>
          </w:p>
        </w:tc>
      </w:tr>
      <w:tr>
        <w:trPr>
          <w:trHeight w:val="544"/>
        </w:trPr>
        <w:tc>
          <w:tcPr>
            <w:tcW w:w="660" w:type="dxa"/>
            <w:vAlign w:val="bottom"/>
          </w:tcPr>
          <w:p>
            <w:pPr>
              <w:spacing w:after="0"/>
              <w:rPr>
                <w:sz w:val="24"/>
                <w:szCs w:val="24"/>
                <w:color w:val="auto"/>
              </w:rPr>
            </w:pPr>
          </w:p>
        </w:tc>
        <w:tc>
          <w:tcPr>
            <w:tcW w:w="3000" w:type="dxa"/>
            <w:vAlign w:val="bottom"/>
          </w:tcPr>
          <w:p>
            <w:pPr>
              <w:jc w:val="center"/>
              <w:ind w:left="433"/>
              <w:spacing w:after="0"/>
              <w:rPr>
                <w:sz w:val="20"/>
                <w:szCs w:val="20"/>
                <w:color w:val="auto"/>
              </w:rPr>
            </w:pPr>
            <w:r>
              <w:rPr>
                <w:rFonts w:ascii="Times New Roman" w:cs="Times New Roman" w:eastAsia="Times New Roman" w:hAnsi="Times New Roman"/>
                <w:sz w:val="16"/>
                <w:szCs w:val="16"/>
                <w:b w:val="1"/>
                <w:bCs w:val="1"/>
                <w:color w:val="auto"/>
              </w:rPr>
              <w:t>Wisconsin</w:t>
            </w:r>
          </w:p>
        </w:tc>
        <w:tc>
          <w:tcPr>
            <w:tcW w:w="2920" w:type="dxa"/>
            <w:vAlign w:val="bottom"/>
          </w:tcPr>
          <w:p>
            <w:pPr>
              <w:spacing w:after="0"/>
              <w:rPr>
                <w:sz w:val="24"/>
                <w:szCs w:val="24"/>
                <w:color w:val="auto"/>
              </w:rPr>
            </w:pPr>
          </w:p>
        </w:tc>
        <w:tc>
          <w:tcPr>
            <w:tcW w:w="3340" w:type="dxa"/>
            <w:vAlign w:val="bottom"/>
            <w:gridSpan w:val="2"/>
          </w:tcPr>
          <w:p>
            <w:pPr>
              <w:jc w:val="right"/>
              <w:ind w:right="1199"/>
              <w:spacing w:after="0"/>
              <w:rPr>
                <w:sz w:val="20"/>
                <w:szCs w:val="20"/>
                <w:color w:val="auto"/>
              </w:rPr>
            </w:pPr>
            <w:r>
              <w:rPr>
                <w:rFonts w:ascii="Times New Roman" w:cs="Times New Roman" w:eastAsia="Times New Roman" w:hAnsi="Times New Roman"/>
                <w:sz w:val="16"/>
                <w:szCs w:val="16"/>
                <w:b w:val="1"/>
                <w:bCs w:val="1"/>
                <w:color w:val="auto"/>
              </w:rPr>
              <w:t>39-1564801</w:t>
            </w:r>
          </w:p>
        </w:tc>
      </w:tr>
      <w:tr>
        <w:trPr>
          <w:trHeight w:val="211"/>
        </w:trPr>
        <w:tc>
          <w:tcPr>
            <w:tcW w:w="660" w:type="dxa"/>
            <w:vAlign w:val="bottom"/>
          </w:tcPr>
          <w:p>
            <w:pPr>
              <w:spacing w:after="0"/>
              <w:rPr>
                <w:sz w:val="18"/>
                <w:szCs w:val="18"/>
                <w:color w:val="auto"/>
              </w:rPr>
            </w:pPr>
          </w:p>
        </w:tc>
        <w:tc>
          <w:tcPr>
            <w:tcW w:w="3000" w:type="dxa"/>
            <w:vAlign w:val="bottom"/>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20" w:type="dxa"/>
            <w:vAlign w:val="bottom"/>
          </w:tcPr>
          <w:p>
            <w:pPr>
              <w:spacing w:after="0"/>
              <w:rPr>
                <w:sz w:val="18"/>
                <w:szCs w:val="18"/>
                <w:color w:val="auto"/>
              </w:rPr>
            </w:pP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60" w:type="dxa"/>
            <w:vAlign w:val="bottom"/>
          </w:tcPr>
          <w:p>
            <w:pPr>
              <w:spacing w:after="0"/>
              <w:rPr>
                <w:sz w:val="16"/>
                <w:szCs w:val="16"/>
                <w:color w:val="auto"/>
              </w:rPr>
            </w:pPr>
          </w:p>
        </w:tc>
        <w:tc>
          <w:tcPr>
            <w:tcW w:w="3000" w:type="dxa"/>
            <w:vAlign w:val="bottom"/>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20" w:type="dxa"/>
            <w:vAlign w:val="bottom"/>
          </w:tcPr>
          <w:p>
            <w:pPr>
              <w:spacing w:after="0"/>
              <w:rPr>
                <w:sz w:val="16"/>
                <w:szCs w:val="16"/>
                <w:color w:val="auto"/>
              </w:rPr>
            </w:pP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69"/>
        </w:trPr>
        <w:tc>
          <w:tcPr>
            <w:tcW w:w="660" w:type="dxa"/>
            <w:vAlign w:val="bottom"/>
          </w:tcPr>
          <w:p>
            <w:pPr>
              <w:spacing w:after="0"/>
              <w:rPr>
                <w:sz w:val="24"/>
                <w:szCs w:val="24"/>
                <w:color w:val="auto"/>
              </w:rPr>
            </w:pPr>
          </w:p>
        </w:tc>
        <w:tc>
          <w:tcPr>
            <w:tcW w:w="5920" w:type="dxa"/>
            <w:vAlign w:val="bottom"/>
            <w:gridSpan w:val="2"/>
          </w:tcPr>
          <w:p>
            <w:pPr>
              <w:jc w:val="center"/>
              <w:ind w:right="2319"/>
              <w:spacing w:after="0"/>
              <w:rPr>
                <w:sz w:val="20"/>
                <w:szCs w:val="20"/>
                <w:color w:val="auto"/>
              </w:rPr>
            </w:pPr>
            <w:r>
              <w:rPr>
                <w:rFonts w:ascii="Times New Roman" w:cs="Times New Roman" w:eastAsia="Times New Roman" w:hAnsi="Times New Roman"/>
                <w:sz w:val="16"/>
                <w:szCs w:val="16"/>
                <w:b w:val="1"/>
                <w:bCs w:val="1"/>
                <w:color w:val="auto"/>
              </w:rPr>
              <w:t>201 East Front Street, Mount Horeb, Wisconsin</w:t>
            </w:r>
          </w:p>
        </w:tc>
        <w:tc>
          <w:tcPr>
            <w:tcW w:w="3340" w:type="dxa"/>
            <w:vAlign w:val="bottom"/>
            <w:gridSpan w:val="2"/>
          </w:tcPr>
          <w:p>
            <w:pPr>
              <w:jc w:val="right"/>
              <w:ind w:right="1399"/>
              <w:spacing w:after="0"/>
              <w:rPr>
                <w:sz w:val="20"/>
                <w:szCs w:val="20"/>
                <w:color w:val="auto"/>
              </w:rPr>
            </w:pPr>
            <w:r>
              <w:rPr>
                <w:rFonts w:ascii="Times New Roman" w:cs="Times New Roman" w:eastAsia="Times New Roman" w:hAnsi="Times New Roman"/>
                <w:sz w:val="16"/>
                <w:szCs w:val="16"/>
                <w:b w:val="1"/>
                <w:bCs w:val="1"/>
                <w:color w:val="auto"/>
              </w:rPr>
              <w:t>53572</w:t>
            </w:r>
          </w:p>
        </w:tc>
      </w:tr>
      <w:tr>
        <w:trPr>
          <w:trHeight w:val="212"/>
        </w:trPr>
        <w:tc>
          <w:tcPr>
            <w:tcW w:w="660" w:type="dxa"/>
            <w:vAlign w:val="bottom"/>
          </w:tcPr>
          <w:p>
            <w:pPr>
              <w:spacing w:after="0"/>
              <w:rPr>
                <w:sz w:val="18"/>
                <w:szCs w:val="18"/>
                <w:color w:val="auto"/>
              </w:rPr>
            </w:pPr>
          </w:p>
        </w:tc>
        <w:tc>
          <w:tcPr>
            <w:tcW w:w="3000" w:type="dxa"/>
            <w:vAlign w:val="bottom"/>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20" w:type="dxa"/>
            <w:vAlign w:val="bottom"/>
          </w:tcPr>
          <w:p>
            <w:pPr>
              <w:spacing w:after="0"/>
              <w:rPr>
                <w:sz w:val="18"/>
                <w:szCs w:val="18"/>
                <w:color w:val="auto"/>
              </w:rPr>
            </w:pP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07"/>
        </w:trPr>
        <w:tc>
          <w:tcPr>
            <w:tcW w:w="660" w:type="dxa"/>
            <w:vAlign w:val="bottom"/>
          </w:tcPr>
          <w:p>
            <w:pPr>
              <w:spacing w:after="0"/>
              <w:rPr>
                <w:sz w:val="24"/>
                <w:szCs w:val="24"/>
                <w:color w:val="auto"/>
              </w:rPr>
            </w:pPr>
          </w:p>
        </w:tc>
        <w:tc>
          <w:tcPr>
            <w:tcW w:w="7500" w:type="dxa"/>
            <w:vAlign w:val="bottom"/>
            <w:gridSpan w:val="3"/>
          </w:tcPr>
          <w:p>
            <w:pPr>
              <w:jc w:val="center"/>
              <w:ind w:left="1673"/>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(608) 424-1544</w:t>
            </w:r>
          </w:p>
        </w:tc>
        <w:tc>
          <w:tcPr>
            <w:tcW w:w="1760" w:type="dxa"/>
            <w:vAlign w:val="bottom"/>
          </w:tcPr>
          <w:p>
            <w:pPr>
              <w:spacing w:after="0"/>
              <w:rPr>
                <w:sz w:val="24"/>
                <w:szCs w:val="24"/>
                <w:color w:val="auto"/>
              </w:rPr>
            </w:pPr>
          </w:p>
        </w:tc>
      </w:tr>
      <w:tr>
        <w:trPr>
          <w:trHeight w:val="212"/>
        </w:trPr>
        <w:tc>
          <w:tcPr>
            <w:tcW w:w="660" w:type="dxa"/>
            <w:vAlign w:val="bottom"/>
          </w:tcPr>
          <w:p>
            <w:pPr>
              <w:spacing w:after="0"/>
              <w:rPr>
                <w:sz w:val="18"/>
                <w:szCs w:val="18"/>
                <w:color w:val="auto"/>
              </w:rPr>
            </w:pPr>
          </w:p>
        </w:tc>
        <w:tc>
          <w:tcPr>
            <w:tcW w:w="7500" w:type="dxa"/>
            <w:vAlign w:val="bottom"/>
            <w:gridSpan w:val="3"/>
          </w:tcPr>
          <w:p>
            <w:pPr>
              <w:jc w:val="center"/>
              <w:ind w:left="1653"/>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760" w:type="dxa"/>
            <w:vAlign w:val="bottom"/>
          </w:tcPr>
          <w:p>
            <w:pPr>
              <w:spacing w:after="0"/>
              <w:rPr>
                <w:sz w:val="18"/>
                <w:szCs w:val="18"/>
                <w:color w:val="auto"/>
              </w:rPr>
            </w:pPr>
          </w:p>
        </w:tc>
      </w:tr>
      <w:tr>
        <w:trPr>
          <w:trHeight w:val="220"/>
        </w:trPr>
        <w:tc>
          <w:tcPr>
            <w:tcW w:w="660" w:type="dxa"/>
            <w:vAlign w:val="bottom"/>
          </w:tcPr>
          <w:p>
            <w:pPr>
              <w:spacing w:after="0"/>
              <w:rPr>
                <w:sz w:val="19"/>
                <w:szCs w:val="19"/>
                <w:color w:val="auto"/>
              </w:rPr>
            </w:pPr>
          </w:p>
        </w:tc>
        <w:tc>
          <w:tcPr>
            <w:tcW w:w="300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2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0"/>
        </w:trPr>
        <w:tc>
          <w:tcPr>
            <w:tcW w:w="660" w:type="dxa"/>
            <w:vAlign w:val="bottom"/>
          </w:tcPr>
          <w:p>
            <w:pPr>
              <w:spacing w:after="0"/>
              <w:rPr>
                <w:sz w:val="20"/>
                <w:szCs w:val="20"/>
                <w:color w:val="auto"/>
              </w:rPr>
            </w:pPr>
          </w:p>
        </w:tc>
        <w:tc>
          <w:tcPr>
            <w:tcW w:w="3000" w:type="dxa"/>
            <w:vAlign w:val="bottom"/>
          </w:tcPr>
          <w:p>
            <w:pPr>
              <w:jc w:val="center"/>
              <w:ind w:left="173"/>
              <w:spacing w:after="0"/>
              <w:rPr>
                <w:sz w:val="20"/>
                <w:szCs w:val="20"/>
                <w:color w:val="auto"/>
              </w:rPr>
            </w:pPr>
            <w:r>
              <w:rPr>
                <w:rFonts w:ascii="Times New Roman" w:cs="Times New Roman" w:eastAsia="Times New Roman" w:hAnsi="Times New Roman"/>
                <w:sz w:val="16"/>
                <w:szCs w:val="16"/>
                <w:color w:val="auto"/>
              </w:rPr>
              <w:t>Class B Common Stock, No Par Value</w:t>
            </w:r>
          </w:p>
        </w:tc>
        <w:tc>
          <w:tcPr>
            <w:tcW w:w="29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8"/>
              </w:rPr>
              <w:t>DLTH</w:t>
            </w:r>
          </w:p>
        </w:tc>
        <w:tc>
          <w:tcPr>
            <w:tcW w:w="334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60"/>
        </w:trPr>
        <w:tc>
          <w:tcPr>
            <w:tcW w:w="660" w:type="dxa"/>
            <w:vAlign w:val="bottom"/>
          </w:tcPr>
          <w:p>
            <w:pPr>
              <w:spacing w:after="0"/>
              <w:rPr>
                <w:sz w:val="22"/>
                <w:szCs w:val="22"/>
                <w:color w:val="auto"/>
              </w:rPr>
            </w:pPr>
          </w:p>
        </w:tc>
        <w:tc>
          <w:tcPr>
            <w:tcW w:w="7500" w:type="dxa"/>
            <w:vAlign w:val="bottom"/>
            <w:gridSpan w:val="3"/>
          </w:tcPr>
          <w:p>
            <w:pPr>
              <w:jc w:val="center"/>
              <w:ind w:left="1653"/>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1760" w:type="dxa"/>
            <w:vAlign w:val="bottom"/>
          </w:tcPr>
          <w:p>
            <w:pPr>
              <w:spacing w:after="0"/>
              <w:rPr>
                <w:sz w:val="22"/>
                <w:szCs w:val="22"/>
                <w:color w:val="auto"/>
              </w:rPr>
            </w:pPr>
          </w:p>
        </w:tc>
      </w:tr>
      <w:tr>
        <w:trPr>
          <w:trHeight w:val="206"/>
        </w:trPr>
        <w:tc>
          <w:tcPr>
            <w:tcW w:w="6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92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None</w:t>
            </w:r>
          </w:p>
        </w:tc>
        <w:tc>
          <w:tcPr>
            <w:tcW w:w="15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29"/>
        </w:trPr>
        <w:tc>
          <w:tcPr>
            <w:tcW w:w="8160" w:type="dxa"/>
            <w:vAlign w:val="bottom"/>
            <w:gridSpan w:val="4"/>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tc>
        <w:tc>
          <w:tcPr>
            <w:tcW w:w="1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No </w:t>
            </w:r>
            <w:r>
              <w:rPr>
                <w:rFonts w:ascii="Wingdings" w:cs="Wingdings" w:eastAsia="Wingdings" w:hAnsi="Wingdings"/>
                <w:sz w:val="16"/>
                <w:szCs w:val="16"/>
                <w:b w:val="1"/>
                <w:bCs w:val="1"/>
                <w:color w:val="auto"/>
              </w:rPr>
              <w:t>x</w:t>
            </w:r>
          </w:p>
        </w:tc>
      </w:tr>
      <w:tr>
        <w:trPr>
          <w:trHeight w:val="254"/>
        </w:trPr>
        <w:tc>
          <w:tcPr>
            <w:tcW w:w="81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  Yes</w:t>
            </w:r>
          </w:p>
        </w:tc>
        <w:tc>
          <w:tcPr>
            <w:tcW w:w="176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tc>
      </w:tr>
    </w:tbl>
    <w:p>
      <w:pPr>
        <w:spacing w:after="0" w:line="1" w:lineRule="exact"/>
        <w:rPr>
          <w:sz w:val="24"/>
          <w:szCs w:val="24"/>
          <w:color w:val="auto"/>
        </w:rPr>
      </w:pPr>
    </w:p>
    <w:p>
      <w:pPr>
        <w:jc w:val="both"/>
        <w:ind w:right="280" w:firstLine="324"/>
        <w:spacing w:after="0" w:line="19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 w:lineRule="exact"/>
        <w:rPr>
          <w:sz w:val="24"/>
          <w:szCs w:val="24"/>
          <w:color w:val="auto"/>
        </w:rPr>
      </w:pPr>
    </w:p>
    <w:p>
      <w:pPr>
        <w:ind w:firstLine="324"/>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ind w:right="220" w:firstLine="324"/>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00" w:type="dxa"/>
            <w:vAlign w:val="bottom"/>
          </w:tcPr>
          <w:p>
            <w:pPr>
              <w:ind w:left="360"/>
              <w:spacing w:after="0"/>
              <w:rPr>
                <w:sz w:val="20"/>
                <w:szCs w:val="20"/>
                <w:color w:val="auto"/>
              </w:rPr>
            </w:pPr>
            <w:r>
              <w:rPr>
                <w:rFonts w:ascii="Wingdings" w:cs="Wingdings" w:eastAsia="Wingdings" w:hAnsi="Wingdings"/>
                <w:sz w:val="16"/>
                <w:szCs w:val="16"/>
                <w:b w:val="1"/>
                <w:bCs w:val="1"/>
                <w:color w:val="auto"/>
              </w:rPr>
              <w:t>o</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Accelerated filer</w:t>
            </w:r>
          </w:p>
        </w:tc>
        <w:tc>
          <w:tcPr>
            <w:tcW w:w="720" w:type="dxa"/>
            <w:vAlign w:val="bottom"/>
          </w:tcPr>
          <w:p>
            <w:pPr>
              <w:ind w:left="540"/>
              <w:spacing w:after="0"/>
              <w:rPr>
                <w:sz w:val="20"/>
                <w:szCs w:val="20"/>
                <w:color w:val="auto"/>
              </w:rPr>
            </w:pPr>
            <w:r>
              <w:rPr>
                <w:rFonts w:ascii="Wingdings" w:cs="Wingdings" w:eastAsia="Wingdings" w:hAnsi="Wingdings"/>
                <w:sz w:val="16"/>
                <w:szCs w:val="16"/>
                <w:b w:val="1"/>
                <w:bCs w:val="1"/>
                <w:color w:val="auto"/>
                <w:w w:val="94"/>
              </w:rPr>
              <w:t>x</w:t>
            </w:r>
          </w:p>
        </w:tc>
      </w:tr>
      <w:tr>
        <w:trPr>
          <w:trHeight w:val="351"/>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00" w:type="dxa"/>
            <w:vAlign w:val="bottom"/>
          </w:tcPr>
          <w:p>
            <w:pPr>
              <w:ind w:left="360"/>
              <w:spacing w:after="0"/>
              <w:rPr>
                <w:sz w:val="20"/>
                <w:szCs w:val="20"/>
                <w:color w:val="auto"/>
              </w:rPr>
            </w:pPr>
            <w:r>
              <w:rPr>
                <w:rFonts w:ascii="Wingdings" w:cs="Wingdings" w:eastAsia="Wingdings" w:hAnsi="Wingdings"/>
                <w:sz w:val="16"/>
                <w:szCs w:val="16"/>
                <w:b w:val="1"/>
                <w:bCs w:val="1"/>
                <w:color w:val="auto"/>
              </w:rPr>
              <w:t>o</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20" w:type="dxa"/>
            <w:vAlign w:val="bottom"/>
          </w:tcPr>
          <w:p>
            <w:pPr>
              <w:ind w:left="540"/>
              <w:spacing w:after="0"/>
              <w:rPr>
                <w:sz w:val="20"/>
                <w:szCs w:val="20"/>
                <w:color w:val="auto"/>
              </w:rPr>
            </w:pPr>
            <w:r>
              <w:rPr>
                <w:rFonts w:ascii="Wingdings" w:cs="Wingdings" w:eastAsia="Wingdings" w:hAnsi="Wingdings"/>
                <w:sz w:val="16"/>
                <w:szCs w:val="16"/>
                <w:b w:val="1"/>
                <w:bCs w:val="1"/>
                <w:color w:val="auto"/>
                <w:w w:val="94"/>
              </w:rPr>
              <w:t>x</w:t>
            </w:r>
          </w:p>
        </w:tc>
      </w:t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0" w:type="dxa"/>
            <w:vAlign w:val="bottom"/>
          </w:tcPr>
          <w:p>
            <w:pPr>
              <w:ind w:left="360"/>
              <w:spacing w:after="0"/>
              <w:rPr>
                <w:sz w:val="20"/>
                <w:szCs w:val="20"/>
                <w:color w:val="auto"/>
              </w:rPr>
            </w:pPr>
            <w:r>
              <w:rPr>
                <w:rFonts w:ascii="Wingdings" w:cs="Wingdings" w:eastAsia="Wingdings" w:hAnsi="Wingdings"/>
                <w:sz w:val="16"/>
                <w:szCs w:val="16"/>
                <w:b w:val="1"/>
                <w:bCs w:val="1"/>
                <w:color w:val="auto"/>
              </w:rPr>
              <w:t>o</w:t>
            </w:r>
          </w:p>
        </w:tc>
        <w:tc>
          <w:tcPr>
            <w:tcW w:w="480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19" w:lineRule="exact"/>
        <w:rPr>
          <w:sz w:val="24"/>
          <w:szCs w:val="24"/>
          <w:color w:val="auto"/>
        </w:rPr>
      </w:pPr>
    </w:p>
    <w:p>
      <w:pPr>
        <w:ind w:right="180" w:firstLine="324"/>
        <w:spacing w:after="0" w:line="20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right="60" w:firstLine="324"/>
        <w:spacing w:after="0" w:line="26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6"/>
          <w:szCs w:val="16"/>
          <w:b w:val="1"/>
          <w:bCs w:val="1"/>
          <w:color w:val="auto"/>
        </w:rPr>
        <w:t>x</w:t>
      </w:r>
    </w:p>
    <w:p>
      <w:pPr>
        <w:spacing w:after="0" w:line="2" w:lineRule="exact"/>
        <w:rPr>
          <w:sz w:val="24"/>
          <w:szCs w:val="24"/>
          <w:color w:val="auto"/>
        </w:rPr>
      </w:pPr>
    </w:p>
    <w:p>
      <w:pPr>
        <w:ind w:right="140" w:firstLine="324"/>
        <w:spacing w:after="0" w:line="202"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 w:lineRule="exact"/>
        <w:rPr>
          <w:sz w:val="24"/>
          <w:szCs w:val="24"/>
          <w:color w:val="auto"/>
        </w:rPr>
      </w:pPr>
    </w:p>
    <w:p>
      <w:pPr>
        <w:ind w:right="160" w:firstLine="324"/>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ind w:left="340"/>
        <w:spacing w:after="0" w:line="184" w:lineRule="exact"/>
        <w:tabs>
          <w:tab w:leader="none" w:pos="7820" w:val="left"/>
          <w:tab w:leader="none" w:pos="84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47" w:lineRule="exact"/>
        <w:rPr>
          <w:sz w:val="24"/>
          <w:szCs w:val="24"/>
          <w:color w:val="auto"/>
        </w:rPr>
      </w:pPr>
    </w:p>
    <w:p>
      <w:pPr>
        <w:ind w:right="40" w:firstLine="324"/>
        <w:spacing w:after="0" w:line="263" w:lineRule="auto"/>
        <w:rPr>
          <w:sz w:val="20"/>
          <w:szCs w:val="20"/>
          <w:color w:val="auto"/>
        </w:rPr>
      </w:pPr>
      <w:r>
        <w:rPr>
          <w:rFonts w:ascii="Times New Roman" w:cs="Times New Roman" w:eastAsia="Times New Roman" w:hAnsi="Times New Roman"/>
          <w:sz w:val="16"/>
          <w:szCs w:val="16"/>
          <w:color w:val="auto"/>
        </w:rPr>
        <w:t>The aggregate market value of voting stock held by non-affiliates of the Registrant was approximately $113.1 million based upon the closing price on the last business day of the registrant’s most recently completed second fiscal quarter (July 31, 2022).</w:t>
      </w:r>
    </w:p>
    <w:p>
      <w:pPr>
        <w:spacing w:after="0" w:line="2" w:lineRule="exact"/>
        <w:rPr>
          <w:sz w:val="24"/>
          <w:szCs w:val="24"/>
          <w:color w:val="auto"/>
        </w:rPr>
      </w:pPr>
    </w:p>
    <w:p>
      <w:pPr>
        <w:ind w:right="20" w:firstLine="324"/>
        <w:spacing w:after="0" w:line="263" w:lineRule="auto"/>
        <w:rPr>
          <w:sz w:val="20"/>
          <w:szCs w:val="20"/>
          <w:color w:val="auto"/>
        </w:rPr>
      </w:pPr>
      <w:r>
        <w:rPr>
          <w:rFonts w:ascii="Times New Roman" w:cs="Times New Roman" w:eastAsia="Times New Roman" w:hAnsi="Times New Roman"/>
          <w:sz w:val="16"/>
          <w:szCs w:val="16"/>
          <w:color w:val="auto"/>
        </w:rPr>
        <w:t>The number of shares outstanding of the Registrant’s Class A common stock, no par value, as of March 15, 2023, was 3,364,200. The number of shares outstanding of the Registrant’s Class B common stock, no par value, as of March 15, 2023 was 30,061,661.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426085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6" w:right="4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8" w:lineRule="exact"/>
        <w:rPr>
          <w:sz w:val="20"/>
          <w:szCs w:val="20"/>
          <w:color w:val="auto"/>
        </w:rPr>
      </w:pPr>
    </w:p>
    <w:p>
      <w:pPr>
        <w:ind w:firstLine="324"/>
        <w:spacing w:after="0" w:line="263" w:lineRule="auto"/>
        <w:rPr>
          <w:sz w:val="20"/>
          <w:szCs w:val="20"/>
          <w:color w:val="auto"/>
        </w:rPr>
      </w:pPr>
      <w:r>
        <w:rPr>
          <w:rFonts w:ascii="Times New Roman" w:cs="Times New Roman" w:eastAsia="Times New Roman" w:hAnsi="Times New Roman"/>
          <w:sz w:val="16"/>
          <w:szCs w:val="16"/>
          <w:color w:val="auto"/>
        </w:rPr>
        <w:t>Portions of the registrant’s definitive proxy statement to be filed within 120 days of January 29, 2023 are incorporated by reference in this Annual Report on Form 10-K in response to Part III, Items 10, 11, 12, 13 and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605790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20" w:type="dxa"/>
            <w:vAlign w:val="bottom"/>
            <w:gridSpan w:val="12"/>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40" w:type="dxa"/>
            <w:vAlign w:val="bottom"/>
            <w:gridSpan w:val="11"/>
            <w:vMerge w:val="restart"/>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37"/>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940" w:type="dxa"/>
            <w:vAlign w:val="bottom"/>
            <w:gridSpan w:val="11"/>
            <w:vMerge w:val="continue"/>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1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ITEM 1.</w:t>
            </w:r>
          </w:p>
        </w:tc>
        <w:tc>
          <w:tcPr>
            <w:tcW w:w="89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12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1A.</w:t>
            </w:r>
          </w:p>
        </w:tc>
        <w:tc>
          <w:tcPr>
            <w:tcW w:w="4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1"/>
              </w:rPr>
              <w:t>ITEM 1B.</w:t>
            </w:r>
          </w:p>
        </w:tc>
        <w:tc>
          <w:tcPr>
            <w:tcW w:w="4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INFORMATION ABOUT OUR EXECUTIVE OFFICERS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40" w:type="dxa"/>
            <w:vAlign w:val="bottom"/>
            <w:gridSpan w:val="11"/>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ITEM 5.</w:t>
            </w:r>
          </w:p>
        </w:tc>
        <w:tc>
          <w:tcPr>
            <w:tcW w:w="89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MARKET FOR THE REGISTRANT’S COMMON EQUITY, RELATED SHAREHOLDER MATTERS AND ISSUER</w:t>
            </w:r>
          </w:p>
        </w:tc>
        <w:tc>
          <w:tcPr>
            <w:tcW w:w="12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69"/>
        </w:trPr>
        <w:tc>
          <w:tcPr>
            <w:tcW w:w="6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700" w:type="dxa"/>
            <w:vAlign w:val="bottom"/>
            <w:tcBorders>
              <w:top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PURCHASES OF EQUITY SECURITIES</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30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[RESERVED]</w:t>
            </w:r>
          </w:p>
        </w:tc>
        <w:tc>
          <w:tcPr>
            <w:tcW w:w="5820" w:type="dxa"/>
            <w:vAlign w:val="bottom"/>
            <w:gridSpan w:val="12"/>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7.</w:t>
            </w: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69"/>
        </w:trPr>
        <w:tc>
          <w:tcPr>
            <w:tcW w:w="6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0" w:type="dxa"/>
            <w:vAlign w:val="bottom"/>
            <w:tcBorders>
              <w:top w:val="single" w:sz="8" w:color="0000FF"/>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OPERATIONS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8.</w:t>
            </w: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9.</w:t>
            </w: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69"/>
        </w:trPr>
        <w:tc>
          <w:tcPr>
            <w:tcW w:w="6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7"/>
              </w:rPr>
              <w:t>DISCLOSURE</w:t>
            </w:r>
          </w:p>
        </w:tc>
        <w:tc>
          <w:tcPr>
            <w:tcW w:w="6880" w:type="dxa"/>
            <w:vAlign w:val="bottom"/>
            <w:tcBorders>
              <w:top w:val="single" w:sz="8" w:color="0000FF"/>
            </w:tcBorders>
            <w:gridSpan w:val="18"/>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9A.</w:t>
            </w:r>
          </w:p>
        </w:tc>
        <w:tc>
          <w:tcPr>
            <w:tcW w:w="4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1"/>
              </w:rPr>
              <w:t>ITEM 9B.</w:t>
            </w:r>
          </w:p>
        </w:tc>
        <w:tc>
          <w:tcPr>
            <w:tcW w:w="4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9C.</w:t>
            </w: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99"/>
        </w:trPr>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2980" w:type="dxa"/>
            <w:vAlign w:val="bottom"/>
            <w:tcBorders>
              <w:top w:val="single" w:sz="8" w:color="0000FF"/>
            </w:tcBorders>
            <w:gridSpan w:val="5"/>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960" w:type="dxa"/>
            <w:vAlign w:val="bottom"/>
            <w:gridSpan w:val="6"/>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5"/>
              </w:rPr>
              <w:t>ITEM 10.</w:t>
            </w:r>
          </w:p>
        </w:tc>
        <w:tc>
          <w:tcPr>
            <w:tcW w:w="420" w:type="dxa"/>
            <w:vAlign w:val="bottom"/>
          </w:tcPr>
          <w:p>
            <w:pPr>
              <w:spacing w:after="0"/>
              <w:rPr>
                <w:sz w:val="16"/>
                <w:szCs w:val="16"/>
                <w:color w:val="auto"/>
              </w:rPr>
            </w:pPr>
          </w:p>
        </w:tc>
        <w:tc>
          <w:tcPr>
            <w:tcW w:w="89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ITEM 11.</w:t>
            </w:r>
          </w:p>
        </w:tc>
        <w:tc>
          <w:tcPr>
            <w:tcW w:w="4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ITEM 12.</w:t>
            </w:r>
          </w:p>
        </w:tc>
        <w:tc>
          <w:tcPr>
            <w:tcW w:w="4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69"/>
        </w:trPr>
        <w:tc>
          <w:tcPr>
            <w:tcW w:w="6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tcBorders>
              <w:top w:val="single" w:sz="8" w:color="0000FF"/>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w w:val="97"/>
              </w:rPr>
              <w:t>SHAREHOLDER MATTERS</w:t>
            </w:r>
          </w:p>
        </w:tc>
        <w:tc>
          <w:tcPr>
            <w:tcW w:w="5860" w:type="dxa"/>
            <w:vAlign w:val="bottom"/>
            <w:tcBorders>
              <w:top w:val="single" w:sz="8" w:color="0000FF"/>
            </w:tcBorders>
            <w:gridSpan w:val="15"/>
          </w:tcPr>
          <w:p>
            <w:pPr>
              <w:spacing w:after="0"/>
              <w:rPr>
                <w:sz w:val="14"/>
                <w:szCs w:val="14"/>
                <w:color w:val="auto"/>
              </w:rPr>
            </w:pPr>
          </w:p>
        </w:tc>
        <w:tc>
          <w:tcPr>
            <w:tcW w:w="86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ITEM 13.</w:t>
            </w:r>
          </w:p>
        </w:tc>
        <w:tc>
          <w:tcPr>
            <w:tcW w:w="4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2080" w:type="dxa"/>
            <w:vAlign w:val="bottom"/>
            <w:gridSpan w:val="7"/>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180" w:type="dxa"/>
            <w:vAlign w:val="bottom"/>
            <w:gridSpan w:val="4"/>
            <w:shd w:val="clear" w:color="auto" w:fill="0000FF"/>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ITEM 14.</w:t>
            </w:r>
          </w:p>
        </w:tc>
        <w:tc>
          <w:tcPr>
            <w:tcW w:w="4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64"/>
        </w:trPr>
        <w:tc>
          <w:tcPr>
            <w:tcW w:w="6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4940" w:type="dxa"/>
            <w:vAlign w:val="bottom"/>
            <w:gridSpan w:val="11"/>
          </w:tcPr>
          <w:p>
            <w:pPr>
              <w:jc w:val="center"/>
              <w:ind w:right="3900"/>
              <w:spacing w:after="0" w:line="164" w:lineRule="exact"/>
              <w:rPr>
                <w:sz w:val="20"/>
                <w:szCs w:val="20"/>
                <w:color w:val="auto"/>
              </w:rPr>
            </w:pPr>
            <w:r>
              <w:rPr>
                <w:rFonts w:ascii="Times New Roman" w:cs="Times New Roman" w:eastAsia="Times New Roman" w:hAnsi="Times New Roman"/>
                <w:sz w:val="18"/>
                <w:szCs w:val="18"/>
                <w:b w:val="1"/>
                <w:bCs w:val="1"/>
                <w:color w:val="auto"/>
                <w:w w:val="97"/>
              </w:rPr>
              <w:t>PART IV</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5"/>
              </w:rPr>
              <w:t>ITEM 15.</w:t>
            </w:r>
          </w:p>
        </w:tc>
        <w:tc>
          <w:tcPr>
            <w:tcW w:w="420" w:type="dxa"/>
            <w:vAlign w:val="bottom"/>
          </w:tcPr>
          <w:p>
            <w:pPr>
              <w:spacing w:after="0"/>
              <w:rPr>
                <w:sz w:val="16"/>
                <w:szCs w:val="16"/>
                <w:color w:val="auto"/>
              </w:rPr>
            </w:pPr>
          </w:p>
        </w:tc>
        <w:tc>
          <w:tcPr>
            <w:tcW w:w="89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STATEMENTS AND SCHEDULE</w:t>
            </w:r>
          </w:p>
        </w:tc>
        <w:tc>
          <w:tcPr>
            <w:tcW w:w="12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2580" w:type="dxa"/>
            <w:vAlign w:val="bottom"/>
            <w:gridSpan w:val="9"/>
            <w:shd w:val="clear" w:color="auto" w:fill="0000FF"/>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ITEM 16.</w:t>
            </w:r>
          </w:p>
        </w:tc>
        <w:tc>
          <w:tcPr>
            <w:tcW w:w="4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7020" w:type="dxa"/>
            <w:vAlign w:val="bottom"/>
            <w:gridSpan w:val="18"/>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1995 that are subject to risks and uncertainties. All statements other than statements of historical or current fact included in this Annual Report on Form 10-K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“design,”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66" w:lineRule="exact"/>
        <w:rPr>
          <w:sz w:val="20"/>
          <w:szCs w:val="20"/>
          <w:color w:val="auto"/>
        </w:rPr>
      </w:pPr>
    </w:p>
    <w:p>
      <w:pPr>
        <w:ind w:left="880" w:right="720"/>
        <w:spacing w:after="0" w:line="367" w:lineRule="auto"/>
        <w:rPr>
          <w:sz w:val="20"/>
          <w:szCs w:val="20"/>
          <w:color w:val="auto"/>
        </w:rPr>
      </w:pPr>
      <w:r>
        <w:rPr>
          <w:rFonts w:ascii="Times New Roman" w:cs="Times New Roman" w:eastAsia="Times New Roman" w:hAnsi="Times New Roman"/>
          <w:sz w:val="18"/>
          <w:szCs w:val="18"/>
          <w:color w:val="auto"/>
        </w:rPr>
        <w:t>prolonged effects of economic uncertainties on store traffic and disruptions to our distribution network, supply chains and operations; our ability to maintain and enhance a strong brand and sub-brand image;</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adapting to declines in consumer confidence, inflation and decreases in consumer spending;</w:t>
      </w:r>
    </w:p>
    <w:p>
      <w:pPr>
        <w:spacing w:after="0" w:line="103" w:lineRule="exact"/>
        <w:rPr>
          <w:sz w:val="20"/>
          <w:szCs w:val="20"/>
          <w:color w:val="auto"/>
        </w:rPr>
      </w:pPr>
    </w:p>
    <w:p>
      <w:pPr>
        <w:ind w:left="880" w:right="3180"/>
        <w:spacing w:after="0" w:line="367" w:lineRule="auto"/>
        <w:rPr>
          <w:sz w:val="20"/>
          <w:szCs w:val="20"/>
          <w:color w:val="auto"/>
        </w:rPr>
      </w:pPr>
      <w:r>
        <w:rPr>
          <w:rFonts w:ascii="Times New Roman" w:cs="Times New Roman" w:eastAsia="Times New Roman" w:hAnsi="Times New Roman"/>
          <w:sz w:val="18"/>
          <w:szCs w:val="18"/>
          <w:color w:val="auto"/>
        </w:rPr>
        <w:t>effectively adapting to new challenges associated with our expansion into new geographic markets; our ability to meet customer delivery time expectations;</w:t>
      </w:r>
    </w:p>
    <w:p>
      <w:pPr>
        <w:spacing w:after="0" w:line="1" w:lineRule="exact"/>
        <w:rPr>
          <w:sz w:val="20"/>
          <w:szCs w:val="20"/>
          <w:color w:val="auto"/>
        </w:rPr>
      </w:pPr>
    </w:p>
    <w:p>
      <w:pPr>
        <w:ind w:left="880" w:right="280"/>
        <w:spacing w:after="0" w:line="282" w:lineRule="auto"/>
        <w:rPr>
          <w:sz w:val="20"/>
          <w:szCs w:val="20"/>
          <w:color w:val="auto"/>
        </w:rPr>
      </w:pPr>
      <w:r>
        <w:rPr>
          <w:rFonts w:ascii="Times New Roman" w:cs="Times New Roman" w:eastAsia="Times New Roman" w:hAnsi="Times New Roman"/>
          <w:sz w:val="18"/>
          <w:szCs w:val="18"/>
          <w:color w:val="auto"/>
        </w:rPr>
        <w:t>natural disasters, unusually adverse weather conditions, boycotts, prolonged public health crises, epidemics or pandemics and unanticipated events;</w:t>
      </w:r>
    </w:p>
    <w:p>
      <w:pPr>
        <w:spacing w:after="0" w:line="26" w:lineRule="exact"/>
        <w:rPr>
          <w:sz w:val="20"/>
          <w:szCs w:val="20"/>
          <w:color w:val="auto"/>
        </w:rPr>
      </w:pPr>
    </w:p>
    <w:p>
      <w:pPr>
        <w:ind w:left="880" w:right="3960"/>
        <w:spacing w:after="0" w:line="367" w:lineRule="auto"/>
        <w:rPr>
          <w:sz w:val="20"/>
          <w:szCs w:val="20"/>
          <w:color w:val="auto"/>
        </w:rPr>
      </w:pPr>
      <w:r>
        <w:rPr>
          <w:rFonts w:ascii="Times New Roman" w:cs="Times New Roman" w:eastAsia="Times New Roman" w:hAnsi="Times New Roman"/>
          <w:sz w:val="18"/>
          <w:szCs w:val="18"/>
          <w:color w:val="auto"/>
        </w:rPr>
        <w:t>generating adequate cash from our existing stores and direct sales to support our growth; the impact of changes in corporate tax regulations and sales tax;</w:t>
      </w:r>
    </w:p>
    <w:p>
      <w:pPr>
        <w:spacing w:after="0" w:line="1" w:lineRule="exact"/>
        <w:rPr>
          <w:sz w:val="20"/>
          <w:szCs w:val="20"/>
          <w:color w:val="auto"/>
        </w:rPr>
      </w:pPr>
    </w:p>
    <w:p>
      <w:pPr>
        <w:ind w:left="880" w:right="5220"/>
        <w:spacing w:after="0" w:line="367" w:lineRule="auto"/>
        <w:rPr>
          <w:sz w:val="20"/>
          <w:szCs w:val="20"/>
          <w:color w:val="auto"/>
        </w:rPr>
      </w:pPr>
      <w:r>
        <w:rPr>
          <w:rFonts w:ascii="Times New Roman" w:cs="Times New Roman" w:eastAsia="Times New Roman" w:hAnsi="Times New Roman"/>
          <w:sz w:val="18"/>
          <w:szCs w:val="18"/>
          <w:color w:val="auto"/>
        </w:rPr>
        <w:t>identifying and responding to new and changing customer preferences; the success of the locations in which our stores are located;</w:t>
      </w:r>
    </w:p>
    <w:p>
      <w:pPr>
        <w:spacing w:after="0" w:line="1" w:lineRule="exact"/>
        <w:rPr>
          <w:sz w:val="20"/>
          <w:szCs w:val="20"/>
          <w:color w:val="auto"/>
        </w:rPr>
      </w:pPr>
    </w:p>
    <w:p>
      <w:pPr>
        <w:ind w:left="880" w:right="1360"/>
        <w:spacing w:after="0" w:line="360" w:lineRule="auto"/>
        <w:rPr>
          <w:sz w:val="20"/>
          <w:szCs w:val="20"/>
          <w:color w:val="auto"/>
        </w:rPr>
      </w:pPr>
      <w:r>
        <w:rPr>
          <w:rFonts w:ascii="Times New Roman" w:cs="Times New Roman" w:eastAsia="Times New Roman" w:hAnsi="Times New Roman"/>
          <w:sz w:val="18"/>
          <w:szCs w:val="18"/>
          <w:color w:val="auto"/>
        </w:rPr>
        <w:t>our inability to deploy marketing tactics to strengthen brand awareness and attract new customers in a cost effective manner; our ability to successfully open new stores;</w:t>
      </w:r>
    </w:p>
    <w:p>
      <w:pPr>
        <w:ind w:left="440"/>
        <w:spacing w:after="0"/>
        <w:rPr>
          <w:sz w:val="20"/>
          <w:szCs w:val="20"/>
          <w:color w:val="auto"/>
        </w:rPr>
      </w:pPr>
      <w:r>
        <w:rPr>
          <w:rFonts w:ascii="Times New Roman" w:cs="Times New Roman" w:eastAsia="Times New Roman" w:hAnsi="Times New Roman"/>
          <w:sz w:val="18"/>
          <w:szCs w:val="18"/>
          <w:color w:val="auto"/>
        </w:rPr>
        <w:t>competing effectively in an environment of intense competition;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ability to adapt to significant changes in sales due to the seasonality of our business;</w:t>
      </w:r>
    </w:p>
    <w:p>
      <w:pPr>
        <w:spacing w:after="0" w:line="103" w:lineRule="exact"/>
        <w:rPr>
          <w:sz w:val="20"/>
          <w:szCs w:val="20"/>
          <w:color w:val="auto"/>
        </w:rPr>
      </w:pPr>
    </w:p>
    <w:p>
      <w:pPr>
        <w:ind w:left="880" w:right="440"/>
        <w:spacing w:after="0" w:line="282" w:lineRule="auto"/>
        <w:rPr>
          <w:sz w:val="20"/>
          <w:szCs w:val="20"/>
          <w:color w:val="auto"/>
        </w:rPr>
      </w:pPr>
      <w:r>
        <w:rPr>
          <w:rFonts w:ascii="Times New Roman" w:cs="Times New Roman" w:eastAsia="Times New Roman" w:hAnsi="Times New Roman"/>
          <w:sz w:val="18"/>
          <w:szCs w:val="18"/>
          <w:color w:val="auto"/>
        </w:rPr>
        <w:t>price reductions or inventory shortages resulting from failure to purchase the appropriate amount of inventory in advance of the season in which it will be sold due to global market constraints;</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potential for further increases in price and availability of raw materials;</w:t>
      </w:r>
    </w:p>
    <w:p>
      <w:pPr>
        <w:spacing w:after="0" w:line="103" w:lineRule="exact"/>
        <w:rPr>
          <w:sz w:val="20"/>
          <w:szCs w:val="20"/>
          <w:color w:val="auto"/>
        </w:rPr>
      </w:pPr>
    </w:p>
    <w:p>
      <w:pPr>
        <w:ind w:left="880" w:right="2080"/>
        <w:spacing w:after="0" w:line="370" w:lineRule="auto"/>
        <w:rPr>
          <w:sz w:val="20"/>
          <w:szCs w:val="20"/>
          <w:color w:val="auto"/>
        </w:rPr>
      </w:pPr>
      <w:r>
        <w:rPr>
          <w:rFonts w:ascii="Times New Roman" w:cs="Times New Roman" w:eastAsia="Times New Roman" w:hAnsi="Times New Roman"/>
          <w:sz w:val="18"/>
          <w:szCs w:val="18"/>
          <w:color w:val="auto"/>
        </w:rPr>
        <w:t>our dependence on third-party vendors to provide us with sufficient quantities of merchandise at acceptable prices; increases in costs of fuel or other energy, transportation or utility costs and in the costs of labor and employment; the susceptibility of the price and availability of our merchandise to international trade conditions;</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failure of our vendors and their manufacturing sources to use acceptable labor or other practices;</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dependence upon key executive management or our inability to hire or retain the talent required for our business;</w:t>
      </w:r>
    </w:p>
    <w:p>
      <w:pPr>
        <w:spacing w:after="0" w:line="103" w:lineRule="exact"/>
        <w:rPr>
          <w:sz w:val="20"/>
          <w:szCs w:val="20"/>
          <w:color w:val="auto"/>
        </w:rPr>
      </w:pPr>
    </w:p>
    <w:p>
      <w:pPr>
        <w:ind w:left="880" w:right="940"/>
        <w:spacing w:after="0" w:line="367" w:lineRule="auto"/>
        <w:rPr>
          <w:sz w:val="20"/>
          <w:szCs w:val="20"/>
          <w:color w:val="auto"/>
        </w:rPr>
      </w:pPr>
      <w:r>
        <w:rPr>
          <w:rFonts w:ascii="Times New Roman" w:cs="Times New Roman" w:eastAsia="Times New Roman" w:hAnsi="Times New Roman"/>
          <w:sz w:val="18"/>
          <w:szCs w:val="18"/>
          <w:color w:val="auto"/>
        </w:rPr>
        <w:t>failure of our information technology systems to support our current and growing business, before and after our planned upgrades; disruptions in our supply chain and fulfillment centers;</w:t>
      </w:r>
    </w:p>
    <w:p>
      <w:pPr>
        <w:spacing w:after="0" w:line="1" w:lineRule="exact"/>
        <w:rPr>
          <w:sz w:val="20"/>
          <w:szCs w:val="20"/>
          <w:color w:val="auto"/>
        </w:rPr>
      </w:pPr>
    </w:p>
    <w:p>
      <w:pPr>
        <w:ind w:left="880" w:right="4980"/>
        <w:spacing w:after="0" w:line="315" w:lineRule="auto"/>
        <w:rPr>
          <w:sz w:val="20"/>
          <w:szCs w:val="20"/>
          <w:color w:val="auto"/>
        </w:rPr>
      </w:pPr>
      <w:r>
        <w:rPr>
          <w:rFonts w:ascii="Times New Roman" w:cs="Times New Roman" w:eastAsia="Times New Roman" w:hAnsi="Times New Roman"/>
          <w:sz w:val="18"/>
          <w:szCs w:val="18"/>
          <w:color w:val="auto"/>
        </w:rPr>
        <w:t>our inability to protect our trademarks or other intellectual property rights; infringement on the intellectual property of third parties;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acts of war, terrorism or civil unrest;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impact of governmental laws and regulations and the outcomes of legal proceedings;</w:t>
      </w:r>
    </w:p>
    <w:p>
      <w:pPr>
        <w:spacing w:after="0" w:line="103" w:lineRule="exact"/>
        <w:rPr>
          <w:sz w:val="20"/>
          <w:szCs w:val="20"/>
          <w:color w:val="auto"/>
        </w:rPr>
      </w:pPr>
    </w:p>
    <w:p>
      <w:pPr>
        <w:ind w:left="880" w:right="360"/>
        <w:spacing w:after="0" w:line="266" w:lineRule="auto"/>
        <w:rPr>
          <w:sz w:val="20"/>
          <w:szCs w:val="20"/>
          <w:color w:val="auto"/>
        </w:rPr>
      </w:pPr>
      <w:r>
        <w:rPr>
          <w:rFonts w:ascii="Times New Roman" w:cs="Times New Roman" w:eastAsia="Times New Roman" w:hAnsi="Times New Roman"/>
          <w:sz w:val="18"/>
          <w:szCs w:val="18"/>
          <w:color w:val="auto"/>
        </w:rPr>
        <w:t>changes in U.S. and non-U.S. laws affecting the importation and taxation of goods, including imposition of unilateral tariffs on imported goods;</w:t>
      </w:r>
    </w:p>
    <w:p>
      <w:pPr>
        <w:spacing w:after="0" w:line="54" w:lineRule="exact"/>
        <w:rPr>
          <w:sz w:val="20"/>
          <w:szCs w:val="20"/>
          <w:color w:val="auto"/>
        </w:rPr>
      </w:pPr>
    </w:p>
    <w:p>
      <w:pPr>
        <w:ind w:left="880" w:right="320"/>
        <w:spacing w:after="0" w:line="266" w:lineRule="auto"/>
        <w:rPr>
          <w:sz w:val="20"/>
          <w:szCs w:val="20"/>
          <w:color w:val="auto"/>
        </w:rPr>
      </w:pPr>
      <w:r>
        <w:rPr>
          <w:rFonts w:ascii="Times New Roman" w:cs="Times New Roman" w:eastAsia="Times New Roman" w:hAnsi="Times New Roman"/>
          <w:sz w:val="18"/>
          <w:szCs w:val="18"/>
          <w:color w:val="auto"/>
        </w:rPr>
        <w:t>our ability to secure the personal and/or financial information of our customers and comply with the security standards for the credit card industry;</w:t>
      </w:r>
    </w:p>
    <w:p>
      <w:pPr>
        <w:spacing w:after="0" w:line="54" w:lineRule="exact"/>
        <w:rPr>
          <w:sz w:val="20"/>
          <w:szCs w:val="20"/>
          <w:color w:val="auto"/>
        </w:rPr>
      </w:pPr>
    </w:p>
    <w:p>
      <w:pPr>
        <w:ind w:left="880" w:right="3120"/>
        <w:spacing w:after="0" w:line="391" w:lineRule="auto"/>
        <w:rPr>
          <w:sz w:val="20"/>
          <w:szCs w:val="20"/>
          <w:color w:val="auto"/>
        </w:rPr>
      </w:pPr>
      <w:r>
        <w:rPr>
          <w:rFonts w:ascii="Times New Roman" w:cs="Times New Roman" w:eastAsia="Times New Roman" w:hAnsi="Times New Roman"/>
          <w:sz w:val="18"/>
          <w:szCs w:val="18"/>
          <w:color w:val="auto"/>
        </w:rPr>
        <w:t>our failure to maintain adequate internal controls over our financial and management systems; and acquisition, disposition, and development risks.</w:t>
      </w:r>
    </w:p>
    <w:p>
      <w:pPr>
        <w:spacing w:after="0" w:line="28"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We make many of our forward-looking statements based on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w:t>
      </w:r>
    </w:p>
    <w:p>
      <w:pPr>
        <w:spacing w:after="0" w:line="130" w:lineRule="exact"/>
        <w:rPr>
          <w:sz w:val="20"/>
          <w:szCs w:val="20"/>
          <w:color w:val="auto"/>
        </w:rPr>
      </w:pPr>
    </w:p>
    <w:p>
      <w:pPr>
        <w:ind w:right="20" w:firstLine="440"/>
        <w:spacing w:after="0" w:line="236" w:lineRule="auto"/>
        <w:rPr>
          <w:sz w:val="20"/>
          <w:szCs w:val="20"/>
          <w:color w:val="auto"/>
        </w:rPr>
      </w:pPr>
      <w:r>
        <w:rPr>
          <w:rFonts w:ascii="Times New Roman" w:cs="Times New Roman" w:eastAsia="Times New Roman" w:hAnsi="Times New Roman"/>
          <w:sz w:val="18"/>
          <w:szCs w:val="18"/>
          <w:color w:val="auto"/>
        </w:rPr>
        <w:t>See the “Risk Factors” section of this Annual Report on Form 10-K for a more complete discussion of the risks and uncertainties mentioned above and for discussion of other risks and uncertainties. All forward-looking statements attributable to us are expressly qualified in their entirety by these cautionary statements as well as others made in this annual report and hereafter in our other SEC filings and public communications. You should evaluate all forward-looking statements made by us in the context of these risks and uncertainties.</w:t>
      </w:r>
    </w:p>
    <w:p>
      <w:pPr>
        <w:spacing w:after="0" w:line="144" w:lineRule="exact"/>
        <w:rPr>
          <w:sz w:val="20"/>
          <w:szCs w:val="20"/>
          <w:color w:val="auto"/>
        </w:rPr>
      </w:pPr>
    </w:p>
    <w:p>
      <w:pPr>
        <w:jc w:val="both"/>
        <w:ind w:right="200" w:firstLine="440"/>
        <w:spacing w:after="0" w:line="242"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Annual Report on Form 10-K are made only as of the date hereof. We undertake no obligation to publicly update or revise any forward-looking statement as a result of new information, future events or otherwise, except as otherwise required by law.</w:t>
      </w:r>
    </w:p>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2"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color w:val="auto"/>
        </w:rPr>
        <w:t>BUSINESS</w:t>
      </w:r>
    </w:p>
    <w:p>
      <w:pPr>
        <w:spacing w:after="0" w:line="210"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the terms the “Company,” “Duluth,” “Duluth Trading,” “Duluth Holdings,” “Duluth Trading Co.,” “we,” “our” or “us” are used to refer to Duluth Holdings Inc.</w:t>
      </w:r>
    </w:p>
    <w:p>
      <w:pPr>
        <w:spacing w:after="0" w:line="118"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contains references to fiscal years 2022 and 2021, which refer to our fiscal years ended January 29, 2023 and January 30, 2022, respectively. Fiscal years 2022 and 2021 were 52-week periods.</w:t>
      </w:r>
    </w:p>
    <w:p>
      <w:pPr>
        <w:spacing w:after="0" w:line="133" w:lineRule="exact"/>
        <w:rPr>
          <w:sz w:val="20"/>
          <w:szCs w:val="20"/>
          <w:color w:val="auto"/>
        </w:rPr>
      </w:pPr>
    </w:p>
    <w:p>
      <w:pPr>
        <w:ind w:right="20" w:firstLine="440"/>
        <w:spacing w:after="0" w:line="236" w:lineRule="auto"/>
        <w:rPr>
          <w:sz w:val="20"/>
          <w:szCs w:val="20"/>
          <w:color w:val="auto"/>
        </w:rPr>
      </w:pPr>
      <w:r>
        <w:rPr>
          <w:rFonts w:ascii="Times New Roman" w:cs="Times New Roman" w:eastAsia="Times New Roman" w:hAnsi="Times New Roman"/>
          <w:sz w:val="18"/>
          <w:szCs w:val="18"/>
          <w:color w:val="auto"/>
        </w:rPr>
        <w:t>Duluth Trading is a lifestyle brand of men’s and women’s casual wear, workwear and accessories primarily sold through our own omnichannel platform. We offer products nationwide through our website. In 2010, we initiated our omnichannel platform with the opening of our first store. Since then, we have expanded our retail presence, and as of January 29, 2023, we operated 62 retail stores and three outlet stores.</w:t>
      </w:r>
    </w:p>
    <w:p>
      <w:pPr>
        <w:spacing w:after="0" w:line="145" w:lineRule="exact"/>
        <w:rPr>
          <w:sz w:val="20"/>
          <w:szCs w:val="20"/>
          <w:color w:val="auto"/>
        </w:rPr>
      </w:pPr>
    </w:p>
    <w:p>
      <w:pPr>
        <w:ind w:firstLine="440"/>
        <w:spacing w:after="0" w:line="230" w:lineRule="auto"/>
        <w:rPr>
          <w:sz w:val="20"/>
          <w:szCs w:val="20"/>
          <w:color w:val="auto"/>
        </w:rPr>
      </w:pPr>
      <w:r>
        <w:rPr>
          <w:rFonts w:ascii="Times New Roman" w:cs="Times New Roman" w:eastAsia="Times New Roman" w:hAnsi="Times New Roman"/>
          <w:sz w:val="18"/>
          <w:szCs w:val="18"/>
          <w:color w:val="auto"/>
        </w:rPr>
        <w:t>Duluth Trading was founded in 1989 when two brothers in the home construction industry were tired of dragging tools from job to job using discarded five-gallon drywall compound buckets. The two brothers were never satisfied with the status quo and believed “there’s gotta be a better way.” So, they invented the Bucket Boss® - a ruggedly durable canvas tool organizer that fits around a drywall bucket and transformed the way construction workers organized their tools. Capitalizing on their initial success, these brothers launched a catalog that later became known as Duluth Trading Company. Under the initial philosophy of “Job Tough, Job Smart,” this catalog was dedicated to improving and expanding on existing methods of tool storage, organization and transport. In December 2000, GEMPLER’S Inc., a Wisconsin corporation and an agricultural and horticultural supply catalog business founded and owned by Stephen L. Schlecht, acquired Duluth Trading and brought the two mail order companies together. Both catalogs had customers who worked outside and embraced the spirit of hands-on, self-reliant Americans. In February 2003, the GEMPLER’s catalog business was sold to W.W. Grainger (NYSE:GWW) and proceeds from that sale were used to fund the growth of Duluth Trading. With that transaction, GEMPLER’S changed its corporate name to Duluth Holdings Inc.</w:t>
      </w:r>
    </w:p>
    <w:p>
      <w:pPr>
        <w:spacing w:after="0" w:line="136" w:lineRule="exact"/>
        <w:rPr>
          <w:sz w:val="20"/>
          <w:szCs w:val="20"/>
          <w:color w:val="auto"/>
        </w:rPr>
      </w:pPr>
    </w:p>
    <w:p>
      <w:pPr>
        <w:ind w:right="180" w:firstLine="440"/>
        <w:spacing w:after="0" w:line="251" w:lineRule="auto"/>
        <w:rPr>
          <w:sz w:val="20"/>
          <w:szCs w:val="20"/>
          <w:color w:val="auto"/>
        </w:rPr>
      </w:pPr>
      <w:r>
        <w:rPr>
          <w:rFonts w:ascii="Times New Roman" w:cs="Times New Roman" w:eastAsia="Times New Roman" w:hAnsi="Times New Roman"/>
          <w:sz w:val="17"/>
          <w:szCs w:val="17"/>
          <w:color w:val="auto"/>
        </w:rPr>
        <w:t xml:space="preserve">From what began as an idea aimed at those working in the building trades, Duluth Trading has become a widely recognized brand and proprietary line of innovative and functional apparel and gear. We have created strong brand awareness and built a loyal customer base. We believe the foundation of our success is our culture of “poking average in the eye” </w:t>
      </w:r>
      <w:r>
        <w:rPr>
          <w:rFonts w:ascii="Times New Roman" w:cs="Times New Roman" w:eastAsia="Times New Roman" w:hAnsi="Times New Roman"/>
          <w:sz w:val="17"/>
          <w:szCs w:val="17"/>
          <w:i w:val="1"/>
          <w:iCs w:val="1"/>
          <w:color w:val="auto"/>
        </w:rPr>
        <w:t>by seeing things for what they could be and should be and finding a way to make them exactly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that, and we like to do it all with a big, toothy grin.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08" w:lineRule="exact"/>
        <w:rPr>
          <w:sz w:val="20"/>
          <w:szCs w:val="20"/>
          <w:color w:val="auto"/>
        </w:rPr>
      </w:pPr>
    </w:p>
    <w:p>
      <w:pPr>
        <w:ind w:right="80" w:firstLine="440"/>
        <w:spacing w:after="0" w:line="236" w:lineRule="auto"/>
        <w:rPr>
          <w:sz w:val="20"/>
          <w:szCs w:val="20"/>
          <w:color w:val="auto"/>
        </w:rPr>
      </w:pPr>
      <w:r>
        <w:rPr>
          <w:rFonts w:ascii="Times New Roman" w:cs="Times New Roman" w:eastAsia="Times New Roman" w:hAnsi="Times New Roman"/>
          <w:sz w:val="18"/>
          <w:szCs w:val="18"/>
          <w:color w:val="auto"/>
        </w:rPr>
        <w:t>In 2021, the Company completed a comprehensive review of current operations, logistics networks, marketing and technology capabilities, and unique brands and products. The Company formulated the “Big Dam Blueprint”, which management believes will unlock the Company’s full potential for long-term, sustainable grow growth.</w:t>
      </w:r>
    </w:p>
    <w:p>
      <w:pPr>
        <w:spacing w:after="0" w:line="74" w:lineRule="exact"/>
        <w:rPr>
          <w:sz w:val="20"/>
          <w:szCs w:val="20"/>
          <w:color w:val="auto"/>
        </w:rPr>
      </w:pPr>
    </w:p>
    <w:p>
      <w:pPr>
        <w:ind w:left="880" w:right="50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Begin with a digital-first mindset </w:t>
      </w:r>
      <w:r>
        <w:rPr>
          <w:rFonts w:ascii="Times New Roman" w:cs="Times New Roman" w:eastAsia="Times New Roman" w:hAnsi="Times New Roman"/>
          <w:sz w:val="18"/>
          <w:szCs w:val="18"/>
          <w:color w:val="auto"/>
        </w:rPr>
        <w:t>that integrates technology into all areas of the business, fundamentally changing how we operate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value to customers.</w:t>
      </w:r>
    </w:p>
    <w:p>
      <w:pPr>
        <w:spacing w:after="0" w:line="45" w:lineRule="exact"/>
        <w:rPr>
          <w:sz w:val="20"/>
          <w:szCs w:val="20"/>
          <w:color w:val="auto"/>
        </w:rPr>
      </w:pPr>
    </w:p>
    <w:p>
      <w:pPr>
        <w:ind w:left="880" w:right="24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Intensify efforts to optimize Duluth Trading’s owned retail channels </w:t>
      </w:r>
      <w:r>
        <w:rPr>
          <w:rFonts w:ascii="Times New Roman" w:cs="Times New Roman" w:eastAsia="Times New Roman" w:hAnsi="Times New Roman"/>
          <w:sz w:val="18"/>
          <w:szCs w:val="18"/>
          <w:color w:val="auto"/>
        </w:rPr>
        <w:t>by increasing focus and investments in our direct channel as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growth vehicle. We are conducting strategic research that will inform decisions on future stores regarding new locations and market share potential, size and layout.</w:t>
      </w:r>
    </w:p>
    <w:p>
      <w:pPr>
        <w:spacing w:after="0" w:line="68" w:lineRule="exact"/>
        <w:rPr>
          <w:sz w:val="20"/>
          <w:szCs w:val="20"/>
          <w:color w:val="auto"/>
        </w:rPr>
      </w:pPr>
    </w:p>
    <w:p>
      <w:pPr>
        <w:ind w:left="880" w:right="26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Evolve the Company’s multi-brand platform as a new pathway to grow the business. </w:t>
      </w:r>
      <w:r>
        <w:rPr>
          <w:rFonts w:ascii="Times New Roman" w:cs="Times New Roman" w:eastAsia="Times New Roman" w:hAnsi="Times New Roman"/>
          <w:sz w:val="18"/>
          <w:szCs w:val="18"/>
          <w:color w:val="auto"/>
        </w:rPr>
        <w:t>Create unique brand positions, across men’s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women’s, for Duluth, AKHG and Buck Naked to address customer needs for various occasions including work, outdoor recreation, casual lifestyle, and first layer. Invest in the evolution of the Duluth Trading platform to enable the integration of new brands, expand our offerings and broaden our customer base.</w:t>
      </w:r>
    </w:p>
    <w:p>
      <w:pPr>
        <w:spacing w:after="0" w:line="59" w:lineRule="exact"/>
        <w:rPr>
          <w:sz w:val="20"/>
          <w:szCs w:val="20"/>
          <w:color w:val="auto"/>
        </w:rPr>
      </w:pPr>
    </w:p>
    <w:p>
      <w:pPr>
        <w:ind w:left="880" w:right="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Carefully test and learn to unlock long-term growth potential. </w:t>
      </w:r>
      <w:r>
        <w:rPr>
          <w:rFonts w:ascii="Times New Roman" w:cs="Times New Roman" w:eastAsia="Times New Roman" w:hAnsi="Times New Roman"/>
          <w:sz w:val="18"/>
          <w:szCs w:val="18"/>
          <w:color w:val="auto"/>
        </w:rPr>
        <w:t>Explore new opportunities to engage current and potential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products, services and touchpoints that they expect and value.</w:t>
      </w:r>
    </w:p>
    <w:p>
      <w:pPr>
        <w:spacing w:after="0" w:line="19" w:lineRule="exact"/>
        <w:rPr>
          <w:sz w:val="20"/>
          <w:szCs w:val="20"/>
          <w:color w:val="auto"/>
        </w:rPr>
      </w:pPr>
    </w:p>
    <w:p>
      <w:pPr>
        <w:ind w:left="880" w:right="20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Increase and, in some areas, accelerate investments to future proof the business. </w:t>
      </w:r>
      <w:r>
        <w:rPr>
          <w:rFonts w:ascii="Times New Roman" w:cs="Times New Roman" w:eastAsia="Times New Roman" w:hAnsi="Times New Roman"/>
          <w:sz w:val="18"/>
          <w:szCs w:val="18"/>
          <w:color w:val="auto"/>
        </w:rPr>
        <w:t>Areas under analysis include greater automation across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logistics network; technology that will improve operations, generate positive impact and sustainable returns; support growth through multiple brands and seamlessly integrate new brands into the portfolio, and attract the talent, skillsets and expertise needed to scale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Omnichannel</w:t>
      </w:r>
    </w:p>
    <w:p>
      <w:pPr>
        <w:spacing w:after="0" w:line="175" w:lineRule="exact"/>
        <w:rPr>
          <w:sz w:val="20"/>
          <w:szCs w:val="20"/>
          <w:color w:val="auto"/>
        </w:rPr>
      </w:pPr>
    </w:p>
    <w:p>
      <w:pPr>
        <w:ind w:right="40" w:firstLine="440"/>
        <w:spacing w:after="0" w:line="236" w:lineRule="auto"/>
        <w:rPr>
          <w:sz w:val="20"/>
          <w:szCs w:val="20"/>
          <w:color w:val="auto"/>
        </w:rPr>
      </w:pPr>
      <w:r>
        <w:rPr>
          <w:rFonts w:ascii="Times New Roman" w:cs="Times New Roman" w:eastAsia="Times New Roman" w:hAnsi="Times New Roman"/>
          <w:sz w:val="18"/>
          <w:szCs w:val="18"/>
          <w:color w:val="auto"/>
        </w:rPr>
        <w:t>Our omnichannel business strategy allows our sales channels to work in synergy to seamlessly deliver a consistent brand experience to the customer, including consistent marketing, pricing and product presentation. All sales channels are fully integrated, including stores, website, catalogs and customer contact centers. Our omnichannel services include order-in-store, buy-online-pickup-in-store, and ship-from-store as well as retail store and mobile shopping experiences.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Store Environment</w:t>
      </w:r>
    </w:p>
    <w:p>
      <w:pPr>
        <w:spacing w:after="0" w:line="175"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Our retail stores are designed to bring our brand to life by creating a unique and entertaining experience, including engaging sales associates, a compelling and complete product assortment, and custom made fixtures to fit our brand. We also showcase unique attractions at each retail store that celebrate the heritage of the local area, such as the tool museum in our Mt. Horeb, Wisconsin store and the “Exploded Tractor” exhibit in our Ankeny, Iowa store. We believe these local community elements help promote customer loyalty and drive repeat purchases.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62"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7"/>
          <w:szCs w:val="17"/>
          <w:color w:val="auto"/>
        </w:rPr>
        <w:t>We offer a comprehensive line of innovative, durable and functional casual wear, workwear and accessories for both men and women. Our product assortment includes shirts, pants, underwear, outerwear, footwear, accessories and hard goods. Our products feature proprietary designs and distinct names,</w:t>
      </w:r>
    </w:p>
    <w:p>
      <w:pPr>
        <w:spacing w:after="0"/>
        <w:rPr>
          <w:sz w:val="20"/>
          <w:szCs w:val="20"/>
          <w:color w:val="auto"/>
        </w:rPr>
      </w:pPr>
      <w:r>
        <w:rPr>
          <w:rFonts w:ascii="Times New Roman" w:cs="Times New Roman" w:eastAsia="Times New Roman" w:hAnsi="Times New Roman"/>
          <w:sz w:val="18"/>
          <w:szCs w:val="18"/>
          <w:color w:val="auto"/>
        </w:rPr>
        <w:t>such as our Longtail T® shirts, Buck Naked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underwear, Fire Hose® work pants and No-Yank</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Tank.</w:t>
      </w:r>
    </w:p>
    <w:p>
      <w:pPr>
        <w:spacing w:after="0" w:line="67" w:lineRule="exact"/>
        <w:rPr>
          <w:sz w:val="20"/>
          <w:szCs w:val="20"/>
          <w:color w:val="auto"/>
        </w:rPr>
      </w:pPr>
    </w:p>
    <w:p>
      <w:pPr>
        <w:jc w:val="both"/>
        <w:ind w:right="180" w:firstLine="440"/>
        <w:spacing w:after="0" w:line="242" w:lineRule="auto"/>
        <w:rPr>
          <w:sz w:val="20"/>
          <w:szCs w:val="20"/>
          <w:color w:val="auto"/>
        </w:rPr>
      </w:pPr>
      <w:r>
        <w:rPr>
          <w:rFonts w:ascii="Times New Roman" w:cs="Times New Roman" w:eastAsia="Times New Roman" w:hAnsi="Times New Roman"/>
          <w:sz w:val="18"/>
          <w:szCs w:val="18"/>
          <w:color w:val="auto"/>
        </w:rPr>
        <w:t>Our product assortment appeals to our customers for their everyday and on-the-job use. The majority of our products represent enduring styles that go beyond short-lived fashion trends. We believe many of our customers’ purchases are driven by our thoughtful design and high quality craftsmanship, and our best-selling styles tend to be items that carry over year to year with only minor updates.</w:t>
      </w:r>
    </w:p>
    <w:p>
      <w:pPr>
        <w:spacing w:after="0" w:line="130"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7"/>
          <w:szCs w:val="17"/>
          <w:color w:val="auto"/>
        </w:rPr>
        <w:t>We believe the authenticity of our products is driven by a number of factors, including our solution-based design process, use of technical materials, sophisticated manufacturing methods and innovative product features. Our products are sold at competitive prices and are designed to offer superior performance with added features such as underarm panels for more freedom of movement, triple-stitched seams for durability and mid-leg utility pockets for functionality. We also collaborate with our suppliers to develop advanced fabrics that we sell under our trademarks. For example, we incorporate our</w:t>
      </w:r>
    </w:p>
    <w:p>
      <w:pPr>
        <w:spacing w:after="0" w:line="1" w:lineRule="exact"/>
        <w:rPr>
          <w:sz w:val="20"/>
          <w:szCs w:val="20"/>
          <w:color w:val="auto"/>
        </w:rPr>
      </w:pPr>
    </w:p>
    <w:p>
      <w:pPr>
        <w:ind w:right="1500"/>
        <w:spacing w:after="0" w:line="360" w:lineRule="auto"/>
        <w:rPr>
          <w:sz w:val="20"/>
          <w:szCs w:val="20"/>
          <w:color w:val="auto"/>
        </w:rPr>
      </w:pPr>
      <w:r>
        <w:rPr>
          <w:rFonts w:ascii="Times New Roman" w:cs="Times New Roman" w:eastAsia="Times New Roman" w:hAnsi="Times New Roman"/>
          <w:sz w:val="18"/>
          <w:szCs w:val="18"/>
          <w:color w:val="auto"/>
        </w:rPr>
        <w:t>Duluthflex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Fire Hose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cotton canvas into products to provide strength and abrasion resistance with stretch for freedom of movement. </w:t>
      </w:r>
      <w:r>
        <w:rPr>
          <w:rFonts w:ascii="Times New Roman" w:cs="Times New Roman" w:eastAsia="Times New Roman" w:hAnsi="Times New Roman"/>
          <w:sz w:val="18"/>
          <w:szCs w:val="18"/>
          <w:b w:val="1"/>
          <w:bCs w:val="1"/>
          <w:color w:val="auto"/>
        </w:rPr>
        <w:t>Product Development</w:t>
      </w:r>
    </w:p>
    <w:p>
      <w:pPr>
        <w:spacing w:after="0" w:line="2" w:lineRule="exact"/>
        <w:rPr>
          <w:sz w:val="20"/>
          <w:szCs w:val="20"/>
          <w:color w:val="auto"/>
        </w:rPr>
      </w:pPr>
    </w:p>
    <w:p>
      <w:pPr>
        <w:ind w:right="40" w:firstLine="440"/>
        <w:spacing w:after="0" w:line="236" w:lineRule="auto"/>
        <w:rPr>
          <w:sz w:val="20"/>
          <w:szCs w:val="20"/>
          <w:color w:val="auto"/>
        </w:rPr>
      </w:pPr>
      <w:r>
        <w:rPr>
          <w:rFonts w:ascii="Times New Roman" w:cs="Times New Roman" w:eastAsia="Times New Roman" w:hAnsi="Times New Roman"/>
          <w:sz w:val="18"/>
          <w:szCs w:val="18"/>
          <w:color w:val="auto"/>
        </w:rPr>
        <w:t>We are focused on developing apparel and gear that builds upon the Duluth Trading brand’s product heritage of “there’s gotta be a better way,” resulting in distinctive products with enhanced features. Members of our product development team also regularly read online customer product reviews, attend tradeshows and collaborate with our vendors, which facilitates new product innovation. Our product development team incorporates all of this input to develop new product solutions and features, ensure consistent fit, style and color and design functional and durable fabrics.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62" w:lineRule="exact"/>
        <w:rPr>
          <w:sz w:val="20"/>
          <w:szCs w:val="20"/>
          <w:color w:val="auto"/>
        </w:rPr>
      </w:pPr>
    </w:p>
    <w:p>
      <w:pPr>
        <w:ind w:right="120" w:firstLine="440"/>
        <w:spacing w:after="0" w:line="233" w:lineRule="auto"/>
        <w:rPr>
          <w:sz w:val="20"/>
          <w:szCs w:val="20"/>
          <w:color w:val="auto"/>
        </w:rPr>
      </w:pPr>
      <w:r>
        <w:rPr>
          <w:rFonts w:ascii="Times New Roman" w:cs="Times New Roman" w:eastAsia="Times New Roman" w:hAnsi="Times New Roman"/>
          <w:sz w:val="18"/>
          <w:szCs w:val="18"/>
          <w:color w:val="auto"/>
        </w:rPr>
        <w:t>Our marketing strategy is designed to build brand awareness, acquire new customers, enhance customer loyalty and drive sales transactions. We are nationally known for our creative, irreverent and quirky advertising that features our Giant Angry Beaver, Buck Naked Guy and Grab-Happy Grizzly characters to showcase our brand philosophy, humor and innovation. We also feature testimonials in our marketing campaigns, which put our products in context, tying them to the individuals who represent our core customer, who leads a hands-on lifestyle, values a job well-done and is often outdoors for work and hobbies. We believe our customers identify with the inspiring stories of real men and women, recognize our products’ versatility and appreciate the extreme and demanding conditions our products can withstand.</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pursue our marketing strategy through multiple forms of media, which gives our products an identity and enhances our brand:</w:t>
      </w:r>
    </w:p>
    <w:p>
      <w:pPr>
        <w:spacing w:after="0" w:line="88" w:lineRule="exact"/>
        <w:rPr>
          <w:sz w:val="20"/>
          <w:szCs w:val="20"/>
          <w:color w:val="auto"/>
        </w:rPr>
      </w:pPr>
    </w:p>
    <w:p>
      <w:pPr>
        <w:ind w:left="880"/>
        <w:spacing w:after="0" w:line="251" w:lineRule="auto"/>
        <w:rPr>
          <w:sz w:val="20"/>
          <w:szCs w:val="20"/>
          <w:color w:val="auto"/>
        </w:rPr>
      </w:pPr>
      <w:r>
        <w:rPr>
          <w:rFonts w:ascii="Times New Roman" w:cs="Times New Roman" w:eastAsia="Times New Roman" w:hAnsi="Times New Roman"/>
          <w:sz w:val="18"/>
          <w:szCs w:val="18"/>
          <w:i w:val="1"/>
          <w:iCs w:val="1"/>
          <w:color w:val="auto"/>
        </w:rPr>
        <w:t>Digital and Email Marketing</w:t>
      </w:r>
      <w:r>
        <w:rPr>
          <w:rFonts w:ascii="Times New Roman" w:cs="Times New Roman" w:eastAsia="Times New Roman" w:hAnsi="Times New Roman"/>
          <w:sz w:val="18"/>
          <w:szCs w:val="18"/>
          <w:color w:val="auto"/>
        </w:rPr>
        <w:t>. We employ a variety of digital and online advertising strategies. These efforts include display advertising,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video advertising, search engine marketing and optimization and targeted email, which we send to customers to introduce new products and offer promotions on select merchandise.</w:t>
      </w:r>
    </w:p>
    <w:p>
      <w:pPr>
        <w:spacing w:after="0" w:line="66" w:lineRule="exact"/>
        <w:rPr>
          <w:sz w:val="20"/>
          <w:szCs w:val="20"/>
          <w:color w:val="auto"/>
        </w:rPr>
      </w:pPr>
    </w:p>
    <w:p>
      <w:pPr>
        <w:ind w:left="880" w:right="340"/>
        <w:spacing w:after="0" w:line="239" w:lineRule="auto"/>
        <w:rPr>
          <w:sz w:val="20"/>
          <w:szCs w:val="20"/>
          <w:color w:val="auto"/>
        </w:rPr>
      </w:pPr>
      <w:r>
        <w:rPr>
          <w:rFonts w:ascii="Times New Roman" w:cs="Times New Roman" w:eastAsia="Times New Roman" w:hAnsi="Times New Roman"/>
          <w:sz w:val="18"/>
          <w:szCs w:val="18"/>
          <w:i w:val="1"/>
          <w:iCs w:val="1"/>
          <w:color w:val="auto"/>
        </w:rPr>
        <w:t>Television</w:t>
      </w:r>
      <w:r>
        <w:rPr>
          <w:rFonts w:ascii="Times New Roman" w:cs="Times New Roman" w:eastAsia="Times New Roman" w:hAnsi="Times New Roman"/>
          <w:sz w:val="18"/>
          <w:szCs w:val="18"/>
          <w:color w:val="auto"/>
        </w:rPr>
        <w:t>. We advertise on cable and broadcast television networks to build brand awareness for both men’s and women’s products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reach a large, national audience. These advertisements feature both our animated characters and female models, and are intended to be</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humorous, irreverent and quirky in order to grab the viewer’s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attention, while highlighting the particularly innovative, solution-based features of our core products and the Duluth Trading name.</w:t>
      </w:r>
    </w:p>
    <w:p>
      <w:pPr>
        <w:spacing w:after="0" w:line="88" w:lineRule="exact"/>
        <w:rPr>
          <w:sz w:val="20"/>
          <w:szCs w:val="20"/>
          <w:color w:val="auto"/>
        </w:rPr>
      </w:pPr>
    </w:p>
    <w:p>
      <w:pPr>
        <w:ind w:left="880" w:right="20"/>
        <w:spacing w:after="0" w:line="284" w:lineRule="auto"/>
        <w:rPr>
          <w:sz w:val="20"/>
          <w:szCs w:val="20"/>
          <w:color w:val="auto"/>
        </w:rPr>
      </w:pPr>
      <w:r>
        <w:rPr>
          <w:rFonts w:ascii="Times New Roman" w:cs="Times New Roman" w:eastAsia="Times New Roman" w:hAnsi="Times New Roman"/>
          <w:sz w:val="18"/>
          <w:szCs w:val="18"/>
          <w:i w:val="1"/>
          <w:iCs w:val="1"/>
          <w:color w:val="auto"/>
        </w:rPr>
        <w:t>Social Media</w:t>
      </w:r>
      <w:r>
        <w:rPr>
          <w:rFonts w:ascii="Times New Roman" w:cs="Times New Roman" w:eastAsia="Times New Roman" w:hAnsi="Times New Roman"/>
          <w:sz w:val="18"/>
          <w:szCs w:val="18"/>
          <w:color w:val="auto"/>
        </w:rPr>
        <w:t>. We have an engaged social media community, which allows us to personally connect with our customers online, and we believe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raises brand awareness. We maintain a social media presence on Facebook, Instagram, Pinterest, YouTube and Twitter.</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Catalogs</w:t>
      </w:r>
      <w:r>
        <w:rPr>
          <w:rFonts w:ascii="Times New Roman" w:cs="Times New Roman" w:eastAsia="Times New Roman" w:hAnsi="Times New Roman"/>
          <w:sz w:val="18"/>
          <w:szCs w:val="18"/>
          <w:color w:val="auto"/>
        </w:rPr>
        <w:t>. Our catalogs are an important part of our heritage and represent a tangible vehicle for our authentic and humorous storytelling.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w:t>
      </w:r>
    </w:p>
    <w:p>
      <w:pPr>
        <w:spacing w:after="0" w:line="175" w:lineRule="exact"/>
        <w:rPr>
          <w:sz w:val="20"/>
          <w:szCs w:val="20"/>
          <w:color w:val="auto"/>
        </w:rPr>
      </w:pPr>
    </w:p>
    <w:p>
      <w:pPr>
        <w:ind w:firstLine="440"/>
        <w:spacing w:after="0" w:line="232" w:lineRule="auto"/>
        <w:rPr>
          <w:sz w:val="20"/>
          <w:szCs w:val="20"/>
          <w:color w:val="auto"/>
        </w:rPr>
      </w:pPr>
      <w:r>
        <w:rPr>
          <w:rFonts w:ascii="Times New Roman" w:cs="Times New Roman" w:eastAsia="Times New Roman" w:hAnsi="Times New Roman"/>
          <w:sz w:val="18"/>
          <w:szCs w:val="18"/>
          <w:color w:val="auto"/>
        </w:rPr>
        <w:t>We are committed to providing outstanding customer service and believe in treating our customers like next-door neighbors. Our retail stores are stocked with a comprehensive assortment of our products and staffed with knowledgeable and well trained sales associates. We stand behind all purchases with our “No Bull Guarantee.” Our call center is open for calls from 5 A.M. to 1 A.M. Central Time, seven days a week and is staffed with friendly, knowledgeable representatives dedicated to making every customer experience positive. As a convenience to our customers, we offer live chat through our website, which is available from 7 A.M. to 8 P.M. Central Time on weekdays and 8 A.M. to 5 P.M. Central Time on weekends.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75" w:lineRule="exact"/>
        <w:rPr>
          <w:sz w:val="20"/>
          <w:szCs w:val="20"/>
          <w:color w:val="auto"/>
        </w:rPr>
      </w:pPr>
    </w:p>
    <w:p>
      <w:pPr>
        <w:ind w:right="20" w:firstLine="440"/>
        <w:spacing w:after="0" w:line="230" w:lineRule="auto"/>
        <w:rPr>
          <w:sz w:val="20"/>
          <w:szCs w:val="20"/>
          <w:color w:val="auto"/>
        </w:rPr>
      </w:pPr>
      <w:r>
        <w:rPr>
          <w:rFonts w:ascii="Times New Roman" w:cs="Times New Roman" w:eastAsia="Times New Roman" w:hAnsi="Times New Roman"/>
          <w:sz w:val="18"/>
          <w:szCs w:val="18"/>
          <w:color w:val="auto"/>
        </w:rPr>
        <w:t>We do not own or operate any manufacturing facilities. Instead, we arrange with third-party vendors for the manufacturing of our merchandise. We have built strong, long-term relationships with our vendors. In fiscal 2022, 56% of our purchases came from our largest supplier, an agent partner in Hong Kong who manages multiple factories across Asia and Latin America, including Vietnam, Indonesia, Cambodia, Bangladesh, Pakistan, China, Mexico and Egypt. We believe sourcing inventory through these agents allows us to leverage the agents’ purchasing power with multiple factories, as well as transportation and logistics capabilities, allowing our internal team to focus on our core competencies of product development, storytelling and serving customers, rather than factory and mill management or logistics.</w:t>
      </w:r>
    </w:p>
    <w:p>
      <w:pPr>
        <w:spacing w:after="0" w:line="146"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7"/>
          <w:szCs w:val="17"/>
          <w:color w:val="auto"/>
        </w:rPr>
        <w:t>Our sourcing strategy focuses on identifying and employing vendors that provide quality materials and fine craftsmanship that our customers expect of our brand. To ensure that our high standards of quality and timely delivery of merchandise are met, we work closely with our third-party agent partners. All of our products are produced according to our specifications, and we require all of our manufacturers to adhere to strict regulatory compliance and standards of conduct. We seek to ensure the consistent quality by employing Duluth Trading-certified factory auditors to selectively examine pre-production samples, conduct periodic site visits to certain of our vendors’ production facilities and inspect inbound shipments at our fulfillment centers.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Fulfillment Centers</w:t>
      </w:r>
    </w:p>
    <w:p>
      <w:pPr>
        <w:spacing w:after="0" w:line="175" w:lineRule="exact"/>
        <w:rPr>
          <w:sz w:val="20"/>
          <w:szCs w:val="20"/>
          <w:color w:val="auto"/>
        </w:rPr>
      </w:pPr>
    </w:p>
    <w:p>
      <w:pPr>
        <w:ind w:right="220" w:firstLine="440"/>
        <w:spacing w:after="0" w:line="242" w:lineRule="auto"/>
        <w:rPr>
          <w:sz w:val="20"/>
          <w:szCs w:val="20"/>
          <w:color w:val="auto"/>
        </w:rPr>
      </w:pPr>
      <w:r>
        <w:rPr>
          <w:rFonts w:ascii="Times New Roman" w:cs="Times New Roman" w:eastAsia="Times New Roman" w:hAnsi="Times New Roman"/>
          <w:sz w:val="18"/>
          <w:szCs w:val="18"/>
          <w:color w:val="auto"/>
        </w:rPr>
        <w:t>We operate fulfillment centers located in Belleville, Wisconsin, Dubuque, Iowa and Salt Lake City, Utah. We also have a fulfillment center in Adairsville, Georgia with operations scheduled to begin in fiscal 2023. The approximate square footage of each facility is included in Item 2 of Part I of this report.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62" w:lineRule="exact"/>
        <w:rPr>
          <w:sz w:val="20"/>
          <w:szCs w:val="20"/>
          <w:color w:val="auto"/>
        </w:rPr>
      </w:pPr>
    </w:p>
    <w:p>
      <w:pPr>
        <w:jc w:val="both"/>
        <w:ind w:right="20" w:firstLine="440"/>
        <w:spacing w:after="0" w:line="242" w:lineRule="auto"/>
        <w:rPr>
          <w:sz w:val="20"/>
          <w:szCs w:val="20"/>
          <w:color w:val="auto"/>
        </w:rPr>
      </w:pPr>
      <w:r>
        <w:rPr>
          <w:rFonts w:ascii="Times New Roman" w:cs="Times New Roman" w:eastAsia="Times New Roman" w:hAnsi="Times New Roman"/>
          <w:sz w:val="18"/>
          <w:szCs w:val="18"/>
          <w:color w:val="auto"/>
        </w:rPr>
        <w:t>We use technology to provide customer service, business process support and business intelligence across our sales channels. We continually aim to have more efficient supply chain and distribution systems operations. Our distributed order management systems provide us with omnichannel capabilities that have a global view of available-to-promise inventory management.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140" w:firstLine="440"/>
        <w:spacing w:after="0" w:line="231" w:lineRule="auto"/>
        <w:rPr>
          <w:sz w:val="20"/>
          <w:szCs w:val="20"/>
          <w:color w:val="auto"/>
        </w:rPr>
      </w:pPr>
      <w:r>
        <w:rPr>
          <w:rFonts w:ascii="Times New Roman" w:cs="Times New Roman" w:eastAsia="Times New Roman" w:hAnsi="Times New Roman"/>
          <w:sz w:val="18"/>
          <w:szCs w:val="18"/>
          <w:color w:val="auto"/>
        </w:rPr>
        <w:t>We operate primarily in the apparel, footwear and accessories industry, which is highly competitive. We compete with a diverse group of direct-to-consumer companies and retailers, including men’s and women’s specialty apparel chains, department stores, outdoor specialty stores, apparel catalog businesses and online apparel businesses. We compete principally on the basis of brand recognition, innovation, product quality, customer service and price. To stay ahead of our competition, we continue to develop innovative solution-based products for which we create unique selling propositions that incorporate humor and storytelling.</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jc w:val="both"/>
        <w:ind w:right="140" w:firstLine="440"/>
        <w:spacing w:after="0" w:line="259" w:lineRule="auto"/>
        <w:rPr>
          <w:sz w:val="20"/>
          <w:szCs w:val="20"/>
          <w:color w:val="auto"/>
        </w:rPr>
      </w:pPr>
      <w:r>
        <w:rPr>
          <w:rFonts w:ascii="Times New Roman" w:cs="Times New Roman" w:eastAsia="Times New Roman" w:hAnsi="Times New Roman"/>
          <w:sz w:val="17"/>
          <w:szCs w:val="17"/>
          <w:color w:val="auto"/>
        </w:rPr>
        <w:t>Our trademarks are important to our marketing efforts. We own or have the rights to use certain trademarks, service marks and trade names that are registered with the U.S. Patent and Trademark Office, trademark offices in other jurisdictions, or exist under common law in the United States and other jurisdictions. The “Duluth Trading Co” trade name and trademark is used both in the United States and internationally and is material to our business.</w:t>
      </w:r>
    </w:p>
    <w:p>
      <w:pPr>
        <w:ind w:right="240"/>
        <w:spacing w:after="0" w:line="221" w:lineRule="auto"/>
        <w:rPr>
          <w:sz w:val="20"/>
          <w:szCs w:val="20"/>
          <w:color w:val="auto"/>
        </w:rPr>
      </w:pPr>
      <w:r>
        <w:rPr>
          <w:rFonts w:ascii="Times New Roman" w:cs="Times New Roman" w:eastAsia="Times New Roman" w:hAnsi="Times New Roman"/>
          <w:sz w:val="18"/>
          <w:szCs w:val="18"/>
          <w:color w:val="auto"/>
        </w:rPr>
        <w:t>Trademarks that are important in identifying and distinguishing our products and services are Alaskan Hardgear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Armachillo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Ballroom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Cab Commander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Crouch Gusset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Dry on the Fly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Duluth Trading Co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Duluthflex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Fire Hose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Longtail 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No Polo Shirt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No Yank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Wild Boar Mocs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Our rights to some of these trademarks may be limited to select markets. We also own domain names, including “duluthtrading.com.”</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As of January 29, 2023, we employed 964 full-time and 1,582 part-time and flexible part-time employees, 1,539 of which were employed at our retail stores. The number of employees, particularly part-time employees, fluctuates depending upon seasonal needs. Our employees are not represented by a labor union and are not party to a collective bargaining agreement. We consider our relations with our employees to be good.</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62"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Our business experiences seasonal fluctuations. Our net sales and net income are generally highest in the fourth fiscal quarter, which includes the holiday sales period. The following table presents net sales and net income for the fourth quarter as a percentage of the fiscal year.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4Q</w:t>
            </w:r>
          </w:p>
        </w:tc>
        <w:tc>
          <w:tcPr>
            <w:tcW w:w="20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4Q Net Sales</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4Q</w:t>
            </w:r>
          </w:p>
        </w:tc>
        <w:tc>
          <w:tcPr>
            <w:tcW w:w="2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4Q Net Income</w:t>
            </w:r>
          </w:p>
        </w:tc>
      </w:tr>
      <w:tr>
        <w:trPr>
          <w:trHeight w:val="199"/>
        </w:trPr>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0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 of Fiscal year</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2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 of Fiscal Year</w:t>
            </w:r>
          </w:p>
        </w:tc>
      </w:tr>
      <w:tr>
        <w:trPr>
          <w:trHeight w:val="183"/>
        </w:trPr>
        <w:tc>
          <w:tcPr>
            <w:tcW w:w="1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4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200" w:type="dxa"/>
            <w:vAlign w:val="bottom"/>
            <w:tcBorders>
              <w:top w:val="single" w:sz="8" w:color="auto"/>
            </w:tcBorders>
          </w:tcPr>
          <w:p>
            <w:pPr>
              <w:spacing w:after="0"/>
              <w:rPr>
                <w:sz w:val="15"/>
                <w:szCs w:val="15"/>
                <w:color w:val="auto"/>
              </w:rPr>
            </w:pPr>
          </w:p>
        </w:tc>
      </w:tr>
      <w:tr>
        <w:trPr>
          <w:trHeight w:val="203"/>
        </w:trPr>
        <w:tc>
          <w:tcPr>
            <w:tcW w:w="19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2022</w:t>
            </w:r>
          </w:p>
        </w:tc>
        <w:tc>
          <w:tcPr>
            <w:tcW w:w="740" w:type="dxa"/>
            <w:vAlign w:val="bottom"/>
            <w:gridSpan w:val="2"/>
            <w:shd w:val="clear" w:color="auto" w:fill="CCEEFF"/>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241,766</w:t>
            </w:r>
          </w:p>
        </w:tc>
        <w:tc>
          <w:tcPr>
            <w:tcW w:w="400" w:type="dxa"/>
            <w:vAlign w:val="bottom"/>
            <w:shd w:val="clear" w:color="auto" w:fill="CCEEFF"/>
          </w:tcPr>
          <w:p>
            <w:pPr>
              <w:spacing w:after="0"/>
              <w:rPr>
                <w:sz w:val="17"/>
                <w:szCs w:val="17"/>
                <w:color w:val="auto"/>
              </w:rPr>
            </w:pPr>
          </w:p>
        </w:tc>
        <w:tc>
          <w:tcPr>
            <w:tcW w:w="2040" w:type="dxa"/>
            <w:vAlign w:val="bottom"/>
            <w:shd w:val="clear" w:color="auto" w:fill="CCEEFF"/>
          </w:tcPr>
          <w:p>
            <w:pPr>
              <w:jc w:val="right"/>
              <w:ind w:right="199"/>
              <w:spacing w:after="0" w:line="202" w:lineRule="exact"/>
              <w:rPr>
                <w:sz w:val="20"/>
                <w:szCs w:val="20"/>
                <w:color w:val="auto"/>
              </w:rPr>
            </w:pPr>
            <w:r>
              <w:rPr>
                <w:rFonts w:ascii="Times New Roman" w:cs="Times New Roman" w:eastAsia="Times New Roman" w:hAnsi="Times New Roman"/>
                <w:sz w:val="18"/>
                <w:szCs w:val="18"/>
                <w:color w:val="auto"/>
              </w:rPr>
              <w:t>37.0 %</w:t>
            </w:r>
          </w:p>
        </w:tc>
        <w:tc>
          <w:tcPr>
            <w:tcW w:w="70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7,447</w:t>
            </w:r>
          </w:p>
        </w:tc>
        <w:tc>
          <w:tcPr>
            <w:tcW w:w="400" w:type="dxa"/>
            <w:vAlign w:val="bottom"/>
            <w:shd w:val="clear" w:color="auto" w:fill="CCEEFF"/>
          </w:tcPr>
          <w:p>
            <w:pPr>
              <w:spacing w:after="0"/>
              <w:rPr>
                <w:sz w:val="17"/>
                <w:szCs w:val="17"/>
                <w:color w:val="auto"/>
              </w:rPr>
            </w:pPr>
          </w:p>
        </w:tc>
        <w:tc>
          <w:tcPr>
            <w:tcW w:w="2200" w:type="dxa"/>
            <w:vAlign w:val="bottom"/>
            <w:shd w:val="clear" w:color="auto" w:fill="CCEEFF"/>
          </w:tcPr>
          <w:p>
            <w:pPr>
              <w:jc w:val="right"/>
              <w:ind w:right="199"/>
              <w:spacing w:after="0" w:line="202" w:lineRule="exact"/>
              <w:rPr>
                <w:sz w:val="20"/>
                <w:szCs w:val="20"/>
                <w:color w:val="auto"/>
              </w:rPr>
            </w:pPr>
            <w:r>
              <w:rPr>
                <w:rFonts w:ascii="Times New Roman" w:cs="Times New Roman" w:eastAsia="Times New Roman" w:hAnsi="Times New Roman"/>
                <w:sz w:val="18"/>
                <w:szCs w:val="18"/>
                <w:color w:val="auto"/>
              </w:rPr>
              <w:t>323.2 %</w:t>
            </w:r>
          </w:p>
        </w:tc>
      </w:tr>
      <w:tr>
        <w:trPr>
          <w:trHeight w:val="234"/>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270,761</w:t>
            </w:r>
          </w:p>
        </w:tc>
        <w:tc>
          <w:tcPr>
            <w:tcW w:w="400" w:type="dxa"/>
            <w:vAlign w:val="bottom"/>
          </w:tcPr>
          <w:p>
            <w:pPr>
              <w:spacing w:after="0"/>
              <w:rPr>
                <w:sz w:val="20"/>
                <w:szCs w:val="20"/>
                <w:color w:val="auto"/>
              </w:rPr>
            </w:pPr>
          </w:p>
        </w:tc>
        <w:tc>
          <w:tcPr>
            <w:tcW w:w="204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38.8 %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400" w:type="dxa"/>
            <w:vAlign w:val="bottom"/>
          </w:tcPr>
          <w:p>
            <w:pPr>
              <w:spacing w:after="0"/>
              <w:rPr>
                <w:sz w:val="20"/>
                <w:szCs w:val="20"/>
                <w:color w:val="auto"/>
              </w:rPr>
            </w:pPr>
          </w:p>
        </w:tc>
        <w:tc>
          <w:tcPr>
            <w:tcW w:w="220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58.4 %</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175" w:lineRule="exact"/>
        <w:rPr>
          <w:sz w:val="20"/>
          <w:szCs w:val="20"/>
          <w:color w:val="auto"/>
        </w:rPr>
      </w:pPr>
    </w:p>
    <w:p>
      <w:pPr>
        <w:jc w:val="both"/>
        <w:ind w:right="160" w:firstLine="440"/>
        <w:spacing w:after="0" w:line="242" w:lineRule="auto"/>
        <w:rPr>
          <w:sz w:val="20"/>
          <w:szCs w:val="20"/>
          <w:color w:val="auto"/>
        </w:rPr>
      </w:pPr>
      <w:r>
        <w:rPr>
          <w:rFonts w:ascii="Times New Roman" w:cs="Times New Roman" w:eastAsia="Times New Roman" w:hAnsi="Times New Roman"/>
          <w:sz w:val="18"/>
          <w:szCs w:val="18"/>
          <w:color w:val="auto"/>
        </w:rPr>
        <w:t>We are subject to labor and employment laws, truth-in-advertising laws, privacy laws, safety regulations, consumer protection regulations and other laws that regulate retailers and govern the promotion and sale of merchandise and the operation of stores and warehouse facilities. We monitor changes in these laws and believe that we are in material compliance with applicable laws.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ind w:right="260" w:firstLine="440"/>
        <w:spacing w:after="0" w:line="264" w:lineRule="auto"/>
        <w:rPr>
          <w:sz w:val="20"/>
          <w:szCs w:val="20"/>
          <w:color w:val="auto"/>
        </w:rPr>
      </w:pPr>
      <w:r>
        <w:rPr>
          <w:rFonts w:ascii="Times New Roman" w:cs="Times New Roman" w:eastAsia="Times New Roman" w:hAnsi="Times New Roman"/>
          <w:sz w:val="17"/>
          <w:szCs w:val="17"/>
          <w:color w:val="auto"/>
        </w:rPr>
        <w:t>Our Annual Reports on Form 10-K, Quarterly Reports on Form 10-Q, Current Reports on Form 8-K and amendments to reports filed pursuant to Sections 13(a) and 15(d) of the Securities Exchange Act of 1934, as amended (the “Exchange Act”), are made available free of charge on or through our website at www.duluthtrading.com under the “Investors” tab as soon as reasonably practicable after such reports are filed with, or furnished to the SEC.</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7"/>
          <w:szCs w:val="17"/>
          <w:color w:val="auto"/>
        </w:rPr>
        <w:t>RISK FACTORS</w:t>
      </w:r>
    </w:p>
    <w:p>
      <w:pPr>
        <w:spacing w:after="0" w:line="200" w:lineRule="exact"/>
        <w:rPr>
          <w:sz w:val="20"/>
          <w:szCs w:val="20"/>
          <w:color w:val="auto"/>
        </w:rPr>
      </w:pPr>
    </w:p>
    <w:p>
      <w:pPr>
        <w:spacing w:after="0" w:line="226" w:lineRule="exact"/>
        <w:rPr>
          <w:sz w:val="20"/>
          <w:szCs w:val="20"/>
          <w:color w:val="auto"/>
        </w:rPr>
      </w:pPr>
    </w:p>
    <w:p>
      <w:pPr>
        <w:ind w:right="40" w:firstLine="440"/>
        <w:spacing w:after="0" w:line="233"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Annual Report on Form 10-K, including our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Class B common stock could decline, and you could lose part or all of your investment.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Risks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products that customers want to purchase, our business and results of operations could be adversely affected.</w:t>
      </w:r>
    </w:p>
    <w:p>
      <w:pPr>
        <w:spacing w:after="0" w:line="175" w:lineRule="exact"/>
        <w:rPr>
          <w:sz w:val="20"/>
          <w:szCs w:val="20"/>
          <w:color w:val="auto"/>
        </w:rPr>
      </w:pPr>
    </w:p>
    <w:p>
      <w:pPr>
        <w:jc w:val="both"/>
        <w:ind w:right="160" w:firstLine="440"/>
        <w:spacing w:after="0" w:line="242" w:lineRule="auto"/>
        <w:rPr>
          <w:sz w:val="20"/>
          <w:szCs w:val="20"/>
          <w:color w:val="auto"/>
        </w:rPr>
      </w:pPr>
      <w:r>
        <w:rPr>
          <w:rFonts w:ascii="Times New Roman" w:cs="Times New Roman" w:eastAsia="Times New Roman" w:hAnsi="Times New Roman"/>
          <w:sz w:val="18"/>
          <w:szCs w:val="18"/>
          <w:color w:val="auto"/>
        </w:rPr>
        <w:t>Our products must satisfy the desires of customers, whose preferences change over time. In order to be successful, we must design, obtain and offer to customers innovative and high-quality products on a continuous and timely basis. Failure to effectively respond to customer needs and preferences, or convey a compelling brand image or price-to-value equation to customers may result in lower net sales and gross profit margins.</w:t>
      </w:r>
    </w:p>
    <w:p>
      <w:pPr>
        <w:spacing w:after="0" w:line="143"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Our success depends in part on management’s ability to effectively anticipate or identify customer needs and preferences and respond quickly with marketable product offerings in advance of the actual time of sale to the customer. Even if we are successful in anticipating or identifying our customers’ needs and preferences, we must continue to develop and introduce innovative, high-quality products and product features in response to changing consumer demand.</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Factors that could affect our ability to accurately forecast consumer demand for our products include:</w:t>
      </w:r>
    </w:p>
    <w:p>
      <w:pPr>
        <w:spacing w:after="0" w:line="104" w:lineRule="exact"/>
        <w:rPr>
          <w:sz w:val="20"/>
          <w:szCs w:val="20"/>
          <w:color w:val="auto"/>
        </w:rPr>
      </w:pPr>
    </w:p>
    <w:p>
      <w:pPr>
        <w:ind w:left="880" w:right="360"/>
        <w:spacing w:after="0" w:line="266" w:lineRule="auto"/>
        <w:rPr>
          <w:sz w:val="20"/>
          <w:szCs w:val="20"/>
          <w:color w:val="auto"/>
        </w:rPr>
      </w:pPr>
      <w:r>
        <w:rPr>
          <w:rFonts w:ascii="Times New Roman" w:cs="Times New Roman" w:eastAsia="Times New Roman" w:hAnsi="Times New Roman"/>
          <w:sz w:val="18"/>
          <w:szCs w:val="18"/>
          <w:color w:val="auto"/>
        </w:rPr>
        <w:t>a failure in our solution-based design process to accurately identify the problems our customers are experiencing with commonly available apparel and gear or a lack of customer acceptance of new products or product features we design;</w:t>
      </w:r>
    </w:p>
    <w:p>
      <w:pPr>
        <w:spacing w:after="0" w:line="54" w:lineRule="exact"/>
        <w:rPr>
          <w:sz w:val="20"/>
          <w:szCs w:val="20"/>
          <w:color w:val="auto"/>
        </w:rPr>
      </w:pPr>
    </w:p>
    <w:p>
      <w:pPr>
        <w:ind w:left="880" w:right="500"/>
        <w:spacing w:after="0" w:line="266" w:lineRule="auto"/>
        <w:rPr>
          <w:sz w:val="20"/>
          <w:szCs w:val="20"/>
          <w:color w:val="auto"/>
        </w:rPr>
      </w:pPr>
      <w:r>
        <w:rPr>
          <w:rFonts w:ascii="Times New Roman" w:cs="Times New Roman" w:eastAsia="Times New Roman" w:hAnsi="Times New Roman"/>
          <w:sz w:val="18"/>
          <w:szCs w:val="18"/>
          <w:color w:val="auto"/>
        </w:rPr>
        <w:t>customer unwillingness to attribute premium value to our new products or product features we design relative to the commonly available apparel and gear they were intended to replace;</w:t>
      </w:r>
    </w:p>
    <w:p>
      <w:pPr>
        <w:spacing w:after="0" w:line="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well-received product introductions by competitors;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weak economic conditions or consumer confidence, which reduce demand for our products; and</w:t>
      </w:r>
    </w:p>
    <w:p>
      <w:pPr>
        <w:spacing w:after="0" w:line="103" w:lineRule="exact"/>
        <w:rPr>
          <w:sz w:val="20"/>
          <w:szCs w:val="20"/>
          <w:color w:val="auto"/>
        </w:rPr>
      </w:pPr>
    </w:p>
    <w:p>
      <w:pPr>
        <w:ind w:left="880" w:right="800"/>
        <w:spacing w:after="0" w:line="282" w:lineRule="auto"/>
        <w:rPr>
          <w:sz w:val="20"/>
          <w:szCs w:val="20"/>
          <w:color w:val="auto"/>
        </w:rPr>
      </w:pPr>
      <w:r>
        <w:rPr>
          <w:rFonts w:ascii="Times New Roman" w:cs="Times New Roman" w:eastAsia="Times New Roman" w:hAnsi="Times New Roman"/>
          <w:sz w:val="18"/>
          <w:szCs w:val="18"/>
          <w:color w:val="auto"/>
        </w:rPr>
        <w:t>terrorism, civil unrest or acts of war, or the threat thereof, which adversely affect consumer confidence and spending and/or interrupt production and distribution of products and raw materials.</w:t>
      </w:r>
    </w:p>
    <w:p>
      <w:pPr>
        <w:spacing w:after="0" w:line="94"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anticipate or identify our customers’ needs and preferences and design products and product features in response. These risks could have a material adverse effect on our brand as well as our results of operations and financial condition.</w:t>
      </w:r>
    </w:p>
    <w:p>
      <w:pPr>
        <w:spacing w:after="0" w:line="104" w:lineRule="exact"/>
        <w:rPr>
          <w:sz w:val="20"/>
          <w:szCs w:val="20"/>
          <w:color w:val="auto"/>
        </w:rPr>
      </w:pPr>
    </w:p>
    <w:p>
      <w:pPr>
        <w:ind w:firstLine="25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strong brands and sub brands. We may not be able to maintain and enhance the Duluth Trading brands if we receive unfavorable complaints, negative publicity or otherwise fail to live up to consumers’ expectations, which could materially adversely affect our business, results of operations and growth prospects.</w:t>
      </w:r>
    </w:p>
    <w:p>
      <w:pPr>
        <w:spacing w:after="0" w:line="140" w:lineRule="exact"/>
        <w:rPr>
          <w:sz w:val="20"/>
          <w:szCs w:val="20"/>
          <w:color w:val="auto"/>
        </w:rPr>
      </w:pPr>
    </w:p>
    <w:p>
      <w:pPr>
        <w:ind w:right="40" w:firstLine="440"/>
        <w:spacing w:after="0" w:line="233" w:lineRule="auto"/>
        <w:rPr>
          <w:sz w:val="20"/>
          <w:szCs w:val="20"/>
          <w:color w:val="auto"/>
        </w:rPr>
      </w:pPr>
      <w:r>
        <w:rPr>
          <w:rFonts w:ascii="Times New Roman" w:cs="Times New Roman" w:eastAsia="Times New Roman" w:hAnsi="Times New Roman"/>
          <w:sz w:val="18"/>
          <w:szCs w:val="18"/>
          <w:color w:val="auto"/>
        </w:rPr>
        <w:t>We currently offer a differentiated brand to our customers defined by solution-based products manufactured with high quality craftsmanship, humorous and distinctive marketing, and an outstanding customer experience. Maintaining and enhancing the Duluth Trading brand is critical to expanding our base of customers. If we fail to maintain our brand, or if we incur excessive expenses in this effort, our business, operating results and financial condition may be materially adversely affected. We anticipate that, as we raise our profile nationally and attract an increasing amount of competition, maintaining and enhancing our brand may become increasingly difficult and expensive and may require us to make substantial additional investments in areas such as marketing, store operations, merchandising, technology and personnel.</w:t>
      </w:r>
    </w:p>
    <w:p>
      <w:pPr>
        <w:spacing w:after="0" w:line="144" w:lineRule="exact"/>
        <w:rPr>
          <w:sz w:val="20"/>
          <w:szCs w:val="20"/>
          <w:color w:val="auto"/>
        </w:rPr>
      </w:pPr>
    </w:p>
    <w:p>
      <w:pPr>
        <w:ind w:right="20" w:firstLine="440"/>
        <w:spacing w:after="0" w:line="231" w:lineRule="auto"/>
        <w:rPr>
          <w:sz w:val="20"/>
          <w:szCs w:val="20"/>
          <w:color w:val="auto"/>
        </w:rPr>
      </w:pPr>
      <w:r>
        <w:rPr>
          <w:rFonts w:ascii="Times New Roman" w:cs="Times New Roman" w:eastAsia="Times New Roman" w:hAnsi="Times New Roman"/>
          <w:sz w:val="18"/>
          <w:szCs w:val="18"/>
          <w:color w:val="auto"/>
        </w:rPr>
        <w:t>Customer complaints or negative reactions to, or unfavorable publicity about, our product quality or product features, our storytelling or irreverent advertising, the shopping experience on our website or in our retail stores, product delivery times, customer data privacy and security practices or customer support, especially on blogs, social media, other third-party websites and our website, could rapidly and severely diminish consumer use of our website and catalogs, visits to our retail stores and consumer confidence in us and result in harm to our brand. Furthermore, these factors could cause our customers to no longer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feel a personal connection with the Duluth Trading brand, which could result in the loss of customers and materially adversely affect our business, results of operations and growth prospects.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and new challenges associated with our geographic expansion.</w:t>
      </w:r>
    </w:p>
    <w:p>
      <w:pPr>
        <w:spacing w:after="0" w:line="175" w:lineRule="exact"/>
        <w:rPr>
          <w:sz w:val="20"/>
          <w:szCs w:val="20"/>
          <w:color w:val="auto"/>
        </w:rPr>
      </w:pPr>
    </w:p>
    <w:p>
      <w:pPr>
        <w:ind w:firstLine="440"/>
        <w:spacing w:after="0" w:line="230" w:lineRule="auto"/>
        <w:rPr>
          <w:sz w:val="20"/>
          <w:szCs w:val="20"/>
          <w:color w:val="auto"/>
        </w:rPr>
      </w:pPr>
      <w:r>
        <w:rPr>
          <w:rFonts w:ascii="Times New Roman" w:cs="Times New Roman" w:eastAsia="Times New Roman" w:hAnsi="Times New Roman"/>
          <w:sz w:val="18"/>
          <w:szCs w:val="18"/>
          <w:color w:val="auto"/>
        </w:rPr>
        <w:t>Our expansion into new geographic markets could result in increased competitive, merchandising, distribution and other challenges. We may encounter difficulties in attracting customers in our new retail store locations due to a lack of customer familiarity with our brand, our lack of familiarity with local customer preferences, competition with new competitors or with existing competitors with a large, established market presence and seasonal differences in the market. Our ability to expand successfully into other geographic markets will depend on acceptance of our retail store experience by customers in those markets, including our ability to design our stores in a manner that resonates locally and to offer the correct product assortment to appeal to consumers in such markets. There can be no assurance that any newly opened stores will be received as well as, or achieve net sales or profitability levels consistent with, our projected targets or be comparable to those of our existing stores in the time periods estimated by us, or at all. If our stores fail to achieve, or are unable to sustain, acceptable net sales and profitability levels, our business, results of operations and growth prospects may be materially adversely affected.</w:t>
      </w:r>
    </w:p>
    <w:p>
      <w:pPr>
        <w:spacing w:after="0" w:line="145" w:lineRule="exact"/>
        <w:rPr>
          <w:sz w:val="20"/>
          <w:szCs w:val="20"/>
          <w:color w:val="auto"/>
        </w:rPr>
      </w:pPr>
    </w:p>
    <w:p>
      <w:pPr>
        <w:jc w:val="both"/>
        <w:ind w:right="200" w:firstLine="440"/>
        <w:spacing w:after="0" w:line="242" w:lineRule="auto"/>
        <w:rPr>
          <w:sz w:val="20"/>
          <w:szCs w:val="20"/>
          <w:color w:val="auto"/>
        </w:rPr>
      </w:pPr>
      <w:r>
        <w:rPr>
          <w:rFonts w:ascii="Times New Roman" w:cs="Times New Roman" w:eastAsia="Times New Roman" w:hAnsi="Times New Roman"/>
          <w:sz w:val="18"/>
          <w:szCs w:val="18"/>
          <w:color w:val="auto"/>
        </w:rPr>
        <w:t>Furthermore, our retail stores may be located in regions that will be far from our Mount Horeb, Wisconsin headquarters and will require additional management time and attention. Failure to properly supervise the operation and maintain the consistency of the customer experience in those retail stores could result in loss of customers and potentially harm future net sales prospects.</w:t>
      </w:r>
    </w:p>
    <w:p>
      <w:pPr>
        <w:spacing w:after="0" w:line="126" w:lineRule="exact"/>
        <w:rPr>
          <w:sz w:val="20"/>
          <w:szCs w:val="20"/>
          <w:color w:val="auto"/>
        </w:rPr>
      </w:pPr>
    </w:p>
    <w:p>
      <w:pPr>
        <w:ind w:right="240" w:firstLine="259"/>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direct-to-consumer channel depends on customers’ use of our digital platform, including our website, and response to digital marketing; if our overall marketing strategies are not successful, including our maintenance of a robust customer list and ability to effectively customize our marketing efforts based on understanding customers preferences, our business and results of operations could be materially adversely affected.</w:t>
      </w:r>
    </w:p>
    <w:p>
      <w:pPr>
        <w:spacing w:after="0" w:line="131" w:lineRule="exact"/>
        <w:rPr>
          <w:sz w:val="20"/>
          <w:szCs w:val="20"/>
          <w:color w:val="auto"/>
        </w:rPr>
      </w:pPr>
    </w:p>
    <w:p>
      <w:pPr>
        <w:jc w:val="both"/>
        <w:ind w:right="100" w:firstLine="440"/>
        <w:spacing w:after="0" w:line="236" w:lineRule="auto"/>
        <w:rPr>
          <w:sz w:val="20"/>
          <w:szCs w:val="20"/>
          <w:color w:val="auto"/>
        </w:rPr>
      </w:pPr>
      <w:r>
        <w:rPr>
          <w:rFonts w:ascii="Times New Roman" w:cs="Times New Roman" w:eastAsia="Times New Roman" w:hAnsi="Times New Roman"/>
          <w:sz w:val="18"/>
          <w:szCs w:val="18"/>
          <w:color w:val="auto"/>
        </w:rPr>
        <w:t>The level of customer traffic and volume of customer purchases through our direct-to-consumer channel is substantially dependent on our ability to provide a content-rich and user-friendly website, a fun, easy and hassle-free customer experience and reliable delivery of our products. If we are unable to maintain and increase customers’ use of our e-commerce platform, including our website, and the volume of purchases decline, our business and results of operations could be adversely affected.</w:t>
      </w:r>
    </w:p>
    <w:p>
      <w:pPr>
        <w:spacing w:after="0" w:line="144" w:lineRule="exact"/>
        <w:rPr>
          <w:sz w:val="20"/>
          <w:szCs w:val="20"/>
          <w:color w:val="auto"/>
        </w:rPr>
      </w:pPr>
    </w:p>
    <w:p>
      <w:pPr>
        <w:ind w:right="20" w:firstLine="440"/>
        <w:spacing w:after="0" w:line="235" w:lineRule="auto"/>
        <w:rPr>
          <w:sz w:val="20"/>
          <w:szCs w:val="20"/>
          <w:color w:val="auto"/>
        </w:rPr>
      </w:pPr>
      <w:r>
        <w:rPr>
          <w:rFonts w:ascii="Times New Roman" w:cs="Times New Roman" w:eastAsia="Times New Roman" w:hAnsi="Times New Roman"/>
          <w:sz w:val="18"/>
          <w:szCs w:val="18"/>
          <w:color w:val="auto"/>
        </w:rPr>
        <w:t>Customer response to our digital marketing is substantially dependent on merchandise assortment, merchandise availability and creative presentation, as well as the selection of customers to whom our digital marketing is directed and our catalogs are sent. Our maintenance of a robust customer list, which we believe includes desirable demographic characteristics for the products we offer, has also been a key component of our overall strategy. If the performance of our website and email declines, or if our overall marketing strategy is not successful, our business, results of operations and stock price could be adversely affected.</w:t>
      </w:r>
    </w:p>
    <w:p>
      <w:pPr>
        <w:spacing w:after="0" w:line="130" w:lineRule="exact"/>
        <w:rPr>
          <w:sz w:val="20"/>
          <w:szCs w:val="20"/>
          <w:color w:val="auto"/>
        </w:rPr>
      </w:pPr>
    </w:p>
    <w:p>
      <w:pPr>
        <w:ind w:right="58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acquire new customers, or fail to do so in a cost-effective manner, we may not be able to increase net revenue or profit per active customer.</w:t>
      </w:r>
    </w:p>
    <w:p>
      <w:pPr>
        <w:spacing w:after="0" w:line="117" w:lineRule="exact"/>
        <w:rPr>
          <w:sz w:val="20"/>
          <w:szCs w:val="20"/>
          <w:color w:val="auto"/>
        </w:rPr>
      </w:pPr>
    </w:p>
    <w:p>
      <w:pPr>
        <w:ind w:right="60" w:firstLine="440"/>
        <w:spacing w:after="0" w:line="232" w:lineRule="auto"/>
        <w:rPr>
          <w:sz w:val="20"/>
          <w:szCs w:val="20"/>
          <w:color w:val="auto"/>
        </w:rPr>
      </w:pPr>
      <w:r>
        <w:rPr>
          <w:rFonts w:ascii="Times New Roman" w:cs="Times New Roman" w:eastAsia="Times New Roman" w:hAnsi="Times New Roman"/>
          <w:sz w:val="18"/>
          <w:szCs w:val="18"/>
          <w:color w:val="auto"/>
        </w:rPr>
        <w:t>Our success depends on our ability to acquire customers in a cost-effective manner. In order to expand our customer base, we must appeal to and acquire customers who identify with the Duluth Trading brand. We have made significant investments related to customer acquisition and expect to continue to spend significant amounts to acquire additional customers. For example, our national television advertising campaigns are expensive and may not result in the cost-effective acquisition of customers. Furthermore, as our brand becomes more widely known in the market, future marketing campaigns may not result in the acquisition of new customers at the same rate as past campaigns.</w:t>
      </w:r>
    </w:p>
    <w:p>
      <w:pPr>
        <w:spacing w:after="0" w:line="147" w:lineRule="exact"/>
        <w:rPr>
          <w:sz w:val="20"/>
          <w:szCs w:val="20"/>
          <w:color w:val="auto"/>
        </w:rPr>
      </w:pPr>
    </w:p>
    <w:p>
      <w:pPr>
        <w:jc w:val="both"/>
        <w:ind w:right="60" w:firstLine="440"/>
        <w:spacing w:after="0" w:line="228" w:lineRule="auto"/>
        <w:rPr>
          <w:sz w:val="20"/>
          <w:szCs w:val="20"/>
          <w:color w:val="auto"/>
        </w:rPr>
      </w:pPr>
      <w:r>
        <w:rPr>
          <w:rFonts w:ascii="Times New Roman" w:cs="Times New Roman" w:eastAsia="Times New Roman" w:hAnsi="Times New Roman"/>
          <w:sz w:val="18"/>
          <w:szCs w:val="18"/>
          <w:color w:val="auto"/>
        </w:rPr>
        <w:t>We also use other paid and non-paid advertising. Our paid advertising includes search engine marketing, display advertising and paid social media. Our non-paid advertising efforts include search engine optimization, non-paid social media and email. We obtain a significant amount of traffic via search engines and, therefore, rely on search engines such as Google, Yahoo! and Bing. Search engines frequently update and change the logic that determines the placement and display of results of a user’s search, such that the purchased or algorithmic placement of links to our sites can be negatively affected.</w:t>
      </w:r>
    </w:p>
    <w:p>
      <w:pPr>
        <w:spacing w:after="0" w:line="3"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Moreover, a search engine could, for competitive or other purposes, alter its search algorithms or results, causing our sites to place lower in search query results. A major search engine could change its algorithms in a manner that negatively affects our paid or non-paid search ranking, and competitive dynamics could impact the effectiveness of search engine marketing or search engine optimization. We also obtain a significant amount of traffic via social networking websites or other channels used by our current and prospective customers. As e-commerce and social networking continue to rapidly evolve, we must continue to establish relationships with these channels and may be unable to develop or maintain these relationships on acceptable terms. Additionally, digital advertising costs may continue to rise and as our usage of these channels expands, such costs may impact our ability to acquire new customers in a cost-effective manner. If the level of usage of these channels by our customer base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does not grow as expected, we may suffer a decline in customer growth or net sales. A significant decrease in the level of usage or customer growth would have a material adverse effect on our business, financial condition and operating results.</w:t>
      </w:r>
    </w:p>
    <w:p>
      <w:pPr>
        <w:spacing w:after="0" w:line="108" w:lineRule="exact"/>
        <w:rPr>
          <w:sz w:val="20"/>
          <w:szCs w:val="20"/>
          <w:color w:val="auto"/>
        </w:rPr>
      </w:pPr>
    </w:p>
    <w:p>
      <w:pPr>
        <w:ind w:right="100" w:firstLine="440"/>
        <w:spacing w:after="0" w:line="242" w:lineRule="auto"/>
        <w:rPr>
          <w:sz w:val="20"/>
          <w:szCs w:val="20"/>
          <w:color w:val="auto"/>
        </w:rPr>
      </w:pPr>
      <w:r>
        <w:rPr>
          <w:rFonts w:ascii="Times New Roman" w:cs="Times New Roman" w:eastAsia="Times New Roman" w:hAnsi="Times New Roman"/>
          <w:sz w:val="18"/>
          <w:szCs w:val="18"/>
          <w:color w:val="auto"/>
        </w:rPr>
        <w:t>We cannot assure you that the net profit from new customers we acquire will ultimately exceed the cost of acquiring those customers. If we fail to deliver an outstanding customer experience, or if consumers do not perceive the products we offer to be manufactured with high quality craftsmanship, we may not be able to acquire new customers. If we are unable to acquire new customers, our growth prospects may be materially adversely affected.</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cannot compete effectively in the apparel, footwear and accessories industry, our business and results of operations may be adversely affected.</w:t>
      </w:r>
    </w:p>
    <w:p>
      <w:pPr>
        <w:spacing w:after="0" w:line="175" w:lineRule="exact"/>
        <w:rPr>
          <w:sz w:val="20"/>
          <w:szCs w:val="20"/>
          <w:color w:val="auto"/>
        </w:rPr>
      </w:pPr>
    </w:p>
    <w:p>
      <w:pPr>
        <w:ind w:right="60" w:firstLine="440"/>
        <w:spacing w:after="0" w:line="231" w:lineRule="auto"/>
        <w:rPr>
          <w:sz w:val="20"/>
          <w:szCs w:val="20"/>
          <w:color w:val="auto"/>
        </w:rPr>
      </w:pPr>
      <w:r>
        <w:rPr>
          <w:rFonts w:ascii="Times New Roman" w:cs="Times New Roman" w:eastAsia="Times New Roman" w:hAnsi="Times New Roman"/>
          <w:sz w:val="18"/>
          <w:szCs w:val="18"/>
          <w:color w:val="auto"/>
        </w:rPr>
        <w:t>The apparel, footwear and accessories industry is highly competitive. We compete with a diverse group of direct-to-consumer companies and retailers, including men’s and women’s specialty apparel chains, outdoor specialty stores, apparel catalog businesses and online apparel businesses that sell competing lines of merchandise. Our competitors may be able to adopt more aggressive pricing policies, adapt to changes in customers’ needs and preferences more quickly, devote greater resources to the design, sourcing, distribution, marketing and sale of their products or generate greater national brand recognition than us. In addition, as our business continues to expand, our competitors may seek to increase efforts to imitate our product designs, which could adversely affect our business and results of operations. An inability to overcome these potential competitive disadvantages or effectively market our products relative to our competitors could have an adverse effect on our business and results of operations.</w:t>
      </w:r>
    </w:p>
    <w:p>
      <w:pPr>
        <w:spacing w:after="0" w:line="140" w:lineRule="exact"/>
        <w:rPr>
          <w:sz w:val="20"/>
          <w:szCs w:val="20"/>
          <w:color w:val="auto"/>
        </w:rPr>
      </w:pPr>
    </w:p>
    <w:p>
      <w:pPr>
        <w:ind w:right="36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negatively impact our liquidity, increase our expenses and present significant distractions to management.</w:t>
      </w:r>
    </w:p>
    <w:p>
      <w:pPr>
        <w:spacing w:after="0" w:line="131" w:lineRule="exact"/>
        <w:rPr>
          <w:sz w:val="20"/>
          <w:szCs w:val="20"/>
          <w:color w:val="auto"/>
        </w:rPr>
      </w:pPr>
    </w:p>
    <w:p>
      <w:pPr>
        <w:ind w:right="40" w:firstLine="440"/>
        <w:spacing w:after="0" w:line="236" w:lineRule="auto"/>
        <w:rPr>
          <w:sz w:val="20"/>
          <w:szCs w:val="20"/>
          <w:color w:val="auto"/>
        </w:rPr>
      </w:pPr>
      <w:r>
        <w:rPr>
          <w:rFonts w:ascii="Times New Roman" w:cs="Times New Roman" w:eastAsia="Times New Roman" w:hAnsi="Times New Roman"/>
          <w:sz w:val="18"/>
          <w:szCs w:val="18"/>
          <w:color w:val="auto"/>
        </w:rPr>
        <w:t>We may consider strategic transactions and business arrangements, including, but not limited to, acquisitions, asset purchases, partnerships, joint ventures, restructurings and investments. Any such transaction may require us to incur non-recurring or other charges, may increase our near and long-term expenditures and may pose significant integration challenges or disrupt our management or business, which could harm our operations and financial results.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71" w:lineRule="exact"/>
        <w:rPr>
          <w:sz w:val="20"/>
          <w:szCs w:val="20"/>
          <w:color w:val="auto"/>
        </w:rPr>
      </w:pPr>
    </w:p>
    <w:p>
      <w:pPr>
        <w:ind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Economic uncertainties may continue to adversely affect our business operations, store traffic, employee availability, financial condition, liquidity, and cash flow for an extended period of time.</w:t>
      </w:r>
    </w:p>
    <w:p>
      <w:pPr>
        <w:spacing w:after="0" w:line="131" w:lineRule="exact"/>
        <w:rPr>
          <w:sz w:val="20"/>
          <w:szCs w:val="20"/>
          <w:color w:val="auto"/>
        </w:rPr>
      </w:pPr>
    </w:p>
    <w:p>
      <w:pPr>
        <w:ind w:firstLine="440"/>
        <w:spacing w:after="0" w:line="250" w:lineRule="auto"/>
        <w:rPr>
          <w:sz w:val="20"/>
          <w:szCs w:val="20"/>
          <w:color w:val="auto"/>
        </w:rPr>
      </w:pPr>
      <w:r>
        <w:rPr>
          <w:rFonts w:ascii="Times New Roman" w:cs="Times New Roman" w:eastAsia="Times New Roman" w:hAnsi="Times New Roman"/>
          <w:sz w:val="18"/>
          <w:szCs w:val="18"/>
          <w:color w:val="auto"/>
        </w:rPr>
        <w:t>The ongoing economic uncertainty following the pandemic of the Coronavirus (“COVID-19”) continues to affect our business operations and it is impossible to predict the effect and ultimate impact of ongoing economic uncertainties.</w:t>
      </w:r>
    </w:p>
    <w:p>
      <w:pPr>
        <w:spacing w:after="0" w:line="149" w:lineRule="exact"/>
        <w:rPr>
          <w:sz w:val="20"/>
          <w:szCs w:val="20"/>
          <w:color w:val="auto"/>
        </w:rPr>
      </w:pPr>
    </w:p>
    <w:p>
      <w:pPr>
        <w:ind w:right="100" w:firstLine="440"/>
        <w:spacing w:after="0" w:line="242" w:lineRule="auto"/>
        <w:rPr>
          <w:sz w:val="20"/>
          <w:szCs w:val="20"/>
          <w:color w:val="auto"/>
        </w:rPr>
      </w:pPr>
      <w:r>
        <w:rPr>
          <w:rFonts w:ascii="Times New Roman" w:cs="Times New Roman" w:eastAsia="Times New Roman" w:hAnsi="Times New Roman"/>
          <w:sz w:val="18"/>
          <w:szCs w:val="18"/>
          <w:color w:val="auto"/>
        </w:rPr>
        <w:t>Business activities continue to face economic uncertainties, including but not limited to increased inflation and interest rates, the prolonged COVID-19 pandemic, and global chain constraints. The economic uncertainties may continue for an extended period and have adversely impacted, and may continue to impact, our business.</w:t>
      </w:r>
    </w:p>
    <w:p>
      <w:pPr>
        <w:spacing w:after="0" w:line="143" w:lineRule="exact"/>
        <w:rPr>
          <w:sz w:val="20"/>
          <w:szCs w:val="20"/>
          <w:color w:val="auto"/>
        </w:rPr>
      </w:pPr>
    </w:p>
    <w:p>
      <w:pPr>
        <w:ind w:right="100" w:firstLine="440"/>
        <w:spacing w:after="0" w:line="236" w:lineRule="auto"/>
        <w:rPr>
          <w:sz w:val="20"/>
          <w:szCs w:val="20"/>
          <w:color w:val="auto"/>
        </w:rPr>
      </w:pPr>
      <w:r>
        <w:rPr>
          <w:rFonts w:ascii="Times New Roman" w:cs="Times New Roman" w:eastAsia="Times New Roman" w:hAnsi="Times New Roman"/>
          <w:sz w:val="18"/>
          <w:szCs w:val="18"/>
          <w:color w:val="auto"/>
        </w:rPr>
        <w:t>As inflationary periods continue, consumer fear may adversely affect traffic to our stores. Reductions in customer visits to, and spending at, our stores caused by economic uncertainties would result in further loss of retail store sales and profits and other material adverse effects. The extent of the impact on our business, financial results, liquidity and cash flows will depend largely on future developments, all of which are highly uncertain and cannot be predicted.</w:t>
      </w:r>
    </w:p>
    <w:p>
      <w:pPr>
        <w:spacing w:after="0" w:line="158"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These and other potential impacts of economic uncertainties could therefore materially and adversely affect our business, financial condition and results of operations.</w:t>
      </w:r>
    </w:p>
    <w:p>
      <w:pPr>
        <w:spacing w:after="0" w:line="104" w:lineRule="exact"/>
        <w:rPr>
          <w:sz w:val="20"/>
          <w:szCs w:val="20"/>
          <w:color w:val="auto"/>
        </w:rPr>
      </w:pPr>
    </w:p>
    <w:p>
      <w:pPr>
        <w:ind w:right="6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sources for merchandise located in foreign markets, and our business may therefore be adversely affected by legal, regulatory, economic and political risks associated with international trade and those markets.</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reliance on suppliers in foreign markets creates risks inherent in doing business in foreign jurisdictions, including:</w:t>
      </w:r>
    </w:p>
    <w:p>
      <w:pPr>
        <w:spacing w:after="0" w:line="90" w:lineRule="exact"/>
        <w:rPr>
          <w:sz w:val="20"/>
          <w:szCs w:val="20"/>
          <w:color w:val="auto"/>
        </w:rPr>
      </w:pPr>
    </w:p>
    <w:p>
      <w:pPr>
        <w:ind w:left="880" w:right="460"/>
        <w:spacing w:after="0" w:line="266" w:lineRule="auto"/>
        <w:rPr>
          <w:sz w:val="20"/>
          <w:szCs w:val="20"/>
          <w:color w:val="auto"/>
        </w:rPr>
      </w:pPr>
      <w:r>
        <w:rPr>
          <w:rFonts w:ascii="Times New Roman" w:cs="Times New Roman" w:eastAsia="Times New Roman" w:hAnsi="Times New Roman"/>
          <w:sz w:val="18"/>
          <w:szCs w:val="18"/>
          <w:color w:val="auto"/>
        </w:rPr>
        <w:t>transportation delays and interruptions, including due to port congestion and the failure of suppliers or distributors to comply with import regulations;</w:t>
      </w:r>
    </w:p>
    <w:p>
      <w:pPr>
        <w:spacing w:after="0" w:line="27" w:lineRule="exact"/>
        <w:rPr>
          <w:sz w:val="20"/>
          <w:szCs w:val="20"/>
          <w:color w:val="auto"/>
        </w:rPr>
      </w:pPr>
    </w:p>
    <w:p>
      <w:pPr>
        <w:ind w:left="880" w:right="700"/>
        <w:spacing w:after="0" w:line="266" w:lineRule="auto"/>
        <w:rPr>
          <w:sz w:val="20"/>
          <w:szCs w:val="20"/>
          <w:color w:val="auto"/>
        </w:rPr>
      </w:pPr>
      <w:r>
        <w:rPr>
          <w:rFonts w:ascii="Times New Roman" w:cs="Times New Roman" w:eastAsia="Times New Roman" w:hAnsi="Times New Roman"/>
          <w:sz w:val="18"/>
          <w:szCs w:val="18"/>
          <w:color w:val="auto"/>
        </w:rPr>
        <w:t>the burdens of complying with a variety of foreign laws and regulations, including trade and labor restrictions, import/export laws and regulations, and local intellectual property laws and rights owned by third parties;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changes in U.S. and non-U.S. laws (or changes in the enforcement of those laws) affecting the importation and taxation of goods, including</w:t>
      </w:r>
    </w:p>
    <w:p>
      <w:pPr>
        <w:spacing w:after="0" w:line="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disallowance of tax deductions for imported merchandise, imposition of unilateral</w:t>
      </w: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tariffs on imported goods, duties, quotas, enhanced security measures at U.S. ports or imposition of new legislation relating to import quotas;</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economic and political instability in the countries and regions where our suppliers are located;</w:t>
      </w:r>
    </w:p>
    <w:p>
      <w:pPr>
        <w:spacing w:after="0" w:line="90" w:lineRule="exact"/>
        <w:rPr>
          <w:sz w:val="20"/>
          <w:szCs w:val="20"/>
          <w:color w:val="auto"/>
        </w:rPr>
      </w:pPr>
    </w:p>
    <w:p>
      <w:pPr>
        <w:ind w:left="880" w:right="120"/>
        <w:spacing w:after="0" w:line="266" w:lineRule="auto"/>
        <w:rPr>
          <w:sz w:val="20"/>
          <w:szCs w:val="20"/>
          <w:color w:val="auto"/>
        </w:rPr>
      </w:pPr>
      <w:r>
        <w:rPr>
          <w:rFonts w:ascii="Times New Roman" w:cs="Times New Roman" w:eastAsia="Times New Roman" w:hAnsi="Times New Roman"/>
          <w:sz w:val="18"/>
          <w:szCs w:val="18"/>
          <w:color w:val="auto"/>
        </w:rPr>
        <w:t>compliance with U.S. and other country laws relating to foreign operations, including the Foreign Corrupt Practices Act, which prohibits U.S. companies from making improper payments to foreign officials for the purpose of obtaining or retaining business;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increases in shipping, labor, fuel, travel and other transportation costs;</w:t>
      </w:r>
    </w:p>
    <w:p>
      <w:pPr>
        <w:spacing w:after="0" w:line="90" w:lineRule="exact"/>
        <w:rPr>
          <w:sz w:val="20"/>
          <w:szCs w:val="20"/>
          <w:color w:val="auto"/>
        </w:rPr>
      </w:pPr>
    </w:p>
    <w:p>
      <w:pPr>
        <w:ind w:left="880" w:right="940"/>
        <w:spacing w:after="0" w:line="282" w:lineRule="auto"/>
        <w:rPr>
          <w:sz w:val="20"/>
          <w:szCs w:val="20"/>
          <w:color w:val="auto"/>
        </w:rPr>
      </w:pPr>
      <w:r>
        <w:rPr>
          <w:rFonts w:ascii="Times New Roman" w:cs="Times New Roman" w:eastAsia="Times New Roman" w:hAnsi="Times New Roman"/>
          <w:sz w:val="18"/>
          <w:szCs w:val="18"/>
          <w:color w:val="auto"/>
        </w:rPr>
        <w:t>the imposition of anti-dumping or countervailing duty proceedings resulting in the potential assessment of special anti-dumping or countervailing duties;</w:t>
      </w:r>
    </w:p>
    <w:p>
      <w:pPr>
        <w:spacing w:after="0" w:line="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political instability, war and acts of terrorism; and</w:t>
      </w:r>
    </w:p>
    <w:p>
      <w:pPr>
        <w:spacing w:after="0" w:line="90" w:lineRule="exact"/>
        <w:rPr>
          <w:sz w:val="20"/>
          <w:szCs w:val="20"/>
          <w:color w:val="auto"/>
        </w:rPr>
      </w:pPr>
    </w:p>
    <w:p>
      <w:pPr>
        <w:ind w:left="880" w:right="40"/>
        <w:spacing w:after="0" w:line="266" w:lineRule="auto"/>
        <w:rPr>
          <w:sz w:val="20"/>
          <w:szCs w:val="20"/>
          <w:color w:val="auto"/>
        </w:rPr>
      </w:pPr>
      <w:r>
        <w:rPr>
          <w:rFonts w:ascii="Times New Roman" w:cs="Times New Roman" w:eastAsia="Times New Roman" w:hAnsi="Times New Roman"/>
          <w:sz w:val="18"/>
          <w:szCs w:val="18"/>
          <w:color w:val="auto"/>
        </w:rPr>
        <w:t>the occurrence of a natural disaster, unusual weather conditions, or prolonged public health crises, epidemics or pandemics in foreign countries from which we source our products.</w:t>
      </w:r>
    </w:p>
    <w:p>
      <w:pPr>
        <w:spacing w:after="0" w:line="122" w:lineRule="exact"/>
        <w:rPr>
          <w:sz w:val="20"/>
          <w:szCs w:val="20"/>
          <w:color w:val="auto"/>
        </w:rPr>
      </w:pPr>
    </w:p>
    <w:p>
      <w:pPr>
        <w:ind w:right="440" w:firstLine="440"/>
        <w:spacing w:after="0" w:line="250" w:lineRule="auto"/>
        <w:rPr>
          <w:sz w:val="20"/>
          <w:szCs w:val="20"/>
          <w:color w:val="auto"/>
        </w:rPr>
      </w:pPr>
      <w:r>
        <w:rPr>
          <w:rFonts w:ascii="Times New Roman" w:cs="Times New Roman" w:eastAsia="Times New Roman" w:hAnsi="Times New Roman"/>
          <w:sz w:val="18"/>
          <w:szCs w:val="18"/>
          <w:color w:val="auto"/>
        </w:rPr>
        <w:t>The occurrence of one or more of these events could result in disruptions to our operations, which in turn could increase our cost of goods sold, decrease our gross profit, or impact our ability to deliver to our customers.</w:t>
      </w:r>
    </w:p>
    <w:p>
      <w:pPr>
        <w:spacing w:after="0" w:line="136" w:lineRule="exact"/>
        <w:rPr>
          <w:sz w:val="20"/>
          <w:szCs w:val="20"/>
          <w:color w:val="auto"/>
        </w:rPr>
      </w:pPr>
    </w:p>
    <w:p>
      <w:pPr>
        <w:jc w:val="both"/>
        <w:ind w:right="160" w:firstLine="440"/>
        <w:spacing w:after="0" w:line="236" w:lineRule="auto"/>
        <w:rPr>
          <w:sz w:val="20"/>
          <w:szCs w:val="20"/>
          <w:color w:val="auto"/>
        </w:rPr>
      </w:pPr>
      <w:r>
        <w:rPr>
          <w:rFonts w:ascii="Times New Roman" w:cs="Times New Roman" w:eastAsia="Times New Roman" w:hAnsi="Times New Roman"/>
          <w:sz w:val="18"/>
          <w:szCs w:val="18"/>
          <w:color w:val="auto"/>
        </w:rPr>
        <w:t>New initiatives may be proposed in the United States that may have an impact on the trading status of certain countries and may include retaliatory duties or other trade sanctions that, if enacted, would increase the cost of products purchased from suppliers in such countries with which we do business. Any inability on our part to rely on our foreign sources of production due to any of the factors listed above could have an adverse effect on our business, results of operations and financial condition.</w:t>
      </w:r>
    </w:p>
    <w:p>
      <w:pPr>
        <w:spacing w:after="0" w:line="140" w:lineRule="exact"/>
        <w:rPr>
          <w:sz w:val="20"/>
          <w:szCs w:val="20"/>
          <w:color w:val="auto"/>
        </w:rPr>
      </w:pPr>
    </w:p>
    <w:p>
      <w:pPr>
        <w:ind w:right="38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fail to timely and effectively obtain shipments of products from our suppliers and deliver merchandise to our customers, our business and operating results could be adversely affected.</w:t>
      </w:r>
    </w:p>
    <w:p>
      <w:pPr>
        <w:spacing w:after="0" w:line="131" w:lineRule="exact"/>
        <w:rPr>
          <w:sz w:val="20"/>
          <w:szCs w:val="20"/>
          <w:color w:val="auto"/>
        </w:rPr>
      </w:pPr>
    </w:p>
    <w:p>
      <w:pPr>
        <w:ind w:firstLine="440"/>
        <w:spacing w:after="0" w:line="227" w:lineRule="auto"/>
        <w:rPr>
          <w:sz w:val="20"/>
          <w:szCs w:val="20"/>
          <w:color w:val="auto"/>
        </w:rPr>
      </w:pPr>
      <w:r>
        <w:rPr>
          <w:rFonts w:ascii="Times New Roman" w:cs="Times New Roman" w:eastAsia="Times New Roman" w:hAnsi="Times New Roman"/>
          <w:sz w:val="18"/>
          <w:szCs w:val="18"/>
          <w:color w:val="auto"/>
        </w:rPr>
        <w:t>We do not own or operate any manufacturing facilities and therefore depend upon independent third-party suppliers for the manufacture of our merchandise. We cannot control all of the various factors that might affect timely and effective procurement of supplies of product from our third-party suppliers and delivery of merchandise to our customers. A majority of the products that we purchase must be shipped to our fulfillment centers in Wisconsin, Iowa and Utah. While our reliance on a limited number of fulfillment centers provides certain efficiencies, it also makes us more vulnerable to natural disasters, weather-related disruptions, accidents, system failures, public health pandemics, or other unforeseen causes that could delay or impair our ability to fulfill customer orders and/or ship merchandise to our stores, which could adversely affect sales. Our ability to mitigate the adverse impacts of these events depends in part upon the effectiveness of our disaster preparedness and response planning, as well as our business continuity planning. Our use of imports also makes us vulnerable to risks associated with products manufactured abroad, including, among other things, risks of damage, destruction or confiscation of products while in transit to a fulfillment center or at points of export or import, organized labor strikes and work stoppages, transportation and other delays in shipments, including as a result of heightened security screening and inspection processes or other port-of-entry limitations or restrictions in the United States, unexpected or significant port congestion, lack of freight availability and freight cost increases. In addition, if we experience a shortage of a popular item, we may be required to arrange for additional quantities of the item, if available, to be delivered through airfreight, which is significantly more expensive than standard shipping by sea. We may not be able to obtain sufficient freight capacity on a timely basis or at favorable shipping rates and, therefore, may not be able to receive merchandise from suppliers or deliver products to customers in a timely and cost-effective manner.</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Competitive pricing pressures with respect to shipping our products to our customers may harm our business and results of operations.</w:t>
      </w:r>
    </w:p>
    <w:p>
      <w:pPr>
        <w:spacing w:after="0" w:line="175" w:lineRule="exact"/>
        <w:rPr>
          <w:sz w:val="20"/>
          <w:szCs w:val="20"/>
          <w:color w:val="auto"/>
        </w:rPr>
      </w:pPr>
    </w:p>
    <w:p>
      <w:pPr>
        <w:ind w:right="220" w:firstLine="440"/>
        <w:spacing w:after="0" w:line="227" w:lineRule="auto"/>
        <w:rPr>
          <w:sz w:val="20"/>
          <w:szCs w:val="20"/>
          <w:color w:val="auto"/>
        </w:rPr>
      </w:pPr>
      <w:r>
        <w:rPr>
          <w:rFonts w:ascii="Times New Roman" w:cs="Times New Roman" w:eastAsia="Times New Roman" w:hAnsi="Times New Roman"/>
          <w:sz w:val="18"/>
          <w:szCs w:val="18"/>
          <w:color w:val="auto"/>
        </w:rPr>
        <w:t>Given the size of our direct-to-consumer net sales relative to our total net sales, shipping and handling revenue has had a significant impact on our gross profit and gross profit margin. Historically, this revenue has partially offset our shipping and handling expense included in selling, general and administrative expenses. Online and omnichannel retailers are increasing their focus on delivery services, with customers increasingly seeking faster, guaranteed delivery times and low-price or free shipping. Higher direct-to-consumer net sales has resulted and may continue to result in additional peak surcharges assessed by our delivery partners. To remain competitive, we have been required to offer discounted, free or other more competitive shipping options to our customers, which has resulted in declines in our shipping and handling revenue and increased shipping and handling expense. We expect further declines in shipping and handling revenues as compared to prior years. Further declines in shipping and handling revenues may have a material adverse effect on our gross profit and gross profit margin, as well as our Adjusted EBITDA to the extent there are not commensurate declines, or if there are increases, in our shipping and handling expense.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firstLine="259"/>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service providers, such as UPS and the United States Postal Service (“USPS”), to deliver products purchased through our direct-to-consumer channel to our customers and our business could be negatively impacted by disruptions in the operations of these third-party service providers.</w:t>
      </w:r>
    </w:p>
    <w:p>
      <w:pPr>
        <w:spacing w:after="0" w:line="144" w:lineRule="exact"/>
        <w:rPr>
          <w:sz w:val="20"/>
          <w:szCs w:val="20"/>
          <w:color w:val="auto"/>
        </w:rPr>
      </w:pPr>
    </w:p>
    <w:p>
      <w:pPr>
        <w:ind w:right="200" w:firstLine="440"/>
        <w:spacing w:after="0" w:line="233" w:lineRule="auto"/>
        <w:rPr>
          <w:sz w:val="20"/>
          <w:szCs w:val="20"/>
          <w:color w:val="auto"/>
        </w:rPr>
      </w:pPr>
      <w:r>
        <w:rPr>
          <w:rFonts w:ascii="Times New Roman" w:cs="Times New Roman" w:eastAsia="Times New Roman" w:hAnsi="Times New Roman"/>
          <w:sz w:val="18"/>
          <w:szCs w:val="18"/>
          <w:color w:val="auto"/>
        </w:rPr>
        <w:t>Relying on third-party service providers puts us at risk from disruptions in their operations, such as employee strikes, inclement weather and their inability to meet our shipping demands. Our efforts to mitigate the impact of future thresholds may not be successful or may result in similar surcharges. Moreover, we may be unable to obtain terms as favorable as those received from the transportation providers we currently use, which would further increase our costs. In addition, if our products are not delivered to our customers on time, our customers may cancel their orders or we may lose business from these customers in the future. We may be subject to shipping surcharges and thresholds during the peak holiday shopping season, which may have a negative impact on our earnings. These factors may negatively impact our financial condition and results of operations.</w:t>
      </w:r>
    </w:p>
    <w:p>
      <w:pPr>
        <w:spacing w:after="0" w:line="140" w:lineRule="exact"/>
        <w:rPr>
          <w:sz w:val="20"/>
          <w:szCs w:val="20"/>
          <w:color w:val="auto"/>
        </w:rPr>
      </w:pPr>
    </w:p>
    <w:p>
      <w:pPr>
        <w:ind w:right="30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Dependence on our e-commerce sales channel subjects us to numerous risks that could have a material adverse effect on our business, financial condition and results of operations.</w:t>
      </w:r>
    </w:p>
    <w:p>
      <w:pPr>
        <w:spacing w:after="0" w:line="131" w:lineRule="exact"/>
        <w:rPr>
          <w:sz w:val="20"/>
          <w:szCs w:val="20"/>
          <w:color w:val="auto"/>
        </w:rPr>
      </w:pPr>
    </w:p>
    <w:p>
      <w:pPr>
        <w:ind w:right="120" w:firstLine="440"/>
        <w:spacing w:after="0" w:line="250" w:lineRule="auto"/>
        <w:rPr>
          <w:sz w:val="20"/>
          <w:szCs w:val="20"/>
          <w:color w:val="auto"/>
        </w:rPr>
      </w:pPr>
      <w:r>
        <w:rPr>
          <w:rFonts w:ascii="Times New Roman" w:cs="Times New Roman" w:eastAsia="Times New Roman" w:hAnsi="Times New Roman"/>
          <w:sz w:val="18"/>
          <w:szCs w:val="18"/>
          <w:color w:val="auto"/>
        </w:rPr>
        <w:t>Our results of operations and financial condition are dependent on maintaining our e-commerce business and expanding our e-commerce business is an important part of our growth strategy. Dependence on our e-commerce business and its continued growth subjects us to certain risks, including:</w:t>
      </w:r>
    </w:p>
    <w:p>
      <w:pPr>
        <w:spacing w:after="0" w:line="68" w:lineRule="exact"/>
        <w:rPr>
          <w:sz w:val="20"/>
          <w:szCs w:val="20"/>
          <w:color w:val="auto"/>
        </w:rPr>
      </w:pPr>
    </w:p>
    <w:p>
      <w:pPr>
        <w:ind w:left="880" w:right="7820"/>
        <w:spacing w:after="0" w:line="360" w:lineRule="auto"/>
        <w:rPr>
          <w:sz w:val="20"/>
          <w:szCs w:val="20"/>
          <w:color w:val="auto"/>
        </w:rPr>
      </w:pPr>
      <w:r>
        <w:rPr>
          <w:rFonts w:ascii="Times New Roman" w:cs="Times New Roman" w:eastAsia="Times New Roman" w:hAnsi="Times New Roman"/>
          <w:sz w:val="18"/>
          <w:szCs w:val="18"/>
          <w:color w:val="auto"/>
        </w:rPr>
        <w:t>diversion of traffic from our stores; liability for online content;</w:t>
      </w:r>
    </w:p>
    <w:p>
      <w:pPr>
        <w:ind w:left="440"/>
        <w:spacing w:after="0"/>
        <w:rPr>
          <w:sz w:val="20"/>
          <w:szCs w:val="20"/>
          <w:color w:val="auto"/>
        </w:rPr>
      </w:pPr>
      <w:r>
        <w:rPr>
          <w:rFonts w:ascii="Times New Roman" w:cs="Times New Roman" w:eastAsia="Times New Roman" w:hAnsi="Times New Roman"/>
          <w:sz w:val="18"/>
          <w:szCs w:val="18"/>
          <w:color w:val="auto"/>
        </w:rPr>
        <w:t>the need to keep pace with rapid technological change;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government regulation of the Internet, including taxation; and</w:t>
      </w:r>
    </w:p>
    <w:p>
      <w:pPr>
        <w:spacing w:after="0" w:line="103" w:lineRule="exact"/>
        <w:rPr>
          <w:sz w:val="20"/>
          <w:szCs w:val="20"/>
          <w:color w:val="auto"/>
        </w:rPr>
      </w:pPr>
    </w:p>
    <w:p>
      <w:pPr>
        <w:ind w:left="880" w:right="340"/>
        <w:spacing w:after="0" w:line="282" w:lineRule="auto"/>
        <w:rPr>
          <w:sz w:val="20"/>
          <w:szCs w:val="20"/>
          <w:color w:val="auto"/>
        </w:rPr>
      </w:pPr>
      <w:r>
        <w:rPr>
          <w:rFonts w:ascii="Times New Roman" w:cs="Times New Roman" w:eastAsia="Times New Roman" w:hAnsi="Times New Roman"/>
          <w:sz w:val="18"/>
          <w:szCs w:val="18"/>
          <w:color w:val="auto"/>
        </w:rPr>
        <w:t>threats to the computer systems that operate our website and related support systems, including viruses, malware and other malicious code, misconfiguration, systems failure or inadequacy, compromise or unauthorized access and similar disruptions.</w:t>
      </w:r>
    </w:p>
    <w:p>
      <w:pPr>
        <w:spacing w:after="0" w:line="94"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Our failure to successfully respond to these risks and uncertainties could reduce our e-commerce sales, increase our costs, diminish our growth prospects, and damage our brand, which could negatively impact our business, financial condition and results of operations.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Increases in the price of raw materials, fuel and labor, or their reduced availability, could increase our cost of goods and cause delays.</w:t>
      </w:r>
    </w:p>
    <w:p>
      <w:pPr>
        <w:spacing w:after="0" w:line="175" w:lineRule="exact"/>
        <w:rPr>
          <w:sz w:val="20"/>
          <w:szCs w:val="20"/>
          <w:color w:val="auto"/>
        </w:rPr>
      </w:pPr>
    </w:p>
    <w:p>
      <w:pPr>
        <w:ind w:right="40" w:firstLine="440"/>
        <w:spacing w:after="0" w:line="231" w:lineRule="auto"/>
        <w:rPr>
          <w:sz w:val="20"/>
          <w:szCs w:val="20"/>
          <w:color w:val="auto"/>
        </w:rPr>
      </w:pPr>
      <w:r>
        <w:rPr>
          <w:rFonts w:ascii="Times New Roman" w:cs="Times New Roman" w:eastAsia="Times New Roman" w:hAnsi="Times New Roman"/>
          <w:sz w:val="18"/>
          <w:szCs w:val="18"/>
          <w:color w:val="auto"/>
        </w:rPr>
        <w:t>The price and availability of raw materials may fluctuate substantially, depending on a variety of factors, including demand, acreage devoted to cotton crops and crop yields, weather patterns, supply conditions, transportation costs, energy prices, work stoppages, government regulation and government policy, economic climates, market speculation and other unpredictable factors. Fluctuations in the price and availability of fuel, labor and raw materials, such as cotton, could affect our cost of goods and an inability to mitigate these cost increases, unless sufficiently offset with our pricing actions, might cause a decrease in our profitability, while any related pricing actions might cause a decline in our sales volume. Additionally, any decrease in the availability of raw materials could impair our ability to meet our production or purchasing requirements in a timely manner. Both the increased cost and lower availability of merchandise, raw materials, fuel and labor may have an adverse impact on our cash flow and working capital needs as well as those of our suppliers.</w:t>
      </w:r>
    </w:p>
    <w:p>
      <w:pPr>
        <w:spacing w:after="0" w:line="148" w:lineRule="exact"/>
        <w:rPr>
          <w:sz w:val="20"/>
          <w:szCs w:val="20"/>
          <w:color w:val="auto"/>
        </w:rPr>
      </w:pPr>
    </w:p>
    <w:p>
      <w:pPr>
        <w:ind w:right="40" w:firstLine="440"/>
        <w:spacing w:after="0" w:line="227" w:lineRule="auto"/>
        <w:rPr>
          <w:sz w:val="20"/>
          <w:szCs w:val="20"/>
          <w:color w:val="auto"/>
        </w:rPr>
      </w:pPr>
      <w:r>
        <w:rPr>
          <w:rFonts w:ascii="Times New Roman" w:cs="Times New Roman" w:eastAsia="Times New Roman" w:hAnsi="Times New Roman"/>
          <w:sz w:val="18"/>
          <w:szCs w:val="18"/>
          <w:color w:val="auto"/>
        </w:rPr>
        <w:t>We rely upon third-party land-based and air freight carriers for merchandise shipments from our fulfillment centers to customers and our retail stores. Accordingly, we are subject to the risks, including labor disputes, union organizing activity, inclement weather and increased transportation costs, associated with such carriers’ ability to provide delivery services to meet outbound shipping needs. In addition, if the cost of fuel rises, the cost to deliver merchandise from fulfillment centers to customers and our retail stores may rise and, although some of these costs are paid by our customers, such costs could have an adverse impact on our profitability. Failure to procure suppliers of products from our third-party suppliers and deliver merchandise to customers and our retail stores in a timely, effective and economically viable manner could damage our reputation and adversely affect our business. In addition, any increase in distribution costs and expenses could adversely affect our future financial performance.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18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our key suppliers or service providers were unable or unwilling to provide the products and services we require, our business could be adversely affected.</w:t>
      </w:r>
    </w:p>
    <w:p>
      <w:pPr>
        <w:spacing w:after="0" w:line="131"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Our products are sourced through third-party purchasing agents and a variety of domestic and international suppliers. If these suppliers are unable or unwilling to provide the products or services that we require or materially increase their costs, our ability to offer and deliver our products on a timely and profitable basis could be impaired, which could have a material adverse effect on our business, financial condition and results of operations. We cannot assure that any or all of our relationships will not be terminated or that such relationships will continue as presently in effect. Furthermore, if any of our significant suppliers were to become subject to bankruptcy, receivership or similar proceedings, customs actions, or other legal actions, we may be unable to arrange for alternate or replacement relationships on terms as favorable as our current terms, which could adversely affect our sales and operating results.</w:t>
      </w:r>
    </w:p>
    <w:p>
      <w:pPr>
        <w:spacing w:after="0" w:line="131" w:lineRule="exact"/>
        <w:rPr>
          <w:sz w:val="20"/>
          <w:szCs w:val="20"/>
          <w:color w:val="auto"/>
        </w:rPr>
      </w:pPr>
    </w:p>
    <w:p>
      <w:pPr>
        <w:ind w:right="40" w:firstLine="440"/>
        <w:spacing w:after="0" w:line="233" w:lineRule="auto"/>
        <w:rPr>
          <w:sz w:val="20"/>
          <w:szCs w:val="20"/>
          <w:color w:val="auto"/>
        </w:rPr>
      </w:pPr>
      <w:r>
        <w:rPr>
          <w:rFonts w:ascii="Times New Roman" w:cs="Times New Roman" w:eastAsia="Times New Roman" w:hAnsi="Times New Roman"/>
          <w:sz w:val="18"/>
          <w:szCs w:val="18"/>
          <w:color w:val="auto"/>
        </w:rPr>
        <w:t>Our growth strategy is influenced by the willingness and ability of our suppliers to efficiently manufacture our products in a manner that is consistent with our standards for quality and value. If we cannot obtain a sufficient amount and variety of quality products at acceptable prices, it could have a negative impact on our competitive position. This could result in lower revenue and decreased customer interest in our product offerings, which, in turn, could adversely affect our business and results of operations. Our arrangements with our suppliers are generally not exclusive. As a result, our suppliers might be able to sell similar or identical products to certain of our competitors, some of which purchase products in significantly greater volume. Our competitors may enter into arrangements with suppliers that could impair our ability to obtain our products from those suppliers, including by requiring suppliers to enter into exclusive arrangements, which could limit our access to such arrangements or products.</w:t>
      </w:r>
    </w:p>
    <w:p>
      <w:pPr>
        <w:spacing w:after="0" w:line="128" w:lineRule="exact"/>
        <w:rPr>
          <w:sz w:val="20"/>
          <w:szCs w:val="20"/>
          <w:color w:val="auto"/>
        </w:rPr>
      </w:pPr>
    </w:p>
    <w:p>
      <w:pPr>
        <w:ind w:right="50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us with services in connection with certain aspects of our business, and any failure by these third parties to perform their obligations could have an adverse effect on our business and results of operations.</w:t>
      </w:r>
    </w:p>
    <w:p>
      <w:pPr>
        <w:spacing w:after="0" w:line="117" w:lineRule="exact"/>
        <w:rPr>
          <w:sz w:val="20"/>
          <w:szCs w:val="20"/>
          <w:color w:val="auto"/>
        </w:rPr>
      </w:pPr>
    </w:p>
    <w:p>
      <w:pPr>
        <w:ind w:right="60" w:firstLine="440"/>
        <w:spacing w:after="0" w:line="233" w:lineRule="auto"/>
        <w:rPr>
          <w:sz w:val="20"/>
          <w:szCs w:val="20"/>
          <w:color w:val="auto"/>
        </w:rPr>
      </w:pPr>
      <w:r>
        <w:rPr>
          <w:rFonts w:ascii="Times New Roman" w:cs="Times New Roman" w:eastAsia="Times New Roman" w:hAnsi="Times New Roman"/>
          <w:sz w:val="18"/>
          <w:szCs w:val="18"/>
          <w:color w:val="auto"/>
        </w:rPr>
        <w:t>We have entered into agreements with third parties for logistics services, information technology systems (including hosting our website), operating our call center during certain hours, software development and support, catalog production, select marketing services, processing gift card activity, distribution and packaging and employee benefits. Services provided by any of our third-party suppliers could be interrupted as a result of many factors, such as acts of nature or contract disputes. Any failure by a third party to provide us with services for which we have contracted on a timely basis or within service level expectations and performance standards could result in a disruption of our business and have an adverse effect on our business and results of operations.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Inventory shrinkage could have a material adverse effect on our business, financial condition and results of operations.</w:t>
      </w:r>
    </w:p>
    <w:p>
      <w:pPr>
        <w:spacing w:after="0" w:line="175" w:lineRule="exact"/>
        <w:rPr>
          <w:sz w:val="20"/>
          <w:szCs w:val="20"/>
          <w:color w:val="auto"/>
        </w:rPr>
      </w:pPr>
    </w:p>
    <w:p>
      <w:pPr>
        <w:ind w:right="40" w:firstLine="440"/>
        <w:spacing w:after="0" w:line="235" w:lineRule="auto"/>
        <w:rPr>
          <w:sz w:val="20"/>
          <w:szCs w:val="20"/>
          <w:color w:val="auto"/>
        </w:rPr>
      </w:pPr>
      <w:r>
        <w:rPr>
          <w:rFonts w:ascii="Times New Roman" w:cs="Times New Roman" w:eastAsia="Times New Roman" w:hAnsi="Times New Roman"/>
          <w:sz w:val="18"/>
          <w:szCs w:val="18"/>
          <w:color w:val="auto"/>
        </w:rPr>
        <w:t>We are subject to the risk of inventory loss and theft. Although our inventory shrinkage rates have not been material, or fluctuated significantly in recent years, we cannot assure you that actual rates of inventory loss and theft in the future will be within our estimates or that the measures we are taking will effectively reduce the problem of inventory shrinkage. Although some level of inventory shrinkage is an unavoidable cost of doing business, if we were to experience higher rates of inventory shrinkage or incur increased security costs to combat inventory theft, it could have a material adverse effect on our business, financial condition and results of operations.</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data security and privacy risks that could negatively affect our results, operations or reputation.</w:t>
      </w:r>
    </w:p>
    <w:p>
      <w:pPr>
        <w:spacing w:after="0" w:line="175" w:lineRule="exact"/>
        <w:rPr>
          <w:sz w:val="20"/>
          <w:szCs w:val="20"/>
          <w:color w:val="auto"/>
        </w:rPr>
      </w:pPr>
    </w:p>
    <w:p>
      <w:pPr>
        <w:ind w:right="40" w:firstLine="440"/>
        <w:spacing w:after="0" w:line="226" w:lineRule="auto"/>
        <w:rPr>
          <w:sz w:val="20"/>
          <w:szCs w:val="20"/>
          <w:color w:val="auto"/>
        </w:rPr>
      </w:pPr>
      <w:r>
        <w:rPr>
          <w:rFonts w:ascii="Times New Roman" w:cs="Times New Roman" w:eastAsia="Times New Roman" w:hAnsi="Times New Roman"/>
          <w:sz w:val="18"/>
          <w:szCs w:val="18"/>
          <w:color w:val="auto"/>
        </w:rPr>
        <w:t>In the normal course of business we often collect, retain and transmit customer personal and credit card information, employee personal information, and other sensitive and confidential information. The protection of customer and employee information, and the Company’s intellectual property, from potential threats is vitally important to the Company. Consumers and employees continue to have significant concerns about the security of personal information, especially when transmitted over the Internet, and the use, retention, disclosure, and privacy of such information. We continually evaluate and upgrade our information systems, security measures, and practices to combat the ever-evolving cyber risks and to comply with our legal and regulatory obligations, and we provide cybersecurity awareness training around phishing, social engineering, and other cyber risks to our employees, in an effort to elevate our cybersecurity posture and give our workforce the skills to both avoid and report cyber threats. Despite our risk management efforts, vendor due diligence, and security measures, our facilities and systems and those of our third-party service providers, are subject to increasingly complex cyber risks, including cyber extortion, data breaches, unauthorized access, denial of service, vendor or employee misconduct, ransomware and other malicious software, and data exfiltration. We and our employees and customers could suffer significant harm if any personal, financial, or credit card information was accessed or disclosed by an unauthorized third party, or our information technology systems or those of our third party providers were compromised or subject to data loss, exfiltration, corruption, or disruption. Any security incident or data breach could severely damage our reputation and our relationships with customers, business partners and employees, cause us to incur significant costs and expenses to investigate, remediate and notify affected individuals, and expose us to an increased risk of litigation, regulatory enforcement, fines and penalties, and other losses and</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liabilities. In addition, the media and public scrutiny of information security and privacy has become more intense and the regulatory environment has become more complex and uncertain due to recent high-profile privacy and security incidents and legislative efforts across the globe. As a result, we may incur significant costs to comply with laws regarding the use, retention, disclosure, security, and privacy of personal information.</w:t>
      </w:r>
    </w:p>
    <w:p>
      <w:pPr>
        <w:spacing w:after="0" w:line="139" w:lineRule="exact"/>
        <w:rPr>
          <w:sz w:val="20"/>
          <w:szCs w:val="20"/>
          <w:color w:val="auto"/>
        </w:rPr>
      </w:pPr>
    </w:p>
    <w:p>
      <w:pPr>
        <w:ind w:right="22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information technology, and any inadequacy, interruption, integration failure or security failure of this technology could harm our ability to effectively operate our business.</w:t>
      </w:r>
    </w:p>
    <w:p>
      <w:pPr>
        <w:spacing w:after="0" w:line="131" w:lineRule="exact"/>
        <w:rPr>
          <w:sz w:val="20"/>
          <w:szCs w:val="20"/>
          <w:color w:val="auto"/>
        </w:rPr>
      </w:pPr>
    </w:p>
    <w:p>
      <w:pPr>
        <w:ind w:right="40" w:firstLine="440"/>
        <w:spacing w:after="0" w:line="231" w:lineRule="auto"/>
        <w:rPr>
          <w:sz w:val="20"/>
          <w:szCs w:val="20"/>
          <w:color w:val="auto"/>
        </w:rPr>
      </w:pPr>
      <w:r>
        <w:rPr>
          <w:rFonts w:ascii="Times New Roman" w:cs="Times New Roman" w:eastAsia="Times New Roman" w:hAnsi="Times New Roman"/>
          <w:sz w:val="18"/>
          <w:szCs w:val="18"/>
          <w:color w:val="auto"/>
        </w:rPr>
        <w:t>Our ability to effectively manage and operate our business depends significantly on information technology systems. We rely heavily on information technology to track sales and inventory and manage our supply chain. We are also dependent on information technology, including the Internet, for our direct-to-consumer sales, including our e-commerce and catalog operations and retail business credit card transaction authorization. Despite our preventative efforts, our systems and those of our third-party service providers may be vulnerable to damage or interruption. The failure of these systems to operate effectively, problems with transitioning to upgraded or replacement systems, difficulty in integrating new systems or systems of acquired businesses or a breach of security of these systems could adversely impact the operations of our business, including disruption of our ability to accept and fulfill customer orders, effective management of inventory, inefficient ordering and replenishment of products, e-commerce operations, retail business credit card transaction authorization and processing, corporate email communications and our interaction with the public on social media.</w:t>
      </w:r>
    </w:p>
    <w:p>
      <w:pPr>
        <w:spacing w:after="0" w:line="130" w:lineRule="exact"/>
        <w:rPr>
          <w:sz w:val="20"/>
          <w:szCs w:val="20"/>
          <w:color w:val="auto"/>
        </w:rPr>
      </w:pPr>
    </w:p>
    <w:p>
      <w:pPr>
        <w:ind w:right="46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failure to retain our executive management team and to attract qualified new personnel could adversely affect our business and results of operations.</w:t>
      </w:r>
    </w:p>
    <w:p>
      <w:pPr>
        <w:spacing w:after="0" w:line="104" w:lineRule="exact"/>
        <w:rPr>
          <w:sz w:val="20"/>
          <w:szCs w:val="20"/>
          <w:color w:val="auto"/>
        </w:rPr>
      </w:pPr>
    </w:p>
    <w:p>
      <w:pPr>
        <w:ind w:right="60" w:firstLine="440"/>
        <w:spacing w:after="0" w:line="233" w:lineRule="auto"/>
        <w:rPr>
          <w:sz w:val="20"/>
          <w:szCs w:val="20"/>
          <w:color w:val="auto"/>
        </w:rPr>
      </w:pPr>
      <w:r>
        <w:rPr>
          <w:rFonts w:ascii="Times New Roman" w:cs="Times New Roman" w:eastAsia="Times New Roman" w:hAnsi="Times New Roman"/>
          <w:sz w:val="18"/>
          <w:szCs w:val="18"/>
          <w:color w:val="auto"/>
        </w:rPr>
        <w:t>We depend on the talents and continued efforts of our executive management team. The loss of members of our executive management may disrupt our business and adversely affect our results of operations. Furthermore, our ability to manage further expansion will require us to continue to attract, motivate and retain additional qualified personnel. We believe that having an executive management team with qualified personnel who are passionate about our brand, have extensive industry experience and have a strong customer service ethic has been an important factor in our historical success, and we believe that it will continue to be important to growing our business. Competition for these types of personnel is intense, and we may not be successful in attracting, integrating and retaining the personnel required to grow and operate our business profitably.</w:t>
      </w:r>
    </w:p>
    <w:p>
      <w:pPr>
        <w:spacing w:after="0" w:line="140" w:lineRule="exact"/>
        <w:rPr>
          <w:sz w:val="20"/>
          <w:szCs w:val="20"/>
          <w:color w:val="auto"/>
        </w:rPr>
      </w:pPr>
    </w:p>
    <w:p>
      <w:pPr>
        <w:ind w:right="40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An inability to attract and retain qualified employees to meet our staffing needs in our corporate office, stores, fulfillment centers or call center could result in higher payroll costs and adversely affect our operating results.</w:t>
      </w:r>
    </w:p>
    <w:p>
      <w:pPr>
        <w:spacing w:after="0" w:line="131"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Our performance is dependent on attracting and retaining a large number of qualified employees. Many of our strategic initiatives require that we hire and/or develop associates with appropriate experience. Attracting and retaining a sufficient number of qualified employees to meet our staffing needs may be difficult, since the competition for these types of personnel is intense. Many of our staffing needs in our stores, fulfillment centers and call center are entry-level or part-time positions with historically high rates of turnover. If we cannot attract and retain employees with the qualifications we deem necessary to meet our staffing needs in our corporate office, stores, fulfillment centers and call center, our ability to effectively operate may be adversely affected. In addition, our staffing needs are especially high during the peak holiday season. We cannot be sure that we will be able to attract and retain a sufficient number of qualified personnel in future periods.</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seasonal, and if we do not efficiently manage inventory levels, our results of operations could be adversely affected.</w:t>
      </w:r>
    </w:p>
    <w:p>
      <w:pPr>
        <w:spacing w:after="0" w:line="175" w:lineRule="exact"/>
        <w:rPr>
          <w:sz w:val="20"/>
          <w:szCs w:val="20"/>
          <w:color w:val="auto"/>
        </w:rPr>
      </w:pPr>
    </w:p>
    <w:p>
      <w:pPr>
        <w:ind w:right="360" w:firstLine="440"/>
        <w:spacing w:after="0" w:line="242" w:lineRule="auto"/>
        <w:rPr>
          <w:sz w:val="20"/>
          <w:szCs w:val="20"/>
          <w:color w:val="auto"/>
        </w:rPr>
      </w:pPr>
      <w:r>
        <w:rPr>
          <w:rFonts w:ascii="Times New Roman" w:cs="Times New Roman" w:eastAsia="Times New Roman" w:hAnsi="Times New Roman"/>
          <w:sz w:val="18"/>
          <w:szCs w:val="18"/>
          <w:color w:val="auto"/>
        </w:rPr>
        <w:t>Our business is subject to seasonal influences, with increased net sales and net income realized during the fourth quarter of our fiscal year, which includes the holiday season. See Part I, Item 1 Business, under the heading “</w:t>
      </w:r>
      <w:r>
        <w:rPr>
          <w:rFonts w:ascii="Times New Roman" w:cs="Times New Roman" w:eastAsia="Times New Roman" w:hAnsi="Times New Roman"/>
          <w:sz w:val="18"/>
          <w:szCs w:val="18"/>
          <w:i w:val="1"/>
          <w:iCs w:val="1"/>
          <w:color w:val="auto"/>
        </w:rPr>
        <w:t>Seasonality</w:t>
      </w:r>
      <w:r>
        <w:rPr>
          <w:rFonts w:ascii="Times New Roman" w:cs="Times New Roman" w:eastAsia="Times New Roman" w:hAnsi="Times New Roman"/>
          <w:sz w:val="18"/>
          <w:szCs w:val="18"/>
          <w:color w:val="auto"/>
        </w:rPr>
        <w:t>,” for our net sales and net income realized during the fourth quarter of our fiscal year for each of the past two fiscal years.</w:t>
      </w:r>
    </w:p>
    <w:p>
      <w:pPr>
        <w:spacing w:after="0" w:line="157" w:lineRule="exact"/>
        <w:rPr>
          <w:sz w:val="20"/>
          <w:szCs w:val="20"/>
          <w:color w:val="auto"/>
        </w:rPr>
      </w:pPr>
    </w:p>
    <w:p>
      <w:pPr>
        <w:ind w:right="20" w:firstLine="440"/>
        <w:spacing w:after="0" w:line="231" w:lineRule="auto"/>
        <w:rPr>
          <w:sz w:val="20"/>
          <w:szCs w:val="20"/>
          <w:color w:val="auto"/>
        </w:rPr>
      </w:pPr>
      <w:r>
        <w:rPr>
          <w:rFonts w:ascii="Times New Roman" w:cs="Times New Roman" w:eastAsia="Times New Roman" w:hAnsi="Times New Roman"/>
          <w:sz w:val="18"/>
          <w:szCs w:val="18"/>
          <w:color w:val="auto"/>
        </w:rPr>
        <w:t>We must maintain sufficient inventory levels to operate our business successfully, but we must also avoid accumulating excess inventory, which increases working capital needs and potentially lowers gross margins. We obtain substantially all of our inventory from suppliers located outside the United States. Some of these suppliers often require lengthy advance notice of order requirements in order to be able to manufacture and supply products in the quantities requested. This usually requires us to order our products, and enter into commitments for the purchase of our products, well in advance of the time these products will be offered for sale. As a result, it may be difficult to respond to changes in customer demand. If we do not accurately anticipate the future demand for a particular product or the time it will take to obtain new inventory, inventory levels will not be appropriate and our results of operations could be adversely affected.</w:t>
      </w:r>
    </w:p>
    <w:p>
      <w:pPr>
        <w:spacing w:after="0" w:line="144" w:lineRule="exact"/>
        <w:rPr>
          <w:sz w:val="20"/>
          <w:szCs w:val="20"/>
          <w:color w:val="auto"/>
        </w:rPr>
      </w:pPr>
    </w:p>
    <w:p>
      <w:pPr>
        <w:jc w:val="both"/>
        <w:ind w:right="200" w:firstLine="440"/>
        <w:spacing w:after="0" w:line="234" w:lineRule="auto"/>
        <w:rPr>
          <w:sz w:val="20"/>
          <w:szCs w:val="20"/>
          <w:color w:val="auto"/>
        </w:rPr>
      </w:pPr>
      <w:r>
        <w:rPr>
          <w:rFonts w:ascii="Times New Roman" w:cs="Times New Roman" w:eastAsia="Times New Roman" w:hAnsi="Times New Roman"/>
          <w:sz w:val="18"/>
          <w:szCs w:val="18"/>
          <w:color w:val="auto"/>
        </w:rPr>
        <w:t>We expect a disproportionate amount of our net sales to occur during our fourth quarter. If we do not stock or restock popular products in amounts sufficient to meet customer demand, it could significantly affect our revenue and our future growth. If we overstock products, we may be required to take significant inventory markdowns or write-offs and incur</w:t>
      </w: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commitment costs, which could reduce profitability. We may experience an increase in our net shipping cost due to complimentary upgrades, split-shipments and additional long-zone shipments necessary to ensure timely delivery for the holiday season. Furthermore, if too many customers access our website within a short period of time due to increased holiday demand, we may experience system interruptions that could make our website unavailable or prevent us from efficiently fulfilling orders, which may reduce the volume of products we sell as well as the attractiveness of our product offerings. In addition, we or our third-party service providers may be unable to adequately staff our fulfillment and customer service centers during these peak periods, and our delivery service providers and other fulfillment companies may be unable to meet the peak seasonal demand.</w:t>
      </w:r>
    </w:p>
    <w:p>
      <w:pPr>
        <w:spacing w:after="0" w:line="144" w:lineRule="exact"/>
        <w:rPr>
          <w:sz w:val="20"/>
          <w:szCs w:val="20"/>
          <w:color w:val="auto"/>
        </w:rPr>
      </w:pPr>
    </w:p>
    <w:p>
      <w:pPr>
        <w:ind w:right="80" w:firstLine="440"/>
        <w:spacing w:after="0" w:line="236" w:lineRule="auto"/>
        <w:rPr>
          <w:sz w:val="20"/>
          <w:szCs w:val="20"/>
          <w:color w:val="auto"/>
        </w:rPr>
      </w:pPr>
      <w:r>
        <w:rPr>
          <w:rFonts w:ascii="Times New Roman" w:cs="Times New Roman" w:eastAsia="Times New Roman" w:hAnsi="Times New Roman"/>
          <w:sz w:val="18"/>
          <w:szCs w:val="18"/>
          <w:color w:val="auto"/>
        </w:rPr>
        <w:t>As a result of holiday sales, inventories, accounts payable and borrowings under our revolving line of credit typically reach their highest levels in October or November of each year (other than as a result of cash flow provided by or used in investing and financing activities). Inventories, accounts payable and borrowings under our revolving line of credit then typically decline steadily during the holiday season, resulting in our cash typically reaching its highest level, and borrowings under our revolving line of credit reaching their lowest level, typically near December 31 of each year.</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business, financial condition and operating results could be harmed.</w:t>
      </w:r>
    </w:p>
    <w:p>
      <w:pPr>
        <w:spacing w:after="0" w:line="175" w:lineRule="exact"/>
        <w:rPr>
          <w:sz w:val="20"/>
          <w:szCs w:val="20"/>
          <w:color w:val="auto"/>
        </w:rPr>
      </w:pPr>
    </w:p>
    <w:p>
      <w:pPr>
        <w:ind w:right="180" w:firstLine="440"/>
        <w:spacing w:after="0" w:line="236" w:lineRule="auto"/>
        <w:rPr>
          <w:sz w:val="20"/>
          <w:szCs w:val="20"/>
          <w:color w:val="auto"/>
        </w:rPr>
      </w:pPr>
      <w:r>
        <w:rPr>
          <w:rFonts w:ascii="Times New Roman" w:cs="Times New Roman" w:eastAsia="Times New Roman" w:hAnsi="Times New Roman"/>
          <w:sz w:val="18"/>
          <w:szCs w:val="18"/>
          <w:color w:val="auto"/>
        </w:rPr>
        <w:t>To manage our growth effectively, we must continue to implement our operational plans and strategies, improve and expand our infrastructure of people, information systems and facilities and expand, train and manage our employee base. To support continued growth, we must effectively integrate, develop and motivate a large number of employees. Failure to improve and expand our infrastructure of employees may have a material adverse effect on our business, financial condition and operating results.</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Additionally, the growth of our business places significant demands on our management and other employees. The growth of our business may</w:t>
      </w:r>
    </w:p>
    <w:p>
      <w:pPr>
        <w:spacing w:after="0" w:line="16"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8"/>
          <w:szCs w:val="18"/>
          <w:color w:val="auto"/>
        </w:rPr>
        <w:t>require significant additional resources to meet these daily demands, which may not scale in a cost-effective manner or may negatively affect the quality of our website, retail stores, fulfillment centers, call center and other aspects of the customer experience. We are also required to manage relationships with a growing number of suppliers, customers and other third parties. Our information technology systems and our internal controls and procedures may not be adequate to support future growth of these relationships. If we are unable to manage the growth of our organization effectively, our business, financial condition and operating results may be materially adversely affected.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71" w:lineRule="exact"/>
        <w:rPr>
          <w:sz w:val="20"/>
          <w:szCs w:val="20"/>
          <w:color w:val="auto"/>
        </w:rPr>
      </w:pPr>
    </w:p>
    <w:p>
      <w:pPr>
        <w:ind w:right="260" w:firstLine="25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Our net sales and profits depend on the level of consumer spending for apparel, footwear and accessories, which is sensitive to general economic conditions and other factors. An economic recession or a decline in consumer spending could have a material adverse effect on our business and results of operations.</w:t>
      </w:r>
    </w:p>
    <w:p>
      <w:pPr>
        <w:spacing w:after="0" w:line="126" w:lineRule="exact"/>
        <w:rPr>
          <w:sz w:val="20"/>
          <w:szCs w:val="20"/>
          <w:color w:val="auto"/>
        </w:rPr>
      </w:pPr>
    </w:p>
    <w:p>
      <w:pPr>
        <w:ind w:right="20" w:firstLine="440"/>
        <w:spacing w:after="0" w:line="233" w:lineRule="auto"/>
        <w:rPr>
          <w:sz w:val="20"/>
          <w:szCs w:val="20"/>
          <w:color w:val="auto"/>
        </w:rPr>
      </w:pPr>
      <w:r>
        <w:rPr>
          <w:rFonts w:ascii="Times New Roman" w:cs="Times New Roman" w:eastAsia="Times New Roman" w:hAnsi="Times New Roman"/>
          <w:sz w:val="18"/>
          <w:szCs w:val="18"/>
          <w:color w:val="auto"/>
        </w:rPr>
        <w:t>The apparel, footwear and accessories industry has historically been subject to cyclical variations and is particularly affected by adverse trends in the general economy. The success of our business depends on consumer spending. There are a number of factors that influence consumer spending, including actual and perceived economic conditions, disposable consumer income, interest rates, consumer credit availability, unemployment, stock market performance, extreme weather conditions, energy prices and tax rates in the national, regional and local markets where we sell our products. A decline in actual or perceived economic conditions or other factors could negatively impact the level of consumer spending and have a material adverse impact on our business and results of operations.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w:t>
      </w:r>
    </w:p>
    <w:p>
      <w:pPr>
        <w:spacing w:after="0" w:line="175" w:lineRule="exact"/>
        <w:rPr>
          <w:sz w:val="20"/>
          <w:szCs w:val="20"/>
          <w:color w:val="auto"/>
        </w:rPr>
      </w:pPr>
    </w:p>
    <w:p>
      <w:pPr>
        <w:ind w:firstLine="440"/>
        <w:spacing w:after="0" w:line="227" w:lineRule="auto"/>
        <w:rPr>
          <w:sz w:val="20"/>
          <w:szCs w:val="20"/>
          <w:color w:val="auto"/>
        </w:rPr>
      </w:pPr>
      <w:r>
        <w:rPr>
          <w:rFonts w:ascii="Times New Roman" w:cs="Times New Roman" w:eastAsia="Times New Roman" w:hAnsi="Times New Roman"/>
          <w:sz w:val="18"/>
          <w:szCs w:val="18"/>
          <w:color w:val="auto"/>
        </w:rPr>
        <w:t>We accept payments using a variety of methods, including credit cards, debit cards, Paypal, gift cards and physical bank checks. For existing and future payment methods we offer to our customers, we may become subject to additional regulations and compliance requirements (including obligations to implement enhanced authentication processes that could result in increased costs and reduce the ease of use of certain payment methods), as well as fraud. For certain payment methods, including credit and debit cards, we pay interchange and other fees, which may increase over time, raising our operating costs and lowering profitability. We rely on third-party service providers for payment processing services, including the processing of credit and debit cards. In each case, it could disrupt our business if these third-party service providers suffer a data breach, or become unwilling or unable to provide these services to us. We are also subject to payment card association operating rules, including data security rules, certification requirements and rules governing electronic funds transfers, which could change or be reinterpreted to make it difficult or impossible for us to comply. If we fail to comply with these rules or requirements, or if our systems containing payment information are breached or compromised, we may be liable for card issuing banks’ costs, subject to fines and higher transaction fees and/or lose our ability to accept credit and debit card payments from our customers and process electronic funds transfers or facilitate other types of payments, and our business and operating results could be adversely affected.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depend on cash generated from our operations to support our growth, which could strain our growth.</w:t>
      </w:r>
    </w:p>
    <w:p>
      <w:pPr>
        <w:spacing w:after="0" w:line="162" w:lineRule="exact"/>
        <w:rPr>
          <w:sz w:val="20"/>
          <w:szCs w:val="20"/>
          <w:color w:val="auto"/>
        </w:rPr>
      </w:pPr>
    </w:p>
    <w:p>
      <w:pPr>
        <w:ind w:firstLine="440"/>
        <w:spacing w:after="0" w:line="230" w:lineRule="auto"/>
        <w:rPr>
          <w:sz w:val="20"/>
          <w:szCs w:val="20"/>
          <w:color w:val="auto"/>
        </w:rPr>
      </w:pPr>
      <w:r>
        <w:rPr>
          <w:rFonts w:ascii="Times New Roman" w:cs="Times New Roman" w:eastAsia="Times New Roman" w:hAnsi="Times New Roman"/>
          <w:sz w:val="18"/>
          <w:szCs w:val="18"/>
          <w:color w:val="auto"/>
        </w:rPr>
        <w:t>We primarily rely on cash flow generated from our direct-to-consumer and retail store sales and borrowings under our credit facility to fund our current operations and our growth initiatives. As we expand our business, we will need significant amounts of cash to pay our existing and future lease obligations, purchase inventory, pay personnel and invest in our infrastructure and facilities. If our business does not generate sufficient cash flow from operations to fund these activities and sufficient funds are not otherwise available from our existing revolving credit facility or future credit facilities, we may need additional equity or debt financing. If such financing is not available to us on satisfactory terms, our ability to operate and expand our business or to respond to competitive pressures would be limited and we could be required to delay, curtail or eliminate planned investments and other activities. Moreover, if we raise additional capital by issuing equity securities or securities convertible into equity securities, your ownership may be diluted. Any debt financing we may incur may impose on us covenants that restrict our operations and will require interest payments that would create additional cash demands and financial risk for us.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accurately forecast our operating results and growth rate, and our growth rate may decline over time.</w:t>
      </w:r>
    </w:p>
    <w:p>
      <w:pPr>
        <w:spacing w:after="0" w:line="175" w:lineRule="exact"/>
        <w:rPr>
          <w:sz w:val="20"/>
          <w:szCs w:val="20"/>
          <w:color w:val="auto"/>
        </w:rPr>
      </w:pPr>
    </w:p>
    <w:p>
      <w:pPr>
        <w:ind w:firstLine="440"/>
        <w:spacing w:after="0" w:line="229" w:lineRule="auto"/>
        <w:rPr>
          <w:sz w:val="20"/>
          <w:szCs w:val="20"/>
          <w:color w:val="auto"/>
        </w:rPr>
      </w:pPr>
      <w:r>
        <w:rPr>
          <w:rFonts w:ascii="Times New Roman" w:cs="Times New Roman" w:eastAsia="Times New Roman" w:hAnsi="Times New Roman"/>
          <w:sz w:val="18"/>
          <w:szCs w:val="18"/>
          <w:color w:val="auto"/>
        </w:rPr>
        <w:t>We may not be able to accurately forecast our operating results and growth rate. We use a variety of factors in our forecasting and planning processes, including historical results, recent history and assessments of economic and market conditions, among other things. The growth rates in net sales and profitability that we have experienced historically may not be sustainable as our customer base expands and we achieve higher market penetration rates, and our percentage growth rates may decrease. The growth of our sales and profitability depends on the continued growth of demand for the products we offer, and our business is affected by general economic and business conditions. A softening of demand, whether caused by changes in customer preferences or a weakening of the economy or other factors, may result in decreased net sales or growth. In addition, we experience seasonal trends in our business, and this variability may make it difficult to predict net sales and could result in significant fluctuations in our operating results from period to period. Furthermore, most of our expenses and investments are fixed, and we may not be able to adjust our spending in a timely manner to compensate for any unexpected shortfall in our net sales results. Failure to accurately forecast our operating results and growth rate could cause our actual results to be materially lower than anticipated, and if our growth rates decline as a result, investors’ perceptions of our business may be adversely affected, and the market price of our Class B common stock could decline.</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comply with restrictive covenants under our revolving credit facility and other debt instruments could trigger prepayment obligations.</w:t>
      </w:r>
    </w:p>
    <w:p>
      <w:pPr>
        <w:spacing w:after="0" w:line="162" w:lineRule="exact"/>
        <w:rPr>
          <w:sz w:val="20"/>
          <w:szCs w:val="20"/>
          <w:color w:val="auto"/>
        </w:rPr>
      </w:pPr>
    </w:p>
    <w:p>
      <w:pPr>
        <w:ind w:right="120" w:firstLine="440"/>
        <w:spacing w:after="0" w:line="242" w:lineRule="auto"/>
        <w:rPr>
          <w:sz w:val="20"/>
          <w:szCs w:val="20"/>
          <w:color w:val="auto"/>
        </w:rPr>
      </w:pPr>
      <w:r>
        <w:rPr>
          <w:rFonts w:ascii="Times New Roman" w:cs="Times New Roman" w:eastAsia="Times New Roman" w:hAnsi="Times New Roman"/>
          <w:sz w:val="18"/>
          <w:szCs w:val="18"/>
          <w:color w:val="auto"/>
        </w:rPr>
        <w:t>Our failure to comply with the restrictive covenants under our revolving credit facility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Tax, Compliance, Reputable and Other Risks</w:t>
      </w:r>
    </w:p>
    <w:p>
      <w:pPr>
        <w:spacing w:after="0" w:line="158" w:lineRule="exact"/>
        <w:rPr>
          <w:sz w:val="20"/>
          <w:szCs w:val="20"/>
          <w:color w:val="auto"/>
        </w:rPr>
      </w:pPr>
    </w:p>
    <w:p>
      <w:pPr>
        <w:ind w:right="96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increased labor costs due to external factors, including changes in laws and regulations, and we may be subject to unionization, work stoppages or slowdowns.</w:t>
      </w:r>
    </w:p>
    <w:p>
      <w:pPr>
        <w:spacing w:after="0" w:line="117" w:lineRule="exact"/>
        <w:rPr>
          <w:sz w:val="20"/>
          <w:szCs w:val="20"/>
          <w:color w:val="auto"/>
        </w:rPr>
      </w:pPr>
    </w:p>
    <w:p>
      <w:pPr>
        <w:ind w:right="40" w:firstLine="259"/>
        <w:spacing w:after="0" w:line="231" w:lineRule="auto"/>
        <w:rPr>
          <w:sz w:val="20"/>
          <w:szCs w:val="20"/>
          <w:color w:val="auto"/>
        </w:rPr>
      </w:pPr>
      <w:r>
        <w:rPr>
          <w:rFonts w:ascii="Times New Roman" w:cs="Times New Roman" w:eastAsia="Times New Roman" w:hAnsi="Times New Roman"/>
          <w:sz w:val="18"/>
          <w:szCs w:val="18"/>
          <w:color w:val="auto"/>
        </w:rPr>
        <w:t>Our ability to meet our labor needs while controlling costs is subject to external factors such as unemployment levels, prevailing wage rates, minimum wage legislation, actions by our competitors with respect to compensation levels and changing demographics. Currently none of our employees are represented by a union, but our employees have the right to under the National Labor Relations Act. Changes that adversely impact our ability to meet our labor needs in a cost-effective manner could adversely affect our operating results. In addition, the employer mandate provisions of the Patient Protection and Affordable Health Care Act (the “PPACA”), changes in regulations under the PPACA, changes in federal and state minimum wage laws and other laws and regulations relating to employee benefits could cause us to incur additional wage and benefit costs, which could negatively impact our business, financial condition and results of operations.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Unseasonal or severe weather conditions may adversely affect our merchandise sales.</w:t>
      </w:r>
    </w:p>
    <w:p>
      <w:pPr>
        <w:spacing w:after="0" w:line="162" w:lineRule="exact"/>
        <w:rPr>
          <w:sz w:val="20"/>
          <w:szCs w:val="20"/>
          <w:color w:val="auto"/>
        </w:rPr>
      </w:pPr>
    </w:p>
    <w:p>
      <w:pPr>
        <w:jc w:val="both"/>
        <w:ind w:right="100" w:firstLine="440"/>
        <w:spacing w:after="0" w:line="231" w:lineRule="auto"/>
        <w:rPr>
          <w:sz w:val="20"/>
          <w:szCs w:val="20"/>
          <w:color w:val="auto"/>
        </w:rPr>
      </w:pPr>
      <w:r>
        <w:rPr>
          <w:rFonts w:ascii="Times New Roman" w:cs="Times New Roman" w:eastAsia="Times New Roman" w:hAnsi="Times New Roman"/>
          <w:sz w:val="18"/>
          <w:szCs w:val="18"/>
          <w:color w:val="auto"/>
        </w:rPr>
        <w:t>Our business is adversely affected by unseasonal weather conditions. Sales of certain seasonal apparel items, especially outerwear, are dependent in part on the weather and may decline in years in which weather conditions do not favor the use of these products. Sales of our spring and summer products, which traditionally consist of lighter weight clothing, are adversely affected by cool or wet weather. Similarly, sales of our fall and winter products, which are traditionally weighted toward outerwear, are adversely affected by mild, dry or warm weather. Severe weather events may impact our ability to supply our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retail stores, deliver orders to customers on schedule and staff our retail stores, fulfillment centers and call center, which could have an adverse effect on our business and results of operations.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product designs are not protected by substantial intellectual property rights.</w:t>
      </w:r>
    </w:p>
    <w:p>
      <w:pPr>
        <w:spacing w:after="0" w:line="175" w:lineRule="exact"/>
        <w:rPr>
          <w:sz w:val="20"/>
          <w:szCs w:val="20"/>
          <w:color w:val="auto"/>
        </w:rPr>
      </w:pPr>
    </w:p>
    <w:p>
      <w:pPr>
        <w:ind w:right="60" w:firstLine="440"/>
        <w:spacing w:after="0" w:line="235" w:lineRule="auto"/>
        <w:rPr>
          <w:sz w:val="20"/>
          <w:szCs w:val="20"/>
          <w:color w:val="auto"/>
        </w:rPr>
      </w:pPr>
      <w:r>
        <w:rPr>
          <w:rFonts w:ascii="Times New Roman" w:cs="Times New Roman" w:eastAsia="Times New Roman" w:hAnsi="Times New Roman"/>
          <w:sz w:val="18"/>
          <w:szCs w:val="18"/>
          <w:color w:val="auto"/>
        </w:rPr>
        <w:t>Due to the rapid pace of change in the apparel, footwear and accessories industry, the length of time it takes to obtain patents and the expense and uncertainty of obtaining patent protection, we have not taken steps to obtain patent protection for our innovative product designs. Competitors have attempted to copy our product designs in the past, and we expect that if we are able to raise our national profile, our products may be subject to greater imitation by existing and new competitors. If we are not able to continue rapid innovation of new products and product features, our brand may be harmed and our results of operations may be materially adversely affected.</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or preserve our brand image and our proprietary rights, our business may be adversely affected.</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regard our trademarks, copyrights, trade secrets and similar proprietary rights as critical to our success. As such, we rely on trademark and</w:t>
      </w:r>
    </w:p>
    <w:p>
      <w:pPr>
        <w:spacing w:after="0" w:line="2"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8"/>
          <w:szCs w:val="18"/>
          <w:color w:val="auto"/>
        </w:rPr>
        <w:t>copyright law, trade secret protection and confidentiality agreements with our associates, consultants, suppliers and others to protect our proprietary rights. Nevertheless, the steps we take to protect our proprietary rights may be inadequate and we may experience difficulty in effectively limiting the unauthorized use of our trademarks and other intellectual property worldwide. Unauthorized use of our trademarks, copyrights, trade secrets or other intellectual property rights may cause significant damage to our brand and our ability to effectively represent ourselves to agents, suppliers, vendors, licensees and/or customers. While we intend to enforce our intellectual property rights, there can be no assurance that we are adequately protected in all countries or that we will prevail when defending our trademark and proprietary rights. If we are unable to protect or preserve the value of our trademarks, copyrights or other intellectual property rights for any reason, or if we fail to maintain our brand image due to merchandise and service quality issues, actual or perceived, adverse publicity, governmental investigations or litigation or other reasons, our brand and reputation could be damaged and our business may be adversely affected.</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liability if we infringe upon the intellectual property rights of third parties.</w:t>
      </w:r>
    </w:p>
    <w:p>
      <w:pPr>
        <w:spacing w:after="0" w:line="175" w:lineRule="exact"/>
        <w:rPr>
          <w:sz w:val="20"/>
          <w:szCs w:val="20"/>
          <w:color w:val="auto"/>
        </w:rPr>
      </w:pPr>
    </w:p>
    <w:p>
      <w:pPr>
        <w:ind w:firstLine="440"/>
        <w:spacing w:after="0" w:line="231" w:lineRule="auto"/>
        <w:rPr>
          <w:sz w:val="20"/>
          <w:szCs w:val="20"/>
          <w:color w:val="auto"/>
        </w:rPr>
      </w:pPr>
      <w:r>
        <w:rPr>
          <w:rFonts w:ascii="Times New Roman" w:cs="Times New Roman" w:eastAsia="Times New Roman" w:hAnsi="Times New Roman"/>
          <w:sz w:val="18"/>
          <w:szCs w:val="18"/>
          <w:color w:val="auto"/>
        </w:rPr>
        <w:t>Third parties may sue us for alleged infringement of their proprietary rights or use intellectual property rights to interfere with or attempt to interfere with the manufacture of products for us or the supply of products to us. The party claiming infringement might have greater resources than we do to pursue its claims, and we could be forced to incur substantial costs and devote significant management resources to defend against such litigation. If the party claiming infringement were to prevail, we could be forced to discontinue the use of the related trademark or design and/or pay significant damages or enter into expensive royalty or licensing arrangements with the prevailing party, assuming these royalty or licensing arrangements are available at all on an economically feasible basis, which they may not be. We could also be required to pay substantial damages. Such infringement claims could harm the Duluth Trading brand. In addition, any payments we are required to make and any injunction we are required to comply with as a result of such infringement could adversely affect our financial results.</w:t>
      </w:r>
    </w:p>
    <w:p>
      <w:pPr>
        <w:spacing w:after="0" w:line="130" w:lineRule="exact"/>
        <w:rPr>
          <w:sz w:val="20"/>
          <w:szCs w:val="20"/>
          <w:color w:val="auto"/>
        </w:rPr>
      </w:pPr>
    </w:p>
    <w:p>
      <w:pPr>
        <w:ind w:right="72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independent suppliers do not use ethical business practices or comply with applicable regulations and laws, our reputation could be materially harmed and our business and results of operations may be adversely affected.</w:t>
      </w:r>
    </w:p>
    <w:p>
      <w:pPr>
        <w:spacing w:after="0" w:line="117" w:lineRule="exact"/>
        <w:rPr>
          <w:sz w:val="20"/>
          <w:szCs w:val="20"/>
          <w:color w:val="auto"/>
        </w:rPr>
      </w:pPr>
    </w:p>
    <w:p>
      <w:pPr>
        <w:ind w:right="80" w:firstLine="440"/>
        <w:spacing w:after="0" w:line="231" w:lineRule="auto"/>
        <w:rPr>
          <w:sz w:val="20"/>
          <w:szCs w:val="20"/>
          <w:color w:val="auto"/>
        </w:rPr>
      </w:pPr>
      <w:r>
        <w:rPr>
          <w:rFonts w:ascii="Times New Roman" w:cs="Times New Roman" w:eastAsia="Times New Roman" w:hAnsi="Times New Roman"/>
          <w:sz w:val="18"/>
          <w:szCs w:val="18"/>
          <w:color w:val="auto"/>
        </w:rPr>
        <w:t>Our reputation and customers’ willingness to purchase our products depend in part on our suppliers’ compliance with ethical employment practices, such as with respect to child labor, wages and benefits, forced labor, discrimination, freedom of association, unlawful inducements, safe and healthy working conditions and with all legal and regulatory requirements relating to the conduct of their business. While we operate compliance and monitoring programs to promote ethical and lawful business practices, we do not exercise ultimate control over our independent suppliers or their business practices and cannot guarantee their compliance with ethical and lawful business practices. Violation of labor or other laws by our suppliers, or the divergence of a supplier’s labor practices from those generally accepted as ethical in the United States, could materially hurt our reputation, which could have an adverse effect on our business and results of operations.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assessments for additional taxes, including sales taxes, which could adversely affect our business.</w:t>
      </w:r>
    </w:p>
    <w:p>
      <w:pPr>
        <w:spacing w:after="0" w:line="162" w:lineRule="exact"/>
        <w:rPr>
          <w:sz w:val="20"/>
          <w:szCs w:val="20"/>
          <w:color w:val="auto"/>
        </w:rPr>
      </w:pPr>
    </w:p>
    <w:p>
      <w:pPr>
        <w:ind w:right="60" w:firstLine="440"/>
        <w:spacing w:after="0" w:line="231" w:lineRule="auto"/>
        <w:rPr>
          <w:sz w:val="20"/>
          <w:szCs w:val="20"/>
          <w:color w:val="auto"/>
        </w:rPr>
      </w:pPr>
      <w:r>
        <w:rPr>
          <w:rFonts w:ascii="Times New Roman" w:cs="Times New Roman" w:eastAsia="Times New Roman" w:hAnsi="Times New Roman"/>
          <w:sz w:val="18"/>
          <w:szCs w:val="18"/>
          <w:color w:val="auto"/>
        </w:rPr>
        <w:t>In accordance with current law, we pay, collect and/or remit taxes in those states where we or our subsidiary, as applicable, maintain a physical presence. While we believe that we have appropriately remitted all taxes based on our interpretation of applicable law, tax laws are complex and their application differs from state to state. It is possible that some taxing jurisdictions may attempt to assess additional taxes and penalties on us or assert either an error in our calculation, a change in the application of law or an interpretation of the law that differs from our own, which may, if successful, adversely affect our business and results of operations.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20" w:firstLine="402"/>
        <w:spacing w:after="0" w:line="229"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or Wayfair, that online sellers can be required to collect sales and use tax despite not having a physical presence in the buyer’s state. In response to Wayfair, or otherwise, states or local governments have adopted, or begun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and decrease our future sales, which could have an impact on our business, financial condition and results of operations.</w:t>
      </w:r>
    </w:p>
    <w:p>
      <w:pPr>
        <w:spacing w:after="0" w:line="144" w:lineRule="exact"/>
        <w:rPr>
          <w:sz w:val="20"/>
          <w:szCs w:val="20"/>
          <w:color w:val="auto"/>
        </w:rPr>
      </w:pPr>
    </w:p>
    <w:p>
      <w:pPr>
        <w:ind w:right="30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a number of legal proceedings and audits, and outcomes of such legal proceedings and audits could adversely affect our business, financial condition and results of operations.</w:t>
      </w:r>
    </w:p>
    <w:p>
      <w:pPr>
        <w:spacing w:after="0" w:line="131" w:lineRule="exact"/>
        <w:rPr>
          <w:sz w:val="20"/>
          <w:szCs w:val="20"/>
          <w:color w:val="auto"/>
        </w:rPr>
      </w:pPr>
    </w:p>
    <w:p>
      <w:pPr>
        <w:ind w:firstLine="440"/>
        <w:spacing w:after="0" w:line="229" w:lineRule="auto"/>
        <w:rPr>
          <w:sz w:val="20"/>
          <w:szCs w:val="20"/>
          <w:color w:val="auto"/>
        </w:rPr>
      </w:pPr>
      <w:r>
        <w:rPr>
          <w:rFonts w:ascii="Times New Roman" w:cs="Times New Roman" w:eastAsia="Times New Roman" w:hAnsi="Times New Roman"/>
          <w:sz w:val="18"/>
          <w:szCs w:val="18"/>
          <w:color w:val="auto"/>
        </w:rPr>
        <w:t>Our business requires compliance with many laws and regulations, including labor and employment, customs, truth-in-advertising, consumer protection and zoning and occupancy laws and ordinances that regulate retailers generally and/or govern the importation, promotion and sale of merchandise and the operation of stores and warehouse facilities. Failure to achieve compliance could subject us to lawsuits and other proceedings, and could also lead to damage awards, fines and penalties. We may become involved in a number of legal proceedings and audits including government and agency investigations, and consumer, employment, tort and other litigation. We cannot predict with certainty the outcomes of these legal proceedings and other contingencies. The outcome of some of these legal proceedings, audits and other contingencies could require us to take, or refrain from taking, actions which could negatively affect our operations or require us to pay substantial amounts of money adversely affecting our financial condition and results of operations. Additionally, defending against these lawsuits and proceedings may be necessary, which could result in substantial costs and diversion of management’s attention and resources, causing a material adverse effect on our business, financial condition and results of operations. There can be no assurance that any pending or future legal proceedings and audits will not have a material adverse effect on our business, financial condition and results of operations.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Changes to accounting rules or regulations could significantly affect our financial results.</w:t>
      </w:r>
    </w:p>
    <w:p>
      <w:pPr>
        <w:spacing w:after="0" w:line="175" w:lineRule="exact"/>
        <w:rPr>
          <w:sz w:val="20"/>
          <w:szCs w:val="20"/>
          <w:color w:val="auto"/>
        </w:rPr>
      </w:pPr>
    </w:p>
    <w:p>
      <w:pPr>
        <w:ind w:right="300" w:firstLine="440"/>
        <w:spacing w:after="0" w:line="23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New accounting rules or regulations and changes to existing accounting rules or regulations have occurred and may occur in the future. Future changes to accounting rules or regulations could negatively affect our results of operations and financial condition through increased compliance costs.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B Common Stock</w:t>
      </w:r>
    </w:p>
    <w:p>
      <w:pPr>
        <w:spacing w:after="0" w:line="171" w:lineRule="exact"/>
        <w:rPr>
          <w:sz w:val="20"/>
          <w:szCs w:val="20"/>
          <w:color w:val="auto"/>
        </w:rPr>
      </w:pPr>
    </w:p>
    <w:p>
      <w:pPr>
        <w:ind w:right="100" w:firstLine="25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and the existing ownership of common stock by our executive officers, directors and their affiliates have the effect of concentrating voting control with our executive officers, directors and their affiliates for the foreseeable future, which will limit your ability to influence corporate matters.</w:t>
      </w:r>
    </w:p>
    <w:p>
      <w:pPr>
        <w:spacing w:after="0" w:line="126" w:lineRule="exact"/>
        <w:rPr>
          <w:sz w:val="20"/>
          <w:szCs w:val="20"/>
          <w:color w:val="auto"/>
        </w:rPr>
      </w:pPr>
    </w:p>
    <w:p>
      <w:pPr>
        <w:ind w:right="60" w:firstLine="440"/>
        <w:spacing w:after="0" w:line="230" w:lineRule="auto"/>
        <w:rPr>
          <w:sz w:val="20"/>
          <w:szCs w:val="20"/>
          <w:color w:val="auto"/>
        </w:rPr>
      </w:pPr>
      <w:r>
        <w:rPr>
          <w:rFonts w:ascii="Times New Roman" w:cs="Times New Roman" w:eastAsia="Times New Roman" w:hAnsi="Times New Roman"/>
          <w:sz w:val="18"/>
          <w:szCs w:val="18"/>
          <w:color w:val="auto"/>
        </w:rPr>
        <w:t>Our Class A common stock has ten votes per share, and our Class B common stock has one vote per share. Given the greater number of votes per share attributed to our Class A common stock, our Chairman, Stephen L. Schlecht, who is our only Class A shareholder, beneficially owns shares representing more than 50% of the voting power of our outstanding capital stock. As a result of our dual class ownership structure, Mr. Schlecht will be able to exert a significant degree of influence or actual control over our management and affairs and over matters requiring shareholder approval, including the election of directors, a merger, consolidation or sale of all or substantially all of our assets and any other significant transaction. Mr. Schlecht together with our other executive officers, directors and their affiliates, owns shares representing the majority of the voting power of our outstanding capital stock. This concentrated control will limit your ability to influence corporate matters for the foreseeable future. For example, these shareholders will be able to control elections of directors, amendments of our articles of incorporation or bylaws, increases to the number of shares available for issuance under our equity incentive plans or adoption of new equity incentive plans and approval of any merger or sale of assets for the foreseeable future. This control may materially adversely affect the market price of our Class B common stock.</w:t>
      </w:r>
    </w:p>
    <w:p>
      <w:pPr>
        <w:spacing w:after="0" w:line="136" w:lineRule="exact"/>
        <w:rPr>
          <w:sz w:val="20"/>
          <w:szCs w:val="20"/>
          <w:color w:val="auto"/>
        </w:rPr>
      </w:pPr>
    </w:p>
    <w:p>
      <w:pPr>
        <w:ind w:right="60" w:firstLine="440"/>
        <w:spacing w:after="0" w:line="234" w:lineRule="auto"/>
        <w:rPr>
          <w:sz w:val="20"/>
          <w:szCs w:val="20"/>
          <w:color w:val="auto"/>
        </w:rPr>
      </w:pPr>
      <w:r>
        <w:rPr>
          <w:rFonts w:ascii="Times New Roman" w:cs="Times New Roman" w:eastAsia="Times New Roman" w:hAnsi="Times New Roman"/>
          <w:sz w:val="18"/>
          <w:szCs w:val="18"/>
          <w:color w:val="auto"/>
        </w:rPr>
        <w:t>Additionally, the holder of our Class A common stock may cause us to make strategic decisions or pursue acquisitions that could involve risks to you or may not be aligned with your interests. The holder of our Class A common stock will also be entitled to a separate vote in the event we seek to amend our articles of incorporation in a manner that alters or changes the powers, preferences or special rights of the Class A common stock in a manner that affects its holder adversely.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14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we rely on exemptions from certain corporate governance requirements that provide protection to shareholders of other companies.</w:t>
      </w:r>
    </w:p>
    <w:p>
      <w:pPr>
        <w:spacing w:after="0" w:line="131" w:lineRule="exact"/>
        <w:rPr>
          <w:sz w:val="20"/>
          <w:szCs w:val="20"/>
          <w:color w:val="auto"/>
        </w:rPr>
      </w:pPr>
    </w:p>
    <w:p>
      <w:pPr>
        <w:ind w:right="160" w:firstLine="440"/>
        <w:spacing w:after="0" w:line="242" w:lineRule="auto"/>
        <w:rPr>
          <w:sz w:val="20"/>
          <w:szCs w:val="20"/>
          <w:color w:val="auto"/>
        </w:rPr>
      </w:pPr>
      <w:r>
        <w:rPr>
          <w:rFonts w:ascii="Times New Roman" w:cs="Times New Roman" w:eastAsia="Times New Roman" w:hAnsi="Times New Roman"/>
          <w:sz w:val="18"/>
          <w:szCs w:val="18"/>
          <w:color w:val="auto"/>
        </w:rPr>
        <w:t>Mr. Schlecht controls more than 50% of the total voting power of our common stock, and we are considered a controlled company under the NASDAQ corporate governance listing standards. As a controlled company, certain exemptions under the NASDAQ listing standards exempt us from the obligation to comply with certain NASDAQ corporate governance requirements, including the requirements:</w:t>
      </w:r>
    </w:p>
    <w:p>
      <w:pPr>
        <w:spacing w:after="0" w:line="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that a majority of our board of directors consist of independent directors, as defined under the rules of NASDAQ;</w:t>
      </w:r>
    </w:p>
    <w:p>
      <w:pPr>
        <w:spacing w:after="0" w:line="90" w:lineRule="exact"/>
        <w:rPr>
          <w:sz w:val="20"/>
          <w:szCs w:val="20"/>
          <w:color w:val="auto"/>
        </w:rPr>
      </w:pPr>
    </w:p>
    <w:p>
      <w:pPr>
        <w:ind w:left="880" w:right="420"/>
        <w:spacing w:after="0" w:line="266" w:lineRule="auto"/>
        <w:rPr>
          <w:sz w:val="20"/>
          <w:szCs w:val="20"/>
          <w:color w:val="auto"/>
        </w:rPr>
      </w:pPr>
      <w:r>
        <w:rPr>
          <w:rFonts w:ascii="Times New Roman" w:cs="Times New Roman" w:eastAsia="Times New Roman" w:hAnsi="Times New Roman"/>
          <w:sz w:val="18"/>
          <w:szCs w:val="18"/>
          <w:color w:val="auto"/>
        </w:rPr>
        <w:t>that we have a nominating committee that is composed entirely of independent directors with a written charter addressing the committee’s purpose and responsibilities; and</w:t>
      </w:r>
    </w:p>
    <w:p>
      <w:pPr>
        <w:spacing w:after="0" w:line="27" w:lineRule="exact"/>
        <w:rPr>
          <w:sz w:val="20"/>
          <w:szCs w:val="20"/>
          <w:color w:val="auto"/>
        </w:rPr>
      </w:pPr>
    </w:p>
    <w:p>
      <w:pPr>
        <w:ind w:left="880" w:right="240"/>
        <w:spacing w:after="0" w:line="266" w:lineRule="auto"/>
        <w:rPr>
          <w:sz w:val="20"/>
          <w:szCs w:val="20"/>
          <w:color w:val="auto"/>
        </w:rPr>
      </w:pPr>
      <w:r>
        <w:rPr>
          <w:rFonts w:ascii="Times New Roman" w:cs="Times New Roman" w:eastAsia="Times New Roman" w:hAnsi="Times New Roman"/>
          <w:sz w:val="18"/>
          <w:szCs w:val="18"/>
          <w:color w:val="auto"/>
        </w:rPr>
        <w:t>that we have a compensation committee that is composed entirely of independent directors with a written charter addressing the committee’s purpose and responsibilities.</w:t>
      </w:r>
    </w:p>
    <w:p>
      <w:pPr>
        <w:spacing w:after="0" w:line="122" w:lineRule="exact"/>
        <w:rPr>
          <w:sz w:val="20"/>
          <w:szCs w:val="20"/>
          <w:color w:val="auto"/>
        </w:rPr>
      </w:pPr>
    </w:p>
    <w:p>
      <w:pPr>
        <w:ind w:right="20" w:firstLine="440"/>
        <w:spacing w:after="0" w:line="242" w:lineRule="auto"/>
        <w:rPr>
          <w:sz w:val="20"/>
          <w:szCs w:val="20"/>
          <w:color w:val="auto"/>
        </w:rPr>
      </w:pPr>
      <w:r>
        <w:rPr>
          <w:rFonts w:ascii="Times New Roman" w:cs="Times New Roman" w:eastAsia="Times New Roman" w:hAnsi="Times New Roman"/>
          <w:sz w:val="18"/>
          <w:szCs w:val="18"/>
          <w:color w:val="auto"/>
        </w:rPr>
        <w:t>Although we have a majority of independent directors on our board, we are a controlled company. As such, there is no guarantee that we will not take advantage of this exemption in the future. Accordingly, as long as we are a controlled company, holders of our Class B common stock may not have the same protections afforded to shareholders of companies that are subject to all of the NASDAQ corporate governance requirements.</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or may decline regardless of our operating performance, resulting in substantial losses for investors.</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market price of our Class B common stock may fluctuate significantly in response to numerous factors, many of which are beyond our control, including:</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actual or anticipated fluctuations in our results of operations, particularly in our growth rates and margins;</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90" w:lineRule="exact"/>
        <w:rPr>
          <w:sz w:val="20"/>
          <w:szCs w:val="20"/>
          <w:color w:val="auto"/>
        </w:rPr>
      </w:pPr>
    </w:p>
    <w:p>
      <w:pPr>
        <w:ind w:left="880" w:right="20"/>
        <w:spacing w:after="0" w:line="266" w:lineRule="auto"/>
        <w:rPr>
          <w:sz w:val="20"/>
          <w:szCs w:val="20"/>
          <w:color w:val="auto"/>
        </w:rPr>
      </w:pPr>
      <w:r>
        <w:rPr>
          <w:rFonts w:ascii="Times New Roman" w:cs="Times New Roman" w:eastAsia="Times New Roman" w:hAnsi="Times New Roman"/>
          <w:sz w:val="18"/>
          <w:szCs w:val="18"/>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27" w:lineRule="exact"/>
        <w:rPr>
          <w:sz w:val="20"/>
          <w:szCs w:val="20"/>
          <w:color w:val="auto"/>
        </w:rPr>
      </w:pPr>
    </w:p>
    <w:p>
      <w:pPr>
        <w:ind w:left="880" w:right="440"/>
        <w:spacing w:after="0" w:line="282" w:lineRule="auto"/>
        <w:rPr>
          <w:sz w:val="20"/>
          <w:szCs w:val="20"/>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operating results or capital commitments;</w:t>
      </w:r>
    </w:p>
    <w:p>
      <w:pPr>
        <w:spacing w:after="0" w:line="13" w:lineRule="exact"/>
        <w:rPr>
          <w:sz w:val="20"/>
          <w:szCs w:val="20"/>
          <w:color w:val="auto"/>
        </w:rPr>
      </w:pPr>
    </w:p>
    <w:p>
      <w:pPr>
        <w:ind w:left="880" w:right="320"/>
        <w:spacing w:after="0" w:line="266" w:lineRule="auto"/>
        <w:rPr>
          <w:sz w:val="20"/>
          <w:szCs w:val="20"/>
          <w:color w:val="auto"/>
        </w:rPr>
      </w:pPr>
      <w:r>
        <w:rPr>
          <w:rFonts w:ascii="Times New Roman" w:cs="Times New Roman" w:eastAsia="Times New Roman" w:hAnsi="Times New Roman"/>
          <w:sz w:val="18"/>
          <w:szCs w:val="18"/>
          <w:color w:val="auto"/>
        </w:rPr>
        <w:t>changes in operating performance and stock market valuations of other technology or retail companies generally, or those in our industry in particular;</w:t>
      </w:r>
    </w:p>
    <w:p>
      <w:pPr>
        <w:spacing w:after="0" w:line="27" w:lineRule="exact"/>
        <w:rPr>
          <w:sz w:val="20"/>
          <w:szCs w:val="20"/>
          <w:color w:val="auto"/>
        </w:rPr>
      </w:pPr>
    </w:p>
    <w:p>
      <w:pPr>
        <w:ind w:left="880" w:right="2020"/>
        <w:spacing w:after="0" w:line="344" w:lineRule="auto"/>
        <w:rPr>
          <w:sz w:val="20"/>
          <w:szCs w:val="20"/>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 changes in our board of directors or management;</w:t>
      </w:r>
    </w:p>
    <w:p>
      <w:pPr>
        <w:ind w:left="880" w:right="880"/>
        <w:spacing w:after="0" w:line="344" w:lineRule="auto"/>
        <w:rPr>
          <w:sz w:val="20"/>
          <w:szCs w:val="20"/>
          <w:color w:val="auto"/>
        </w:rPr>
      </w:pPr>
      <w:r>
        <w:rPr>
          <w:rFonts w:ascii="Times New Roman" w:cs="Times New Roman" w:eastAsia="Times New Roman" w:hAnsi="Times New Roman"/>
          <w:sz w:val="18"/>
          <w:szCs w:val="18"/>
          <w:color w:val="auto"/>
        </w:rPr>
        <w:t>sales of large blocks of our Class B common stock, including sales by our executive officers, directors and significant shareholders; lawsuits threatened or filed against us;</w:t>
      </w:r>
    </w:p>
    <w:p>
      <w:pPr>
        <w:ind w:left="440"/>
        <w:spacing w:after="0"/>
        <w:rPr>
          <w:sz w:val="20"/>
          <w:szCs w:val="20"/>
          <w:color w:val="auto"/>
        </w:rPr>
      </w:pPr>
      <w:r>
        <w:rPr>
          <w:rFonts w:ascii="Times New Roman" w:cs="Times New Roman" w:eastAsia="Times New Roman" w:hAnsi="Times New Roman"/>
          <w:sz w:val="18"/>
          <w:szCs w:val="18"/>
          <w:color w:val="auto"/>
        </w:rPr>
        <w:t>changes in laws or regulations applicable to our business;</w:t>
      </w:r>
    </w:p>
    <w:p>
      <w:pPr>
        <w:spacing w:after="0" w:line="90" w:lineRule="exact"/>
        <w:rPr>
          <w:sz w:val="20"/>
          <w:szCs w:val="20"/>
          <w:color w:val="auto"/>
        </w:rPr>
      </w:pPr>
    </w:p>
    <w:p>
      <w:pPr>
        <w:ind w:left="880" w:right="4280"/>
        <w:spacing w:after="0" w:line="349" w:lineRule="auto"/>
        <w:rPr>
          <w:sz w:val="20"/>
          <w:szCs w:val="20"/>
          <w:color w:val="auto"/>
        </w:rPr>
      </w:pPr>
      <w:r>
        <w:rPr>
          <w:rFonts w:ascii="Times New Roman" w:cs="Times New Roman" w:eastAsia="Times New Roman" w:hAnsi="Times New Roman"/>
          <w:sz w:val="18"/>
          <w:szCs w:val="18"/>
          <w:color w:val="auto"/>
        </w:rPr>
        <w:t>changes in our capital structure, such as future issuances of debt or equity securities; short sales, hedging and other derivative transactions involving our capital stock; general economic conditions in the United States and abroad; and</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events or factors, including those resulting from pandemics, war, incidents of terrorism or responses to these events.</w:t>
      </w:r>
    </w:p>
    <w:p>
      <w:pPr>
        <w:spacing w:after="0" w:line="171" w:lineRule="exact"/>
        <w:rPr>
          <w:sz w:val="20"/>
          <w:szCs w:val="20"/>
          <w:color w:val="auto"/>
        </w:rPr>
      </w:pPr>
    </w:p>
    <w:p>
      <w:pPr>
        <w:ind w:firstLine="440"/>
        <w:spacing w:after="0" w:line="231" w:lineRule="auto"/>
        <w:rPr>
          <w:sz w:val="20"/>
          <w:szCs w:val="20"/>
          <w:color w:val="auto"/>
        </w:rPr>
      </w:pPr>
      <w:r>
        <w:rPr>
          <w:rFonts w:ascii="Times New Roman" w:cs="Times New Roman" w:eastAsia="Times New Roman" w:hAnsi="Times New Roman"/>
          <w:sz w:val="18"/>
          <w:szCs w:val="18"/>
          <w:color w:val="auto"/>
        </w:rPr>
        <w:t>In addition, stock markets have experienced extreme price and volume fluctuations that have affected and continue to affect the market prices of equity securities of many retail and e-commerce companies. Stock prices of many retail companies and e-commerce companies have fluctuated in a manner unrelated or disproportionate to the operating performance of those companies. In the past, shareholders have instituted securities class action litigation following periods of market volatility. If we were to become involved in securities litigation, it could subject us to substantial costs, divert resources and the attention of management from our business and materially adversely affect our business, financial condition and operating results.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24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13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7"/>
          <w:szCs w:val="17"/>
          <w:color w:val="auto"/>
        </w:rPr>
        <w:t>The trading market for our Class B common stock will depend in part on the research and reports that securities or industry analysts publish about us or our business, our market and our competitors. We do not have any control over these analysts. If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30" w:lineRule="exact"/>
        <w:rPr>
          <w:sz w:val="20"/>
          <w:szCs w:val="20"/>
          <w:color w:val="auto"/>
        </w:rPr>
      </w:pPr>
    </w:p>
    <w:p>
      <w:pPr>
        <w:ind w:right="300" w:firstLine="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131" w:lineRule="exact"/>
        <w:rPr>
          <w:sz w:val="20"/>
          <w:szCs w:val="20"/>
          <w:color w:val="auto"/>
        </w:rPr>
      </w:pPr>
    </w:p>
    <w:p>
      <w:pPr>
        <w:ind w:firstLine="440"/>
        <w:spacing w:after="0" w:line="229"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Wall Street Reform and Consumer Protection Act, the listing requirements of the NASDAQ Global Select Market and other applicable securities rules and regulations. Compliance with these rules and regulations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significant resources and management oversight may be required. As a result, management’s attention may be diverted from other business concerns, which could materially adversely affect our business and results of operations.</w:t>
      </w:r>
    </w:p>
    <w:p>
      <w:pPr>
        <w:spacing w:after="0" w:line="148" w:lineRule="exact"/>
        <w:rPr>
          <w:sz w:val="20"/>
          <w:szCs w:val="20"/>
          <w:color w:val="auto"/>
        </w:rPr>
      </w:pPr>
    </w:p>
    <w:p>
      <w:pPr>
        <w:ind w:right="140" w:firstLine="440"/>
        <w:spacing w:after="0" w:line="230"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materially adversely affected.</w:t>
      </w:r>
    </w:p>
    <w:p>
      <w:pPr>
        <w:spacing w:after="0" w:line="145" w:lineRule="exact"/>
        <w:rPr>
          <w:sz w:val="20"/>
          <w:szCs w:val="20"/>
          <w:color w:val="auto"/>
        </w:rPr>
      </w:pPr>
    </w:p>
    <w:p>
      <w:pPr>
        <w:ind w:right="20" w:firstLine="440"/>
        <w:spacing w:after="0" w:line="235" w:lineRule="auto"/>
        <w:rPr>
          <w:sz w:val="20"/>
          <w:szCs w:val="20"/>
          <w:color w:val="auto"/>
        </w:rPr>
      </w:pPr>
      <w:r>
        <w:rPr>
          <w:rFonts w:ascii="Times New Roman" w:cs="Times New Roman" w:eastAsia="Times New Roman" w:hAnsi="Times New Roman"/>
          <w:sz w:val="18"/>
          <w:szCs w:val="18"/>
          <w:color w:val="auto"/>
        </w:rPr>
        <w:t>As a result of disclosure of information in this annual report and in filings required of a public company, our business and financial condition will become more visible, which we believe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materially adversely affect our business, financial condition and operating results.</w:t>
      </w:r>
    </w:p>
    <w:p>
      <w:pPr>
        <w:spacing w:after="0" w:line="130" w:lineRule="exact"/>
        <w:rPr>
          <w:sz w:val="20"/>
          <w:szCs w:val="20"/>
          <w:color w:val="auto"/>
        </w:rPr>
      </w:pPr>
    </w:p>
    <w:p>
      <w:pPr>
        <w:ind w:right="580" w:firstLine="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Wisconsin law could make an acquisition of our company more difficult, limit attempts by our shareholders to replace or remove our current management and limit the market price of our Class B common stock.</w:t>
      </w:r>
    </w:p>
    <w:p>
      <w:pPr>
        <w:spacing w:after="0" w:line="104" w:lineRule="exact"/>
        <w:rPr>
          <w:sz w:val="20"/>
          <w:szCs w:val="20"/>
          <w:color w:val="auto"/>
        </w:rPr>
      </w:pPr>
    </w:p>
    <w:p>
      <w:pPr>
        <w:ind w:right="260" w:firstLine="440"/>
        <w:spacing w:after="0" w:line="242" w:lineRule="auto"/>
        <w:rPr>
          <w:sz w:val="20"/>
          <w:szCs w:val="20"/>
          <w:color w:val="auto"/>
        </w:rPr>
      </w:pPr>
      <w:r>
        <w:rPr>
          <w:rFonts w:ascii="Times New Roman" w:cs="Times New Roman" w:eastAsia="Times New Roman" w:hAnsi="Times New Roman"/>
          <w:sz w:val="18"/>
          <w:szCs w:val="18"/>
          <w:color w:val="auto"/>
        </w:rPr>
        <w:t>Provisions in our amended and restated articles of incorporation and amended and restated bylaws may have the effect of delaying or preventing a change of control or changes in our management. In addition to the dual class structure of our common stock, our amended and restated articles of incorporation and amended and restated bylaws include provisions that:</w:t>
      </w:r>
    </w:p>
    <w:p>
      <w:pPr>
        <w:spacing w:after="0" w:line="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90" w:lineRule="exact"/>
        <w:rPr>
          <w:sz w:val="20"/>
          <w:szCs w:val="20"/>
          <w:color w:val="auto"/>
        </w:rPr>
      </w:pPr>
    </w:p>
    <w:p>
      <w:pPr>
        <w:ind w:left="880" w:right="820"/>
        <w:spacing w:after="0" w:line="344" w:lineRule="auto"/>
        <w:rPr>
          <w:sz w:val="20"/>
          <w:szCs w:val="20"/>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shareholder rights plan; provide that the board of directors is expressly authorized to make, alter or repeal our bylaws; and</w:t>
      </w:r>
    </w:p>
    <w:p>
      <w:pPr>
        <w:ind w:left="880" w:right="80"/>
        <w:spacing w:after="0" w:line="282" w:lineRule="auto"/>
        <w:rPr>
          <w:sz w:val="20"/>
          <w:szCs w:val="20"/>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shareholders at annual or special shareholder meetings.</w:t>
      </w:r>
    </w:p>
    <w:p>
      <w:pPr>
        <w:spacing w:after="0" w:line="108" w:lineRule="exact"/>
        <w:rPr>
          <w:sz w:val="20"/>
          <w:szCs w:val="20"/>
          <w:color w:val="auto"/>
        </w:rPr>
      </w:pPr>
    </w:p>
    <w:p>
      <w:pPr>
        <w:ind w:right="20" w:firstLine="440"/>
        <w:spacing w:after="0" w:line="233"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shareholders to replace or remove our current management by making it more difficult for shareholders to replace members of our board of directors, which is responsible for appointing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members of our management. In addition, because we are incorporated in Wisconsin, the Wisconsin control share acquisition statute and Wisconsin’s “business combination” provisions would apply and limit the ability of an acquiring person to engage in certain transactions or to exercise full voting power of acquired shares under certain circumstances. As a result, offers to acquire us, which may represent a premium over the available market price of our Class B common stock, may be withdrawn or otherwise fail to be realized.</w:t>
      </w:r>
    </w:p>
    <w:p>
      <w:pPr>
        <w:spacing w:after="0" w:line="38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ITEM 1B.</w:t>
      </w:r>
      <w:r>
        <w:rPr>
          <w:sz w:val="20"/>
          <w:szCs w:val="20"/>
          <w:color w:val="auto"/>
        </w:rPr>
        <w:tab/>
      </w:r>
      <w:r>
        <w:rPr>
          <w:rFonts w:ascii="Times New Roman" w:cs="Times New Roman" w:eastAsia="Times New Roman" w:hAnsi="Times New Roman"/>
          <w:sz w:val="17"/>
          <w:szCs w:val="17"/>
          <w:color w:val="auto"/>
        </w:rPr>
        <w:t>UNRESOLVED STAFF COMMENTS</w:t>
      </w:r>
    </w:p>
    <w:p>
      <w:pPr>
        <w:spacing w:after="0" w:line="2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color w:val="auto"/>
        </w:rPr>
        <w:t>PROPERTIES</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location, primary use and size of our leased and owned facilities as of January 29, 2023.</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58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Number of Stores</w:t>
            </w:r>
          </w:p>
        </w:tc>
        <w:tc>
          <w:tcPr>
            <w:tcW w:w="2920" w:type="dxa"/>
            <w:vAlign w:val="bottom"/>
            <w:tcBorders>
              <w:bottom w:val="single" w:sz="8" w:color="auto"/>
            </w:tcBorders>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Primary Use</w:t>
            </w:r>
          </w:p>
        </w:tc>
        <w:tc>
          <w:tcPr>
            <w:tcW w:w="1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Gross Sq Ft</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Leased/Owned</w:t>
            </w:r>
          </w:p>
        </w:tc>
      </w:tr>
      <w:tr>
        <w:trPr>
          <w:trHeight w:val="183"/>
        </w:trPr>
        <w:tc>
          <w:tcPr>
            <w:tcW w:w="21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tcPr>
          <w:p>
            <w:pPr>
              <w:jc w:val="center"/>
              <w:ind w:right="1119"/>
              <w:spacing w:after="0" w:line="183" w:lineRule="exact"/>
              <w:rPr>
                <w:sz w:val="20"/>
                <w:szCs w:val="20"/>
                <w:color w:val="auto"/>
              </w:rPr>
            </w:pPr>
            <w:r>
              <w:rPr>
                <w:rFonts w:ascii="Times New Roman" w:cs="Times New Roman" w:eastAsia="Times New Roman" w:hAnsi="Times New Roman"/>
                <w:sz w:val="16"/>
                <w:szCs w:val="16"/>
                <w:b w:val="1"/>
                <w:bCs w:val="1"/>
                <w:color w:val="auto"/>
              </w:rPr>
              <w:t>Retail Stores</w:t>
            </w:r>
          </w:p>
        </w:tc>
        <w:tc>
          <w:tcPr>
            <w:tcW w:w="18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r>
      <w:tr>
        <w:trPr>
          <w:trHeight w:val="183"/>
        </w:trPr>
        <w:tc>
          <w:tcPr>
            <w:tcW w:w="21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North East</w:t>
            </w:r>
          </w:p>
        </w:tc>
        <w:tc>
          <w:tcPr>
            <w:tcW w:w="258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03"/>
        </w:trPr>
        <w:tc>
          <w:tcPr>
            <w:tcW w:w="2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Connecticut</w:t>
            </w:r>
          </w:p>
        </w:tc>
        <w:tc>
          <w:tcPr>
            <w:tcW w:w="258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9,792</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Maine</w:t>
            </w:r>
          </w:p>
        </w:tc>
        <w:tc>
          <w:tcPr>
            <w:tcW w:w="258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12,951</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Massachusetts</w:t>
            </w:r>
          </w:p>
        </w:tc>
        <w:tc>
          <w:tcPr>
            <w:tcW w:w="258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16,360</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New Jersey</w:t>
            </w:r>
          </w:p>
        </w:tc>
        <w:tc>
          <w:tcPr>
            <w:tcW w:w="258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2</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24,741</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Pennsylvania</w:t>
            </w:r>
          </w:p>
        </w:tc>
        <w:tc>
          <w:tcPr>
            <w:tcW w:w="258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2</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34,945</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Rhode Island</w:t>
            </w:r>
          </w:p>
        </w:tc>
        <w:tc>
          <w:tcPr>
            <w:tcW w:w="258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14,528</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Midwest</w:t>
            </w:r>
          </w:p>
        </w:tc>
        <w:tc>
          <w:tcPr>
            <w:tcW w:w="2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Illinois</w:t>
            </w:r>
          </w:p>
        </w:tc>
        <w:tc>
          <w:tcPr>
            <w:tcW w:w="258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3</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38,410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Indiana</w:t>
            </w:r>
          </w:p>
        </w:tc>
        <w:tc>
          <w:tcPr>
            <w:tcW w:w="258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14,557</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Iowa</w:t>
            </w:r>
          </w:p>
        </w:tc>
        <w:tc>
          <w:tcPr>
            <w:tcW w:w="258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12,249</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Kansas</w:t>
            </w:r>
          </w:p>
        </w:tc>
        <w:tc>
          <w:tcPr>
            <w:tcW w:w="258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15,385</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Michigan</w:t>
            </w:r>
          </w:p>
        </w:tc>
        <w:tc>
          <w:tcPr>
            <w:tcW w:w="258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3</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45,588</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Minnesota</w:t>
            </w:r>
          </w:p>
        </w:tc>
        <w:tc>
          <w:tcPr>
            <w:tcW w:w="258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4</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61,900</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Missouri</w:t>
            </w:r>
          </w:p>
        </w:tc>
        <w:tc>
          <w:tcPr>
            <w:tcW w:w="258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2</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27,692</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Nebraska</w:t>
            </w:r>
          </w:p>
        </w:tc>
        <w:tc>
          <w:tcPr>
            <w:tcW w:w="258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15,757</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North Dakota</w:t>
            </w:r>
          </w:p>
        </w:tc>
        <w:tc>
          <w:tcPr>
            <w:tcW w:w="258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14,557</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Ohio</w:t>
            </w:r>
          </w:p>
        </w:tc>
        <w:tc>
          <w:tcPr>
            <w:tcW w:w="258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4</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58,420</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South Dakota</w:t>
            </w:r>
          </w:p>
        </w:tc>
        <w:tc>
          <w:tcPr>
            <w:tcW w:w="258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9,166</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Wisconsin</w:t>
            </w:r>
          </w:p>
        </w:tc>
        <w:tc>
          <w:tcPr>
            <w:tcW w:w="258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4</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53,246</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South</w:t>
            </w:r>
          </w:p>
        </w:tc>
        <w:tc>
          <w:tcPr>
            <w:tcW w:w="25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03"/>
        </w:trPr>
        <w:tc>
          <w:tcPr>
            <w:tcW w:w="2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Alabama</w:t>
            </w:r>
          </w:p>
        </w:tc>
        <w:tc>
          <w:tcPr>
            <w:tcW w:w="258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2</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31,312</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Arkansas</w:t>
            </w:r>
          </w:p>
        </w:tc>
        <w:tc>
          <w:tcPr>
            <w:tcW w:w="258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15,656</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Florida</w:t>
            </w:r>
          </w:p>
        </w:tc>
        <w:tc>
          <w:tcPr>
            <w:tcW w:w="258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14,557</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Georgia</w:t>
            </w:r>
          </w:p>
        </w:tc>
        <w:tc>
          <w:tcPr>
            <w:tcW w:w="258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20,041</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2"/>
        </w:trPr>
        <w:tc>
          <w:tcPr>
            <w:tcW w:w="2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Kentucky</w:t>
            </w:r>
          </w:p>
        </w:tc>
        <w:tc>
          <w:tcPr>
            <w:tcW w:w="258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2</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28,582</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North Carolina</w:t>
            </w:r>
          </w:p>
        </w:tc>
        <w:tc>
          <w:tcPr>
            <w:tcW w:w="258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2</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41,672</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Oklahoma</w:t>
            </w:r>
          </w:p>
        </w:tc>
        <w:tc>
          <w:tcPr>
            <w:tcW w:w="258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15,536</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Tennessee</w:t>
            </w:r>
          </w:p>
        </w:tc>
        <w:tc>
          <w:tcPr>
            <w:tcW w:w="258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2</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27,325</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Texas</w:t>
            </w:r>
          </w:p>
        </w:tc>
        <w:tc>
          <w:tcPr>
            <w:tcW w:w="258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6</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92,212</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Virginia</w:t>
            </w:r>
          </w:p>
        </w:tc>
        <w:tc>
          <w:tcPr>
            <w:tcW w:w="258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2</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31,828</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West</w:t>
            </w:r>
          </w:p>
        </w:tc>
        <w:tc>
          <w:tcPr>
            <w:tcW w:w="2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Alaska</w:t>
            </w:r>
          </w:p>
        </w:tc>
        <w:tc>
          <w:tcPr>
            <w:tcW w:w="258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25,409</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Colorado</w:t>
            </w:r>
          </w:p>
        </w:tc>
        <w:tc>
          <w:tcPr>
            <w:tcW w:w="258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3</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52,643</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Oregon</w:t>
            </w:r>
          </w:p>
        </w:tc>
        <w:tc>
          <w:tcPr>
            <w:tcW w:w="258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2</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39,463</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Utah</w:t>
            </w:r>
          </w:p>
        </w:tc>
        <w:tc>
          <w:tcPr>
            <w:tcW w:w="258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15,602</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Washington</w:t>
            </w:r>
          </w:p>
        </w:tc>
        <w:tc>
          <w:tcPr>
            <w:tcW w:w="258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1</w:t>
            </w:r>
          </w:p>
        </w:tc>
        <w:tc>
          <w:tcPr>
            <w:tcW w:w="29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15,656</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r>
      <w:tr>
        <w:trPr>
          <w:trHeight w:val="183"/>
        </w:trPr>
        <w:tc>
          <w:tcPr>
            <w:tcW w:w="21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Mount Horeb, WI</w:t>
            </w:r>
          </w:p>
        </w:tc>
        <w:tc>
          <w:tcPr>
            <w:tcW w:w="2580" w:type="dxa"/>
            <w:vAlign w:val="bottom"/>
            <w:shd w:val="clear" w:color="auto" w:fill="CCEEFF"/>
          </w:tcPr>
          <w:p>
            <w:pPr>
              <w:spacing w:after="0"/>
              <w:rPr>
                <w:sz w:val="15"/>
                <w:szCs w:val="15"/>
                <w:color w:val="auto"/>
              </w:rPr>
            </w:pPr>
          </w:p>
        </w:tc>
        <w:tc>
          <w:tcPr>
            <w:tcW w:w="2920" w:type="dxa"/>
            <w:vAlign w:val="bottom"/>
            <w:shd w:val="clear" w:color="auto" w:fill="CCEEFF"/>
          </w:tcPr>
          <w:p>
            <w:pPr>
              <w:jc w:val="center"/>
              <w:ind w:left="159"/>
              <w:spacing w:after="0" w:line="183" w:lineRule="exact"/>
              <w:rPr>
                <w:sz w:val="20"/>
                <w:szCs w:val="20"/>
                <w:color w:val="auto"/>
              </w:rPr>
            </w:pPr>
            <w:r>
              <w:rPr>
                <w:rFonts w:ascii="Times New Roman" w:cs="Times New Roman" w:eastAsia="Times New Roman" w:hAnsi="Times New Roman"/>
                <w:sz w:val="16"/>
                <w:szCs w:val="16"/>
                <w:color w:val="auto"/>
              </w:rPr>
              <w:t>Photo Studio</w:t>
            </w:r>
          </w:p>
        </w:tc>
        <w:tc>
          <w:tcPr>
            <w:tcW w:w="1800" w:type="dxa"/>
            <w:vAlign w:val="bottom"/>
            <w:shd w:val="clear" w:color="auto" w:fill="CCEEFF"/>
          </w:tcPr>
          <w:p>
            <w:pPr>
              <w:jc w:val="center"/>
              <w:ind w:left="79"/>
              <w:spacing w:after="0" w:line="183" w:lineRule="exact"/>
              <w:rPr>
                <w:sz w:val="20"/>
                <w:szCs w:val="20"/>
                <w:color w:val="auto"/>
              </w:rPr>
            </w:pPr>
            <w:r>
              <w:rPr>
                <w:rFonts w:ascii="Times New Roman" w:cs="Times New Roman" w:eastAsia="Times New Roman" w:hAnsi="Times New Roman"/>
                <w:sz w:val="16"/>
                <w:szCs w:val="16"/>
                <w:color w:val="auto"/>
                <w:w w:val="99"/>
              </w:rPr>
              <w:t>7,000</w:t>
            </w:r>
          </w:p>
        </w:tc>
        <w:tc>
          <w:tcPr>
            <w:tcW w:w="1760" w:type="dxa"/>
            <w:vAlign w:val="bottom"/>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Belleville, WI</w:t>
            </w:r>
          </w:p>
        </w:tc>
        <w:tc>
          <w:tcPr>
            <w:tcW w:w="2580" w:type="dxa"/>
            <w:vAlign w:val="bottom"/>
          </w:tcPr>
          <w:p>
            <w:pPr>
              <w:spacing w:after="0"/>
              <w:rPr>
                <w:sz w:val="17"/>
                <w:szCs w:val="17"/>
                <w:color w:val="auto"/>
              </w:rPr>
            </w:pPr>
          </w:p>
        </w:tc>
        <w:tc>
          <w:tcPr>
            <w:tcW w:w="292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Outlet 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17,890</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r>
      <w:tr>
        <w:trPr>
          <w:trHeight w:val="20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Oshkosh, WI</w:t>
            </w:r>
          </w:p>
        </w:tc>
        <w:tc>
          <w:tcPr>
            <w:tcW w:w="2580" w:type="dxa"/>
            <w:vAlign w:val="bottom"/>
            <w:shd w:val="clear" w:color="auto" w:fill="CCEEFF"/>
          </w:tcPr>
          <w:p>
            <w:pPr>
              <w:spacing w:after="0"/>
              <w:rPr>
                <w:sz w:val="17"/>
                <w:szCs w:val="17"/>
                <w:color w:val="auto"/>
              </w:rPr>
            </w:pPr>
          </w:p>
        </w:tc>
        <w:tc>
          <w:tcPr>
            <w:tcW w:w="292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rPr>
              <w:t>Outlet store</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12,777</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Red Wing, MN</w:t>
            </w:r>
          </w:p>
        </w:tc>
        <w:tc>
          <w:tcPr>
            <w:tcW w:w="2580" w:type="dxa"/>
            <w:vAlign w:val="bottom"/>
          </w:tcPr>
          <w:p>
            <w:pPr>
              <w:spacing w:after="0"/>
              <w:rPr>
                <w:sz w:val="17"/>
                <w:szCs w:val="17"/>
                <w:color w:val="auto"/>
              </w:rPr>
            </w:pPr>
          </w:p>
        </w:tc>
        <w:tc>
          <w:tcPr>
            <w:tcW w:w="292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Outlet store</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15,560</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Mount Horeb, WI</w:t>
            </w:r>
          </w:p>
        </w:tc>
        <w:tc>
          <w:tcPr>
            <w:tcW w:w="2580" w:type="dxa"/>
            <w:vAlign w:val="bottom"/>
            <w:shd w:val="clear" w:color="auto" w:fill="CCEEFF"/>
          </w:tcPr>
          <w:p>
            <w:pPr>
              <w:spacing w:after="0"/>
              <w:rPr>
                <w:sz w:val="17"/>
                <w:szCs w:val="17"/>
                <w:color w:val="auto"/>
              </w:rPr>
            </w:pPr>
          </w:p>
        </w:tc>
        <w:tc>
          <w:tcPr>
            <w:tcW w:w="292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rPr>
              <w:t>Corporate headquarters</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108,000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Belleville, WI</w:t>
            </w:r>
          </w:p>
        </w:tc>
        <w:tc>
          <w:tcPr>
            <w:tcW w:w="2580" w:type="dxa"/>
            <w:vAlign w:val="bottom"/>
          </w:tcPr>
          <w:p>
            <w:pPr>
              <w:spacing w:after="0"/>
              <w:rPr>
                <w:sz w:val="17"/>
                <w:szCs w:val="17"/>
                <w:color w:val="auto"/>
              </w:rPr>
            </w:pPr>
          </w:p>
        </w:tc>
        <w:tc>
          <w:tcPr>
            <w:tcW w:w="292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Fulfillment center</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220,000</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r>
      <w:tr>
        <w:trPr>
          <w:trHeight w:val="20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Dubuque, IA</w:t>
            </w:r>
          </w:p>
        </w:tc>
        <w:tc>
          <w:tcPr>
            <w:tcW w:w="2580" w:type="dxa"/>
            <w:vAlign w:val="bottom"/>
            <w:shd w:val="clear" w:color="auto" w:fill="CCEEFF"/>
          </w:tcPr>
          <w:p>
            <w:pPr>
              <w:spacing w:after="0"/>
              <w:rPr>
                <w:sz w:val="17"/>
                <w:szCs w:val="17"/>
                <w:color w:val="auto"/>
              </w:rPr>
            </w:pPr>
          </w:p>
        </w:tc>
        <w:tc>
          <w:tcPr>
            <w:tcW w:w="292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rPr>
              <w:t>Fulfillment center</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216,000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Adairsville, GA</w:t>
            </w:r>
          </w:p>
        </w:tc>
        <w:tc>
          <w:tcPr>
            <w:tcW w:w="2580" w:type="dxa"/>
            <w:vAlign w:val="bottom"/>
          </w:tcPr>
          <w:p>
            <w:pPr>
              <w:spacing w:after="0"/>
              <w:rPr>
                <w:sz w:val="17"/>
                <w:szCs w:val="17"/>
                <w:color w:val="auto"/>
              </w:rPr>
            </w:pPr>
          </w:p>
        </w:tc>
        <w:tc>
          <w:tcPr>
            <w:tcW w:w="292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Fulfillment center</w:t>
            </w:r>
          </w:p>
        </w:tc>
        <w:tc>
          <w:tcPr>
            <w:tcW w:w="18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494,144</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02"/>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Salt Lake City, UT</w:t>
            </w:r>
          </w:p>
        </w:tc>
        <w:tc>
          <w:tcPr>
            <w:tcW w:w="2580" w:type="dxa"/>
            <w:vAlign w:val="bottom"/>
            <w:shd w:val="clear" w:color="auto" w:fill="CCEEFF"/>
          </w:tcPr>
          <w:p>
            <w:pPr>
              <w:spacing w:after="0"/>
              <w:rPr>
                <w:sz w:val="17"/>
                <w:szCs w:val="17"/>
                <w:color w:val="auto"/>
              </w:rPr>
            </w:pPr>
          </w:p>
        </w:tc>
        <w:tc>
          <w:tcPr>
            <w:tcW w:w="292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rPr>
              <w:t>Fulfillment center</w:t>
            </w:r>
          </w:p>
        </w:tc>
        <w:tc>
          <w:tcPr>
            <w:tcW w:w="18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228,800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bl>
    <w:p>
      <w:pPr>
        <w:spacing w:after="0" w:line="144" w:lineRule="exact"/>
        <w:rPr>
          <w:sz w:val="20"/>
          <w:szCs w:val="20"/>
          <w:color w:val="auto"/>
        </w:rPr>
      </w:pPr>
    </w:p>
    <w:p>
      <w:pPr>
        <w:jc w:val="both"/>
        <w:ind w:right="160" w:firstLine="402"/>
        <w:spacing w:after="0" w:line="279" w:lineRule="auto"/>
        <w:rPr>
          <w:sz w:val="20"/>
          <w:szCs w:val="20"/>
          <w:color w:val="auto"/>
        </w:rPr>
      </w:pPr>
      <w:r>
        <w:rPr>
          <w:rFonts w:ascii="Times New Roman" w:cs="Times New Roman" w:eastAsia="Times New Roman" w:hAnsi="Times New Roman"/>
          <w:sz w:val="17"/>
          <w:szCs w:val="17"/>
          <w:color w:val="auto"/>
        </w:rPr>
        <w:t>The leases on our retail stores expire at various times and are subject to renewal options and rent escalation provisions. We consider these properties to be in good condition and believe that our facilities are adequate for our operations and provide sufficient capacity to meet our anticipated requirements.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color w:val="auto"/>
        </w:rPr>
        <w:t>LEGAL PROCEEDINGS</w:t>
      </w:r>
    </w:p>
    <w:p>
      <w:pPr>
        <w:spacing w:after="0" w:line="239"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36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color w:val="auto"/>
        </w:rPr>
        <w:t>MINE SAFETY DISCLOSURES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8" w:right="5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62" w:lineRule="exact"/>
        <w:rPr>
          <w:sz w:val="20"/>
          <w:szCs w:val="20"/>
          <w:color w:val="auto"/>
        </w:rPr>
      </w:pPr>
    </w:p>
    <w:p>
      <w:pPr>
        <w:ind w:right="40" w:firstLine="440"/>
        <w:spacing w:after="0" w:line="235" w:lineRule="auto"/>
        <w:rPr>
          <w:sz w:val="20"/>
          <w:szCs w:val="20"/>
          <w:color w:val="auto"/>
        </w:rPr>
      </w:pPr>
      <w:r>
        <w:rPr>
          <w:rFonts w:ascii="Times New Roman" w:cs="Times New Roman" w:eastAsia="Times New Roman" w:hAnsi="Times New Roman"/>
          <w:sz w:val="18"/>
          <w:szCs w:val="18"/>
          <w:color w:val="auto"/>
        </w:rPr>
        <w:t>The following is a list of names and ages of executive officers of Duluth Trading indicating all positions and offices held by each such person and each such person’s principal occupation(s) or employment during the past five years. Officers are appointed annually by the Board of Directors at the meeting of directors immediately following the annual meeting of shareholders. There are no family relationships among these officers, except as disclosed below, arrangements or understandings between any officer and any other person pursuant to which the officer was selected. The information presented below is as of March 17, 2023.</w:t>
      </w:r>
    </w:p>
    <w:p>
      <w:pPr>
        <w:spacing w:after="0" w:line="36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260" w:type="dxa"/>
            <w:vAlign w:val="bottom"/>
            <w:tcBorders>
              <w:top w:val="single" w:sz="8" w:color="auto"/>
              <w:left w:val="single" w:sz="8" w:color="auto"/>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Name</w:t>
            </w:r>
          </w:p>
        </w:tc>
        <w:tc>
          <w:tcPr>
            <w:tcW w:w="600" w:type="dxa"/>
            <w:vAlign w:val="bottom"/>
            <w:tcBorders>
              <w:top w:val="single" w:sz="8" w:color="auto"/>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Age</w:t>
            </w:r>
          </w:p>
        </w:tc>
        <w:tc>
          <w:tcPr>
            <w:tcW w:w="100" w:type="dxa"/>
            <w:vAlign w:val="bottom"/>
            <w:tcBorders>
              <w:top w:val="single" w:sz="8" w:color="auto"/>
            </w:tcBorders>
          </w:tcPr>
          <w:p>
            <w:pPr>
              <w:spacing w:after="0"/>
              <w:rPr>
                <w:sz w:val="17"/>
                <w:szCs w:val="17"/>
                <w:color w:val="auto"/>
              </w:rPr>
            </w:pPr>
          </w:p>
        </w:tc>
        <w:tc>
          <w:tcPr>
            <w:tcW w:w="8180" w:type="dxa"/>
            <w:vAlign w:val="bottom"/>
            <w:tcBorders>
              <w:top w:val="single" w:sz="8" w:color="auto"/>
              <w:right w:val="single" w:sz="8" w:color="auto"/>
            </w:tcBorders>
            <w:gridSpan w:val="4"/>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Office</w:t>
            </w:r>
          </w:p>
        </w:tc>
        <w:tc>
          <w:tcPr>
            <w:tcW w:w="100" w:type="dxa"/>
            <w:vAlign w:val="bottom"/>
          </w:tcPr>
          <w:p>
            <w:pPr>
              <w:spacing w:after="0"/>
              <w:rPr>
                <w:sz w:val="17"/>
                <w:szCs w:val="17"/>
                <w:color w:val="auto"/>
              </w:rPr>
            </w:pPr>
          </w:p>
        </w:tc>
      </w:tr>
      <w:tr>
        <w:trPr>
          <w:trHeight w:val="151"/>
        </w:trPr>
        <w:tc>
          <w:tcPr>
            <w:tcW w:w="2260" w:type="dxa"/>
            <w:vAlign w:val="bottom"/>
            <w:tcBorders>
              <w:top w:val="single" w:sz="8" w:color="auto"/>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color w:val="auto"/>
              </w:rPr>
              <w:t>Stephen L. Schlecht</w:t>
            </w:r>
          </w:p>
        </w:tc>
        <w:tc>
          <w:tcPr>
            <w:tcW w:w="600" w:type="dxa"/>
            <w:vAlign w:val="bottom"/>
            <w:tcBorders>
              <w:top w:val="single" w:sz="8" w:color="auto"/>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color w:val="auto"/>
              </w:rPr>
              <w:t>75</w:t>
            </w:r>
          </w:p>
        </w:tc>
        <w:tc>
          <w:tcPr>
            <w:tcW w:w="100" w:type="dxa"/>
            <w:vAlign w:val="bottom"/>
            <w:tcBorders>
              <w:top w:val="single" w:sz="8" w:color="auto"/>
            </w:tcBorders>
          </w:tcPr>
          <w:p>
            <w:pPr>
              <w:spacing w:after="0"/>
              <w:rPr>
                <w:sz w:val="13"/>
                <w:szCs w:val="13"/>
                <w:color w:val="auto"/>
              </w:rPr>
            </w:pPr>
          </w:p>
        </w:tc>
        <w:tc>
          <w:tcPr>
            <w:tcW w:w="568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highlight w:val="white"/>
              </w:rPr>
              <w:t>Mr. Schlecht is the founder of our Company and has served as Chairman of the</w:t>
            </w:r>
          </w:p>
        </w:tc>
        <w:tc>
          <w:tcPr>
            <w:tcW w:w="2500" w:type="dxa"/>
            <w:vAlign w:val="bottom"/>
            <w:tcBorders>
              <w:top w:val="single" w:sz="8" w:color="auto"/>
              <w:right w:val="single" w:sz="8" w:color="auto"/>
            </w:tcBorders>
            <w:gridSpan w:val="3"/>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4"/>
          </w:tcPr>
          <w:p>
            <w:pPr>
              <w:spacing w:after="0" w:line="202" w:lineRule="exact"/>
              <w:rPr>
                <w:sz w:val="20"/>
                <w:szCs w:val="20"/>
                <w:color w:val="auto"/>
              </w:rPr>
            </w:pPr>
            <w:r>
              <w:rPr>
                <w:rFonts w:ascii="Times New Roman" w:cs="Times New Roman" w:eastAsia="Times New Roman" w:hAnsi="Times New Roman"/>
                <w:sz w:val="18"/>
                <w:szCs w:val="18"/>
                <w:color w:val="auto"/>
                <w:highlight w:val="white"/>
              </w:rPr>
              <w:t>Board and Senior Advisor since May 2021. Mr. Schlecht has served on our Board of Directors since our</w:t>
            </w:r>
          </w:p>
        </w:tc>
        <w:tc>
          <w:tcPr>
            <w:tcW w:w="100" w:type="dxa"/>
            <w:vAlign w:val="bottom"/>
          </w:tcPr>
          <w:p>
            <w:pPr>
              <w:spacing w:after="0"/>
              <w:rPr>
                <w:sz w:val="17"/>
                <w:szCs w:val="17"/>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Times New Roman" w:cs="Times New Roman" w:eastAsia="Times New Roman" w:hAnsi="Times New Roman"/>
                <w:sz w:val="18"/>
                <w:szCs w:val="18"/>
                <w:color w:val="auto"/>
              </w:rPr>
              <w:t>founding in 1986. Mr. Schlecht previously served as our Chairman of the Board of Directors and Chief</w:t>
            </w:r>
          </w:p>
        </w:tc>
        <w:tc>
          <w:tcPr>
            <w:tcW w:w="100" w:type="dxa"/>
            <w:vAlign w:val="bottom"/>
          </w:tcPr>
          <w:p>
            <w:pPr>
              <w:spacing w:after="0"/>
              <w:rPr>
                <w:sz w:val="16"/>
                <w:szCs w:val="16"/>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4"/>
          </w:tcPr>
          <w:p>
            <w:pPr>
              <w:spacing w:after="0" w:line="202" w:lineRule="exact"/>
              <w:rPr>
                <w:sz w:val="20"/>
                <w:szCs w:val="20"/>
                <w:color w:val="auto"/>
              </w:rPr>
            </w:pPr>
            <w:r>
              <w:rPr>
                <w:rFonts w:ascii="Times New Roman" w:cs="Times New Roman" w:eastAsia="Times New Roman" w:hAnsi="Times New Roman"/>
                <w:sz w:val="18"/>
                <w:szCs w:val="18"/>
                <w:color w:val="auto"/>
              </w:rPr>
              <w:t>Executive Officer from February 2003 to February 2015 and then as Executive Chairman of the Board from</w:t>
            </w:r>
          </w:p>
        </w:tc>
        <w:tc>
          <w:tcPr>
            <w:tcW w:w="100" w:type="dxa"/>
            <w:vAlign w:val="bottom"/>
          </w:tcPr>
          <w:p>
            <w:pPr>
              <w:spacing w:after="0"/>
              <w:rPr>
                <w:sz w:val="17"/>
                <w:szCs w:val="17"/>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Times New Roman" w:cs="Times New Roman" w:eastAsia="Times New Roman" w:hAnsi="Times New Roman"/>
                <w:sz w:val="18"/>
                <w:szCs w:val="18"/>
                <w:color w:val="auto"/>
              </w:rPr>
              <w:t>February 2015 to May 2021. Mr. Schlecht served as Chief Executive Officer of the Company from February</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Times New Roman" w:cs="Times New Roman" w:eastAsia="Times New Roman" w:hAnsi="Times New Roman"/>
                <w:sz w:val="18"/>
                <w:szCs w:val="18"/>
                <w:color w:val="auto"/>
              </w:rPr>
              <w:t>2003 to February 2015 and from August 2019 to May 2021 and as President from February 2003 to February</w:t>
            </w:r>
          </w:p>
        </w:tc>
        <w:tc>
          <w:tcPr>
            <w:tcW w:w="100" w:type="dxa"/>
            <w:vAlign w:val="bottom"/>
          </w:tcPr>
          <w:p>
            <w:pPr>
              <w:spacing w:after="0"/>
              <w:rPr>
                <w:sz w:val="16"/>
                <w:szCs w:val="16"/>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4"/>
          </w:tcPr>
          <w:p>
            <w:pPr>
              <w:spacing w:after="0" w:line="202" w:lineRule="exact"/>
              <w:rPr>
                <w:sz w:val="20"/>
                <w:szCs w:val="20"/>
                <w:color w:val="auto"/>
              </w:rPr>
            </w:pPr>
            <w:r>
              <w:rPr>
                <w:rFonts w:ascii="Times New Roman" w:cs="Times New Roman" w:eastAsia="Times New Roman" w:hAnsi="Times New Roman"/>
                <w:sz w:val="18"/>
                <w:szCs w:val="18"/>
                <w:color w:val="auto"/>
              </w:rPr>
              <w:t>2012. He also served as President and Chief Executive Officer of GEMPLER'S, Inc., which he founded in 1986</w:t>
            </w:r>
          </w:p>
        </w:tc>
        <w:tc>
          <w:tcPr>
            <w:tcW w:w="100" w:type="dxa"/>
            <w:vAlign w:val="bottom"/>
          </w:tcPr>
          <w:p>
            <w:pPr>
              <w:spacing w:after="0"/>
              <w:rPr>
                <w:sz w:val="17"/>
                <w:szCs w:val="17"/>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Times New Roman" w:cs="Times New Roman" w:eastAsia="Times New Roman" w:hAnsi="Times New Roman"/>
                <w:sz w:val="18"/>
                <w:szCs w:val="18"/>
                <w:color w:val="auto"/>
              </w:rPr>
              <w:t>until February 2003. Mr. Schlecht holds a B.S.B.A. degree and an M.B.A. from Northwestern University. Mr.</w:t>
            </w:r>
          </w:p>
        </w:tc>
        <w:tc>
          <w:tcPr>
            <w:tcW w:w="100" w:type="dxa"/>
            <w:vAlign w:val="bottom"/>
          </w:tcPr>
          <w:p>
            <w:pPr>
              <w:spacing w:after="0"/>
              <w:rPr>
                <w:sz w:val="16"/>
                <w:szCs w:val="16"/>
                <w:color w:val="auto"/>
              </w:rPr>
            </w:pPr>
          </w:p>
        </w:tc>
      </w:tr>
      <w:tr>
        <w:trPr>
          <w:trHeight w:val="234"/>
        </w:trPr>
        <w:tc>
          <w:tcPr>
            <w:tcW w:w="2260" w:type="dxa"/>
            <w:vAlign w:val="bottom"/>
            <w:tcBorders>
              <w:left w:val="single" w:sz="8" w:color="auto"/>
              <w:righ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Schlecht is the father of Richard W. Schlecht, our Senior Vice President of Product, Visual and Creative.</w:t>
            </w:r>
          </w:p>
        </w:tc>
        <w:tc>
          <w:tcPr>
            <w:tcW w:w="100" w:type="dxa"/>
            <w:vAlign w:val="bottom"/>
          </w:tcPr>
          <w:p>
            <w:pPr>
              <w:spacing w:after="0"/>
              <w:rPr>
                <w:sz w:val="20"/>
                <w:szCs w:val="20"/>
                <w:color w:val="auto"/>
              </w:rPr>
            </w:pPr>
          </w:p>
        </w:tc>
      </w:tr>
      <w:tr>
        <w:trPr>
          <w:trHeight w:val="151"/>
        </w:trPr>
        <w:tc>
          <w:tcPr>
            <w:tcW w:w="2260" w:type="dxa"/>
            <w:vAlign w:val="bottom"/>
            <w:tcBorders>
              <w:top w:val="single" w:sz="8" w:color="auto"/>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color w:val="auto"/>
              </w:rPr>
              <w:t>Samuel M. Sato</w:t>
            </w:r>
          </w:p>
        </w:tc>
        <w:tc>
          <w:tcPr>
            <w:tcW w:w="600" w:type="dxa"/>
            <w:vAlign w:val="bottom"/>
            <w:tcBorders>
              <w:top w:val="single" w:sz="8" w:color="auto"/>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color w:val="auto"/>
              </w:rPr>
              <w:t>59</w:t>
            </w:r>
          </w:p>
        </w:tc>
        <w:tc>
          <w:tcPr>
            <w:tcW w:w="100" w:type="dxa"/>
            <w:vAlign w:val="bottom"/>
            <w:tcBorders>
              <w:top w:val="single" w:sz="8" w:color="auto"/>
            </w:tcBorders>
          </w:tcPr>
          <w:p>
            <w:pPr>
              <w:spacing w:after="0"/>
              <w:rPr>
                <w:sz w:val="13"/>
                <w:szCs w:val="13"/>
                <w:color w:val="auto"/>
              </w:rPr>
            </w:pPr>
          </w:p>
        </w:tc>
        <w:tc>
          <w:tcPr>
            <w:tcW w:w="8020" w:type="dxa"/>
            <w:vAlign w:val="bottom"/>
            <w:gridSpan w:val="3"/>
          </w:tcPr>
          <w:p>
            <w:pPr>
              <w:spacing w:after="0" w:line="150" w:lineRule="exact"/>
              <w:rPr>
                <w:sz w:val="20"/>
                <w:szCs w:val="20"/>
                <w:color w:val="auto"/>
              </w:rPr>
            </w:pPr>
            <w:r>
              <w:rPr>
                <w:rFonts w:ascii="Times New Roman" w:cs="Times New Roman" w:eastAsia="Times New Roman" w:hAnsi="Times New Roman"/>
                <w:sz w:val="17"/>
                <w:szCs w:val="17"/>
                <w:color w:val="auto"/>
                <w:highlight w:val="white"/>
              </w:rPr>
              <w:t>Mr. Sato was appointed to our Board of Directors in May 2021, and since that time has served as President and</w:t>
            </w:r>
          </w:p>
        </w:tc>
        <w:tc>
          <w:tcPr>
            <w:tcW w:w="160" w:type="dxa"/>
            <w:vAlign w:val="bottom"/>
            <w:tcBorders>
              <w:top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4"/>
          </w:tcPr>
          <w:p>
            <w:pPr>
              <w:spacing w:after="0" w:line="202" w:lineRule="exact"/>
              <w:rPr>
                <w:sz w:val="20"/>
                <w:szCs w:val="20"/>
                <w:color w:val="auto"/>
              </w:rPr>
            </w:pPr>
            <w:r>
              <w:rPr>
                <w:rFonts w:ascii="Times New Roman" w:cs="Times New Roman" w:eastAsia="Times New Roman" w:hAnsi="Times New Roman"/>
                <w:sz w:val="18"/>
                <w:szCs w:val="18"/>
                <w:color w:val="auto"/>
                <w:highlight w:val="white"/>
              </w:rPr>
              <w:t>Chief Executive Officer. He previously served as the Chief Executive Officer of The Finish Line, Inc., from</w:t>
            </w:r>
          </w:p>
        </w:tc>
        <w:tc>
          <w:tcPr>
            <w:tcW w:w="100" w:type="dxa"/>
            <w:vAlign w:val="bottom"/>
          </w:tcPr>
          <w:p>
            <w:pPr>
              <w:spacing w:after="0"/>
              <w:rPr>
                <w:sz w:val="17"/>
                <w:szCs w:val="17"/>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Times New Roman" w:cs="Times New Roman" w:eastAsia="Times New Roman" w:hAnsi="Times New Roman"/>
                <w:sz w:val="18"/>
                <w:szCs w:val="18"/>
                <w:color w:val="auto"/>
              </w:rPr>
              <w:t>February 2016 to February 2019, and also served on the Board of Directors of The Finish Line, Inc. from</w:t>
            </w:r>
          </w:p>
        </w:tc>
        <w:tc>
          <w:tcPr>
            <w:tcW w:w="100" w:type="dxa"/>
            <w:vAlign w:val="bottom"/>
          </w:tcPr>
          <w:p>
            <w:pPr>
              <w:spacing w:after="0"/>
              <w:rPr>
                <w:sz w:val="16"/>
                <w:szCs w:val="16"/>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4"/>
          </w:tcPr>
          <w:p>
            <w:pPr>
              <w:spacing w:after="0" w:line="202" w:lineRule="exact"/>
              <w:rPr>
                <w:sz w:val="20"/>
                <w:szCs w:val="20"/>
                <w:color w:val="auto"/>
              </w:rPr>
            </w:pPr>
            <w:r>
              <w:rPr>
                <w:rFonts w:ascii="Times New Roman" w:cs="Times New Roman" w:eastAsia="Times New Roman" w:hAnsi="Times New Roman"/>
                <w:sz w:val="18"/>
                <w:szCs w:val="18"/>
                <w:color w:val="auto"/>
              </w:rPr>
              <w:t>October 2014 to February 2019. Mr. Sato previously served as President of The Finish Line, Inc. from October</w:t>
            </w:r>
          </w:p>
        </w:tc>
        <w:tc>
          <w:tcPr>
            <w:tcW w:w="100" w:type="dxa"/>
            <w:vAlign w:val="bottom"/>
          </w:tcPr>
          <w:p>
            <w:pPr>
              <w:spacing w:after="0"/>
              <w:rPr>
                <w:sz w:val="17"/>
                <w:szCs w:val="17"/>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Times New Roman" w:cs="Times New Roman" w:eastAsia="Times New Roman" w:hAnsi="Times New Roman"/>
                <w:sz w:val="18"/>
                <w:szCs w:val="18"/>
                <w:color w:val="auto"/>
              </w:rPr>
              <w:t>2014 to February 2016, President, Finish Line Brand, from October 2012 to October 2014, and President and</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Times New Roman" w:cs="Times New Roman" w:eastAsia="Times New Roman" w:hAnsi="Times New Roman"/>
                <w:sz w:val="18"/>
                <w:szCs w:val="18"/>
                <w:color w:val="auto"/>
              </w:rPr>
              <w:t>Chief Merchandising Officer from October 2010 to September 2012, as well as The Finish Line, Inc.’s</w:t>
            </w:r>
          </w:p>
        </w:tc>
        <w:tc>
          <w:tcPr>
            <w:tcW w:w="100" w:type="dxa"/>
            <w:vAlign w:val="bottom"/>
          </w:tcPr>
          <w:p>
            <w:pPr>
              <w:spacing w:after="0"/>
              <w:rPr>
                <w:sz w:val="16"/>
                <w:szCs w:val="16"/>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4"/>
          </w:tcPr>
          <w:p>
            <w:pPr>
              <w:spacing w:after="0" w:line="202" w:lineRule="exact"/>
              <w:rPr>
                <w:sz w:val="20"/>
                <w:szCs w:val="20"/>
                <w:color w:val="auto"/>
              </w:rPr>
            </w:pPr>
            <w:r>
              <w:rPr>
                <w:rFonts w:ascii="Times New Roman" w:cs="Times New Roman" w:eastAsia="Times New Roman" w:hAnsi="Times New Roman"/>
                <w:sz w:val="18"/>
                <w:szCs w:val="18"/>
                <w:color w:val="auto"/>
              </w:rPr>
              <w:t>Executive Vice President, Chief Merchandising Officer from to March 2007 to October 2010. Mr. Sato began</w:t>
            </w:r>
          </w:p>
        </w:tc>
        <w:tc>
          <w:tcPr>
            <w:tcW w:w="100" w:type="dxa"/>
            <w:vAlign w:val="bottom"/>
          </w:tcPr>
          <w:p>
            <w:pPr>
              <w:spacing w:after="0"/>
              <w:rPr>
                <w:sz w:val="17"/>
                <w:szCs w:val="17"/>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Times New Roman" w:cs="Times New Roman" w:eastAsia="Times New Roman" w:hAnsi="Times New Roman"/>
                <w:sz w:val="18"/>
                <w:szCs w:val="18"/>
                <w:color w:val="auto"/>
              </w:rPr>
              <w:t>his career in 1985 at Nordstrom Inc., where he held various leadership roles within merchandising. Mr. Sato has</w:t>
            </w:r>
          </w:p>
        </w:tc>
        <w:tc>
          <w:tcPr>
            <w:tcW w:w="100" w:type="dxa"/>
            <w:vAlign w:val="bottom"/>
          </w:tcPr>
          <w:p>
            <w:pPr>
              <w:spacing w:after="0"/>
              <w:rPr>
                <w:sz w:val="16"/>
                <w:szCs w:val="16"/>
                <w:color w:val="auto"/>
              </w:rPr>
            </w:pPr>
          </w:p>
        </w:tc>
      </w:tr>
      <w:tr>
        <w:trPr>
          <w:trHeight w:val="234"/>
        </w:trPr>
        <w:tc>
          <w:tcPr>
            <w:tcW w:w="2260" w:type="dxa"/>
            <w:vAlign w:val="bottom"/>
            <w:tcBorders>
              <w:left w:val="single" w:sz="8" w:color="auto"/>
              <w:righ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been involved in the retail industry for over 30 years.</w:t>
            </w:r>
          </w:p>
        </w:tc>
        <w:tc>
          <w:tcPr>
            <w:tcW w:w="100" w:type="dxa"/>
            <w:vAlign w:val="bottom"/>
          </w:tcPr>
          <w:p>
            <w:pPr>
              <w:spacing w:after="0"/>
              <w:rPr>
                <w:sz w:val="20"/>
                <w:szCs w:val="20"/>
                <w:color w:val="auto"/>
              </w:rPr>
            </w:pPr>
          </w:p>
        </w:tc>
      </w:tr>
      <w:tr>
        <w:trPr>
          <w:trHeight w:val="151"/>
        </w:trPr>
        <w:tc>
          <w:tcPr>
            <w:tcW w:w="2260" w:type="dxa"/>
            <w:vAlign w:val="bottom"/>
            <w:tcBorders>
              <w:top w:val="single" w:sz="8" w:color="auto"/>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color w:val="auto"/>
              </w:rPr>
              <w:t>David Loretta</w:t>
            </w:r>
          </w:p>
        </w:tc>
        <w:tc>
          <w:tcPr>
            <w:tcW w:w="600" w:type="dxa"/>
            <w:vAlign w:val="bottom"/>
            <w:tcBorders>
              <w:top w:val="single" w:sz="8" w:color="auto"/>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color w:val="auto"/>
              </w:rPr>
              <w:t>55</w:t>
            </w:r>
          </w:p>
        </w:tc>
        <w:tc>
          <w:tcPr>
            <w:tcW w:w="100" w:type="dxa"/>
            <w:vAlign w:val="bottom"/>
            <w:tcBorders>
              <w:top w:val="single" w:sz="8" w:color="auto"/>
            </w:tcBorders>
          </w:tcPr>
          <w:p>
            <w:pPr>
              <w:spacing w:after="0"/>
              <w:rPr>
                <w:sz w:val="13"/>
                <w:szCs w:val="13"/>
                <w:color w:val="auto"/>
              </w:rPr>
            </w:pPr>
          </w:p>
        </w:tc>
        <w:tc>
          <w:tcPr>
            <w:tcW w:w="6420" w:type="dxa"/>
            <w:vAlign w:val="bottom"/>
            <w:gridSpan w:val="2"/>
          </w:tcPr>
          <w:p>
            <w:pPr>
              <w:spacing w:after="0" w:line="150" w:lineRule="exact"/>
              <w:rPr>
                <w:sz w:val="20"/>
                <w:szCs w:val="20"/>
                <w:color w:val="auto"/>
              </w:rPr>
            </w:pPr>
            <w:r>
              <w:rPr>
                <w:rFonts w:ascii="Times New Roman" w:cs="Times New Roman" w:eastAsia="Times New Roman" w:hAnsi="Times New Roman"/>
                <w:sz w:val="17"/>
                <w:szCs w:val="17"/>
                <w:color w:val="auto"/>
                <w:highlight w:val="white"/>
              </w:rPr>
              <w:t>Mr. Loretta has been our Chief Financial Officer since July 2017. Mr. Loretta previously</w:t>
            </w:r>
          </w:p>
        </w:tc>
        <w:tc>
          <w:tcPr>
            <w:tcW w:w="1760" w:type="dxa"/>
            <w:vAlign w:val="bottom"/>
            <w:tcBorders>
              <w:top w:val="single" w:sz="8" w:color="auto"/>
              <w:right w:val="single" w:sz="8" w:color="auto"/>
            </w:tcBorders>
            <w:gridSpan w:val="2"/>
          </w:tcPr>
          <w:p>
            <w:pPr>
              <w:spacing w:after="0" w:line="150" w:lineRule="exact"/>
              <w:rPr>
                <w:sz w:val="20"/>
                <w:szCs w:val="20"/>
                <w:color w:val="auto"/>
              </w:rPr>
            </w:pPr>
            <w:r>
              <w:rPr>
                <w:rFonts w:ascii="Times New Roman" w:cs="Times New Roman" w:eastAsia="Times New Roman" w:hAnsi="Times New Roman"/>
                <w:sz w:val="17"/>
                <w:szCs w:val="17"/>
                <w:color w:val="auto"/>
              </w:rPr>
              <w:t>served four years as</w:t>
            </w:r>
          </w:p>
        </w:tc>
        <w:tc>
          <w:tcPr>
            <w:tcW w:w="100" w:type="dxa"/>
            <w:vAlign w:val="bottom"/>
          </w:tcPr>
          <w:p>
            <w:pPr>
              <w:spacing w:after="0"/>
              <w:rPr>
                <w:sz w:val="13"/>
                <w:szCs w:val="13"/>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4"/>
          </w:tcPr>
          <w:p>
            <w:pPr>
              <w:spacing w:after="0" w:line="202" w:lineRule="exact"/>
              <w:rPr>
                <w:sz w:val="20"/>
                <w:szCs w:val="20"/>
                <w:color w:val="auto"/>
              </w:rPr>
            </w:pPr>
            <w:r>
              <w:rPr>
                <w:rFonts w:ascii="Times New Roman" w:cs="Times New Roman" w:eastAsia="Times New Roman" w:hAnsi="Times New Roman"/>
                <w:sz w:val="18"/>
                <w:szCs w:val="18"/>
                <w:color w:val="auto"/>
              </w:rPr>
              <w:t>President and Chief Financial Officer of Nordstrom Bank and led all financial and operating functions of their</w:t>
            </w:r>
          </w:p>
        </w:tc>
        <w:tc>
          <w:tcPr>
            <w:tcW w:w="100" w:type="dxa"/>
            <w:vAlign w:val="bottom"/>
          </w:tcPr>
          <w:p>
            <w:pPr>
              <w:spacing w:after="0"/>
              <w:rPr>
                <w:sz w:val="17"/>
                <w:szCs w:val="17"/>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Times New Roman" w:cs="Times New Roman" w:eastAsia="Times New Roman" w:hAnsi="Times New Roman"/>
                <w:sz w:val="18"/>
                <w:szCs w:val="18"/>
                <w:color w:val="auto"/>
              </w:rPr>
              <w:t>proprietary card operations. During his tenure, Mr. Loretta was responsible for financial reporting, budgeting,</w:t>
            </w:r>
          </w:p>
        </w:tc>
        <w:tc>
          <w:tcPr>
            <w:tcW w:w="100" w:type="dxa"/>
            <w:vAlign w:val="bottom"/>
          </w:tcPr>
          <w:p>
            <w:pPr>
              <w:spacing w:after="0"/>
              <w:rPr>
                <w:sz w:val="16"/>
                <w:szCs w:val="16"/>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4"/>
          </w:tcPr>
          <w:p>
            <w:pPr>
              <w:spacing w:after="0" w:line="202" w:lineRule="exact"/>
              <w:rPr>
                <w:sz w:val="20"/>
                <w:szCs w:val="20"/>
                <w:color w:val="auto"/>
              </w:rPr>
            </w:pPr>
            <w:r>
              <w:rPr>
                <w:rFonts w:ascii="Times New Roman" w:cs="Times New Roman" w:eastAsia="Times New Roman" w:hAnsi="Times New Roman"/>
                <w:sz w:val="18"/>
                <w:szCs w:val="18"/>
                <w:color w:val="auto"/>
              </w:rPr>
              <w:t>forecasting and long-range strategic planning as well as operational leadership. Previously at Nordstrom, Inc.,</w:t>
            </w:r>
          </w:p>
        </w:tc>
        <w:tc>
          <w:tcPr>
            <w:tcW w:w="100" w:type="dxa"/>
            <w:vAlign w:val="bottom"/>
          </w:tcPr>
          <w:p>
            <w:pPr>
              <w:spacing w:after="0"/>
              <w:rPr>
                <w:sz w:val="17"/>
                <w:szCs w:val="17"/>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Times New Roman" w:cs="Times New Roman" w:eastAsia="Times New Roman" w:hAnsi="Times New Roman"/>
                <w:sz w:val="18"/>
                <w:szCs w:val="18"/>
                <w:color w:val="auto"/>
              </w:rPr>
              <w:t>he served as corporate Vice President and Treasurer overseeing treasury, investor relations and corporate</w:t>
            </w:r>
          </w:p>
        </w:tc>
        <w:tc>
          <w:tcPr>
            <w:tcW w:w="100" w:type="dxa"/>
            <w:vAlign w:val="bottom"/>
          </w:tcPr>
          <w:p>
            <w:pPr>
              <w:spacing w:after="0"/>
              <w:rPr>
                <w:sz w:val="16"/>
                <w:szCs w:val="16"/>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Times New Roman" w:cs="Times New Roman" w:eastAsia="Times New Roman" w:hAnsi="Times New Roman"/>
                <w:sz w:val="18"/>
                <w:szCs w:val="18"/>
                <w:color w:val="auto"/>
              </w:rPr>
              <w:t>development. Before his 13 years with Nordstrom, Mr. Loretta was Director of Planning and Analysis for</w:t>
            </w:r>
          </w:p>
        </w:tc>
        <w:tc>
          <w:tcPr>
            <w:tcW w:w="100" w:type="dxa"/>
            <w:vAlign w:val="bottom"/>
          </w:tcPr>
          <w:p>
            <w:pPr>
              <w:spacing w:after="0"/>
              <w:rPr>
                <w:sz w:val="16"/>
                <w:szCs w:val="16"/>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4"/>
          </w:tcPr>
          <w:p>
            <w:pPr>
              <w:spacing w:after="0" w:line="202" w:lineRule="exact"/>
              <w:rPr>
                <w:sz w:val="20"/>
                <w:szCs w:val="20"/>
                <w:color w:val="auto"/>
              </w:rPr>
            </w:pPr>
            <w:r>
              <w:rPr>
                <w:rFonts w:ascii="Times New Roman" w:cs="Times New Roman" w:eastAsia="Times New Roman" w:hAnsi="Times New Roman"/>
                <w:sz w:val="18"/>
                <w:szCs w:val="18"/>
                <w:color w:val="auto"/>
              </w:rPr>
              <w:t>Restoration Hardware, Inc., where he developed a companywide budgeting, forecasting and reporting process</w:t>
            </w:r>
          </w:p>
        </w:tc>
        <w:tc>
          <w:tcPr>
            <w:tcW w:w="100" w:type="dxa"/>
            <w:vAlign w:val="bottom"/>
          </w:tcPr>
          <w:p>
            <w:pPr>
              <w:spacing w:after="0"/>
              <w:rPr>
                <w:sz w:val="17"/>
                <w:szCs w:val="17"/>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Times New Roman" w:cs="Times New Roman" w:eastAsia="Times New Roman" w:hAnsi="Times New Roman"/>
                <w:sz w:val="18"/>
                <w:szCs w:val="18"/>
                <w:color w:val="auto"/>
              </w:rPr>
              <w:t>for the retail stores, catalog direct mail and e-commerce. Following his time at Nordstrom, Mr. Loretta</w:t>
            </w:r>
          </w:p>
        </w:tc>
        <w:tc>
          <w:tcPr>
            <w:tcW w:w="100" w:type="dxa"/>
            <w:vAlign w:val="bottom"/>
          </w:tcPr>
          <w:p>
            <w:pPr>
              <w:spacing w:after="0"/>
              <w:rPr>
                <w:sz w:val="16"/>
                <w:szCs w:val="16"/>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4"/>
          </w:tcPr>
          <w:p>
            <w:pPr>
              <w:spacing w:after="0" w:line="202" w:lineRule="exact"/>
              <w:rPr>
                <w:sz w:val="20"/>
                <w:szCs w:val="20"/>
                <w:color w:val="auto"/>
              </w:rPr>
            </w:pPr>
            <w:r>
              <w:rPr>
                <w:rFonts w:ascii="Times New Roman" w:cs="Times New Roman" w:eastAsia="Times New Roman" w:hAnsi="Times New Roman"/>
                <w:sz w:val="18"/>
                <w:szCs w:val="18"/>
                <w:color w:val="auto"/>
              </w:rPr>
              <w:t>launched and operated his own company, Pacific Time, LLC, a unique food and beverage business, from 2014</w:t>
            </w:r>
          </w:p>
        </w:tc>
        <w:tc>
          <w:tcPr>
            <w:tcW w:w="100" w:type="dxa"/>
            <w:vAlign w:val="bottom"/>
          </w:tcPr>
          <w:p>
            <w:pPr>
              <w:spacing w:after="0"/>
              <w:rPr>
                <w:sz w:val="17"/>
                <w:szCs w:val="17"/>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Times New Roman" w:cs="Times New Roman" w:eastAsia="Times New Roman" w:hAnsi="Times New Roman"/>
                <w:sz w:val="18"/>
                <w:szCs w:val="18"/>
                <w:color w:val="auto"/>
              </w:rPr>
              <w:t>to 2016. Mr. Loretta holds a B.A. in Business Economics from the University of California, Riverside and</w:t>
            </w:r>
          </w:p>
        </w:tc>
        <w:tc>
          <w:tcPr>
            <w:tcW w:w="100" w:type="dxa"/>
            <w:vAlign w:val="bottom"/>
          </w:tcPr>
          <w:p>
            <w:pPr>
              <w:spacing w:after="0"/>
              <w:rPr>
                <w:sz w:val="16"/>
                <w:szCs w:val="16"/>
                <w:color w:val="auto"/>
              </w:rPr>
            </w:pPr>
          </w:p>
        </w:tc>
      </w:tr>
      <w:tr>
        <w:trPr>
          <w:trHeight w:val="221"/>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18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earned an MBA from San Diego State University.</w:t>
            </w:r>
          </w:p>
        </w:tc>
        <w:tc>
          <w:tcPr>
            <w:tcW w:w="100" w:type="dxa"/>
            <w:vAlign w:val="bottom"/>
          </w:tcPr>
          <w:p>
            <w:pPr>
              <w:spacing w:after="0"/>
              <w:rPr>
                <w:sz w:val="19"/>
                <w:szCs w:val="19"/>
                <w:color w:val="auto"/>
              </w:rPr>
            </w:pPr>
          </w:p>
        </w:tc>
      </w:tr>
      <w:tr>
        <w:trPr>
          <w:trHeight w:val="151"/>
        </w:trPr>
        <w:tc>
          <w:tcPr>
            <w:tcW w:w="2260" w:type="dxa"/>
            <w:vAlign w:val="bottom"/>
            <w:tcBorders>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color w:val="auto"/>
              </w:rPr>
              <w:t>David S. Homolka</w:t>
            </w:r>
          </w:p>
        </w:tc>
        <w:tc>
          <w:tcPr>
            <w:tcW w:w="60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3"/>
                <w:szCs w:val="13"/>
                <w:color w:val="auto"/>
              </w:rPr>
            </w:pPr>
          </w:p>
        </w:tc>
        <w:tc>
          <w:tcPr>
            <w:tcW w:w="8180" w:type="dxa"/>
            <w:vAlign w:val="bottom"/>
            <w:tcBorders>
              <w:right w:val="single" w:sz="8" w:color="auto"/>
            </w:tcBorders>
            <w:gridSpan w:val="4"/>
          </w:tcPr>
          <w:p>
            <w:pPr>
              <w:spacing w:after="0" w:line="150" w:lineRule="exact"/>
              <w:rPr>
                <w:sz w:val="20"/>
                <w:szCs w:val="20"/>
                <w:color w:val="auto"/>
              </w:rPr>
            </w:pPr>
            <w:r>
              <w:rPr>
                <w:rFonts w:ascii="Times New Roman" w:cs="Times New Roman" w:eastAsia="Times New Roman" w:hAnsi="Times New Roman"/>
                <w:sz w:val="17"/>
                <w:szCs w:val="17"/>
                <w:color w:val="auto"/>
              </w:rPr>
              <w:t>Mr. Homolka has served as our Senior Vice President of Talent, DE&amp;I, and Retail Operations since February</w:t>
            </w:r>
          </w:p>
        </w:tc>
        <w:tc>
          <w:tcPr>
            <w:tcW w:w="100" w:type="dxa"/>
            <w:vAlign w:val="bottom"/>
          </w:tcPr>
          <w:p>
            <w:pPr>
              <w:spacing w:after="0"/>
              <w:rPr>
                <w:sz w:val="13"/>
                <w:szCs w:val="13"/>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4"/>
          </w:tcPr>
          <w:p>
            <w:pPr>
              <w:spacing w:after="0" w:line="202" w:lineRule="exact"/>
              <w:rPr>
                <w:sz w:val="20"/>
                <w:szCs w:val="20"/>
                <w:color w:val="auto"/>
              </w:rPr>
            </w:pPr>
            <w:r>
              <w:rPr>
                <w:rFonts w:ascii="Times New Roman" w:cs="Times New Roman" w:eastAsia="Times New Roman" w:hAnsi="Times New Roman"/>
                <w:sz w:val="18"/>
                <w:szCs w:val="18"/>
                <w:color w:val="auto"/>
              </w:rPr>
              <w:t>2020 and previously served as our Vice President of Human Resources, Store Operations and Asset Protection</w:t>
            </w:r>
          </w:p>
        </w:tc>
        <w:tc>
          <w:tcPr>
            <w:tcW w:w="100" w:type="dxa"/>
            <w:vAlign w:val="bottom"/>
          </w:tcPr>
          <w:p>
            <w:pPr>
              <w:spacing w:after="0"/>
              <w:rPr>
                <w:sz w:val="17"/>
                <w:szCs w:val="17"/>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Times New Roman" w:cs="Times New Roman" w:eastAsia="Times New Roman" w:hAnsi="Times New Roman"/>
                <w:sz w:val="18"/>
                <w:szCs w:val="18"/>
                <w:color w:val="auto"/>
              </w:rPr>
              <w:t>from January 2019 to February 2020, and Vice President of Human Resources from February 2017 to January</w:t>
            </w:r>
          </w:p>
        </w:tc>
        <w:tc>
          <w:tcPr>
            <w:tcW w:w="100" w:type="dxa"/>
            <w:vAlign w:val="bottom"/>
          </w:tcPr>
          <w:p>
            <w:pPr>
              <w:spacing w:after="0"/>
              <w:rPr>
                <w:sz w:val="16"/>
                <w:szCs w:val="16"/>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180" w:type="dxa"/>
            <w:vAlign w:val="bottom"/>
            <w:tcBorders>
              <w:right w:val="single" w:sz="8" w:color="auto"/>
            </w:tcBorders>
            <w:gridSpan w:val="4"/>
          </w:tcPr>
          <w:p>
            <w:pPr>
              <w:spacing w:after="0" w:line="202" w:lineRule="exact"/>
              <w:rPr>
                <w:sz w:val="20"/>
                <w:szCs w:val="20"/>
                <w:color w:val="auto"/>
              </w:rPr>
            </w:pPr>
            <w:r>
              <w:rPr>
                <w:rFonts w:ascii="Times New Roman" w:cs="Times New Roman" w:eastAsia="Times New Roman" w:hAnsi="Times New Roman"/>
                <w:sz w:val="18"/>
                <w:szCs w:val="18"/>
                <w:color w:val="auto"/>
              </w:rPr>
              <w:t>2019. Mr. Homolka previously served as Chief Property and Design Officer and Vice President of Real Estate,</w:t>
            </w:r>
          </w:p>
        </w:tc>
        <w:tc>
          <w:tcPr>
            <w:tcW w:w="100" w:type="dxa"/>
            <w:vAlign w:val="bottom"/>
          </w:tcPr>
          <w:p>
            <w:pPr>
              <w:spacing w:after="0"/>
              <w:rPr>
                <w:sz w:val="17"/>
                <w:szCs w:val="17"/>
                <w:color w:val="auto"/>
              </w:rPr>
            </w:pPr>
          </w:p>
        </w:tc>
      </w:tr>
      <w:tr>
        <w:trPr>
          <w:trHeight w:val="189"/>
        </w:trPr>
        <w:tc>
          <w:tcPr>
            <w:tcW w:w="226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Borders>
              <w:right w:val="single" w:sz="8" w:color="auto"/>
            </w:tcBorders>
            <w:gridSpan w:val="4"/>
          </w:tcPr>
          <w:p>
            <w:pPr>
              <w:spacing w:after="0" w:line="189" w:lineRule="exact"/>
              <w:rPr>
                <w:sz w:val="20"/>
                <w:szCs w:val="20"/>
                <w:color w:val="auto"/>
              </w:rPr>
            </w:pPr>
            <w:r>
              <w:rPr>
                <w:rFonts w:ascii="Times New Roman" w:cs="Times New Roman" w:eastAsia="Times New Roman" w:hAnsi="Times New Roman"/>
                <w:sz w:val="18"/>
                <w:szCs w:val="18"/>
                <w:color w:val="auto"/>
              </w:rPr>
              <w:t>Store Design and Construction at Cabela’s from October 2015 to February 2017 and Vice President of Human</w:t>
            </w:r>
          </w:p>
        </w:tc>
        <w:tc>
          <w:tcPr>
            <w:tcW w:w="100" w:type="dxa"/>
            <w:vAlign w:val="bottom"/>
          </w:tcPr>
          <w:p>
            <w:pPr>
              <w:spacing w:after="0"/>
              <w:rPr>
                <w:sz w:val="16"/>
                <w:szCs w:val="16"/>
                <w:color w:val="auto"/>
              </w:rPr>
            </w:pPr>
          </w:p>
        </w:tc>
      </w:tr>
      <w:tr>
        <w:trPr>
          <w:trHeight w:val="221"/>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18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Resources and Asset Protection from January 2012 to October 2015.</w:t>
            </w:r>
          </w:p>
        </w:tc>
        <w:tc>
          <w:tcPr>
            <w:tcW w:w="100" w:type="dxa"/>
            <w:vAlign w:val="bottom"/>
          </w:tcPr>
          <w:p>
            <w:pPr>
              <w:spacing w:after="0"/>
              <w:rPr>
                <w:sz w:val="19"/>
                <w:szCs w:val="19"/>
                <w:color w:val="auto"/>
              </w:rPr>
            </w:pPr>
          </w:p>
        </w:tc>
      </w:tr>
      <w:tr>
        <w:trPr>
          <w:trHeight w:val="182"/>
        </w:trPr>
        <w:tc>
          <w:tcPr>
            <w:tcW w:w="2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8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25</w:t>
            </w:r>
          </w:p>
        </w:tc>
        <w:tc>
          <w:tcPr>
            <w:tcW w:w="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53"/>
        </w:trPr>
        <w:tc>
          <w:tcPr>
            <w:tcW w:w="2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tbl>
      <w:tblPr>
        <w:tblLayout w:type="fixed"/>
        <w:tblInd w:w="10" w:type="dxa"/>
        <w:tblCellMar>
          <w:top w:w="0" w:type="dxa"/>
          <w:left w:w="0" w:type="dxa"/>
          <w:bottom w:w="0" w:type="dxa"/>
          <w:right w:w="0" w:type="dxa"/>
        </w:tblCellMar>
      </w:tblPr>
      <w:tr>
        <w:trPr>
          <w:trHeight w:val="207"/>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80" w:type="dxa"/>
            <w:vAlign w:val="bottom"/>
          </w:tcPr>
          <w:p>
            <w:pPr>
              <w:spacing w:after="0"/>
              <w:rPr>
                <w:sz w:val="17"/>
                <w:szCs w:val="17"/>
                <w:color w:val="auto"/>
              </w:rPr>
            </w:pPr>
          </w:p>
        </w:tc>
        <w:tc>
          <w:tcPr>
            <w:tcW w:w="8280" w:type="dxa"/>
            <w:vAlign w:val="bottom"/>
          </w:tcPr>
          <w:p>
            <w:pPr>
              <w:spacing w:after="0"/>
              <w:rPr>
                <w:sz w:val="17"/>
                <w:szCs w:val="17"/>
                <w:color w:val="auto"/>
              </w:rPr>
            </w:pPr>
          </w:p>
        </w:tc>
      </w:tr>
      <w:tr>
        <w:trPr>
          <w:trHeight w:val="169"/>
        </w:trPr>
        <w:tc>
          <w:tcPr>
            <w:tcW w:w="1280" w:type="dxa"/>
            <w:vAlign w:val="bottom"/>
            <w:tcBorders>
              <w:top w:val="single" w:sz="8" w:color="0000FF"/>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80" w:type="dxa"/>
            <w:vAlign w:val="bottom"/>
            <w:tcBorders>
              <w:bottom w:val="single" w:sz="8" w:color="auto"/>
            </w:tcBorders>
          </w:tcPr>
          <w:p>
            <w:pPr>
              <w:spacing w:after="0"/>
              <w:rPr>
                <w:sz w:val="14"/>
                <w:szCs w:val="14"/>
                <w:color w:val="auto"/>
              </w:rPr>
            </w:pPr>
          </w:p>
        </w:tc>
      </w:tr>
      <w:tr>
        <w:trPr>
          <w:trHeight w:val="151"/>
        </w:trPr>
        <w:tc>
          <w:tcPr>
            <w:tcW w:w="2260" w:type="dxa"/>
            <w:vAlign w:val="bottom"/>
            <w:tcBorders>
              <w:left w:val="single" w:sz="8" w:color="auto"/>
              <w:right w:val="single" w:sz="8" w:color="auto"/>
            </w:tcBorders>
            <w:gridSpan w:val="2"/>
          </w:tcPr>
          <w:p>
            <w:pPr>
              <w:ind w:left="120"/>
              <w:spacing w:after="0" w:line="150" w:lineRule="exact"/>
              <w:rPr>
                <w:sz w:val="20"/>
                <w:szCs w:val="20"/>
                <w:color w:val="auto"/>
              </w:rPr>
            </w:pPr>
            <w:r>
              <w:rPr>
                <w:rFonts w:ascii="Times New Roman" w:cs="Times New Roman" w:eastAsia="Times New Roman" w:hAnsi="Times New Roman"/>
                <w:sz w:val="17"/>
                <w:szCs w:val="17"/>
                <w:color w:val="auto"/>
              </w:rPr>
              <w:t>Richard W. Schlecht</w:t>
            </w:r>
          </w:p>
        </w:tc>
        <w:tc>
          <w:tcPr>
            <w:tcW w:w="580" w:type="dxa"/>
            <w:vAlign w:val="bottom"/>
            <w:tcBorders>
              <w:right w:val="single" w:sz="8" w:color="auto"/>
            </w:tcBorders>
          </w:tcPr>
          <w:p>
            <w:pPr>
              <w:jc w:val="right"/>
              <w:ind w:right="236"/>
              <w:spacing w:after="0" w:line="150" w:lineRule="exact"/>
              <w:rPr>
                <w:sz w:val="20"/>
                <w:szCs w:val="20"/>
                <w:color w:val="auto"/>
              </w:rPr>
            </w:pPr>
            <w:r>
              <w:rPr>
                <w:rFonts w:ascii="Times New Roman" w:cs="Times New Roman" w:eastAsia="Times New Roman" w:hAnsi="Times New Roman"/>
                <w:sz w:val="17"/>
                <w:szCs w:val="17"/>
                <w:color w:val="auto"/>
              </w:rPr>
              <w:t>42</w:t>
            </w:r>
          </w:p>
        </w:tc>
        <w:tc>
          <w:tcPr>
            <w:tcW w:w="828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color w:val="auto"/>
              </w:rPr>
              <w:t>Mr. Schlecht has served as our Senior Vice President of Product, Merchandise and Inventory since March 2022,</w:t>
            </w:r>
          </w:p>
        </w:tc>
      </w:tr>
      <w:tr>
        <w:trPr>
          <w:trHeight w:val="203"/>
        </w:trPr>
        <w:tc>
          <w:tcPr>
            <w:tcW w:w="128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and has previously served as our Senior Vice President of Product, Visual and Creative from February 2020 to</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March 2022, Vice President of Product Development from March 2016 to February 2020 and Director of</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Product Development from September 2013 to March 2016. Mr. Schlecht holds a BSBA degree with a minor in</w:t>
            </w:r>
          </w:p>
        </w:tc>
      </w:tr>
      <w:tr>
        <w:trPr>
          <w:trHeight w:val="203"/>
        </w:trPr>
        <w:tc>
          <w:tcPr>
            <w:tcW w:w="128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Statistics from Denver University. Mr. Schlecht is the son of Stephen L. Schlecht, the Chairman of the Board of</w:t>
            </w:r>
          </w:p>
        </w:tc>
      </w:tr>
      <w:tr>
        <w:trPr>
          <w:trHeight w:val="234"/>
        </w:trPr>
        <w:tc>
          <w:tcPr>
            <w:tcW w:w="1280" w:type="dxa"/>
            <w:vAlign w:val="bottom"/>
            <w:tcBorders>
              <w:lef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Directors of Duluth Holdings Inc.</w:t>
            </w:r>
          </w:p>
        </w:tc>
      </w:tr>
      <w:tr>
        <w:trPr>
          <w:trHeight w:val="203"/>
        </w:trPr>
        <w:tc>
          <w:tcPr>
            <w:tcW w:w="1280" w:type="dxa"/>
            <w:vAlign w:val="bottom"/>
            <w:tcBorders>
              <w:left w:val="single" w:sz="8" w:color="auto"/>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8280" w:type="dxa"/>
            <w:vAlign w:val="bottom"/>
            <w:tcBorders>
              <w:bottom w:val="single" w:sz="8" w:color="auto"/>
              <w:right w:val="single" w:sz="8" w:color="auto"/>
            </w:tcBorders>
          </w:tcPr>
          <w:p>
            <w:pPr>
              <w:spacing w:after="0"/>
              <w:rPr>
                <w:sz w:val="17"/>
                <w:szCs w:val="17"/>
                <w:color w:val="auto"/>
              </w:rPr>
            </w:pPr>
          </w:p>
        </w:tc>
      </w:tr>
      <w:tr>
        <w:trPr>
          <w:trHeight w:val="151"/>
        </w:trPr>
        <w:tc>
          <w:tcPr>
            <w:tcW w:w="2260" w:type="dxa"/>
            <w:vAlign w:val="bottom"/>
            <w:tcBorders>
              <w:left w:val="single" w:sz="8" w:color="auto"/>
              <w:right w:val="single" w:sz="8" w:color="auto"/>
            </w:tcBorders>
            <w:gridSpan w:val="2"/>
          </w:tcPr>
          <w:p>
            <w:pPr>
              <w:ind w:left="120"/>
              <w:spacing w:after="0" w:line="150" w:lineRule="exact"/>
              <w:rPr>
                <w:sz w:val="20"/>
                <w:szCs w:val="20"/>
                <w:color w:val="auto"/>
              </w:rPr>
            </w:pPr>
            <w:r>
              <w:rPr>
                <w:rFonts w:ascii="Times New Roman" w:cs="Times New Roman" w:eastAsia="Times New Roman" w:hAnsi="Times New Roman"/>
                <w:sz w:val="17"/>
                <w:szCs w:val="17"/>
                <w:color w:val="auto"/>
              </w:rPr>
              <w:t>Neala Shepherd</w:t>
            </w:r>
          </w:p>
        </w:tc>
        <w:tc>
          <w:tcPr>
            <w:tcW w:w="580" w:type="dxa"/>
            <w:vAlign w:val="bottom"/>
            <w:tcBorders>
              <w:right w:val="single" w:sz="8" w:color="auto"/>
            </w:tcBorders>
          </w:tcPr>
          <w:p>
            <w:pPr>
              <w:jc w:val="right"/>
              <w:ind w:right="236"/>
              <w:spacing w:after="0" w:line="150" w:lineRule="exact"/>
              <w:rPr>
                <w:sz w:val="20"/>
                <w:szCs w:val="20"/>
                <w:color w:val="auto"/>
              </w:rPr>
            </w:pPr>
            <w:r>
              <w:rPr>
                <w:rFonts w:ascii="Times New Roman" w:cs="Times New Roman" w:eastAsia="Times New Roman" w:hAnsi="Times New Roman"/>
                <w:sz w:val="17"/>
                <w:szCs w:val="17"/>
                <w:color w:val="auto"/>
              </w:rPr>
              <w:t>46</w:t>
            </w:r>
          </w:p>
        </w:tc>
        <w:tc>
          <w:tcPr>
            <w:tcW w:w="828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color w:val="auto"/>
              </w:rPr>
              <w:t>Ms. Shepherd has served as our Senior Vice President, Customer Experience since March 2022, serving as</w:t>
            </w:r>
          </w:p>
        </w:tc>
      </w:tr>
      <w:tr>
        <w:trPr>
          <w:trHeight w:val="203"/>
        </w:trPr>
        <w:tc>
          <w:tcPr>
            <w:tcW w:w="128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caretaker of the brand and voice of customer experience across all facets of the Company. She previously</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served as our Vice President of Merchandising and Marketing from May 2020 to March 2022 and Vice</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President of Marketing from February 2019 to May 2020. Prior to joining Duluth Trading, she served as Senior</w:t>
            </w:r>
          </w:p>
        </w:tc>
      </w:tr>
      <w:tr>
        <w:trPr>
          <w:trHeight w:val="203"/>
        </w:trPr>
        <w:tc>
          <w:tcPr>
            <w:tcW w:w="128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Director of Marketing for The Buckle, a leading specialty retailer in fashion apparel, from October 2017 to</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2019. Previously, she spent 15 years at Cabela’s in a variety of leadership roles across Marketing, Advertising,</w:t>
            </w:r>
          </w:p>
        </w:tc>
      </w:tr>
      <w:tr>
        <w:trPr>
          <w:trHeight w:val="203"/>
        </w:trPr>
        <w:tc>
          <w:tcPr>
            <w:tcW w:w="128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Creative and Brand, most recently serving as Senior Director of Marketing from September 2015 to October</w:t>
            </w:r>
          </w:p>
        </w:tc>
      </w:tr>
      <w:tr>
        <w:trPr>
          <w:trHeight w:val="234"/>
        </w:trPr>
        <w:tc>
          <w:tcPr>
            <w:tcW w:w="1280" w:type="dxa"/>
            <w:vAlign w:val="bottom"/>
            <w:tcBorders>
              <w:lef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2017. She earned a B.S. degree in Communications / Marketing from Oklahoma Christian University in 1999.</w:t>
            </w:r>
          </w:p>
        </w:tc>
      </w:tr>
      <w:tr>
        <w:trPr>
          <w:trHeight w:val="675"/>
        </w:trPr>
        <w:tc>
          <w:tcPr>
            <w:tcW w:w="1280" w:type="dxa"/>
            <w:vAlign w:val="bottom"/>
            <w:tcBorders>
              <w:left w:val="single" w:sz="8" w:color="auto"/>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right w:val="single" w:sz="8" w:color="auto"/>
            </w:tcBorders>
          </w:tcPr>
          <w:p>
            <w:pPr>
              <w:spacing w:after="0"/>
              <w:rPr>
                <w:sz w:val="24"/>
                <w:szCs w:val="24"/>
                <w:color w:val="auto"/>
              </w:rPr>
            </w:pPr>
          </w:p>
        </w:tc>
      </w:tr>
      <w:tr>
        <w:trPr>
          <w:trHeight w:val="151"/>
        </w:trPr>
        <w:tc>
          <w:tcPr>
            <w:tcW w:w="2260" w:type="dxa"/>
            <w:vAlign w:val="bottom"/>
            <w:tcBorders>
              <w:left w:val="single" w:sz="8" w:color="auto"/>
              <w:right w:val="single" w:sz="8" w:color="auto"/>
            </w:tcBorders>
            <w:gridSpan w:val="2"/>
          </w:tcPr>
          <w:p>
            <w:pPr>
              <w:ind w:left="120"/>
              <w:spacing w:after="0" w:line="150" w:lineRule="exact"/>
              <w:rPr>
                <w:sz w:val="20"/>
                <w:szCs w:val="20"/>
                <w:color w:val="auto"/>
              </w:rPr>
            </w:pPr>
            <w:r>
              <w:rPr>
                <w:rFonts w:ascii="Times New Roman" w:cs="Times New Roman" w:eastAsia="Times New Roman" w:hAnsi="Times New Roman"/>
                <w:sz w:val="17"/>
                <w:szCs w:val="17"/>
                <w:color w:val="auto"/>
              </w:rPr>
              <w:t>AJ Sutera</w:t>
            </w:r>
          </w:p>
        </w:tc>
        <w:tc>
          <w:tcPr>
            <w:tcW w:w="580" w:type="dxa"/>
            <w:vAlign w:val="bottom"/>
            <w:tcBorders>
              <w:right w:val="single" w:sz="8" w:color="auto"/>
            </w:tcBorders>
          </w:tcPr>
          <w:p>
            <w:pPr>
              <w:jc w:val="right"/>
              <w:ind w:right="236"/>
              <w:spacing w:after="0" w:line="150" w:lineRule="exact"/>
              <w:rPr>
                <w:sz w:val="20"/>
                <w:szCs w:val="20"/>
                <w:color w:val="auto"/>
              </w:rPr>
            </w:pPr>
            <w:r>
              <w:rPr>
                <w:rFonts w:ascii="Times New Roman" w:cs="Times New Roman" w:eastAsia="Times New Roman" w:hAnsi="Times New Roman"/>
                <w:sz w:val="17"/>
                <w:szCs w:val="17"/>
                <w:color w:val="auto"/>
              </w:rPr>
              <w:t>56</w:t>
            </w:r>
          </w:p>
        </w:tc>
        <w:tc>
          <w:tcPr>
            <w:tcW w:w="828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color w:val="auto"/>
              </w:rPr>
              <w:t>Mr. Sutera has served as our Senior Vice President, Chief Technology and Logistics Officer since August 2022.</w:t>
            </w:r>
          </w:p>
        </w:tc>
      </w:tr>
      <w:tr>
        <w:trPr>
          <w:trHeight w:val="202"/>
        </w:trPr>
        <w:tc>
          <w:tcPr>
            <w:tcW w:w="128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Mr. Sutera previously served as the Chief Technology Officer of JD Sports Fashion / Finish Line from March</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2016 through August 2021, where Mr. Sutera oversaw the Company’s information and technology functions</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and digital operational solutions. Before that, Mr. Sutera served as the Chief Technology Officer for the</w:t>
            </w:r>
          </w:p>
        </w:tc>
      </w:tr>
      <w:tr>
        <w:trPr>
          <w:trHeight w:val="203"/>
        </w:trPr>
        <w:tc>
          <w:tcPr>
            <w:tcW w:w="128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Hudson’s Bay Company from 2013 to 2016 and Chief Technology Officer &amp; Digital Operations for Saks Fifth</w:t>
            </w:r>
          </w:p>
        </w:tc>
      </w:tr>
      <w:tr>
        <w:trPr>
          <w:trHeight w:val="189"/>
        </w:trPr>
        <w:tc>
          <w:tcPr>
            <w:tcW w:w="1280" w:type="dxa"/>
            <w:vAlign w:val="bottom"/>
            <w:tcBorders>
              <w:lef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Avenue from 2007 to 2013. Earlier in his career, he held senior technology roles with companies including</w:t>
            </w:r>
          </w:p>
        </w:tc>
      </w:tr>
      <w:tr>
        <w:trPr>
          <w:trHeight w:val="234"/>
        </w:trPr>
        <w:tc>
          <w:tcPr>
            <w:tcW w:w="128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82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JetBlue Airways, Liberty Travel / GOGO Worldwide Vacations, Volvo North America, and General Electric.</w:t>
            </w:r>
          </w:p>
        </w:tc>
      </w:tr>
    </w:tbl>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5" w:lineRule="exact"/>
        <w:rPr>
          <w:sz w:val="20"/>
          <w:szCs w:val="20"/>
          <w:color w:val="auto"/>
        </w:rPr>
      </w:pPr>
    </w:p>
    <w:p>
      <w:pPr>
        <w:ind w:left="1080" w:right="2120" w:hanging="1065"/>
        <w:spacing w:after="0" w:line="250" w:lineRule="auto"/>
        <w:tabs>
          <w:tab w:leader="none" w:pos="106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MARKET FOR THE REGISTRANT’S COMMON EQUITY, RELATED SHAREHOLDER MATTERS AND ISSUER PURCHASES OF EQUITY SECURITIES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Listing and Trading</w:t>
      </w:r>
    </w:p>
    <w:p>
      <w:pPr>
        <w:spacing w:after="0" w:line="175" w:lineRule="exact"/>
        <w:rPr>
          <w:sz w:val="20"/>
          <w:szCs w:val="20"/>
          <w:color w:val="auto"/>
        </w:rPr>
      </w:pPr>
    </w:p>
    <w:p>
      <w:pPr>
        <w:ind w:right="720" w:firstLine="440"/>
        <w:spacing w:after="0" w:line="266" w:lineRule="auto"/>
        <w:rPr>
          <w:sz w:val="20"/>
          <w:szCs w:val="20"/>
          <w:color w:val="auto"/>
        </w:rPr>
      </w:pPr>
      <w:r>
        <w:rPr>
          <w:rFonts w:ascii="Times New Roman" w:cs="Times New Roman" w:eastAsia="Times New Roman" w:hAnsi="Times New Roman"/>
          <w:sz w:val="18"/>
          <w:szCs w:val="18"/>
          <w:color w:val="auto"/>
        </w:rPr>
        <w:t>Our Class B common stock is traded on the NASDAQ Global Select Market under the symbol “DLTH,” since our initial public offering on November 19, 2015. Our Class A common stock is neither listed nor traded on an exchange.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of Record</w:t>
      </w:r>
    </w:p>
    <w:p>
      <w:pPr>
        <w:spacing w:after="0" w:line="162" w:lineRule="exact"/>
        <w:rPr>
          <w:sz w:val="20"/>
          <w:szCs w:val="20"/>
          <w:color w:val="auto"/>
        </w:rPr>
      </w:pPr>
    </w:p>
    <w:p>
      <w:pPr>
        <w:jc w:val="both"/>
        <w:ind w:right="60" w:firstLine="440"/>
        <w:spacing w:after="0" w:line="242" w:lineRule="auto"/>
        <w:rPr>
          <w:sz w:val="20"/>
          <w:szCs w:val="20"/>
          <w:color w:val="auto"/>
        </w:rPr>
      </w:pPr>
      <w:r>
        <w:rPr>
          <w:rFonts w:ascii="Times New Roman" w:cs="Times New Roman" w:eastAsia="Times New Roman" w:hAnsi="Times New Roman"/>
          <w:sz w:val="18"/>
          <w:szCs w:val="18"/>
          <w:color w:val="auto"/>
        </w:rPr>
        <w:t>As of March 7, 2023, there were approximately 76 holders of record, based upon data provided by our transfer agent, of our Class B common stock, one of whom is the sole holder of our Class A common stock. We believe the number of beneficial holders of the Company’s Class B common stock is in excess of this amount.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firstLine="440"/>
        <w:spacing w:after="0" w:line="250" w:lineRule="auto"/>
        <w:rPr>
          <w:sz w:val="20"/>
          <w:szCs w:val="20"/>
          <w:color w:val="auto"/>
        </w:rPr>
      </w:pPr>
      <w:r>
        <w:rPr>
          <w:rFonts w:ascii="Times New Roman" w:cs="Times New Roman" w:eastAsia="Times New Roman" w:hAnsi="Times New Roman"/>
          <w:sz w:val="18"/>
          <w:szCs w:val="18"/>
          <w:color w:val="auto"/>
        </w:rPr>
        <w:t>Our Class B common stock began trading on November 20, 2015, since that time, we have not declared any cash dividends, and we do not anticipate declaring any cash dividends in the foreseeable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62" w:lineRule="exact"/>
        <w:rPr>
          <w:sz w:val="20"/>
          <w:szCs w:val="20"/>
          <w:color w:val="auto"/>
        </w:rPr>
      </w:pPr>
    </w:p>
    <w:p>
      <w:pPr>
        <w:ind w:right="700" w:firstLine="440"/>
        <w:spacing w:after="0" w:line="266" w:lineRule="auto"/>
        <w:rPr>
          <w:sz w:val="20"/>
          <w:szCs w:val="20"/>
          <w:color w:val="auto"/>
        </w:rPr>
      </w:pPr>
      <w:r>
        <w:rPr>
          <w:rFonts w:ascii="Times New Roman" w:cs="Times New Roman" w:eastAsia="Times New Roman" w:hAnsi="Times New Roman"/>
          <w:sz w:val="18"/>
          <w:szCs w:val="18"/>
          <w:color w:val="auto"/>
        </w:rPr>
        <w:t>Information regarding our equity compensation plans is set forth in Part III, Item 12. Security Ownership of Certain Beneficial Owners and Management and Related Shareholder Matters.</w:t>
      </w:r>
    </w:p>
    <w:p>
      <w:pPr>
        <w:spacing w:after="0" w:line="3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[RESERVED]</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5"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1080" w:right="2380" w:hanging="1065"/>
        <w:spacing w:after="0" w:line="250" w:lineRule="auto"/>
        <w:tabs>
          <w:tab w:leader="none" w:pos="106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MANAGEMENT’S DISCUSSION AND ANALYSIS OF FINANCIAL CONDITION AND RESULTS OF OPERATIONS</w:t>
      </w:r>
    </w:p>
    <w:p>
      <w:pPr>
        <w:spacing w:after="0" w:line="228" w:lineRule="exact"/>
        <w:rPr>
          <w:sz w:val="20"/>
          <w:szCs w:val="20"/>
          <w:color w:val="auto"/>
        </w:rPr>
      </w:pPr>
    </w:p>
    <w:p>
      <w:pPr>
        <w:ind w:right="40" w:firstLine="440"/>
        <w:spacing w:after="0" w:line="23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should be read in conjunction with the consolidated financial statements and the accompanying notes and information contained in other sections included elsewhere in this annual report, particularly, “Risk Factors,”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144" w:lineRule="exact"/>
        <w:rPr>
          <w:sz w:val="20"/>
          <w:szCs w:val="20"/>
          <w:color w:val="auto"/>
        </w:rPr>
      </w:pPr>
    </w:p>
    <w:p>
      <w:pPr>
        <w:ind w:right="60" w:firstLine="440"/>
        <w:spacing w:after="0" w:line="25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Management’s discussion focuses on fiscal 2022 results compared to fiscal 2021. Fiscal year 2022 and 2021 were 52-week periods. For a discussion of fiscal 2021 results compared to fiscal 2020, refer to the Company’s Annual Report on </w:t>
      </w:r>
      <w:hyperlink r:id="rId37">
        <w:r>
          <w:rPr>
            <w:rFonts w:ascii="Times New Roman" w:cs="Times New Roman" w:eastAsia="Times New Roman" w:hAnsi="Times New Roman"/>
            <w:sz w:val="18"/>
            <w:szCs w:val="18"/>
            <w:i w:val="1"/>
            <w:iCs w:val="1"/>
            <w:u w:val="single" w:color="auto"/>
            <w:color w:val="0000FF"/>
          </w:rPr>
          <w:t>Form 10-K</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for the year ended January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4052570</wp:posOffset>
            </wp:positionH>
            <wp:positionV relativeFrom="paragraph">
              <wp:posOffset>-32385</wp:posOffset>
            </wp:positionV>
            <wp:extent cx="5111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1117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40" w:firstLine="440"/>
        <w:spacing w:after="0" w:line="242" w:lineRule="auto"/>
        <w:rPr>
          <w:sz w:val="20"/>
          <w:szCs w:val="20"/>
          <w:color w:val="auto"/>
        </w:rPr>
      </w:pPr>
      <w:r>
        <w:rPr>
          <w:rFonts w:ascii="Times New Roman" w:cs="Times New Roman" w:eastAsia="Times New Roman" w:hAnsi="Times New Roman"/>
          <w:sz w:val="18"/>
          <w:szCs w:val="18"/>
          <w:color w:val="auto"/>
        </w:rPr>
        <w:t>We are a lifestyle brand of men’s and women’s casual wear, workwear and accessories sold primarily through our own omnichannel platform. We offer products nationwide through our website and catalog. In 2010, we initiated our omnichannel platform with the opening of our first store. Since then, we have expanded our retail presence, and as of January 29, 2023, we operated 62 retail stores and three outlet stores.</w:t>
      </w:r>
    </w:p>
    <w:p>
      <w:pPr>
        <w:spacing w:after="0" w:line="161" w:lineRule="exact"/>
        <w:rPr>
          <w:sz w:val="20"/>
          <w:szCs w:val="20"/>
          <w:color w:val="auto"/>
        </w:rPr>
      </w:pPr>
    </w:p>
    <w:p>
      <w:pPr>
        <w:ind w:right="20" w:firstLine="440"/>
        <w:spacing w:after="0" w:line="181" w:lineRule="auto"/>
        <w:rPr>
          <w:sz w:val="20"/>
          <w:szCs w:val="20"/>
          <w:color w:val="auto"/>
        </w:rPr>
      </w:pPr>
      <w:r>
        <w:rPr>
          <w:rFonts w:ascii="Times New Roman" w:cs="Times New Roman" w:eastAsia="Times New Roman" w:hAnsi="Times New Roman"/>
          <w:sz w:val="18"/>
          <w:szCs w:val="18"/>
          <w:color w:val="auto"/>
        </w:rPr>
        <w:t>We offer a comprehensive line of innovative, durable and functional products, such as our Longtail 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shirts, Buck Naked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underwear, Fire Hose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work pants and No-Yank™ Tank, which reflect our position as the Modern, Self-Reliant American Lifestyle brand. Our brand has a heritage in workwear that transcends tradesmen and appeals to a broad demographic for everyday and on-the-job use.</w:t>
      </w:r>
    </w:p>
    <w:p>
      <w:pPr>
        <w:spacing w:after="0" w:line="147"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our financial results is as follows:</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sales in fiscal 2022 decreased by 6.5% over the prior year to $653.3 million;</w:t>
      </w:r>
    </w:p>
    <w:p>
      <w:pPr>
        <w:spacing w:after="0" w:line="90" w:lineRule="exact"/>
        <w:rPr>
          <w:sz w:val="20"/>
          <w:szCs w:val="20"/>
          <w:color w:val="auto"/>
        </w:rPr>
      </w:pPr>
    </w:p>
    <w:p>
      <w:pPr>
        <w:ind w:left="880" w:right="3140"/>
        <w:spacing w:after="0" w:line="376" w:lineRule="auto"/>
        <w:rPr>
          <w:sz w:val="20"/>
          <w:szCs w:val="20"/>
          <w:color w:val="auto"/>
        </w:rPr>
      </w:pPr>
      <w:r>
        <w:rPr>
          <w:rFonts w:ascii="Times New Roman" w:cs="Times New Roman" w:eastAsia="Times New Roman" w:hAnsi="Times New Roman"/>
          <w:sz w:val="18"/>
          <w:szCs w:val="18"/>
          <w:color w:val="auto"/>
        </w:rPr>
        <w:t>Net income in fiscal 2022 was $2.2 million compared to prior year net income of $29.6 million; and Adjusted EBITDA in fiscal 2022 decreased 43.8% over the prior year to $43.5 million.</w:t>
      </w:r>
    </w:p>
    <w:p>
      <w:pPr>
        <w:spacing w:after="0" w:line="40" w:lineRule="exact"/>
        <w:rPr>
          <w:sz w:val="20"/>
          <w:szCs w:val="20"/>
          <w:color w:val="auto"/>
        </w:rPr>
      </w:pPr>
    </w:p>
    <w:p>
      <w:pPr>
        <w:ind w:right="80" w:firstLine="440"/>
        <w:spacing w:after="0" w:line="236" w:lineRule="auto"/>
        <w:rPr>
          <w:sz w:val="20"/>
          <w:szCs w:val="20"/>
          <w:color w:val="auto"/>
        </w:rPr>
      </w:pPr>
      <w:r>
        <w:rPr>
          <w:rFonts w:ascii="Times New Roman" w:cs="Times New Roman" w:eastAsia="Times New Roman" w:hAnsi="Times New Roman"/>
          <w:sz w:val="18"/>
          <w:szCs w:val="18"/>
          <w:color w:val="auto"/>
        </w:rPr>
        <w:t>See “Reconciliation of Net Income to EBITDA and EBITDA to Adjusted EBITDA” section for a reconciliation of our net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ind w:right="100" w:firstLine="428"/>
        <w:spacing w:after="0" w:line="236" w:lineRule="auto"/>
        <w:rPr>
          <w:sz w:val="20"/>
          <w:szCs w:val="20"/>
          <w:color w:val="auto"/>
        </w:rPr>
      </w:pPr>
      <w:r>
        <w:rPr>
          <w:rFonts w:ascii="Times New Roman" w:cs="Times New Roman" w:eastAsia="Times New Roman" w:hAnsi="Times New Roman"/>
          <w:sz w:val="18"/>
          <w:szCs w:val="18"/>
          <w:color w:val="auto"/>
        </w:rPr>
        <w:t>Our management’s discussion and analysis includes market sales metrics for our stores, website and catalog sales. Market areas are determined by a third-party that divides the United States and Puerto Rico into 280 unique geographical areas. Our store market sales metrics include sales from our stores, website and catalog. Our non-store market sales metrics include sales from our website, catalog and orders placed through the call center.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w:t>
      </w:r>
    </w:p>
    <w:p>
      <w:pPr>
        <w:spacing w:after="0" w:line="175"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The United States economy has experienced high inflation during 2021 and 2022 and there are expectations in the market that inflation may remain at elevated levels.</w:t>
      </w:r>
    </w:p>
    <w:p>
      <w:pPr>
        <w:spacing w:after="0" w:line="136" w:lineRule="exact"/>
        <w:rPr>
          <w:sz w:val="20"/>
          <w:szCs w:val="20"/>
          <w:color w:val="auto"/>
        </w:rPr>
      </w:pPr>
    </w:p>
    <w:p>
      <w:pPr>
        <w:ind w:right="160" w:firstLine="428"/>
        <w:spacing w:after="0" w:line="250" w:lineRule="auto"/>
        <w:rPr>
          <w:sz w:val="20"/>
          <w:szCs w:val="20"/>
          <w:color w:val="auto"/>
        </w:rPr>
      </w:pPr>
      <w:r>
        <w:rPr>
          <w:rFonts w:ascii="Times New Roman" w:cs="Times New Roman" w:eastAsia="Times New Roman" w:hAnsi="Times New Roman"/>
          <w:sz w:val="18"/>
          <w:szCs w:val="18"/>
          <w:color w:val="auto"/>
        </w:rPr>
        <w:t>The ultimate impact of higher inflationary periods on our operational and financial performance still depends on future developments outside of our control. Given the uncertainty, we cannot reasonably estimate store traffic patterns and the prolonged impact on overall consumer demand.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financial and operating measures that affect our operating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75" w:lineRule="exact"/>
        <w:rPr>
          <w:sz w:val="20"/>
          <w:szCs w:val="20"/>
          <w:color w:val="auto"/>
        </w:rPr>
      </w:pPr>
    </w:p>
    <w:p>
      <w:pPr>
        <w:ind w:right="380" w:firstLine="440"/>
        <w:spacing w:after="0" w:line="250" w:lineRule="auto"/>
        <w:rPr>
          <w:sz w:val="20"/>
          <w:szCs w:val="20"/>
          <w:color w:val="auto"/>
        </w:rPr>
      </w:pPr>
      <w:r>
        <w:rPr>
          <w:rFonts w:ascii="Times New Roman" w:cs="Times New Roman" w:eastAsia="Times New Roman" w:hAnsi="Times New Roman"/>
          <w:sz w:val="18"/>
          <w:szCs w:val="18"/>
          <w:color w:val="auto"/>
        </w:rPr>
        <w:t>Net sales reflect our sale of merchandise plus shipping and handling revenue collected from our customers, less returns and discounts. Direct-to-consumer sales are recognized upon shipment to a customer, while store sales are recognized at the point of sale.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ind w:right="20" w:firstLine="440"/>
        <w:spacing w:after="0" w:line="231" w:lineRule="auto"/>
        <w:rPr>
          <w:sz w:val="20"/>
          <w:szCs w:val="20"/>
          <w:color w:val="auto"/>
        </w:rPr>
      </w:pPr>
      <w:r>
        <w:rPr>
          <w:rFonts w:ascii="Times New Roman" w:cs="Times New Roman" w:eastAsia="Times New Roman" w:hAnsi="Times New Roman"/>
          <w:sz w:val="18"/>
          <w:szCs w:val="18"/>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fulfillment centers to our retail stores. The primary drivers of the costs of individual goods are raw material costs. Depreciation and amortization are excluded from gross profit. We expect gross profit to increase to the extent that we successfully grow our net sales. Shipping and handling revenue is also reflected in our gross profit and gross profit margin. Our gross profit may not be comparable to other retailers, as we do not include distribution network and store occupancy expenses in calculating gross profit, but instead we include them in selling, general and administrative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ind w:right="60" w:firstLine="440"/>
        <w:spacing w:after="0" w:line="233" w:lineRule="auto"/>
        <w:rPr>
          <w:sz w:val="20"/>
          <w:szCs w:val="20"/>
          <w:color w:val="auto"/>
        </w:rPr>
      </w:pPr>
      <w:r>
        <w:rPr>
          <w:rFonts w:ascii="Times New Roman" w:cs="Times New Roman" w:eastAsia="Times New Roman" w:hAnsi="Times New Roman"/>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digital and social media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4" w:lineRule="exact"/>
        <w:rPr>
          <w:sz w:val="20"/>
          <w:szCs w:val="20"/>
          <w:color w:val="auto"/>
        </w:rPr>
      </w:pPr>
    </w:p>
    <w:p>
      <w:pPr>
        <w:ind w:right="20" w:firstLine="440"/>
        <w:spacing w:after="0" w:line="242" w:lineRule="auto"/>
        <w:rPr>
          <w:sz w:val="20"/>
          <w:szCs w:val="20"/>
          <w:color w:val="auto"/>
        </w:rPr>
      </w:pPr>
      <w:r>
        <w:rPr>
          <w:rFonts w:ascii="Times New Roman" w:cs="Times New Roman" w:eastAsia="Times New Roman" w:hAnsi="Times New Roman"/>
          <w:sz w:val="18"/>
          <w:szCs w:val="18"/>
          <w:color w:val="auto"/>
        </w:rPr>
        <w:t>While we expect these expenses to increase as we continue to increase brand awareness and invest in infrastructure to support our business, we believe these expenses will decrease as a percentage of sales over time. Our shipping and handling expenses typically increase during the second half of the year due to additional surcharges during our peak selling season.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2" w:lineRule="exact"/>
        <w:rPr>
          <w:sz w:val="20"/>
          <w:szCs w:val="20"/>
          <w:color w:val="auto"/>
        </w:rPr>
      </w:pPr>
    </w:p>
    <w:p>
      <w:pPr>
        <w:ind w:right="120" w:firstLine="440"/>
        <w:spacing w:after="0" w:line="236" w:lineRule="auto"/>
        <w:rPr>
          <w:sz w:val="20"/>
          <w:szCs w:val="20"/>
          <w:color w:val="auto"/>
        </w:rPr>
      </w:pPr>
      <w:r>
        <w:rPr>
          <w:rFonts w:ascii="Times New Roman" w:cs="Times New Roman" w:eastAsia="Times New Roman" w:hAnsi="Times New Roman"/>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4" w:lineRule="exact"/>
        <w:rPr>
          <w:sz w:val="20"/>
          <w:szCs w:val="20"/>
          <w:color w:val="auto"/>
        </w:rPr>
      </w:pPr>
    </w:p>
    <w:p>
      <w:pPr>
        <w:ind w:right="40" w:firstLine="440"/>
        <w:spacing w:after="0" w:line="236" w:lineRule="auto"/>
        <w:rPr>
          <w:sz w:val="20"/>
          <w:szCs w:val="20"/>
          <w:color w:val="auto"/>
        </w:rPr>
      </w:pPr>
      <w:r>
        <w:rPr>
          <w:rFonts w:ascii="Times New Roman" w:cs="Times New Roman" w:eastAsia="Times New Roman" w:hAnsi="Times New Roman"/>
          <w:sz w:val="18"/>
          <w:szCs w:val="18"/>
          <w:color w:val="auto"/>
        </w:rPr>
        <w:t>We define Adjusted EBITDA as consolidated net income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 This non-GAAP measure may not be comparable to similarly titled measures used by other companies.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ind w:right="180" w:firstLine="440"/>
        <w:spacing w:after="0" w:line="242" w:lineRule="auto"/>
        <w:rPr>
          <w:sz w:val="20"/>
          <w:szCs w:val="20"/>
          <w:color w:val="auto"/>
        </w:rPr>
      </w:pPr>
      <w:r>
        <w:rPr>
          <w:rFonts w:ascii="Times New Roman" w:cs="Times New Roman" w:eastAsia="Times New Roman" w:hAnsi="Times New Roman"/>
          <w:sz w:val="18"/>
          <w:szCs w:val="18"/>
          <w:color w:val="auto"/>
        </w:rPr>
        <w:t>We believe Free Cash Flow is a useful measure of performance as an indication of our financial strength and provides additional perspective on our ability to efficiently use capital in executing our growth strategy. We use Free Cash Flow to facilitate a comparison of our operating performance on a consistent basis from period-to-period and our ability to generate cash.</w:t>
      </w:r>
    </w:p>
    <w:p>
      <w:pPr>
        <w:spacing w:after="0" w:line="13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We define Free Cash Flow as net cash provided by operating activities less purchase of property and equipment. This non-GAAP measure may not be comparable to similarly titled measures used by other companies.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periods indicated, both in dollars and as a percentage of net sales.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4"/>
          </w:tcPr>
          <w:p>
            <w:pPr>
              <w:jc w:val="right"/>
              <w:ind w:right="1311"/>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r>
      <w:tr>
        <w:trPr>
          <w:trHeight w:val="182"/>
        </w:trPr>
        <w:tc>
          <w:tcPr>
            <w:tcW w:w="5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220" w:type="dxa"/>
            <w:vAlign w:val="bottom"/>
          </w:tcPr>
          <w:p>
            <w:pPr>
              <w:spacing w:after="0"/>
              <w:rPr>
                <w:sz w:val="15"/>
                <w:szCs w:val="15"/>
                <w:color w:val="auto"/>
              </w:rPr>
            </w:pPr>
          </w:p>
        </w:tc>
      </w:tr>
      <w:tr>
        <w:trPr>
          <w:trHeight w:val="196"/>
        </w:trPr>
        <w:tc>
          <w:tcPr>
            <w:tcW w:w="56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6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sales</w:t>
            </w: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653,307</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698,584</w:t>
            </w:r>
          </w:p>
        </w:tc>
        <w:tc>
          <w:tcPr>
            <w:tcW w:w="220" w:type="dxa"/>
            <w:vAlign w:val="bottom"/>
            <w:shd w:val="clear" w:color="auto" w:fill="CCEEFF"/>
          </w:tcPr>
          <w:p>
            <w:pPr>
              <w:spacing w:after="0"/>
              <w:rPr>
                <w:sz w:val="17"/>
                <w:szCs w:val="17"/>
                <w:color w:val="auto"/>
              </w:rPr>
            </w:pPr>
          </w:p>
        </w:tc>
      </w:tr>
      <w:tr>
        <w:trPr>
          <w:trHeight w:val="216"/>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309,872</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321,260</w:t>
            </w:r>
          </w:p>
        </w:tc>
        <w:tc>
          <w:tcPr>
            <w:tcW w:w="220" w:type="dxa"/>
            <w:vAlign w:val="bottom"/>
            <w:tcBorders>
              <w:bottom w:val="single" w:sz="8" w:color="CCEEFF"/>
            </w:tcBorders>
          </w:tcPr>
          <w:p>
            <w:pPr>
              <w:spacing w:after="0"/>
              <w:rPr>
                <w:sz w:val="18"/>
                <w:szCs w:val="18"/>
                <w:color w:val="auto"/>
              </w:rPr>
            </w:pPr>
          </w:p>
        </w:tc>
      </w:tr>
      <w:tr>
        <w:trPr>
          <w:trHeight w:val="183"/>
        </w:trPr>
        <w:tc>
          <w:tcPr>
            <w:tcW w:w="56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343,435</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377,324</w:t>
            </w:r>
          </w:p>
        </w:tc>
        <w:tc>
          <w:tcPr>
            <w:tcW w:w="220" w:type="dxa"/>
            <w:vAlign w:val="bottom"/>
            <w:shd w:val="clear" w:color="auto" w:fill="CCEEFF"/>
          </w:tcPr>
          <w:p>
            <w:pPr>
              <w:spacing w:after="0"/>
              <w:rPr>
                <w:sz w:val="15"/>
                <w:szCs w:val="15"/>
                <w:color w:val="auto"/>
              </w:rPr>
            </w:pPr>
          </w:p>
        </w:tc>
      </w:tr>
      <w:tr>
        <w:trPr>
          <w:trHeight w:val="203"/>
        </w:trPr>
        <w:tc>
          <w:tcPr>
            <w:tcW w:w="564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337,204</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333,225</w:t>
            </w:r>
          </w:p>
        </w:tc>
        <w:tc>
          <w:tcPr>
            <w:tcW w:w="220" w:type="dxa"/>
            <w:vAlign w:val="bottom"/>
            <w:tcBorders>
              <w:bottom w:val="single" w:sz="8" w:color="CCEEFF"/>
            </w:tcBorders>
          </w:tcPr>
          <w:p>
            <w:pPr>
              <w:spacing w:after="0"/>
              <w:rPr>
                <w:sz w:val="17"/>
                <w:szCs w:val="17"/>
                <w:color w:val="auto"/>
              </w:rPr>
            </w:pPr>
          </w:p>
        </w:tc>
      </w:tr>
      <w:tr>
        <w:trPr>
          <w:trHeight w:val="183"/>
        </w:trPr>
        <w:tc>
          <w:tcPr>
            <w:tcW w:w="56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income</w:t>
            </w:r>
          </w:p>
        </w:tc>
        <w:tc>
          <w:tcPr>
            <w:tcW w:w="1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6,231</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44,099</w:t>
            </w:r>
          </w:p>
        </w:tc>
        <w:tc>
          <w:tcPr>
            <w:tcW w:w="220" w:type="dxa"/>
            <w:vAlign w:val="bottom"/>
            <w:shd w:val="clear" w:color="auto" w:fill="CCEEFF"/>
          </w:tcPr>
          <w:p>
            <w:pPr>
              <w:spacing w:after="0"/>
              <w:rPr>
                <w:sz w:val="15"/>
                <w:szCs w:val="15"/>
                <w:color w:val="auto"/>
              </w:rPr>
            </w:pPr>
          </w:p>
        </w:tc>
      </w:tr>
      <w:tr>
        <w:trPr>
          <w:trHeight w:val="203"/>
        </w:trPr>
        <w:tc>
          <w:tcPr>
            <w:tcW w:w="5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3,653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4,717</w:t>
            </w:r>
          </w:p>
        </w:tc>
        <w:tc>
          <w:tcPr>
            <w:tcW w:w="220" w:type="dxa"/>
            <w:vAlign w:val="bottom"/>
          </w:tcPr>
          <w:p>
            <w:pPr>
              <w:spacing w:after="0"/>
              <w:rPr>
                <w:sz w:val="17"/>
                <w:szCs w:val="17"/>
                <w:color w:val="auto"/>
              </w:rPr>
            </w:pPr>
          </w:p>
        </w:tc>
      </w:tr>
      <w:tr>
        <w:trPr>
          <w:trHeight w:val="203"/>
        </w:trPr>
        <w:tc>
          <w:tcPr>
            <w:tcW w:w="56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income, net</w:t>
            </w:r>
          </w:p>
        </w:tc>
        <w:tc>
          <w:tcPr>
            <w:tcW w:w="12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376</w:t>
            </w:r>
          </w:p>
        </w:tc>
        <w:tc>
          <w:tcPr>
            <w:tcW w:w="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spacing w:after="0"/>
              <w:rPr>
                <w:sz w:val="17"/>
                <w:szCs w:val="17"/>
                <w:color w:val="auto"/>
              </w:rPr>
            </w:pPr>
          </w:p>
        </w:tc>
      </w:tr>
      <w:tr>
        <w:trPr>
          <w:trHeight w:val="183"/>
        </w:trPr>
        <w:tc>
          <w:tcPr>
            <w:tcW w:w="56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Income before income taxes</w:t>
            </w: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2,954</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39,437</w:t>
            </w:r>
          </w:p>
        </w:tc>
        <w:tc>
          <w:tcPr>
            <w:tcW w:w="220" w:type="dxa"/>
            <w:vAlign w:val="bottom"/>
          </w:tcPr>
          <w:p>
            <w:pPr>
              <w:spacing w:after="0"/>
              <w:rPr>
                <w:sz w:val="15"/>
                <w:szCs w:val="15"/>
                <w:color w:val="auto"/>
              </w:rPr>
            </w:pPr>
          </w:p>
        </w:tc>
      </w:tr>
      <w:tr>
        <w:trPr>
          <w:trHeight w:val="203"/>
        </w:trPr>
        <w:tc>
          <w:tcPr>
            <w:tcW w:w="56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Income tax expense</w:t>
            </w:r>
          </w:p>
        </w:tc>
        <w:tc>
          <w:tcPr>
            <w:tcW w:w="12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708</w:t>
            </w:r>
          </w:p>
        </w:tc>
        <w:tc>
          <w:tcPr>
            <w:tcW w:w="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9,887</w:t>
            </w:r>
          </w:p>
        </w:tc>
        <w:tc>
          <w:tcPr>
            <w:tcW w:w="220" w:type="dxa"/>
            <w:vAlign w:val="bottom"/>
            <w:shd w:val="clear" w:color="auto" w:fill="CCEEFF"/>
          </w:tcPr>
          <w:p>
            <w:pPr>
              <w:spacing w:after="0"/>
              <w:rPr>
                <w:sz w:val="17"/>
                <w:szCs w:val="17"/>
                <w:color w:val="auto"/>
              </w:rPr>
            </w:pPr>
          </w:p>
        </w:tc>
      </w:tr>
      <w:tr>
        <w:trPr>
          <w:trHeight w:val="183"/>
        </w:trPr>
        <w:tc>
          <w:tcPr>
            <w:tcW w:w="56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2,246</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29,550</w:t>
            </w:r>
          </w:p>
        </w:tc>
        <w:tc>
          <w:tcPr>
            <w:tcW w:w="220" w:type="dxa"/>
            <w:vAlign w:val="bottom"/>
          </w:tcPr>
          <w:p>
            <w:pPr>
              <w:spacing w:after="0"/>
              <w:rPr>
                <w:sz w:val="15"/>
                <w:szCs w:val="15"/>
                <w:color w:val="auto"/>
              </w:rPr>
            </w:pPr>
          </w:p>
        </w:tc>
      </w:tr>
      <w:tr>
        <w:trPr>
          <w:trHeight w:val="203"/>
        </w:trPr>
        <w:tc>
          <w:tcPr>
            <w:tcW w:w="56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2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(152)</w:t>
            </w:r>
          </w:p>
        </w:tc>
        <w:tc>
          <w:tcPr>
            <w:tcW w:w="220" w:type="dxa"/>
            <w:vAlign w:val="bottom"/>
            <w:shd w:val="clear" w:color="auto" w:fill="CCEEFF"/>
          </w:tcPr>
          <w:p>
            <w:pPr>
              <w:spacing w:after="0"/>
              <w:rPr>
                <w:sz w:val="17"/>
                <w:szCs w:val="17"/>
                <w:color w:val="auto"/>
              </w:rPr>
            </w:pPr>
          </w:p>
        </w:tc>
      </w:tr>
      <w:tr>
        <w:trPr>
          <w:trHeight w:val="223"/>
        </w:trPr>
        <w:tc>
          <w:tcPr>
            <w:tcW w:w="564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1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2,304</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29,702</w:t>
            </w:r>
          </w:p>
        </w:tc>
        <w:tc>
          <w:tcPr>
            <w:tcW w:w="220" w:type="dxa"/>
            <w:vAlign w:val="bottom"/>
            <w:tcBorders>
              <w:bottom w:val="single" w:sz="8" w:color="CCEEFF"/>
            </w:tcBorders>
          </w:tcPr>
          <w:p>
            <w:pPr>
              <w:spacing w:after="0"/>
              <w:rPr>
                <w:sz w:val="19"/>
                <w:szCs w:val="19"/>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8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8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2022 Compared to Fiscal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sales decreased $45.3 million, or 6.5%, to $653.3 million in fiscal 2022 compared to $698.6 million in fiscal 2021.</w:t>
      </w:r>
    </w:p>
    <w:p>
      <w:pPr>
        <w:spacing w:after="0" w:line="171" w:lineRule="exact"/>
        <w:rPr>
          <w:sz w:val="20"/>
          <w:szCs w:val="20"/>
          <w:color w:val="auto"/>
        </w:rPr>
      </w:pPr>
    </w:p>
    <w:p>
      <w:pPr>
        <w:jc w:val="both"/>
        <w:ind w:right="60" w:firstLine="428"/>
        <w:spacing w:after="0" w:line="250" w:lineRule="auto"/>
        <w:rPr>
          <w:sz w:val="20"/>
          <w:szCs w:val="20"/>
          <w:color w:val="auto"/>
        </w:rPr>
      </w:pPr>
      <w:r>
        <w:rPr>
          <w:rFonts w:ascii="Times New Roman" w:cs="Times New Roman" w:eastAsia="Times New Roman" w:hAnsi="Times New Roman"/>
          <w:sz w:val="18"/>
          <w:szCs w:val="18"/>
          <w:color w:val="auto"/>
        </w:rPr>
        <w:t>Store market net sales decreased $29.8 million, or 6.1%, to $456.5 million in fiscal 2022 compared to $486.3 million in fiscal 2021. Net sales in non-store markets decreased $14.6 million, or 7.1%, to $191.6 million in fiscal 2022 compared to $206.2 million in fiscal 2021.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ind w:right="160" w:firstLine="440"/>
        <w:spacing w:after="0" w:line="236" w:lineRule="auto"/>
        <w:rPr>
          <w:sz w:val="20"/>
          <w:szCs w:val="20"/>
          <w:color w:val="auto"/>
        </w:rPr>
      </w:pPr>
      <w:r>
        <w:rPr>
          <w:rFonts w:ascii="Times New Roman" w:cs="Times New Roman" w:eastAsia="Times New Roman" w:hAnsi="Times New Roman"/>
          <w:sz w:val="18"/>
          <w:szCs w:val="18"/>
          <w:color w:val="auto"/>
        </w:rPr>
        <w:t>Gross profit decreased $33.9 million, or 9.0%, to $343.4 million in fiscal 2022 compared to $377.3 million in fiscal 2021. As a percentage of net sales, gross margin decreased to 52.6% of net sales in fiscal 2022 compared to 54.0% of net sales in fiscal 2021. The decrease in gross margin rate was primarily due to a lower mix of full price sales, coupled with deeper discounts as a response to the heavily promotional industry environment, particularly during the back half of fiscal 2022.</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Selling, general and administrative expenses increased $4.0 million, or 1.2%, to $337.2 million in fiscal 2022 compared to $333.2 million in fiscal</w:t>
      </w:r>
    </w:p>
    <w:p>
      <w:pPr>
        <w:spacing w:after="0" w:line="16" w:lineRule="exact"/>
        <w:rPr>
          <w:sz w:val="20"/>
          <w:szCs w:val="20"/>
          <w:color w:val="auto"/>
        </w:rPr>
      </w:pPr>
    </w:p>
    <w:p>
      <w:pPr>
        <w:jc w:val="both"/>
        <w:ind w:right="320"/>
        <w:spacing w:after="0" w:line="233" w:lineRule="auto"/>
        <w:rPr>
          <w:sz w:val="20"/>
          <w:szCs w:val="20"/>
          <w:color w:val="auto"/>
        </w:rPr>
      </w:pPr>
      <w:r>
        <w:rPr>
          <w:rFonts w:ascii="Times New Roman" w:cs="Times New Roman" w:eastAsia="Times New Roman" w:hAnsi="Times New Roman"/>
          <w:sz w:val="18"/>
          <w:szCs w:val="18"/>
          <w:color w:val="auto"/>
        </w:rPr>
        <w:t>2021. Selling, general and administrative expenses as a percentage of net sales increased in fiscal 2022 to 51.6% of net sales, compared to 47.7% of net sales for fiscal 2021. The negative leverage was primarily due to lower net sales in the current period compared to the prior period.</w:t>
      </w:r>
    </w:p>
    <w:p>
      <w:pPr>
        <w:spacing w:after="0" w:line="145" w:lineRule="exact"/>
        <w:rPr>
          <w:sz w:val="20"/>
          <w:szCs w:val="20"/>
          <w:color w:val="auto"/>
        </w:rPr>
      </w:pPr>
    </w:p>
    <w:p>
      <w:pPr>
        <w:ind w:right="240" w:firstLine="428"/>
        <w:spacing w:after="0" w:line="250" w:lineRule="auto"/>
        <w:rPr>
          <w:sz w:val="20"/>
          <w:szCs w:val="20"/>
          <w:color w:val="auto"/>
        </w:rPr>
      </w:pPr>
      <w:r>
        <w:rPr>
          <w:rFonts w:ascii="Times New Roman" w:cs="Times New Roman" w:eastAsia="Times New Roman" w:hAnsi="Times New Roman"/>
          <w:sz w:val="18"/>
          <w:szCs w:val="18"/>
          <w:color w:val="auto"/>
        </w:rPr>
        <w:t>The increase in selling, general and administrative expense was primarily caused by increased depreciation expense from continued investments in technology and throughout our fulfillment network.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right="180" w:firstLine="440"/>
        <w:spacing w:after="0" w:line="250" w:lineRule="auto"/>
        <w:rPr>
          <w:sz w:val="20"/>
          <w:szCs w:val="20"/>
          <w:color w:val="auto"/>
        </w:rPr>
      </w:pPr>
      <w:r>
        <w:rPr>
          <w:rFonts w:ascii="Times New Roman" w:cs="Times New Roman" w:eastAsia="Times New Roman" w:hAnsi="Times New Roman"/>
          <w:sz w:val="18"/>
          <w:szCs w:val="18"/>
          <w:color w:val="auto"/>
        </w:rPr>
        <w:t>Interest expense decreased $1.0 million to $3.7 million in fiscal 2022 compared to $4.7 million in fiscal 2021. The decrease in interest expense was primarily attributable to the larger amount of long-term debt outstanding in fiscal 2021 compared to fiscal 2022.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120" w:firstLine="440"/>
        <w:spacing w:after="0" w:line="250" w:lineRule="auto"/>
        <w:rPr>
          <w:sz w:val="20"/>
          <w:szCs w:val="20"/>
          <w:color w:val="auto"/>
        </w:rPr>
      </w:pPr>
      <w:r>
        <w:rPr>
          <w:rFonts w:ascii="Times New Roman" w:cs="Times New Roman" w:eastAsia="Times New Roman" w:hAnsi="Times New Roman"/>
          <w:sz w:val="18"/>
          <w:szCs w:val="18"/>
          <w:color w:val="auto"/>
        </w:rPr>
        <w:t>Income tax expense was $0.7 million in fiscal 2022 compared to $9.9 million in fiscal 2021. Our effective tax rate related to controlling interest was 23.5% in fiscal 2022 compared to 25.0% in fiscal 2021.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Controlling Interest</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Net income attributable to controlling interest was $2.3 million in fiscal 2022 compared to $29.7 million in fiscal 2021, due to the factors discussed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the above section titled “How We Assess the Performance of Our Business,” for our definition of Adjusted EBITDA and Free Cash Flow.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EBITDA and EBITDA to Adjusted EBITDA</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represents reconciliations of net income to EBITDA and EBITDA to Adjusted EBITDA for the periods indicated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60" w:type="dxa"/>
            <w:vAlign w:val="bottom"/>
            <w:tcBorders>
              <w:bottom w:val="single" w:sz="8" w:color="auto"/>
            </w:tcBorders>
          </w:tcPr>
          <w:p>
            <w:pPr>
              <w:spacing w:after="0"/>
              <w:rPr>
                <w:sz w:val="16"/>
                <w:szCs w:val="16"/>
                <w:color w:val="auto"/>
              </w:rPr>
            </w:pPr>
          </w:p>
        </w:tc>
      </w:tr>
      <w:tr>
        <w:trPr>
          <w:trHeight w:val="182"/>
        </w:trPr>
        <w:tc>
          <w:tcPr>
            <w:tcW w:w="10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83"/>
        </w:trPr>
        <w:tc>
          <w:tcPr>
            <w:tcW w:w="1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r>
      <w:tr>
        <w:trPr>
          <w:trHeight w:val="203"/>
        </w:trPr>
        <w:tc>
          <w:tcPr>
            <w:tcW w:w="10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income</w:t>
            </w:r>
          </w:p>
        </w:tc>
        <w:tc>
          <w:tcPr>
            <w:tcW w:w="56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2,246</w:t>
            </w:r>
          </w:p>
        </w:tc>
        <w:tc>
          <w:tcPr>
            <w:tcW w:w="3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44"/>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29,550</w:t>
            </w:r>
          </w:p>
        </w:tc>
      </w:tr>
      <w:tr>
        <w:trPr>
          <w:trHeight w:val="203"/>
        </w:trPr>
        <w:tc>
          <w:tcPr>
            <w:tcW w:w="66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30,810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29,225</w:t>
            </w:r>
          </w:p>
        </w:tc>
      </w:tr>
      <w:tr>
        <w:trPr>
          <w:trHeight w:val="225"/>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internal-use software hosting</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4"/>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subscription‎</w:t>
            </w: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w:t>
            </w:r>
          </w:p>
        </w:tc>
        <w:tc>
          <w:tcPr>
            <w:tcW w:w="3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r>
      <w:tr>
        <w:trPr>
          <w:trHeight w:val="203"/>
        </w:trPr>
        <w:tc>
          <w:tcPr>
            <w:tcW w:w="66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3,653</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4,717</w:t>
            </w:r>
          </w:p>
        </w:tc>
      </w:tr>
      <w:tr>
        <w:trPr>
          <w:trHeight w:val="203"/>
        </w:trPr>
        <w:tc>
          <w:tcPr>
            <w:tcW w:w="664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708</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9,887</w:t>
            </w:r>
          </w:p>
        </w:tc>
      </w:tr>
      <w:tr>
        <w:trPr>
          <w:trHeight w:val="183"/>
        </w:trPr>
        <w:tc>
          <w:tcPr>
            <w:tcW w:w="66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EBITDA (non-GAAP)</w:t>
            </w:r>
          </w:p>
        </w:tc>
        <w:tc>
          <w:tcPr>
            <w:tcW w:w="340" w:type="dxa"/>
            <w:vAlign w:val="bottom"/>
          </w:tcPr>
          <w:p>
            <w:pPr>
              <w:spacing w:after="0"/>
              <w:rPr>
                <w:sz w:val="15"/>
                <w:szCs w:val="15"/>
                <w:color w:val="auto"/>
              </w:rPr>
            </w:pPr>
          </w:p>
        </w:tc>
        <w:tc>
          <w:tcPr>
            <w:tcW w:w="18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40,809</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75,176</w:t>
            </w:r>
          </w:p>
        </w:tc>
      </w:tr>
      <w:tr>
        <w:trPr>
          <w:trHeight w:val="203"/>
        </w:trPr>
        <w:tc>
          <w:tcPr>
            <w:tcW w:w="664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2,711</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2,198</w:t>
            </w:r>
          </w:p>
        </w:tc>
      </w:tr>
      <w:tr>
        <w:trPr>
          <w:trHeight w:val="183"/>
        </w:trPr>
        <w:tc>
          <w:tcPr>
            <w:tcW w:w="66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Adjusted EBITDA (non-GAAP)</w:t>
            </w:r>
          </w:p>
        </w:tc>
        <w:tc>
          <w:tcPr>
            <w:tcW w:w="340" w:type="dxa"/>
            <w:vAlign w:val="bottom"/>
            <w:tcBorders>
              <w:bottom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43,520</w:t>
            </w: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77,374</w:t>
            </w:r>
          </w:p>
        </w:tc>
      </w:tr>
      <w:tr>
        <w:trPr>
          <w:trHeight w:val="20"/>
        </w:trPr>
        <w:tc>
          <w:tcPr>
            <w:tcW w:w="10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340" w:firstLine="440"/>
        <w:spacing w:after="0" w:line="242"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decreased $33.9 million, or 43.8%, to $43.5 million in fiscal 2022 compared to $77.4 million in fiscal 2021. As a percentage of net sales, Adjusted EBITDA decreased to 6.7% of net sales in fiscal 2022 compared to 11.1% of net sales in fiscal 2021.</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189" w:lineRule="exact"/>
        <w:rPr>
          <w:sz w:val="20"/>
          <w:szCs w:val="20"/>
          <w:color w:val="auto"/>
        </w:rPr>
      </w:pPr>
    </w:p>
    <w:p>
      <w:pPr>
        <w:ind w:right="200" w:firstLine="440"/>
        <w:spacing w:after="0" w:line="250" w:lineRule="auto"/>
        <w:rPr>
          <w:sz w:val="20"/>
          <w:szCs w:val="20"/>
          <w:color w:val="auto"/>
        </w:rPr>
      </w:pPr>
      <w:r>
        <w:rPr>
          <w:rFonts w:ascii="Times New Roman" w:cs="Times New Roman" w:eastAsia="Times New Roman" w:hAnsi="Times New Roman"/>
          <w:sz w:val="18"/>
          <w:szCs w:val="18"/>
          <w:color w:val="auto"/>
        </w:rPr>
        <w:t>The following table represents a reconciliation of Net cash provided by operating activities, the most comparable U.S. GAAP financial measure, to free cash flow.</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60" w:type="dxa"/>
            <w:vAlign w:val="bottom"/>
            <w:tcBorders>
              <w:bottom w:val="single" w:sz="8" w:color="auto"/>
            </w:tcBorders>
          </w:tcPr>
          <w:p>
            <w:pPr>
              <w:spacing w:after="0"/>
              <w:rPr>
                <w:sz w:val="16"/>
                <w:szCs w:val="16"/>
                <w:color w:val="auto"/>
              </w:rPr>
            </w:pPr>
          </w:p>
        </w:tc>
      </w:tr>
      <w:tr>
        <w:trPr>
          <w:trHeight w:val="196"/>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480" w:type="dxa"/>
            <w:vAlign w:val="bottom"/>
          </w:tcPr>
          <w:p>
            <w:pPr>
              <w:spacing w:after="0"/>
              <w:rPr>
                <w:sz w:val="17"/>
                <w:szCs w:val="17"/>
                <w:color w:val="auto"/>
              </w:rPr>
            </w:pPr>
          </w:p>
        </w:tc>
        <w:tc>
          <w:tcPr>
            <w:tcW w:w="16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5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(5,628)</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91,981</w:t>
            </w: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(22,833)</w:t>
            </w:r>
          </w:p>
        </w:tc>
        <w:tc>
          <w:tcPr>
            <w:tcW w:w="4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(10,352)</w:t>
            </w:r>
          </w:p>
        </w:tc>
      </w:tr>
      <w:tr>
        <w:trPr>
          <w:trHeight w:val="183"/>
        </w:trPr>
        <w:tc>
          <w:tcPr>
            <w:tcW w:w="51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Free Cash Flow (non-GAAP)</w:t>
            </w:r>
          </w:p>
        </w:tc>
        <w:tc>
          <w:tcPr>
            <w:tcW w:w="15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(28,461)</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ind w:right="2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81,629</w:t>
            </w:r>
          </w:p>
        </w:tc>
      </w:tr>
      <w:tr>
        <w:trPr>
          <w:trHeight w:val="20"/>
        </w:trPr>
        <w:tc>
          <w:tcPr>
            <w:tcW w:w="5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Free cash flow decreased $110.1 million to ($28.5) million in fiscal 2022 compared to $81.6 million in fiscal 2021. The decrease was primarily driven by lower net income, higher inventory levels and higher purchases of property and equipment.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jc w:val="both"/>
        <w:ind w:right="200" w:firstLine="440"/>
        <w:spacing w:after="0" w:line="236" w:lineRule="auto"/>
        <w:rPr>
          <w:sz w:val="20"/>
          <w:szCs w:val="20"/>
          <w:color w:val="auto"/>
        </w:rPr>
      </w:pPr>
      <w:r>
        <w:rPr>
          <w:rFonts w:ascii="Times New Roman" w:cs="Times New Roman" w:eastAsia="Times New Roman" w:hAnsi="Times New Roman"/>
          <w:sz w:val="18"/>
          <w:szCs w:val="18"/>
          <w:color w:val="auto"/>
        </w:rPr>
        <w:t>Our business relies on cash from operating activities and a credit facility as our primary sources of liquidity. Our primary cash needs have been for inventory, marketing and advertising, payroll, store leases, and capital expenditures associated with infrastructure and information technology. The most significant components of our working capital are cash, inventory, accounts payable and other current liabilities. At January 29, 2023 our working capital was $107.9 million, which includes cash and cash equivalents of $45.5 million.</w:t>
      </w:r>
    </w:p>
    <w:p>
      <w:pPr>
        <w:spacing w:after="0" w:line="144"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We spent $31.5 million in fiscal 2022 on capital expenditures, inclusive of investments in software hosting implementation costs, which are included in Prepaid expenses &amp; other current assets on the Company’s Consolidated Balance Sheets. We expect to spend approximately $55.0 million in fiscal 2023 on capital expenditures, of which approximately $42.1 million will be related to continued logistics optimization from introducing the new automated fulfillment center in Adairsville, Georgia.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occurs in the fourth quarter of our fiscal year. We also use cash in our investing activities for capital expenditures throughout all four quarters of our fiscal year.</w:t>
      </w:r>
    </w:p>
    <w:p>
      <w:pPr>
        <w:spacing w:after="0" w:line="13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60" w:type="dxa"/>
            <w:vAlign w:val="bottom"/>
            <w:tcBorders>
              <w:bottom w:val="single" w:sz="8" w:color="auto"/>
            </w:tcBorders>
          </w:tcPr>
          <w:p>
            <w:pPr>
              <w:spacing w:after="0"/>
              <w:rPr>
                <w:sz w:val="16"/>
                <w:szCs w:val="16"/>
                <w:color w:val="auto"/>
              </w:rPr>
            </w:pPr>
          </w:p>
        </w:tc>
      </w:tr>
      <w:tr>
        <w:trPr>
          <w:trHeight w:val="183"/>
        </w:trPr>
        <w:tc>
          <w:tcPr>
            <w:tcW w:w="6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83"/>
        </w:trPr>
        <w:tc>
          <w:tcPr>
            <w:tcW w:w="6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00" w:type="dxa"/>
            <w:vAlign w:val="bottom"/>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(5,628)</w:t>
            </w:r>
          </w:p>
        </w:tc>
        <w:tc>
          <w:tcPr>
            <w:tcW w:w="480" w:type="dxa"/>
            <w:vAlign w:val="bottom"/>
            <w:gridSpan w:val="2"/>
            <w:shd w:val="clear" w:color="auto" w:fill="CCEEFF"/>
          </w:tcPr>
          <w:p>
            <w:pPr>
              <w:jc w:val="right"/>
              <w:ind w:right="29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91,981</w:t>
            </w:r>
          </w:p>
        </w:tc>
      </w:tr>
      <w:tr>
        <w:trPr>
          <w:trHeight w:val="203"/>
        </w:trPr>
        <w:tc>
          <w:tcPr>
            <w:tcW w:w="6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7"/>
                <w:szCs w:val="17"/>
                <w:color w:val="auto"/>
              </w:rPr>
            </w:pPr>
          </w:p>
        </w:tc>
        <w:tc>
          <w:tcPr>
            <w:tcW w:w="196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(22,641)</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(10,150)</w:t>
            </w:r>
          </w:p>
        </w:tc>
      </w:tr>
      <w:tr>
        <w:trPr>
          <w:trHeight w:val="203"/>
        </w:trPr>
        <w:tc>
          <w:tcPr>
            <w:tcW w:w="69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(3,234)</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(51,364)</w:t>
            </w:r>
          </w:p>
        </w:tc>
      </w:tr>
      <w:tr>
        <w:trPr>
          <w:trHeight w:val="182"/>
        </w:trPr>
        <w:tc>
          <w:tcPr>
            <w:tcW w:w="69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30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(31,503)</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2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30,467</w:t>
            </w: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62" w:lineRule="exact"/>
        <w:rPr>
          <w:sz w:val="20"/>
          <w:szCs w:val="20"/>
          <w:color w:val="auto"/>
        </w:rPr>
      </w:pPr>
    </w:p>
    <w:p>
      <w:pPr>
        <w:ind w:right="1020" w:firstLine="440"/>
        <w:spacing w:after="0" w:line="266"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include depreciation and amortization, stock-based compensation and the effect of changes in assets and liabilities.</w:t>
      </w:r>
    </w:p>
    <w:p>
      <w:pPr>
        <w:spacing w:after="0" w:line="108" w:lineRule="exact"/>
        <w:rPr>
          <w:sz w:val="20"/>
          <w:szCs w:val="20"/>
          <w:color w:val="auto"/>
        </w:rPr>
      </w:pPr>
    </w:p>
    <w:p>
      <w:pPr>
        <w:ind w:firstLine="440"/>
        <w:spacing w:after="0" w:line="235" w:lineRule="auto"/>
        <w:rPr>
          <w:sz w:val="20"/>
          <w:szCs w:val="20"/>
          <w:color w:val="auto"/>
        </w:rPr>
      </w:pPr>
      <w:r>
        <w:rPr>
          <w:rFonts w:ascii="Times New Roman" w:cs="Times New Roman" w:eastAsia="Times New Roman" w:hAnsi="Times New Roman"/>
          <w:sz w:val="18"/>
          <w:szCs w:val="18"/>
          <w:color w:val="auto"/>
        </w:rPr>
        <w:t>For fiscal 2022, net cash used in operating activities was $5.6 million, which primarily consisted of net income of $2.2 million, non-cash depreciation and amortization of $30.8 million, amortization of stock-based compensation of $2.7 million, which was offset by cash used in operating assets and liabilities of $41.4 million. The cash used in operating assets and liabilities of $41.4 million primarily consisted of a $32.3 million increase in inventory, primarily due to the pull forward of spring receipts, and a $11.8 million decrease in accrued expenses, partially offset by a $12.7 million increase in trade accounts payable.</w:t>
      </w:r>
    </w:p>
    <w:p>
      <w:pPr>
        <w:spacing w:after="0" w:line="148" w:lineRule="exact"/>
        <w:rPr>
          <w:sz w:val="20"/>
          <w:szCs w:val="20"/>
          <w:color w:val="auto"/>
        </w:rPr>
      </w:pPr>
    </w:p>
    <w:p>
      <w:pPr>
        <w:ind w:right="100" w:firstLine="440"/>
        <w:spacing w:after="0" w:line="232" w:lineRule="auto"/>
        <w:rPr>
          <w:sz w:val="20"/>
          <w:szCs w:val="20"/>
          <w:color w:val="auto"/>
        </w:rPr>
      </w:pPr>
      <w:r>
        <w:rPr>
          <w:rFonts w:ascii="Times New Roman" w:cs="Times New Roman" w:eastAsia="Times New Roman" w:hAnsi="Times New Roman"/>
          <w:sz w:val="18"/>
          <w:szCs w:val="18"/>
          <w:color w:val="auto"/>
        </w:rPr>
        <w:t>For fiscal 2021, net cash provided by operating activities was $92.0 million, which primarily consisted of net income of $29.6 million, non-cash depreciation and amortization of $29.2 million, amortization of stock-based compensation of $2.2 million and cash provided by operating assets and liabilities of $36.1 million. The cash provided by operating assets and liabilities of $36.1 million primarily consisted of a $26.4 million decrease in inventory, a $10.5 million increase in trade accounts payable, and a $9.9 million increase in accrued expenses, partially offset by a $4.7 million increase in hosting software implementation costs, a $3.2 million increase in receivables, and a decrease of $2.4 million in prepaid expenses.</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Investing activities consist primarily of capital expenditures related to a new fulfillment center and information technology.</w:t>
      </w:r>
    </w:p>
    <w:p>
      <w:pPr>
        <w:spacing w:after="0" w:line="158"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For fiscal 2022, net cash used in investing activities was $22.6 million, primarily driven by purchases of property and equipment of $22.8 million, primarily related to the Adairsville fulfillment center.</w:t>
      </w:r>
    </w:p>
    <w:p>
      <w:pPr>
        <w:spacing w:after="0" w:line="122" w:lineRule="exact"/>
        <w:rPr>
          <w:sz w:val="20"/>
          <w:szCs w:val="20"/>
          <w:color w:val="auto"/>
        </w:rPr>
      </w:pPr>
    </w:p>
    <w:p>
      <w:pPr>
        <w:ind w:right="40" w:firstLine="440"/>
        <w:spacing w:after="0" w:line="250" w:lineRule="auto"/>
        <w:rPr>
          <w:sz w:val="20"/>
          <w:szCs w:val="20"/>
          <w:color w:val="auto"/>
        </w:rPr>
      </w:pPr>
      <w:r>
        <w:rPr>
          <w:rFonts w:ascii="Times New Roman" w:cs="Times New Roman" w:eastAsia="Times New Roman" w:hAnsi="Times New Roman"/>
          <w:sz w:val="18"/>
          <w:szCs w:val="18"/>
          <w:color w:val="auto"/>
        </w:rPr>
        <w:t>For fiscal 2021, net cash used in investing activities was $10.2 million, primarily driven by purchases of property and equipment of $10.4 million for the Salt Lake City fulfillment center and one new retail store, as well as investments in information technology.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Financing Activities</w:t>
      </w:r>
    </w:p>
    <w:p>
      <w:pPr>
        <w:spacing w:after="0" w:line="162" w:lineRule="exact"/>
        <w:rPr>
          <w:sz w:val="20"/>
          <w:szCs w:val="20"/>
          <w:color w:val="auto"/>
        </w:rPr>
      </w:pPr>
    </w:p>
    <w:p>
      <w:pPr>
        <w:ind w:right="680" w:firstLine="440"/>
        <w:spacing w:after="0" w:line="266" w:lineRule="auto"/>
        <w:rPr>
          <w:sz w:val="20"/>
          <w:szCs w:val="20"/>
          <w:color w:val="auto"/>
        </w:rPr>
      </w:pPr>
      <w:r>
        <w:rPr>
          <w:rFonts w:ascii="Times New Roman" w:cs="Times New Roman" w:eastAsia="Times New Roman" w:hAnsi="Times New Roman"/>
          <w:sz w:val="18"/>
          <w:szCs w:val="18"/>
          <w:color w:val="auto"/>
        </w:rPr>
        <w:t>Financing activities consist primarily of borrowings and payments related to our revolving line of credit and other long-term debt, as well as payments on finance lease obligations.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fiscal 2022, net cash used in financing activities was $3.2 million, primarily consisting of payments on finance lease obligations.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fiscal 2021, net cash used in financing activities was $51.4 million, primarily consisting of the full paydown of Duluth’s bank debt.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right="60" w:firstLine="428"/>
        <w:spacing w:after="0" w:line="230" w:lineRule="auto"/>
        <w:rPr>
          <w:sz w:val="20"/>
          <w:szCs w:val="20"/>
          <w:color w:val="auto"/>
        </w:rPr>
      </w:pPr>
      <w:r>
        <w:rPr>
          <w:rFonts w:ascii="Times New Roman" w:cs="Times New Roman" w:eastAsia="Times New Roman" w:hAnsi="Times New Roman"/>
          <w:sz w:val="18"/>
          <w:szCs w:val="18"/>
          <w:color w:val="auto"/>
        </w:rPr>
        <w:t>On May 17, 2018, the Company entered into a credit agreement (the “Credit Agreement”) which provided for borrowing availability of up to $80.0 million in revolving credit and associated swing line (the “Revolver”) and borrowing availability of up to $50.0 million in a delayed draw term loan (“DDTL”), for a total credit facility of $130.0 million. On April 30, 2020, the Credit Agreement was amended to include an incremental DDTL of $20.5 million (the “Incremental DDTL”) that was available to draw upon before March 31, 2021, and matured on April 29, 2021, for a total credit facility of $150.5 million. The loan covenants were also amended to allow for greater flexibility during the Company’s peak borrowing periods in fiscal 2020. The interest rate applicable to the Revolver or DDTL was a fixed rate for a one-, two-, three- or six-month interest period equal to LIBOR (with a 1% floor) for such interest period plus a margin of 225 to 300 basis points, based upon the Company’s rent adjusted leverage ratio. The interest rate applicable to the Incremental DDTL was also a fixed rate over the aforementioned interest periods equal to LIBOR (with a 1% floor) for such interest period plus a margin of 275 to 350 basis points.</w:t>
      </w:r>
    </w:p>
    <w:p>
      <w:pPr>
        <w:spacing w:after="0" w:line="145" w:lineRule="exact"/>
        <w:rPr>
          <w:sz w:val="20"/>
          <w:szCs w:val="20"/>
          <w:color w:val="auto"/>
        </w:rPr>
      </w:pPr>
    </w:p>
    <w:p>
      <w:pPr>
        <w:ind w:right="40" w:firstLine="428"/>
        <w:spacing w:after="0" w:line="229" w:lineRule="auto"/>
        <w:rPr>
          <w:sz w:val="20"/>
          <w:szCs w:val="20"/>
          <w:color w:val="auto"/>
        </w:rPr>
      </w:pPr>
      <w:r>
        <w:rPr>
          <w:rFonts w:ascii="Times New Roman" w:cs="Times New Roman" w:eastAsia="Times New Roman" w:hAnsi="Times New Roman"/>
          <w:sz w:val="18"/>
          <w:szCs w:val="18"/>
          <w:color w:val="auto"/>
        </w:rPr>
        <w:t>On May 14, 2021, the Company terminated the Credit Agreement, and entered into a new credit agreement (the “New Credit Agreement”), which was treated as a modification for accounting purposes. The New Credit Agreement originally matured on May 14, 2026 and provided for borrowings of up to $150.0 million that were available under a revolving senior credit facility, with a $5.0 million sublimit for issuance of standby letters of credit, as well as a $10.0 million sublimit for swing line loans. At the Company’s option, the interest rate applicable to the revolving senior credit facility was a floating rate equal to: (i) the Bloomberg Short-Term Bank Yield Index rate (“BSBY”) plus the applicable rate of 1.25% to 2.00% determined based on the Company’s rent adjusted leverage ratio, or (ii) the base rate plus the applicable rate of 0.25% to 1.00% based 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Company’s rent adjusted leverage ratio. The New Credit Agreement is secured by essentially all Company assets and requires the Company to maintain compliance with certain financial and non-financial covenants, including a maximum rent adjusted leverage ratio and a minimum fixed charge coverage ratio as defined in the New Credit Agreement.</w:t>
      </w:r>
    </w:p>
    <w:p>
      <w:pPr>
        <w:spacing w:after="0" w:line="143" w:lineRule="exact"/>
        <w:rPr>
          <w:sz w:val="20"/>
          <w:szCs w:val="20"/>
          <w:color w:val="auto"/>
        </w:rPr>
      </w:pPr>
    </w:p>
    <w:p>
      <w:pPr>
        <w:ind w:right="140" w:firstLine="428"/>
        <w:spacing w:after="0" w:line="232" w:lineRule="auto"/>
        <w:rPr>
          <w:sz w:val="20"/>
          <w:szCs w:val="20"/>
          <w:color w:val="auto"/>
        </w:rPr>
      </w:pPr>
      <w:r>
        <w:rPr>
          <w:rFonts w:ascii="Times New Roman" w:cs="Times New Roman" w:eastAsia="Times New Roman" w:hAnsi="Times New Roman"/>
          <w:sz w:val="18"/>
          <w:szCs w:val="18"/>
          <w:color w:val="auto"/>
        </w:rPr>
        <w:t>On July 8, 2022, the Company entered into the First Amendment to the New Credit Agreement (the “First Amendment”), which was treated as a modification for accounting purposes. The First Amendment amends the New Credit Agreement in order to (i) increase the revolving commitment from $150.0 million to $200.0 million; (ii) extend the maturity date from May 14, 2026 to July 8, 2027; (iii) amend the pricing index to replace BSBY with the Term Secured Overnight Financing Rate; and (iv) to reduce the commitment fee in some instances. As of and for the fiscal year ended January 29, 2023, we were in compliance with all financial and non-financial covenants.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ind w:right="480" w:firstLine="428"/>
        <w:spacing w:after="0" w:line="250" w:lineRule="auto"/>
        <w:rPr>
          <w:sz w:val="20"/>
          <w:szCs w:val="20"/>
          <w:color w:val="auto"/>
        </w:rPr>
      </w:pPr>
      <w:r>
        <w:rPr>
          <w:rFonts w:ascii="Times New Roman" w:cs="Times New Roman" w:eastAsia="Times New Roman" w:hAnsi="Times New Roman"/>
          <w:sz w:val="18"/>
          <w:szCs w:val="18"/>
          <w:color w:val="auto"/>
        </w:rPr>
        <w:t>In connection with our investing and operating activities, we have entered into certain contractual obligations. See Note 3 “Leases” of Notes to Consolidated Financial Statements for additional discussion of these obligations.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not a party to any significant off-balance sheet arrangements.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amounts reported in our consolidated financial statements and related notes, as well as the related disclosure of contingent assets and liabilities at the date of the financial statements and the reported amounts of revenue and expenses during the reporting period.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44" w:lineRule="exact"/>
        <w:rPr>
          <w:sz w:val="20"/>
          <w:szCs w:val="20"/>
          <w:color w:val="auto"/>
        </w:rPr>
      </w:pPr>
    </w:p>
    <w:p>
      <w:pPr>
        <w:ind w:right="120" w:firstLine="440"/>
        <w:spacing w:after="0" w:line="250" w:lineRule="auto"/>
        <w:rPr>
          <w:sz w:val="20"/>
          <w:szCs w:val="20"/>
          <w:color w:val="auto"/>
        </w:rPr>
      </w:pPr>
      <w:r>
        <w:rPr>
          <w:rFonts w:ascii="Times New Roman" w:cs="Times New Roman" w:eastAsia="Times New Roman" w:hAnsi="Times New Roman"/>
          <w:sz w:val="18"/>
          <w:szCs w:val="18"/>
          <w:color w:val="auto"/>
        </w:rPr>
        <w:t>We evaluated the development and selection of our critical accounting estimates and believe that the following involve a higher degree of judgment or complexity and are most significant to reporting our results of operations and financial position, and are therefore discussed as critical.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Return Reserve</w:t>
      </w:r>
    </w:p>
    <w:p>
      <w:pPr>
        <w:spacing w:after="0" w:line="175" w:lineRule="exact"/>
        <w:rPr>
          <w:sz w:val="20"/>
          <w:szCs w:val="20"/>
          <w:color w:val="auto"/>
        </w:rPr>
      </w:pPr>
    </w:p>
    <w:p>
      <w:pPr>
        <w:ind w:right="40" w:firstLine="440"/>
        <w:spacing w:after="0" w:line="232" w:lineRule="auto"/>
        <w:rPr>
          <w:sz w:val="20"/>
          <w:szCs w:val="20"/>
          <w:color w:val="auto"/>
        </w:rPr>
      </w:pPr>
      <w:r>
        <w:rPr>
          <w:rFonts w:ascii="Times New Roman" w:cs="Times New Roman" w:eastAsia="Times New Roman" w:hAnsi="Times New Roman"/>
          <w:sz w:val="18"/>
          <w:szCs w:val="18"/>
          <w:color w:val="auto"/>
        </w:rPr>
        <w:t>The Company currently estimates product return reserve using its own historical sales information. The Company regularly assesses and adjusts the estimate of accrued sales returns by updating return rates for actual company trends and projected costs. While returns have historically been within our expectations, future return rates may differ from those experienced in the past. Changes in these estimates can have a material impact on our financial statements. We believe the accounting estimate related to product returns is a critical accounting estimate because it requires us to make assumptions about future potential returns, which are highly uncertain.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7"/>
          <w:szCs w:val="17"/>
          <w:color w:val="auto"/>
        </w:rPr>
        <w:t>With respect to critical accounting policies, even a relatively minor variance between actual and expected experience can potentially have a materially favorable or unfavorable impact on subsequent results of operations. However, our historical results for the periods presented in the consolidated financial statements have not been materially impacted by such variances. More information on all of our significant accounting policies can be found in Note 2, “Summary of Significant Accounting Policies” of Notes to Consolidated Financial Statements included in this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The Company recognizes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 See Note 3 “Leases,” of Notes to Consolidated Financial Statements included in this Annual Report on Form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80" w:firstLine="440"/>
        <w:spacing w:after="0" w:line="236" w:lineRule="auto"/>
        <w:rPr>
          <w:sz w:val="20"/>
          <w:szCs w:val="20"/>
          <w:color w:val="auto"/>
        </w:rPr>
      </w:pPr>
      <w:r>
        <w:rPr>
          <w:rFonts w:ascii="Times New Roman" w:cs="Times New Roman" w:eastAsia="Times New Roman" w:hAnsi="Times New Roman"/>
          <w:sz w:val="18"/>
          <w:szCs w:val="18"/>
          <w:color w:val="auto"/>
        </w:rPr>
        <w:t>Revenue for merchandise that is shipped to our customers from our fulfillment centers and stores is recognized upon shipment following customer payment, which is when the customer obtains control of the product and has the ability to direct the use of the product, including, among other options, the ability to redirect the product to a different shipping destination. Store revenue is recognized at the point of sale. This represents the point at which the customer obtains control of the product and has the ability to direct the use of the product.</w:t>
      </w:r>
    </w:p>
    <w:p>
      <w:pPr>
        <w:spacing w:after="0" w:line="144" w:lineRule="exact"/>
        <w:rPr>
          <w:sz w:val="20"/>
          <w:szCs w:val="20"/>
          <w:color w:val="auto"/>
        </w:rPr>
      </w:pPr>
    </w:p>
    <w:p>
      <w:pPr>
        <w:ind w:right="340" w:firstLine="440"/>
        <w:spacing w:after="0" w:line="250" w:lineRule="auto"/>
        <w:rPr>
          <w:sz w:val="20"/>
          <w:szCs w:val="20"/>
          <w:color w:val="auto"/>
        </w:rPr>
      </w:pPr>
      <w:r>
        <w:rPr>
          <w:rFonts w:ascii="Times New Roman" w:cs="Times New Roman" w:eastAsia="Times New Roman" w:hAnsi="Times New Roman"/>
          <w:sz w:val="18"/>
          <w:szCs w:val="18"/>
          <w:color w:val="auto"/>
        </w:rPr>
        <w:t>We recognize shipping and handling fees as revenue included in net sales when generated from a customer order upon shipment or at the point of sale. Costs of shipping and handling are included in selling, general and administrative expenses.</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Sales tax collected is not recognized as revenue as it is ultimately remitted to governmental authorities.</w:t>
      </w:r>
    </w:p>
    <w:p>
      <w:pPr>
        <w:spacing w:after="0" w:line="158" w:lineRule="exact"/>
        <w:rPr>
          <w:sz w:val="20"/>
          <w:szCs w:val="20"/>
          <w:color w:val="auto"/>
        </w:rPr>
      </w:pPr>
    </w:p>
    <w:p>
      <w:pPr>
        <w:ind w:right="120" w:firstLine="440"/>
        <w:spacing w:after="0" w:line="235" w:lineRule="auto"/>
        <w:rPr>
          <w:sz w:val="20"/>
          <w:szCs w:val="20"/>
          <w:color w:val="auto"/>
        </w:rPr>
      </w:pPr>
      <w:r>
        <w:rPr>
          <w:rFonts w:ascii="Times New Roman" w:cs="Times New Roman" w:eastAsia="Times New Roman" w:hAnsi="Times New Roman"/>
          <w:sz w:val="18"/>
          <w:szCs w:val="18"/>
          <w:color w:val="auto"/>
        </w:rPr>
        <w:t>We reserve for projected merchandise returns based on both historical and actual experience, as well as various other assumptions that we believe to be reasonable. Actual merchandise returns are monitored regularly and have not been materially different from the estimates recorded. Product returns often represent merchandise that can be resold. Amounts refunded to customers are generally made by issuing the same payment tender as used in the original purchase. Merchandise exchanges of the same product and price are not considered merchandise returns and are therefore excluded when calculating the sales returns reserve.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2" w:lineRule="exact"/>
        <w:rPr>
          <w:sz w:val="20"/>
          <w:szCs w:val="20"/>
          <w:color w:val="auto"/>
        </w:rPr>
      </w:pPr>
    </w:p>
    <w:p>
      <w:pPr>
        <w:ind w:right="100" w:firstLine="440"/>
        <w:spacing w:after="0" w:line="233" w:lineRule="auto"/>
        <w:rPr>
          <w:sz w:val="20"/>
          <w:szCs w:val="20"/>
          <w:color w:val="auto"/>
        </w:rPr>
      </w:pPr>
      <w:r>
        <w:rPr>
          <w:rFonts w:ascii="Times New Roman" w:cs="Times New Roman" w:eastAsia="Times New Roman" w:hAnsi="Times New Roman"/>
          <w:sz w:val="18"/>
          <w:szCs w:val="18"/>
          <w:color w:val="auto"/>
        </w:rPr>
        <w:t>Our inventories are composed of finished goods and are stated at the lower of cost or net realizable value, with cost determined using the first-in, first-out method. Net realizable value is defined as the “estimated selling prices in the ordinary course of business, less reasonably predictable costs of completion, disposal and transportation.” The inventory value is adjusted periodically, if needed, to reflect current market conditions and inventory composition, which requires our judgments that may significantly affect the ending inventory valuation, as well as gross margin. The estimates used in inventory valuation are obsolescence (including excess and slow-moving inventory and lower of cost or market reserves) and estimates of inventory shrinkage. We adjust our inventory for obsolescence based on historical trends, aging reports, specific identification, current retail prices and our estimates of future retail sales prices.</w:t>
      </w:r>
    </w:p>
    <w:p>
      <w:pPr>
        <w:spacing w:after="0" w:line="132" w:lineRule="exact"/>
        <w:rPr>
          <w:sz w:val="20"/>
          <w:szCs w:val="20"/>
          <w:color w:val="auto"/>
        </w:rPr>
      </w:pPr>
    </w:p>
    <w:p>
      <w:pPr>
        <w:ind w:right="80" w:firstLine="440"/>
        <w:spacing w:after="0" w:line="233" w:lineRule="auto"/>
        <w:rPr>
          <w:sz w:val="20"/>
          <w:szCs w:val="20"/>
          <w:color w:val="auto"/>
        </w:rPr>
      </w:pPr>
      <w:r>
        <w:rPr>
          <w:rFonts w:ascii="Times New Roman" w:cs="Times New Roman" w:eastAsia="Times New Roman" w:hAnsi="Times New Roman"/>
          <w:sz w:val="18"/>
          <w:szCs w:val="18"/>
          <w:color w:val="auto"/>
        </w:rPr>
        <w:t>Due to these factors, our obsolescence and shrinkage reserves contain uncertainties. Both estimates have calculations that require us to make assumptions and to apply judgment regarding a number of factors, including market conditions, the selling environment, historical results and current inventory trends. If actual observed obsolescence or periodic updates of our shrinkage estimates differ from our original estimates, we adjust our inventory reserves accordingly throughout the period. We do not believe that changes in the assumptions used in these estimates would have a significant effect on our net income or inventory balances. We have not made any material changes to our assumptions included in the calculations of the obsolescence and shrinkage reserves during the periods presented, nor have we recorded significant adjustments related to the physical inventory process.</w:t>
      </w:r>
    </w:p>
    <w:p>
      <w:pPr>
        <w:spacing w:after="0" w:line="144" w:lineRule="exact"/>
        <w:rPr>
          <w:sz w:val="20"/>
          <w:szCs w:val="20"/>
          <w:color w:val="auto"/>
        </w:rPr>
      </w:pPr>
    </w:p>
    <w:p>
      <w:pPr>
        <w:ind w:right="140" w:firstLine="428"/>
        <w:spacing w:after="0" w:line="242" w:lineRule="auto"/>
        <w:rPr>
          <w:sz w:val="20"/>
          <w:szCs w:val="20"/>
          <w:color w:val="auto"/>
        </w:rPr>
      </w:pPr>
      <w:r>
        <w:rPr>
          <w:rFonts w:ascii="Times New Roman" w:cs="Times New Roman" w:eastAsia="Times New Roman" w:hAnsi="Times New Roman"/>
          <w:sz w:val="18"/>
          <w:szCs w:val="18"/>
          <w:color w:val="auto"/>
        </w:rPr>
        <w:t>The reserve for inventory shrinkage is adjusted to reflect the trend of historical physical inventory count results. The Company performs its retail store physical inventory counts in July and the difference between actual and estimated shrinkage, recorded in Cost of goods sold, may cause fluctuations, particularly in second fiscal quarter results.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0"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 xml:space="preserve">We account for income taxes and the related accounts using the asset and liability method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this method, we accrue income taxes payable or refundable and recognize deferred tax assets and liabilities based on differences between U.S. GAAP and tax bases of assets and liabilities. We measure deferred tax assets and liabilities using enacted tax rates in effect for the years in which the differences are expected to reverse, and recognize the effect of a change in enacted rates in the period of enactment.</w:t>
      </w:r>
    </w:p>
    <w:p>
      <w:pPr>
        <w:spacing w:after="0" w:line="146" w:lineRule="exact"/>
        <w:rPr>
          <w:sz w:val="20"/>
          <w:szCs w:val="20"/>
          <w:color w:val="auto"/>
        </w:rPr>
      </w:pPr>
    </w:p>
    <w:p>
      <w:pPr>
        <w:ind w:right="100" w:firstLine="440"/>
        <w:spacing w:after="0" w:line="236" w:lineRule="auto"/>
        <w:rPr>
          <w:sz w:val="20"/>
          <w:szCs w:val="20"/>
          <w:color w:val="auto"/>
        </w:rPr>
      </w:pPr>
      <w:r>
        <w:rPr>
          <w:rFonts w:ascii="Times New Roman" w:cs="Times New Roman" w:eastAsia="Times New Roman" w:hAnsi="Times New Roman"/>
          <w:sz w:val="18"/>
          <w:szCs w:val="18"/>
          <w:color w:val="auto"/>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financial operations. A valuation allowance is established if it is more likely than not that some portion or all of the deferred income tax asset will not be realized. No valuation allowance was recognized for the years ended January 30, 2022 or January 31, 2021.</w:t>
      </w:r>
    </w:p>
    <w:p>
      <w:pPr>
        <w:spacing w:after="0" w:line="144" w:lineRule="exact"/>
        <w:rPr>
          <w:sz w:val="20"/>
          <w:szCs w:val="20"/>
          <w:color w:val="auto"/>
        </w:rPr>
      </w:pPr>
    </w:p>
    <w:p>
      <w:pPr>
        <w:ind w:right="600" w:firstLine="440"/>
        <w:spacing w:after="0" w:line="241" w:lineRule="auto"/>
        <w:rPr>
          <w:sz w:val="20"/>
          <w:szCs w:val="20"/>
          <w:color w:val="auto"/>
        </w:rPr>
      </w:pPr>
      <w:r>
        <w:rPr>
          <w:rFonts w:ascii="Times New Roman" w:cs="Times New Roman" w:eastAsia="Times New Roman" w:hAnsi="Times New Roman"/>
          <w:sz w:val="18"/>
          <w:szCs w:val="18"/>
          <w:color w:val="auto"/>
        </w:rPr>
        <w:t>We establish assets and liabilities for uncertain tax positions taken or expected to be taken in income tax returns, using a more-likely-than-not recognition threshold. We recognize penalties and interest related to uncertain tax positions as income tax expense.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See Note 9 “Income Taxes,” of Notes to Consolidated Financial Statements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89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340" w:type="dxa"/>
            <w:vAlign w:val="bottom"/>
          </w:tcPr>
          <w:p>
            <w:pPr>
              <w:spacing w:after="0"/>
              <w:rPr>
                <w:sz w:val="17"/>
                <w:szCs w:val="17"/>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695"/>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04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2340" w:type="dxa"/>
            <w:vAlign w:val="bottom"/>
          </w:tcPr>
          <w:p>
            <w:pPr>
              <w:spacing w:after="0"/>
              <w:rPr>
                <w:sz w:val="24"/>
                <w:szCs w:val="24"/>
                <w:color w:val="auto"/>
              </w:rPr>
            </w:pPr>
          </w:p>
        </w:tc>
      </w:tr>
      <w:tr>
        <w:trPr>
          <w:trHeight w:val="392"/>
        </w:trPr>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20" w:type="dxa"/>
            <w:vAlign w:val="bottom"/>
            <w:gridSpan w:val="7"/>
          </w:tcPr>
          <w:p>
            <w:pPr>
              <w:ind w:left="580"/>
              <w:spacing w:after="0"/>
              <w:rPr>
                <w:sz w:val="20"/>
                <w:szCs w:val="20"/>
                <w:color w:val="auto"/>
              </w:rPr>
            </w:pPr>
            <w:r>
              <w:rPr>
                <w:rFonts w:ascii="Times New Roman" w:cs="Times New Roman" w:eastAsia="Times New Roman" w:hAnsi="Times New Roman"/>
                <w:sz w:val="18"/>
                <w:szCs w:val="18"/>
                <w:color w:val="auto"/>
              </w:rPr>
              <w:t>Index to Consolidated Financial Statements</w:t>
            </w:r>
          </w:p>
        </w:tc>
        <w:tc>
          <w:tcPr>
            <w:tcW w:w="2340" w:type="dxa"/>
            <w:vAlign w:val="bottom"/>
          </w:tcPr>
          <w:p>
            <w:pPr>
              <w:spacing w:after="0"/>
              <w:rPr>
                <w:sz w:val="24"/>
                <w:szCs w:val="24"/>
                <w:color w:val="auto"/>
              </w:rPr>
            </w:pPr>
          </w:p>
        </w:tc>
      </w:tr>
      <w:tr>
        <w:trPr>
          <w:trHeight w:val="198"/>
        </w:trPr>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2"/>
        </w:trPr>
        <w:tc>
          <w:tcPr>
            <w:tcW w:w="80" w:type="dxa"/>
            <w:vAlign w:val="bottom"/>
            <w:shd w:val="clear" w:color="auto" w:fill="CCEEFF"/>
          </w:tcPr>
          <w:p>
            <w:pPr>
              <w:spacing w:after="0"/>
              <w:rPr>
                <w:sz w:val="19"/>
                <w:szCs w:val="19"/>
                <w:color w:val="auto"/>
              </w:rPr>
            </w:pPr>
          </w:p>
        </w:tc>
        <w:tc>
          <w:tcPr>
            <w:tcW w:w="8820" w:type="dxa"/>
            <w:vAlign w:val="bottom"/>
            <w:gridSpan w:val="11"/>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(KPMG LLP, PCAOB ID No. 185)</w:t>
            </w:r>
          </w:p>
        </w:tc>
        <w:tc>
          <w:tcPr>
            <w:tcW w:w="23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38</w:t>
            </w:r>
          </w:p>
        </w:tc>
      </w:tr>
      <w:tr>
        <w:trPr>
          <w:trHeight w:val="203"/>
        </w:trPr>
        <w:tc>
          <w:tcPr>
            <w:tcW w:w="80" w:type="dxa"/>
            <w:vAlign w:val="bottom"/>
            <w:tcBorders>
              <w:top w:val="single" w:sz="8" w:color="CCEEFF"/>
            </w:tcBorders>
          </w:tcPr>
          <w:p>
            <w:pPr>
              <w:spacing w:after="0"/>
              <w:rPr>
                <w:sz w:val="17"/>
                <w:szCs w:val="17"/>
                <w:color w:val="auto"/>
              </w:rPr>
            </w:pPr>
          </w:p>
        </w:tc>
        <w:tc>
          <w:tcPr>
            <w:tcW w:w="6800" w:type="dxa"/>
            <w:vAlign w:val="bottom"/>
            <w:tcBorders>
              <w:top w:val="single" w:sz="8" w:color="0000FF"/>
            </w:tcBorders>
            <w:gridSpan w:val="6"/>
          </w:tcPr>
          <w:p>
            <w:pPr>
              <w:spacing w:after="0" w:line="202" w:lineRule="exact"/>
              <w:rPr>
                <w:sz w:val="20"/>
                <w:szCs w:val="20"/>
                <w:color w:val="auto"/>
              </w:rPr>
            </w:pPr>
            <w:r>
              <w:rPr>
                <w:rFonts w:ascii="Times New Roman" w:cs="Times New Roman" w:eastAsia="Times New Roman" w:hAnsi="Times New Roman"/>
                <w:sz w:val="18"/>
                <w:szCs w:val="18"/>
                <w:color w:val="0000FF"/>
              </w:rPr>
              <w:t>Consolidated Balance Sheets as of January 29, 2023 and January 30, 2022</w:t>
            </w:r>
          </w:p>
        </w:tc>
        <w:tc>
          <w:tcPr>
            <w:tcW w:w="2020" w:type="dxa"/>
            <w:vAlign w:val="bottom"/>
            <w:tcBorders>
              <w:top w:val="single" w:sz="8" w:color="CCEEFF"/>
            </w:tcBorders>
            <w:gridSpan w:val="5"/>
          </w:tcPr>
          <w:p>
            <w:pPr>
              <w:spacing w:after="0"/>
              <w:rPr>
                <w:sz w:val="17"/>
                <w:szCs w:val="17"/>
                <w:color w:val="auto"/>
              </w:rPr>
            </w:pPr>
          </w:p>
        </w:tc>
        <w:tc>
          <w:tcPr>
            <w:tcW w:w="234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41</w:t>
            </w:r>
          </w:p>
        </w:tc>
      </w:tr>
      <w:tr>
        <w:trPr>
          <w:trHeight w:val="34"/>
        </w:trPr>
        <w:tc>
          <w:tcPr>
            <w:tcW w:w="8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1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36"/>
        </w:trPr>
        <w:tc>
          <w:tcPr>
            <w:tcW w:w="80" w:type="dxa"/>
            <w:vAlign w:val="bottom"/>
            <w:tcBorders>
              <w:bottom w:val="single" w:sz="8" w:color="CCEEFF"/>
            </w:tcBorders>
            <w:shd w:val="clear" w:color="auto" w:fill="CCEEFF"/>
          </w:tcPr>
          <w:p>
            <w:pPr>
              <w:spacing w:after="0"/>
              <w:rPr>
                <w:sz w:val="20"/>
                <w:szCs w:val="20"/>
                <w:color w:val="auto"/>
              </w:rPr>
            </w:pPr>
          </w:p>
        </w:tc>
        <w:tc>
          <w:tcPr>
            <w:tcW w:w="7360" w:type="dxa"/>
            <w:vAlign w:val="bottom"/>
            <w:tcBorders>
              <w:bottom w:val="single" w:sz="8" w:color="0000FF"/>
            </w:tcBorders>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Consolidated Statements of Operations for Fiscal Years Ended January 29, 2023 and January 30, 2022</w:t>
            </w:r>
          </w:p>
        </w:tc>
        <w:tc>
          <w:tcPr>
            <w:tcW w:w="1460" w:type="dxa"/>
            <w:vAlign w:val="bottom"/>
            <w:tcBorders>
              <w:bottom w:val="single" w:sz="8" w:color="CCEEFF"/>
            </w:tcBorders>
            <w:gridSpan w:val="4"/>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42</w:t>
            </w:r>
          </w:p>
        </w:tc>
      </w:tr>
      <w:tr>
        <w:trPr>
          <w:trHeight w:val="202"/>
        </w:trPr>
        <w:tc>
          <w:tcPr>
            <w:tcW w:w="80" w:type="dxa"/>
            <w:vAlign w:val="bottom"/>
          </w:tcPr>
          <w:p>
            <w:pPr>
              <w:spacing w:after="0"/>
              <w:rPr>
                <w:sz w:val="17"/>
                <w:szCs w:val="17"/>
                <w:color w:val="auto"/>
              </w:rPr>
            </w:pPr>
          </w:p>
        </w:tc>
        <w:tc>
          <w:tcPr>
            <w:tcW w:w="882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Comprehensive Income for Fiscal Years Ended January 29, 2023 and January 30, 2022</w:t>
            </w:r>
          </w:p>
        </w:tc>
        <w:tc>
          <w:tcPr>
            <w:tcW w:w="2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43</w:t>
            </w:r>
          </w:p>
        </w:tc>
      </w:tr>
      <w:tr>
        <w:trPr>
          <w:trHeight w:val="34"/>
        </w:trPr>
        <w:tc>
          <w:tcPr>
            <w:tcW w:w="8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37"/>
        </w:trPr>
        <w:tc>
          <w:tcPr>
            <w:tcW w:w="80" w:type="dxa"/>
            <w:vAlign w:val="bottom"/>
            <w:shd w:val="clear" w:color="auto" w:fill="CCEEFF"/>
          </w:tcPr>
          <w:p>
            <w:pPr>
              <w:spacing w:after="0"/>
              <w:rPr>
                <w:sz w:val="20"/>
                <w:szCs w:val="20"/>
                <w:color w:val="auto"/>
              </w:rPr>
            </w:pPr>
          </w:p>
        </w:tc>
        <w:tc>
          <w:tcPr>
            <w:tcW w:w="8820" w:type="dxa"/>
            <w:vAlign w:val="bottom"/>
            <w:gridSpan w:val="1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Shareholders’ Equity for Fiscal Years Ended January 29, 2023 and January 30, 2022</w:t>
            </w:r>
          </w:p>
        </w:tc>
        <w:tc>
          <w:tcPr>
            <w:tcW w:w="23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45</w:t>
            </w:r>
          </w:p>
        </w:tc>
      </w:tr>
      <w:tr>
        <w:trPr>
          <w:trHeight w:val="202"/>
        </w:trPr>
        <w:tc>
          <w:tcPr>
            <w:tcW w:w="80" w:type="dxa"/>
            <w:vAlign w:val="bottom"/>
            <w:tcBorders>
              <w:top w:val="single" w:sz="8" w:color="CCEEFF"/>
            </w:tcBorders>
          </w:tcPr>
          <w:p>
            <w:pPr>
              <w:spacing w:after="0"/>
              <w:rPr>
                <w:sz w:val="17"/>
                <w:szCs w:val="17"/>
                <w:color w:val="auto"/>
              </w:rPr>
            </w:pPr>
          </w:p>
        </w:tc>
        <w:tc>
          <w:tcPr>
            <w:tcW w:w="8080" w:type="dxa"/>
            <w:vAlign w:val="bottom"/>
            <w:tcBorders>
              <w:top w:val="single" w:sz="8" w:color="0000FF"/>
            </w:tcBorders>
            <w:gridSpan w:val="9"/>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Cash Flows for Fiscal Years Ended January 29, 2023 and January 30, 2022</w:t>
            </w:r>
          </w:p>
        </w:tc>
        <w:tc>
          <w:tcPr>
            <w:tcW w:w="740" w:type="dxa"/>
            <w:vAlign w:val="bottom"/>
            <w:tcBorders>
              <w:top w:val="single" w:sz="8" w:color="CCEEFF"/>
            </w:tcBorders>
            <w:gridSpan w:val="2"/>
          </w:tcPr>
          <w:p>
            <w:pPr>
              <w:spacing w:after="0"/>
              <w:rPr>
                <w:sz w:val="17"/>
                <w:szCs w:val="17"/>
                <w:color w:val="auto"/>
              </w:rPr>
            </w:pPr>
          </w:p>
        </w:tc>
        <w:tc>
          <w:tcPr>
            <w:tcW w:w="234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46</w:t>
            </w:r>
          </w:p>
        </w:tc>
      </w:tr>
      <w:tr>
        <w:trPr>
          <w:trHeight w:val="34"/>
        </w:trPr>
        <w:tc>
          <w:tcPr>
            <w:tcW w:w="8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03"/>
        </w:trPr>
        <w:tc>
          <w:tcPr>
            <w:tcW w:w="80" w:type="dxa"/>
            <w:vAlign w:val="bottom"/>
            <w:shd w:val="clear" w:color="auto" w:fill="CCEEFF"/>
          </w:tcPr>
          <w:p>
            <w:pPr>
              <w:spacing w:after="0"/>
              <w:rPr>
                <w:sz w:val="17"/>
                <w:szCs w:val="17"/>
                <w:color w:val="auto"/>
              </w:rPr>
            </w:pPr>
          </w:p>
        </w:tc>
        <w:tc>
          <w:tcPr>
            <w:tcW w:w="8820" w:type="dxa"/>
            <w:vAlign w:val="bottom"/>
            <w:gridSpan w:val="1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3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47</w:t>
            </w:r>
          </w:p>
        </w:tc>
      </w:tr>
      <w:tr>
        <w:trPr>
          <w:trHeight w:val="34"/>
        </w:trPr>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9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r>
      <w:tr>
        <w:trPr>
          <w:trHeight w:val="203"/>
        </w:trPr>
        <w:tc>
          <w:tcPr>
            <w:tcW w:w="80" w:type="dxa"/>
            <w:vAlign w:val="bottom"/>
          </w:tcPr>
          <w:p>
            <w:pPr>
              <w:spacing w:after="0"/>
              <w:rPr>
                <w:sz w:val="17"/>
                <w:szCs w:val="17"/>
                <w:color w:val="auto"/>
              </w:rPr>
            </w:pPr>
          </w:p>
        </w:tc>
        <w:tc>
          <w:tcPr>
            <w:tcW w:w="882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0000FF"/>
              </w:rPr>
              <w:t>Schedule II Valuation and Qualifying Accounts</w:t>
            </w:r>
          </w:p>
        </w:tc>
        <w:tc>
          <w:tcPr>
            <w:tcW w:w="2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64</w:t>
            </w:r>
          </w:p>
        </w:tc>
      </w:tr>
      <w:tr>
        <w:trPr>
          <w:trHeight w:val="20"/>
        </w:trPr>
        <w:tc>
          <w:tcPr>
            <w:tcW w:w="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Duluth Holdings Inc.</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Consolidated Financial Statements</w:t>
      </w:r>
    </w:p>
    <w:p>
      <w:pPr>
        <w:spacing w:after="0" w:line="270"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Duluth Holdings Inc. (the Company) as of January 29, 2023 and January 30, 2022, the related consolidated statements of operations, comprehensive income, shareholders’ equity, and cash flows for the years then ended, and related notes and financial statement schedule II - Valuation and Qualifying Accounts (collectively, the consolidated financial statements). In our opinion, the consolidated financial statements present fairly, in all material respects, the financial position of the Company as of January 29, 2023 and January 30,2022, and the results of its operations and its cash flows for the years then ended, in conformity with U.S. generally accepted accounting principles.</w:t>
      </w:r>
    </w:p>
    <w:p>
      <w:pPr>
        <w:spacing w:after="0" w:line="161"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January 29, 2023, based on criteria established in Internal Control – Integrated Framework (2013) issued by the Committee of Sponsoring Organizations of the Treadway Commission, and our report dated March 17, 2023 expressed an unqualified opinion on the effectiveness of the Company’s internal control over financial reporting.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175"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 return reserve</w:t>
      </w:r>
    </w:p>
    <w:p>
      <w:pPr>
        <w:spacing w:after="0" w:line="187" w:lineRule="exact"/>
        <w:rPr>
          <w:sz w:val="20"/>
          <w:szCs w:val="20"/>
          <w:color w:val="auto"/>
        </w:rPr>
      </w:pPr>
    </w:p>
    <w:p>
      <w:pPr>
        <w:ind w:left="340"/>
        <w:spacing w:after="0" w:line="236" w:lineRule="auto"/>
        <w:rPr>
          <w:sz w:val="20"/>
          <w:szCs w:val="20"/>
          <w:color w:val="auto"/>
        </w:rPr>
      </w:pPr>
      <w:r>
        <w:rPr>
          <w:rFonts w:ascii="Times New Roman" w:cs="Times New Roman" w:eastAsia="Times New Roman" w:hAnsi="Times New Roman"/>
          <w:sz w:val="18"/>
          <w:szCs w:val="18"/>
          <w:color w:val="auto"/>
        </w:rPr>
        <w:t>As discussed in Note 5 to the consolidated financial statements, as of January 29, 2023 the Company recorded $5,168 thousand in reserves for product returns within accrued expenses and other current liabilities. Management estimates the product return reserve using its own historical sales and product return information.</w:t>
      </w:r>
    </w:p>
    <w:p>
      <w:pPr>
        <w:spacing w:after="0" w:line="159"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We identified the assessment of the product return reserve as a critical audit matter. A high degree of auditor judgment was required to assess whether the historical return rate used to estimate the reserve for product returns is indicative of future returns.</w:t>
      </w:r>
    </w:p>
    <w:p>
      <w:pPr>
        <w:spacing w:after="0" w:line="122" w:lineRule="exact"/>
        <w:rPr>
          <w:sz w:val="20"/>
          <w:szCs w:val="20"/>
          <w:color w:val="auto"/>
        </w:rPr>
      </w:pPr>
    </w:p>
    <w:p>
      <w:pPr>
        <w:ind w:left="340" w:right="220"/>
        <w:spacing w:after="0" w:line="234"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product return reserve. This included controls related to determining the historical return rate used to estimate product returns. We assessed the Company’s ability to</w:t>
      </w:r>
    </w:p>
    <w:p>
      <w:pPr>
        <w:jc w:val="center"/>
        <w:ind w:right="-7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4" w:lineRule="exact"/>
        <w:rPr>
          <w:sz w:val="20"/>
          <w:szCs w:val="20"/>
          <w:color w:val="auto"/>
        </w:rPr>
      </w:pPr>
    </w:p>
    <w:p>
      <w:pPr>
        <w:jc w:val="both"/>
        <w:ind w:left="340"/>
        <w:spacing w:after="0" w:line="232" w:lineRule="auto"/>
        <w:rPr>
          <w:sz w:val="20"/>
          <w:szCs w:val="20"/>
          <w:color w:val="auto"/>
        </w:rPr>
      </w:pPr>
      <w:r>
        <w:rPr>
          <w:rFonts w:ascii="Times New Roman" w:cs="Times New Roman" w:eastAsia="Times New Roman" w:hAnsi="Times New Roman"/>
          <w:sz w:val="18"/>
          <w:szCs w:val="18"/>
          <w:color w:val="auto"/>
        </w:rPr>
        <w:t>accurately estimate the product return rate by comparing prior period estimates to actual product return rates experienced. We analyzed the product return rate assumption by evaluating the consistency of the assumption with the trend of actual historical product return rates and by comparing the product return reserve to actual product returns received after the balance sheet date.</w:t>
      </w:r>
    </w:p>
    <w:p>
      <w:pPr>
        <w:jc w:val="center"/>
        <w:ind w:right="-319"/>
        <w:spacing w:after="0"/>
        <w:rPr>
          <w:sz w:val="20"/>
          <w:szCs w:val="20"/>
          <w:color w:val="auto"/>
        </w:rPr>
      </w:pPr>
      <w:r>
        <w:rPr>
          <w:rFonts w:ascii="Times New Roman" w:cs="Times New Roman" w:eastAsia="Times New Roman" w:hAnsi="Times New Roman"/>
          <w:sz w:val="18"/>
          <w:szCs w:val="18"/>
          <w:color w:val="auto"/>
        </w:rPr>
        <w:t>/s/ KPMG LLP</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2023</w:t>
      </w:r>
    </w:p>
    <w:p>
      <w:pPr>
        <w:spacing w:after="0" w:line="35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08" w:right="6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Duluth Holdings Inc.</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Internal Control Over Financial Reporting</w:t>
      </w:r>
    </w:p>
    <w:p>
      <w:pPr>
        <w:spacing w:after="0" w:line="270"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color w:val="auto"/>
        </w:rPr>
        <w:t>We have audited Duluth Holdings Inc.’s (the Company) internal control over financial reporting as of January 29, 2023, based on criteria established in Internal Control – Integrated Framework (2013) issued by the Committee of Sponsoring Organizations of the Treadway Commission. In our opinion, the Company maintained, in all material respects, effective internal control over financial reporting as of January 29, 2023, based on criteria established in Internal Control – Integrated Framework (2013) issued by the Committee of Sponsoring Organizations of the Treadway Commission.</w:t>
      </w:r>
    </w:p>
    <w:p>
      <w:pPr>
        <w:spacing w:after="0" w:line="158"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January 29, 2023 and January 30, 2022, the related consolidated statements of operations, comprehensive income, shareholders’ equity, and cash flows for the years then ended, and the related notes and financial statement schedule II – Valuation and Qualifying Accounts (collectively, the consolidated financial statements), and our report dated March 17, 2023 expressed an unqualified opinion on those consolidated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9"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75"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 KPMG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2023</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83"/>
        </w:trPr>
        <w:tc>
          <w:tcPr>
            <w:tcW w:w="77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r>
      <w:tr>
        <w:trPr>
          <w:trHeight w:val="203"/>
        </w:trPr>
        <w:tc>
          <w:tcPr>
            <w:tcW w:w="7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7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45,548</w:t>
            </w:r>
          </w:p>
        </w:tc>
        <w:tc>
          <w:tcPr>
            <w:tcW w:w="1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36"/>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77,051</w:t>
            </w:r>
          </w:p>
        </w:tc>
      </w:tr>
      <w:tr>
        <w:trPr>
          <w:trHeight w:val="203"/>
        </w:trPr>
        <w:tc>
          <w:tcPr>
            <w:tcW w:w="770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Receivables</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6,041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5,455</w:t>
            </w:r>
          </w:p>
        </w:tc>
      </w:tr>
      <w:tr>
        <w:trPr>
          <w:trHeight w:val="270"/>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 net</w:t>
            </w: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122,672</w:t>
            </w:r>
          </w:p>
        </w:tc>
      </w:tr>
      <w:tr>
        <w:trPr>
          <w:trHeight w:val="203"/>
        </w:trPr>
        <w:tc>
          <w:tcPr>
            <w:tcW w:w="770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Prepaid expenses &amp; other current assets</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19,386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17,333</w:t>
            </w:r>
          </w:p>
        </w:tc>
      </w:tr>
      <w:tr>
        <w:trPr>
          <w:trHeight w:val="203"/>
        </w:trPr>
        <w:tc>
          <w:tcPr>
            <w:tcW w:w="77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Prepaid catalog costs</w:t>
            </w: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r>
      <w:tr>
        <w:trPr>
          <w:trHeight w:val="183"/>
        </w:trPr>
        <w:tc>
          <w:tcPr>
            <w:tcW w:w="770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225,897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222,521</w:t>
            </w:r>
          </w:p>
        </w:tc>
      </w:tr>
      <w:tr>
        <w:trPr>
          <w:trHeight w:val="203"/>
        </w:trPr>
        <w:tc>
          <w:tcPr>
            <w:tcW w:w="7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108,332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110,078</w:t>
            </w:r>
          </w:p>
        </w:tc>
      </w:tr>
      <w:tr>
        <w:trPr>
          <w:trHeight w:val="203"/>
        </w:trPr>
        <w:tc>
          <w:tcPr>
            <w:tcW w:w="7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131,753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120,911</w:t>
            </w:r>
          </w:p>
        </w:tc>
      </w:tr>
      <w:tr>
        <w:trPr>
          <w:trHeight w:val="203"/>
        </w:trPr>
        <w:tc>
          <w:tcPr>
            <w:tcW w:w="7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Finance lease right-of-use assets, net</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47,206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50,133</w:t>
            </w:r>
          </w:p>
        </w:tc>
      </w:tr>
      <w:tr>
        <w:trPr>
          <w:trHeight w:val="203"/>
        </w:trPr>
        <w:tc>
          <w:tcPr>
            <w:tcW w:w="7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Available-for-sale security</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5,539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6,554</w:t>
            </w:r>
          </w:p>
        </w:tc>
      </w:tr>
      <w:tr>
        <w:trPr>
          <w:trHeight w:val="203"/>
        </w:trPr>
        <w:tc>
          <w:tcPr>
            <w:tcW w:w="7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8,727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5,353</w:t>
            </w:r>
          </w:p>
        </w:tc>
      </w:tr>
      <w:tr>
        <w:trPr>
          <w:trHeight w:val="223"/>
        </w:trPr>
        <w:tc>
          <w:tcPr>
            <w:tcW w:w="7700" w:type="dxa"/>
            <w:vAlign w:val="bottom"/>
            <w:tcBorders>
              <w:bottom w:val="single" w:sz="8" w:color="CCEEFF"/>
            </w:tcBorders>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527,454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515,550</w:t>
            </w:r>
          </w:p>
        </w:tc>
      </w:tr>
      <w:tr>
        <w:trPr>
          <w:trHeight w:val="169"/>
        </w:trPr>
        <w:tc>
          <w:tcPr>
            <w:tcW w:w="77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03"/>
        </w:trPr>
        <w:tc>
          <w:tcPr>
            <w:tcW w:w="7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7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56,547</w:t>
            </w:r>
          </w:p>
        </w:tc>
        <w:tc>
          <w:tcPr>
            <w:tcW w:w="1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36"/>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45,402</w:t>
            </w:r>
          </w:p>
        </w:tc>
      </w:tr>
      <w:tr>
        <w:trPr>
          <w:trHeight w:val="203"/>
        </w:trPr>
        <w:tc>
          <w:tcPr>
            <w:tcW w:w="770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40,815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47,504</w:t>
            </w:r>
          </w:p>
        </w:tc>
      </w:tr>
      <w:tr>
        <w:trPr>
          <w:trHeight w:val="203"/>
        </w:trPr>
        <w:tc>
          <w:tcPr>
            <w:tcW w:w="77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Income tax payable</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6,814</w:t>
            </w:r>
          </w:p>
        </w:tc>
      </w:tr>
      <w:tr>
        <w:trPr>
          <w:trHeight w:val="203"/>
        </w:trPr>
        <w:tc>
          <w:tcPr>
            <w:tcW w:w="770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15,571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12,882</w:t>
            </w:r>
          </w:p>
        </w:tc>
      </w:tr>
      <w:tr>
        <w:trPr>
          <w:trHeight w:val="203"/>
        </w:trPr>
        <w:tc>
          <w:tcPr>
            <w:tcW w:w="77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2,842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2,701</w:t>
            </w:r>
          </w:p>
        </w:tc>
      </w:tr>
      <w:tr>
        <w:trPr>
          <w:trHeight w:val="203"/>
        </w:trPr>
        <w:tc>
          <w:tcPr>
            <w:tcW w:w="770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Current maturities of TRI long-term debt</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693</w:t>
            </w:r>
          </w:p>
        </w:tc>
      </w:tr>
      <w:tr>
        <w:trPr>
          <w:trHeight w:val="20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115,996</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107,094</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 less current portion</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40,267</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TRI long-term debt, less current maturities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26,608</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r>
      <w:tr>
        <w:trPr>
          <w:trHeight w:val="210"/>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292,832</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8"/>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34"/>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or outstanding as of January 29, 2023 and January 30, 2022</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(Class A), no par value; 10,000 shares authorized;</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3"/>
        </w:trPr>
        <w:tc>
          <w:tcPr>
            <w:tcW w:w="77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3,364 shares issued and outstanding as of January 29, 2023 and</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21"/>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January 30, 2022</w:t>
            </w:r>
          </w:p>
        </w:tc>
        <w:tc>
          <w:tcPr>
            <w:tcW w:w="20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(Class B), no par value; 200,000 shares authorized;</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30,191 shares issued and 30,079 shares outstanding as of January 29, 2023 and</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1"/>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29,530 shares issued and 29,477 outstanding as of January 30, 2022</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112 and 53 shares as of January 29, 2023 and</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4"/>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January 30, 2022, respectively</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95,515</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130,868</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10"/>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shareholders' equity of Duluth Holdings Inc.</w:t>
            </w: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225,870</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r>
      <w:tr>
        <w:trPr>
          <w:trHeight w:val="209"/>
        </w:trPr>
        <w:tc>
          <w:tcPr>
            <w:tcW w:w="7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227,197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222,718</w:t>
            </w:r>
          </w:p>
        </w:tc>
      </w:tr>
      <w:tr>
        <w:trPr>
          <w:trHeight w:val="183"/>
        </w:trPr>
        <w:tc>
          <w:tcPr>
            <w:tcW w:w="7700" w:type="dxa"/>
            <w:vAlign w:val="bottom"/>
            <w:tcBorders>
              <w:bottom w:val="single" w:sz="8" w:color="CCEEFF"/>
            </w:tcBorders>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527,454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515,550</w:t>
            </w: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ind w:left="374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figures)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0" w:type="dxa"/>
            <w:vAlign w:val="bottom"/>
          </w:tcPr>
          <w:p>
            <w:pPr>
              <w:spacing w:after="0"/>
              <w:rPr>
                <w:sz w:val="1"/>
                <w:szCs w:val="1"/>
                <w:color w:val="auto"/>
              </w:rPr>
            </w:pPr>
          </w:p>
        </w:tc>
      </w:tr>
      <w:tr>
        <w:trPr>
          <w:trHeight w:val="183"/>
        </w:trPr>
        <w:tc>
          <w:tcPr>
            <w:tcW w:w="57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sales</w:t>
            </w:r>
          </w:p>
        </w:tc>
        <w:tc>
          <w:tcPr>
            <w:tcW w:w="1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653,307</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698,584</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309,872</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321,260</w:t>
            </w:r>
          </w:p>
        </w:tc>
        <w:tc>
          <w:tcPr>
            <w:tcW w:w="0" w:type="dxa"/>
            <w:vAlign w:val="bottom"/>
          </w:tcPr>
          <w:p>
            <w:pPr>
              <w:spacing w:after="0"/>
              <w:rPr>
                <w:sz w:val="1"/>
                <w:szCs w:val="1"/>
                <w:color w:val="auto"/>
              </w:rPr>
            </w:pPr>
          </w:p>
        </w:tc>
      </w:tr>
      <w:tr>
        <w:trPr>
          <w:trHeight w:val="183"/>
        </w:trPr>
        <w:tc>
          <w:tcPr>
            <w:tcW w:w="57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Gross profit</w:t>
            </w: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343,435</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377,324</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337,204</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333,225</w:t>
            </w:r>
          </w:p>
        </w:tc>
        <w:tc>
          <w:tcPr>
            <w:tcW w:w="0" w:type="dxa"/>
            <w:vAlign w:val="bottom"/>
          </w:tcPr>
          <w:p>
            <w:pPr>
              <w:spacing w:after="0"/>
              <w:rPr>
                <w:sz w:val="1"/>
                <w:szCs w:val="1"/>
                <w:color w:val="auto"/>
              </w:rPr>
            </w:pPr>
          </w:p>
        </w:tc>
      </w:tr>
      <w:tr>
        <w:trPr>
          <w:trHeight w:val="183"/>
        </w:trPr>
        <w:tc>
          <w:tcPr>
            <w:tcW w:w="57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income</w:t>
            </w: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6,231</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44,099</w:t>
            </w:r>
          </w:p>
        </w:tc>
        <w:tc>
          <w:tcPr>
            <w:tcW w:w="0" w:type="dxa"/>
            <w:vAlign w:val="bottom"/>
          </w:tcPr>
          <w:p>
            <w:pPr>
              <w:spacing w:after="0"/>
              <w:rPr>
                <w:sz w:val="1"/>
                <w:szCs w:val="1"/>
                <w:color w:val="auto"/>
              </w:rPr>
            </w:pPr>
          </w:p>
        </w:tc>
      </w:tr>
      <w:tr>
        <w:trPr>
          <w:trHeight w:val="203"/>
        </w:trPr>
        <w:tc>
          <w:tcPr>
            <w:tcW w:w="57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3,653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4,717</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income, net</w:t>
            </w:r>
          </w:p>
        </w:tc>
        <w:tc>
          <w:tcPr>
            <w:tcW w:w="13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83"/>
        </w:trPr>
        <w:tc>
          <w:tcPr>
            <w:tcW w:w="57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Income before income taxes</w:t>
            </w: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2,954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39,437</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Income tax expense</w:t>
            </w:r>
          </w:p>
        </w:tc>
        <w:tc>
          <w:tcPr>
            <w:tcW w:w="13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708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9,887</w:t>
            </w:r>
          </w:p>
        </w:tc>
        <w:tc>
          <w:tcPr>
            <w:tcW w:w="0" w:type="dxa"/>
            <w:vAlign w:val="bottom"/>
          </w:tcPr>
          <w:p>
            <w:pPr>
              <w:spacing w:after="0"/>
              <w:rPr>
                <w:sz w:val="1"/>
                <w:szCs w:val="1"/>
                <w:color w:val="auto"/>
              </w:rPr>
            </w:pPr>
          </w:p>
        </w:tc>
      </w:tr>
      <w:tr>
        <w:trPr>
          <w:trHeight w:val="183"/>
        </w:trPr>
        <w:tc>
          <w:tcPr>
            <w:tcW w:w="57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2,246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29,550</w:t>
            </w:r>
          </w:p>
        </w:tc>
        <w:tc>
          <w:tcPr>
            <w:tcW w:w="0" w:type="dxa"/>
            <w:vAlign w:val="bottom"/>
          </w:tcPr>
          <w:p>
            <w:pPr>
              <w:spacing w:after="0"/>
              <w:rPr>
                <w:sz w:val="1"/>
                <w:szCs w:val="1"/>
                <w:color w:val="auto"/>
              </w:rPr>
            </w:pPr>
          </w:p>
        </w:tc>
      </w:tr>
      <w:tr>
        <w:trPr>
          <w:trHeight w:val="202"/>
        </w:trPr>
        <w:tc>
          <w:tcPr>
            <w:tcW w:w="57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13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2,304</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29,702</w:t>
            </w:r>
          </w:p>
        </w:tc>
        <w:tc>
          <w:tcPr>
            <w:tcW w:w="0" w:type="dxa"/>
            <w:vAlign w:val="bottom"/>
          </w:tcPr>
          <w:p>
            <w:pPr>
              <w:spacing w:after="0"/>
              <w:rPr>
                <w:sz w:val="1"/>
                <w:szCs w:val="1"/>
                <w:color w:val="auto"/>
              </w:rPr>
            </w:pPr>
          </w:p>
        </w:tc>
      </w:tr>
      <w:tr>
        <w:trPr>
          <w:trHeight w:val="170"/>
        </w:trPr>
        <w:tc>
          <w:tcPr>
            <w:tcW w:w="57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Basic earnings per share (Class A and Class B):</w:t>
            </w: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32,618</w:t>
            </w:r>
          </w:p>
        </w:tc>
        <w:tc>
          <w:tcPr>
            <w:tcW w:w="0" w:type="dxa"/>
            <w:vAlign w:val="bottom"/>
          </w:tcPr>
          <w:p>
            <w:pPr>
              <w:spacing w:after="0"/>
              <w:rPr>
                <w:sz w:val="1"/>
                <w:szCs w:val="1"/>
                <w:color w:val="auto"/>
              </w:rPr>
            </w:pPr>
          </w:p>
        </w:tc>
      </w:tr>
      <w:tr>
        <w:trPr>
          <w:trHeight w:val="191"/>
        </w:trPr>
        <w:tc>
          <w:tcPr>
            <w:tcW w:w="57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Net income per share attributable</w:t>
            </w:r>
          </w:p>
        </w:tc>
        <w:tc>
          <w:tcPr>
            <w:tcW w:w="1580" w:type="dxa"/>
            <w:vAlign w:val="bottom"/>
            <w:gridSpan w:val="2"/>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shd w:val="clear" w:color="auto" w:fill="CCEEFF"/>
          </w:tcPr>
          <w:p>
            <w:pPr>
              <w:spacing w:after="0"/>
              <w:rPr>
                <w:sz w:val="16"/>
                <w:szCs w:val="16"/>
                <w:color w:val="auto"/>
              </w:rPr>
            </w:pPr>
          </w:p>
        </w:tc>
        <w:tc>
          <w:tcPr>
            <w:tcW w:w="480" w:type="dxa"/>
            <w:vAlign w:val="bottom"/>
            <w:gridSpan w:val="2"/>
            <w:vMerge w:val="restart"/>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07"/>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 controlling interest</w:t>
            </w:r>
          </w:p>
        </w:tc>
        <w:tc>
          <w:tcPr>
            <w:tcW w:w="1580" w:type="dxa"/>
            <w:vAlign w:val="bottom"/>
            <w:gridSpan w:val="2"/>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(Class A and Class B):</w:t>
            </w:r>
          </w:p>
        </w:tc>
        <w:tc>
          <w:tcPr>
            <w:tcW w:w="1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2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and</w:t>
            </w:r>
          </w:p>
        </w:tc>
        <w:tc>
          <w:tcPr>
            <w:tcW w:w="1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equivalents outstanding</w:t>
            </w:r>
          </w:p>
        </w:tc>
        <w:tc>
          <w:tcPr>
            <w:tcW w:w="13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32,851</w:t>
            </w:r>
          </w:p>
        </w:tc>
        <w:tc>
          <w:tcPr>
            <w:tcW w:w="0" w:type="dxa"/>
            <w:vAlign w:val="bottom"/>
          </w:tcPr>
          <w:p>
            <w:pPr>
              <w:spacing w:after="0"/>
              <w:rPr>
                <w:sz w:val="1"/>
                <w:szCs w:val="1"/>
                <w:color w:val="auto"/>
              </w:rPr>
            </w:pPr>
          </w:p>
        </w:tc>
      </w:tr>
      <w:tr>
        <w:trPr>
          <w:trHeight w:val="232"/>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attributable</w:t>
            </w:r>
          </w:p>
        </w:tc>
        <w:tc>
          <w:tcPr>
            <w:tcW w:w="158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Pr>
          <w:p>
            <w:pPr>
              <w:spacing w:after="0"/>
              <w:rPr>
                <w:sz w:val="20"/>
                <w:szCs w:val="20"/>
                <w:color w:val="auto"/>
              </w:rPr>
            </w:pPr>
          </w:p>
        </w:tc>
        <w:tc>
          <w:tcPr>
            <w:tcW w:w="480" w:type="dxa"/>
            <w:vAlign w:val="bottom"/>
            <w:gridSpan w:val="2"/>
            <w:vMerge w:val="restart"/>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07"/>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controlling interest</w:t>
            </w:r>
          </w:p>
        </w:tc>
        <w:tc>
          <w:tcPr>
            <w:tcW w:w="1580" w:type="dxa"/>
            <w:vAlign w:val="bottom"/>
            <w:gridSpan w:val="2"/>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440" w:type="dxa"/>
            <w:vAlign w:val="bottom"/>
          </w:tcPr>
          <w:p>
            <w:pPr>
              <w:spacing w:after="0"/>
              <w:rPr>
                <w:sz w:val="15"/>
                <w:szCs w:val="15"/>
                <w:color w:val="auto"/>
              </w:rPr>
            </w:pPr>
          </w:p>
        </w:tc>
        <w:tc>
          <w:tcPr>
            <w:tcW w:w="15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0" w:type="dxa"/>
            <w:vAlign w:val="bottom"/>
          </w:tcPr>
          <w:p>
            <w:pPr>
              <w:spacing w:after="0"/>
              <w:rPr>
                <w:sz w:val="1"/>
                <w:szCs w:val="1"/>
                <w:color w:val="auto"/>
              </w:rPr>
            </w:pPr>
          </w:p>
        </w:tc>
      </w:tr>
      <w:tr>
        <w:trPr>
          <w:trHeight w:val="183"/>
        </w:trPr>
        <w:tc>
          <w:tcPr>
            <w:tcW w:w="48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income</w:t>
            </w:r>
          </w:p>
        </w:tc>
        <w:tc>
          <w:tcPr>
            <w:tcW w:w="2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2,246</w:t>
            </w:r>
          </w:p>
        </w:tc>
        <w:tc>
          <w:tcPr>
            <w:tcW w:w="2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29,550</w:t>
            </w:r>
          </w:p>
        </w:tc>
        <w:tc>
          <w:tcPr>
            <w:tcW w:w="0" w:type="dxa"/>
            <w:vAlign w:val="bottom"/>
          </w:tcPr>
          <w:p>
            <w:pPr>
              <w:spacing w:after="0"/>
              <w:rPr>
                <w:sz w:val="1"/>
                <w:szCs w:val="1"/>
                <w:color w:val="auto"/>
              </w:rPr>
            </w:pPr>
          </w:p>
        </w:tc>
      </w:tr>
      <w:tr>
        <w:trPr>
          <w:trHeight w:val="203"/>
        </w:trPr>
        <w:tc>
          <w:tcPr>
            <w:tcW w:w="4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Other comprehensive income</w:t>
            </w:r>
          </w:p>
        </w:tc>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Securities available-for-sale:</w:t>
            </w:r>
          </w:p>
        </w:tc>
        <w:tc>
          <w:tcPr>
            <w:tcW w:w="2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Unrealized security (loss) income</w:t>
            </w:r>
          </w:p>
        </w:tc>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gridSpan w:val="2"/>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(852)</w:t>
            </w:r>
          </w:p>
        </w:tc>
        <w:tc>
          <w:tcPr>
            <w:tcW w:w="4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Income tax (benefit) expense</w:t>
            </w:r>
          </w:p>
        </w:tc>
        <w:tc>
          <w:tcPr>
            <w:tcW w:w="2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(215)</w:t>
            </w: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183"/>
        </w:trPr>
        <w:tc>
          <w:tcPr>
            <w:tcW w:w="484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22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(637)</w:t>
            </w:r>
          </w:p>
        </w:tc>
        <w:tc>
          <w:tcPr>
            <w:tcW w:w="24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183"/>
        </w:trPr>
        <w:tc>
          <w:tcPr>
            <w:tcW w:w="48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Comprehensive income</w:t>
            </w:r>
          </w:p>
        </w:tc>
        <w:tc>
          <w:tcPr>
            <w:tcW w:w="2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1,609</w:t>
            </w: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29,991</w:t>
            </w:r>
          </w:p>
        </w:tc>
        <w:tc>
          <w:tcPr>
            <w:tcW w:w="0" w:type="dxa"/>
            <w:vAlign w:val="bottom"/>
          </w:tcPr>
          <w:p>
            <w:pPr>
              <w:spacing w:after="0"/>
              <w:rPr>
                <w:sz w:val="1"/>
                <w:szCs w:val="1"/>
                <w:color w:val="auto"/>
              </w:rPr>
            </w:pPr>
          </w:p>
        </w:tc>
      </w:tr>
      <w:tr>
        <w:trPr>
          <w:trHeight w:val="211"/>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noncontrolling interest</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91"/>
        </w:trPr>
        <w:tc>
          <w:tcPr>
            <w:tcW w:w="48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Comprehensive income attributable</w:t>
            </w:r>
          </w:p>
        </w:tc>
        <w:tc>
          <w:tcPr>
            <w:tcW w:w="2280" w:type="dxa"/>
            <w:vAlign w:val="bottom"/>
            <w:tcBorders>
              <w:top w:val="single" w:sz="8" w:color="CCEEFF"/>
            </w:tcBorders>
            <w:vMerge w:val="restart"/>
            <w:shd w:val="clear" w:color="auto" w:fill="CCEEFF"/>
          </w:tcPr>
          <w:p>
            <w:pPr>
              <w:spacing w:after="0"/>
              <w:rPr>
                <w:sz w:val="16"/>
                <w:szCs w:val="16"/>
                <w:color w:val="auto"/>
              </w:rPr>
            </w:pP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vMerge w:val="restart"/>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30,143</w:t>
            </w:r>
          </w:p>
        </w:tc>
        <w:tc>
          <w:tcPr>
            <w:tcW w:w="0" w:type="dxa"/>
            <w:vAlign w:val="bottom"/>
          </w:tcPr>
          <w:p>
            <w:pPr>
              <w:spacing w:after="0"/>
              <w:rPr>
                <w:sz w:val="1"/>
                <w:szCs w:val="1"/>
                <w:color w:val="auto"/>
              </w:rPr>
            </w:pPr>
          </w:p>
        </w:tc>
      </w:tr>
      <w:tr>
        <w:trPr>
          <w:trHeight w:val="207"/>
        </w:trPr>
        <w:tc>
          <w:tcPr>
            <w:tcW w:w="4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 controlling interest</w:t>
            </w:r>
          </w:p>
        </w:tc>
        <w:tc>
          <w:tcPr>
            <w:tcW w:w="2280" w:type="dxa"/>
            <w:vAlign w:val="bottom"/>
            <w:tcBorders>
              <w:bottom w:val="single" w:sz="8" w:color="CCEEFF"/>
            </w:tcBorders>
            <w:vMerge w:val="continue"/>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66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9"/>
        </w:trPr>
        <w:tc>
          <w:tcPr>
            <w:tcW w:w="35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interest in</w:t>
            </w:r>
          </w:p>
        </w:tc>
        <w:tc>
          <w:tcPr>
            <w:tcW w:w="200" w:type="dxa"/>
            <w:vAlign w:val="bottom"/>
          </w:tcPr>
          <w:p>
            <w:pPr>
              <w:spacing w:after="0"/>
              <w:rPr>
                <w:sz w:val="17"/>
                <w:szCs w:val="17"/>
                <w:color w:val="auto"/>
              </w:rPr>
            </w:pPr>
          </w:p>
        </w:tc>
        <w:tc>
          <w:tcPr>
            <w:tcW w:w="8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4"/>
        </w:trPr>
        <w:tc>
          <w:tcPr>
            <w:tcW w:w="3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88"/>
        </w:trPr>
        <w:tc>
          <w:tcPr>
            <w:tcW w:w="3500" w:type="dxa"/>
            <w:vAlign w:val="bottom"/>
          </w:tcPr>
          <w:p>
            <w:pPr>
              <w:spacing w:after="0"/>
              <w:rPr>
                <w:sz w:val="16"/>
                <w:szCs w:val="16"/>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200" w:type="dxa"/>
            <w:vAlign w:val="bottom"/>
          </w:tcPr>
          <w:p>
            <w:pPr>
              <w:spacing w:after="0"/>
              <w:rPr>
                <w:sz w:val="16"/>
                <w:szCs w:val="16"/>
                <w:color w:val="auto"/>
              </w:rPr>
            </w:pPr>
          </w:p>
        </w:tc>
        <w:tc>
          <w:tcPr>
            <w:tcW w:w="8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96"/>
        </w:trPr>
        <w:tc>
          <w:tcPr>
            <w:tcW w:w="3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January 31, 2021</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32,841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92,875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101,166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(3,000)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190,461</w:t>
            </w: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30"/>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1"/>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 taxes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29"/>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29,550</w:t>
            </w:r>
          </w:p>
        </w:tc>
      </w:tr>
      <w:tr>
        <w:trPr>
          <w:trHeight w:val="196"/>
        </w:trPr>
        <w:tc>
          <w:tcPr>
            <w:tcW w:w="3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Balance at January 30, 2022</w:t>
            </w:r>
          </w:p>
        </w:tc>
        <w:tc>
          <w:tcPr>
            <w:tcW w:w="6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33,071</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95,515</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130,868</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(3,152)</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222,718</w:t>
            </w: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1"/>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 taxes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29"/>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r>
      <w:tr>
        <w:trPr>
          <w:trHeight w:val="183"/>
        </w:trPr>
        <w:tc>
          <w:tcPr>
            <w:tcW w:w="35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at January 29, 2023</w:t>
            </w:r>
          </w:p>
        </w:tc>
        <w:tc>
          <w:tcPr>
            <w:tcW w:w="6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33,443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98,842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(1,459)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133,172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(3,210)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5"/>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227,197</w:t>
            </w:r>
          </w:p>
        </w:tc>
      </w:tr>
      <w:tr>
        <w:trPr>
          <w:trHeight w:val="20"/>
        </w:trPr>
        <w:tc>
          <w:tcPr>
            <w:tcW w:w="3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5"/>
          </w:tcPr>
          <w:p>
            <w:pPr>
              <w:jc w:val="right"/>
              <w:ind w:right="1371"/>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83"/>
        </w:trPr>
        <w:tc>
          <w:tcPr>
            <w:tcW w:w="7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0" w:type="dxa"/>
            <w:vAlign w:val="bottom"/>
          </w:tcPr>
          <w:p>
            <w:pPr>
              <w:spacing w:after="0"/>
              <w:rPr>
                <w:sz w:val="1"/>
                <w:szCs w:val="1"/>
                <w:color w:val="auto"/>
              </w:rPr>
            </w:pPr>
          </w:p>
        </w:tc>
      </w:tr>
      <w:tr>
        <w:trPr>
          <w:trHeight w:val="209"/>
        </w:trPr>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tcPr>
          <w:p>
            <w:pPr>
              <w:spacing w:after="0"/>
              <w:rPr>
                <w:sz w:val="18"/>
                <w:szCs w:val="18"/>
                <w:color w:val="auto"/>
              </w:rPr>
            </w:pP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29,550</w:t>
            </w:r>
          </w:p>
        </w:tc>
        <w:tc>
          <w:tcPr>
            <w:tcW w:w="0" w:type="dxa"/>
            <w:vAlign w:val="bottom"/>
          </w:tcPr>
          <w:p>
            <w:pPr>
              <w:spacing w:after="0"/>
              <w:rPr>
                <w:sz w:val="1"/>
                <w:szCs w:val="1"/>
                <w:color w:val="auto"/>
              </w:rPr>
            </w:pPr>
          </w:p>
        </w:tc>
      </w:tr>
      <w:tr>
        <w:trPr>
          <w:trHeight w:val="211"/>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by operating activities: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29,225</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0" w:type="dxa"/>
            <w:vAlign w:val="bottom"/>
          </w:tcPr>
          <w:p>
            <w:pPr>
              <w:spacing w:after="0"/>
              <w:rPr>
                <w:sz w:val="1"/>
                <w:szCs w:val="1"/>
                <w:color w:val="auto"/>
              </w:rPr>
            </w:pPr>
          </w:p>
        </w:tc>
      </w:tr>
      <w:tr>
        <w:trPr>
          <w:trHeight w:val="216"/>
        </w:trPr>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26,380</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 &amp; other assets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16"/>
        </w:trPr>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Software hosting implementation costs, net</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catalog costs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16"/>
        </w:trPr>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6"/>
        </w:trPr>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deferred rent obligations</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9,865</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Noncash lease impacts</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196"/>
        </w:trPr>
        <w:tc>
          <w:tcPr>
            <w:tcW w:w="7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91,981</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(22,833)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Principal receipts from available-for-sale security</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PP&amp;E</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722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(22,641)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(10,150)</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26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 term debt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long term debt</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(48,250)</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Payments on TRI long term debt</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 for tax payments on vested restricted stock</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196"/>
        </w:trPr>
        <w:tc>
          <w:tcPr>
            <w:tcW w:w="722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(3,234)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(51,364)</w:t>
            </w:r>
          </w:p>
        </w:tc>
        <w:tc>
          <w:tcPr>
            <w:tcW w:w="0" w:type="dxa"/>
            <w:vAlign w:val="bottom"/>
          </w:tcPr>
          <w:p>
            <w:pPr>
              <w:spacing w:after="0"/>
              <w:rPr>
                <w:sz w:val="1"/>
                <w:szCs w:val="1"/>
                <w:color w:val="auto"/>
              </w:rPr>
            </w:pPr>
          </w:p>
        </w:tc>
      </w:tr>
      <w:tr>
        <w:trPr>
          <w:trHeight w:val="196"/>
        </w:trPr>
        <w:tc>
          <w:tcPr>
            <w:tcW w:w="7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(31,503)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30,467</w:t>
            </w: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46,584</w:t>
            </w:r>
          </w:p>
        </w:tc>
        <w:tc>
          <w:tcPr>
            <w:tcW w:w="0" w:type="dxa"/>
            <w:vAlign w:val="bottom"/>
          </w:tcPr>
          <w:p>
            <w:pPr>
              <w:spacing w:after="0"/>
              <w:rPr>
                <w:sz w:val="1"/>
                <w:szCs w:val="1"/>
                <w:color w:val="auto"/>
              </w:rPr>
            </w:pPr>
          </w:p>
        </w:tc>
      </w:tr>
      <w:tr>
        <w:trPr>
          <w:trHeight w:val="183"/>
        </w:trPr>
        <w:tc>
          <w:tcPr>
            <w:tcW w:w="722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45,548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77,051</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100" w:type="dxa"/>
            <w:vAlign w:val="bottom"/>
          </w:tcPr>
          <w:p>
            <w:pPr>
              <w:spacing w:after="0"/>
              <w:rPr>
                <w:sz w:val="18"/>
                <w:szCs w:val="18"/>
                <w:color w:val="auto"/>
              </w:rPr>
            </w:pP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16,161</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100" w:type="dxa"/>
            <w:vAlign w:val="bottom"/>
          </w:tcPr>
          <w:p>
            <w:pPr>
              <w:spacing w:after="0"/>
              <w:rPr>
                <w:sz w:val="20"/>
                <w:szCs w:val="20"/>
                <w:color w:val="auto"/>
              </w:rPr>
            </w:pP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0" w:type="dxa"/>
            <w:vAlign w:val="bottom"/>
          </w:tcPr>
          <w:p>
            <w:pPr>
              <w:spacing w:after="0"/>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ind w:right="-19"/>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BASIS OF PRESENTATION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75" w:lineRule="exact"/>
        <w:rPr>
          <w:sz w:val="20"/>
          <w:szCs w:val="20"/>
          <w:color w:val="auto"/>
        </w:rPr>
      </w:pPr>
    </w:p>
    <w:p>
      <w:pPr>
        <w:ind w:right="420" w:firstLine="440"/>
        <w:spacing w:after="0" w:line="242" w:lineRule="auto"/>
        <w:rPr>
          <w:sz w:val="20"/>
          <w:szCs w:val="20"/>
          <w:color w:val="auto"/>
        </w:rPr>
      </w:pPr>
      <w:r>
        <w:rPr>
          <w:rFonts w:ascii="Times New Roman" w:cs="Times New Roman" w:eastAsia="Times New Roman" w:hAnsi="Times New Roman"/>
          <w:sz w:val="18"/>
          <w:szCs w:val="18"/>
          <w:color w:val="auto"/>
        </w:rPr>
        <w:t>Duluth Holdings Inc. (“Duluth Trading” or the “Company”), a Wisconsin corporation, is a lifestyle brand of men’s and women’s casual wear, workwear and accessories sold primarily through the Company’s own omnichannel platform. The Company’s products are marketed under the Duluth Trading Company brand, with the majority of products being exclusively developed and sold as Duluth Trading branded merchandise.</w:t>
      </w:r>
    </w:p>
    <w:p>
      <w:pPr>
        <w:spacing w:after="0" w:line="143" w:lineRule="exact"/>
        <w:rPr>
          <w:sz w:val="20"/>
          <w:szCs w:val="20"/>
          <w:color w:val="auto"/>
        </w:rPr>
      </w:pPr>
    </w:p>
    <w:p>
      <w:pPr>
        <w:ind w:firstLine="492"/>
        <w:spacing w:after="0" w:line="230" w:lineRule="auto"/>
        <w:rPr>
          <w:sz w:val="20"/>
          <w:szCs w:val="20"/>
          <w:color w:val="auto"/>
        </w:rPr>
      </w:pPr>
      <w:r>
        <w:rPr>
          <w:rFonts w:ascii="Times New Roman" w:cs="Times New Roman" w:eastAsia="Times New Roman" w:hAnsi="Times New Roman"/>
          <w:sz w:val="18"/>
          <w:szCs w:val="18"/>
          <w:color w:val="auto"/>
        </w:rPr>
        <w:t>In 2010, the Company initiated its omnichannel platform with the opening of its first store. Since then, Duluth Trading has expanded its retail presence, and as of January 29, 2023, the Company operated 62 retail stores and three outlet stores. The Company identifies its operating segments according to how its business activities are managed and evaluated. The Company continues to grow its omnichannel distribution network which allows the consumer to interact with the Company through a consistent customer experience whether on the Company website or at Company stores. The Company has one reportable external segment, consistent with the Company’s omnichannel business approach. The Company’s revenues generated outside the United States were insignificant.</w:t>
      </w:r>
    </w:p>
    <w:p>
      <w:pPr>
        <w:spacing w:after="0" w:line="146" w:lineRule="exact"/>
        <w:rPr>
          <w:sz w:val="20"/>
          <w:szCs w:val="20"/>
          <w:color w:val="auto"/>
        </w:rPr>
      </w:pPr>
    </w:p>
    <w:p>
      <w:pPr>
        <w:jc w:val="both"/>
        <w:ind w:right="360" w:firstLine="440"/>
        <w:spacing w:after="0" w:line="236" w:lineRule="auto"/>
        <w:rPr>
          <w:sz w:val="20"/>
          <w:szCs w:val="20"/>
          <w:color w:val="auto"/>
        </w:rPr>
      </w:pPr>
      <w:r>
        <w:rPr>
          <w:rFonts w:ascii="Times New Roman" w:cs="Times New Roman" w:eastAsia="Times New Roman" w:hAnsi="Times New Roman"/>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740" w:firstLine="440"/>
        <w:spacing w:after="0" w:line="250"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U.S. Generally Accepted Accounting Principles (“U.S. GAAP”). All significant intercompany balances and transactions have been eliminated in consolidation.</w:t>
      </w:r>
    </w:p>
    <w:p>
      <w:pPr>
        <w:spacing w:after="0" w:line="136" w:lineRule="exact"/>
        <w:rPr>
          <w:sz w:val="20"/>
          <w:szCs w:val="20"/>
          <w:color w:val="auto"/>
        </w:rPr>
      </w:pPr>
    </w:p>
    <w:p>
      <w:pPr>
        <w:ind w:right="200" w:firstLine="440"/>
        <w:spacing w:after="0" w:line="250" w:lineRule="auto"/>
        <w:rPr>
          <w:sz w:val="20"/>
          <w:szCs w:val="20"/>
          <w:color w:val="auto"/>
        </w:rPr>
      </w:pPr>
      <w:r>
        <w:rPr>
          <w:rFonts w:ascii="Times New Roman" w:cs="Times New Roman" w:eastAsia="Times New Roman" w:hAnsi="Times New Roman"/>
          <w:sz w:val="18"/>
          <w:szCs w:val="18"/>
          <w:color w:val="auto"/>
        </w:rPr>
        <w:t>The Company’s fiscal year ends on the Sunday nearest to January 31 of the following year. Fiscal 2022 and Fiscal 2021 ended on January 29, 2023 and January 30, 2022, respectively. Fiscal 2022 and Fiscal 2021 were a 52-week period.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175" w:lineRule="exact"/>
        <w:rPr>
          <w:sz w:val="20"/>
          <w:szCs w:val="20"/>
          <w:color w:val="auto"/>
        </w:rPr>
      </w:pPr>
    </w:p>
    <w:p>
      <w:pPr>
        <w:ind w:right="160" w:firstLine="440"/>
        <w:spacing w:after="0" w:line="242" w:lineRule="auto"/>
        <w:rPr>
          <w:sz w:val="20"/>
          <w:szCs w:val="20"/>
          <w:color w:val="auto"/>
        </w:rPr>
      </w:pPr>
      <w:r>
        <w:rPr>
          <w:rFonts w:ascii="Times New Roman" w:cs="Times New Roman" w:eastAsia="Times New Roman" w:hAnsi="Times New Roman"/>
          <w:sz w:val="18"/>
          <w:szCs w:val="18"/>
          <w:color w:val="auto"/>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75" w:lineRule="exact"/>
        <w:rPr>
          <w:sz w:val="20"/>
          <w:szCs w:val="20"/>
          <w:color w:val="auto"/>
        </w:rPr>
      </w:pPr>
    </w:p>
    <w:p>
      <w:pPr>
        <w:ind w:right="200" w:firstLine="440"/>
        <w:spacing w:after="0" w:line="250" w:lineRule="auto"/>
        <w:rPr>
          <w:sz w:val="20"/>
          <w:szCs w:val="20"/>
          <w:color w:val="auto"/>
        </w:rPr>
      </w:pPr>
      <w:r>
        <w:rPr>
          <w:rFonts w:ascii="Times New Roman" w:cs="Times New Roman" w:eastAsia="Times New Roman" w:hAnsi="Times New Roman"/>
          <w:sz w:val="18"/>
          <w:szCs w:val="18"/>
          <w:color w:val="auto"/>
        </w:rPr>
        <w:t>The accompanying consolidated financial statements consist of the accounts of Duluth Holdings Inc. and TRI Holdings, LLC (“TRI”) as a variable interest entity. See Note 6 “Variable Interest Entities” for further information.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100" w:firstLine="440"/>
        <w:spacing w:after="0" w:line="24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right="20" w:firstLine="440"/>
        <w:spacing w:after="0" w:line="230" w:lineRule="auto"/>
        <w:rPr>
          <w:sz w:val="20"/>
          <w:szCs w:val="20"/>
          <w:color w:val="auto"/>
        </w:rPr>
      </w:pPr>
      <w:r>
        <w:rPr>
          <w:rFonts w:ascii="Times New Roman" w:cs="Times New Roman" w:eastAsia="Times New Roman" w:hAnsi="Times New Roman"/>
          <w:sz w:val="18"/>
          <w:szCs w:val="18"/>
          <w:color w:val="auto"/>
        </w:rPr>
        <w:t>The Company’s revenue primarily consists of the sale of apparel, footwear and hard goods. Revenue for merchandise that is shipped to our customers from our fulfillment centers and stores is recognized upon shipment following customer payment, which is when the customer obtains control of the product and has the ability to direct the use of the product, including, among other options, the ability to redirect the product to a different shipping destination. Store revenue is recognized at the point of sale. The Company provides the customer the right of return on the product and revenue is adjusted based on an estimate of the expected returns based on historical rates as well as events that may cause changes to historical rates. See Note 5 “Accrued Expense and Other Liabilities” for the Company’s product returns reserve.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 A liability is recognized at the time a gift card is sold, and revenue is recognized at the time the gift card is redeemed for merchandise. See Note 8 “Revenue” for further information.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Selling, General and Administrative Expenses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illustrates the primary costs classified in cost of goods sold and selling, general and administrative expenses: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0" w:type="dxa"/>
            <w:vAlign w:val="bottom"/>
          </w:tcPr>
          <w:p>
            <w:pPr>
              <w:spacing w:after="0"/>
              <w:rPr>
                <w:sz w:val="16"/>
                <w:szCs w:val="16"/>
                <w:color w:val="auto"/>
              </w:rPr>
            </w:pPr>
          </w:p>
        </w:tc>
        <w:tc>
          <w:tcPr>
            <w:tcW w:w="5640" w:type="dxa"/>
            <w:vAlign w:val="bottom"/>
            <w:gridSpan w:val="2"/>
          </w:tcPr>
          <w:p>
            <w:pPr>
              <w:ind w:left="206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00" w:type="dxa"/>
            <w:vAlign w:val="bottom"/>
          </w:tcPr>
          <w:p>
            <w:pPr>
              <w:spacing w:after="0"/>
              <w:rPr>
                <w:sz w:val="16"/>
                <w:szCs w:val="16"/>
                <w:color w:val="auto"/>
              </w:rPr>
            </w:pPr>
          </w:p>
        </w:tc>
        <w:tc>
          <w:tcPr>
            <w:tcW w:w="538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r>
      <w:tr>
        <w:trPr>
          <w:trHeight w:val="183"/>
        </w:trPr>
        <w:tc>
          <w:tcPr>
            <w:tcW w:w="1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5400" w:type="dxa"/>
            <w:vAlign w:val="bottom"/>
            <w:tcBorders>
              <w:top w:val="single" w:sz="8" w:color="auto"/>
            </w:tcBorders>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Direct cost of purchased merchandise</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5380" w:type="dxa"/>
            <w:vAlign w:val="bottom"/>
            <w:tcBorders>
              <w:top w:val="single" w:sz="8" w:color="auto"/>
            </w:tcBorders>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Payroll and payroll-related expenses</w:t>
            </w:r>
          </w:p>
        </w:tc>
      </w:tr>
      <w:tr>
        <w:trPr>
          <w:trHeight w:val="171"/>
        </w:trPr>
        <w:tc>
          <w:tcPr>
            <w:tcW w:w="1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5640" w:type="dxa"/>
            <w:vAlign w:val="bottom"/>
            <w:gridSpan w:val="2"/>
          </w:tcPr>
          <w:p>
            <w:pPr>
              <w:ind w:left="80"/>
              <w:spacing w:after="0" w:line="170" w:lineRule="exact"/>
              <w:rPr>
                <w:sz w:val="20"/>
                <w:szCs w:val="20"/>
                <w:color w:val="auto"/>
              </w:rPr>
            </w:pPr>
            <w:r>
              <w:rPr>
                <w:rFonts w:ascii="Times New Roman" w:cs="Times New Roman" w:eastAsia="Times New Roman" w:hAnsi="Times New Roman"/>
                <w:sz w:val="18"/>
                <w:szCs w:val="18"/>
                <w:color w:val="auto"/>
              </w:rPr>
              <w:t>Inventory shrinkage and inventory adjustments due to obsolescence</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5380" w:type="dxa"/>
            <w:vAlign w:val="bottom"/>
          </w:tcPr>
          <w:p>
            <w:pPr>
              <w:ind w:left="80"/>
              <w:spacing w:after="0" w:line="170" w:lineRule="exact"/>
              <w:rPr>
                <w:sz w:val="20"/>
                <w:szCs w:val="20"/>
                <w:color w:val="auto"/>
              </w:rPr>
            </w:pPr>
            <w:r>
              <w:rPr>
                <w:rFonts w:ascii="Times New Roman" w:cs="Times New Roman" w:eastAsia="Times New Roman" w:hAnsi="Times New Roman"/>
                <w:sz w:val="18"/>
                <w:szCs w:val="18"/>
                <w:color w:val="auto"/>
              </w:rPr>
              <w:t>Occupancy expenses related to stores and operations at the Company's</w:t>
            </w:r>
          </w:p>
        </w:tc>
      </w:tr>
      <w:tr>
        <w:trPr>
          <w:trHeight w:val="221"/>
        </w:trPr>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headquarters, including utilities</w:t>
            </w:r>
          </w:p>
        </w:tc>
      </w:tr>
      <w:tr>
        <w:trPr>
          <w:trHeight w:val="189"/>
        </w:trPr>
        <w:tc>
          <w:tcPr>
            <w:tcW w:w="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5640" w:type="dxa"/>
            <w:vAlign w:val="bottom"/>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Inbound freight</w:t>
            </w:r>
          </w:p>
        </w:tc>
        <w:tc>
          <w:tcPr>
            <w:tcW w:w="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538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r>
      <w:tr>
        <w:trPr>
          <w:trHeight w:val="171"/>
        </w:trPr>
        <w:tc>
          <w:tcPr>
            <w:tcW w:w="1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5640" w:type="dxa"/>
            <w:vAlign w:val="bottom"/>
            <w:gridSpan w:val="2"/>
          </w:tcPr>
          <w:p>
            <w:pPr>
              <w:ind w:left="80"/>
              <w:spacing w:after="0" w:line="170" w:lineRule="exact"/>
              <w:rPr>
                <w:sz w:val="20"/>
                <w:szCs w:val="20"/>
                <w:color w:val="auto"/>
              </w:rPr>
            </w:pPr>
            <w:r>
              <w:rPr>
                <w:rFonts w:ascii="Times New Roman" w:cs="Times New Roman" w:eastAsia="Times New Roman" w:hAnsi="Times New Roman"/>
                <w:sz w:val="18"/>
                <w:szCs w:val="18"/>
                <w:color w:val="auto"/>
              </w:rPr>
              <w:t>Freight from the Company's fulfillment centers to its stores</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5380" w:type="dxa"/>
            <w:vAlign w:val="bottom"/>
          </w:tcPr>
          <w:p>
            <w:pPr>
              <w:ind w:left="80"/>
              <w:spacing w:after="0" w:line="170" w:lineRule="exact"/>
              <w:rPr>
                <w:sz w:val="20"/>
                <w:szCs w:val="20"/>
                <w:color w:val="auto"/>
              </w:rPr>
            </w:pPr>
            <w:r>
              <w:rPr>
                <w:rFonts w:ascii="Times New Roman" w:cs="Times New Roman" w:eastAsia="Times New Roman" w:hAnsi="Times New Roman"/>
                <w:sz w:val="18"/>
                <w:szCs w:val="18"/>
                <w:color w:val="auto"/>
              </w:rPr>
              <w:t>Advertising expenses including: television, digital and social media</w:t>
            </w:r>
          </w:p>
        </w:tc>
      </w:tr>
      <w:tr>
        <w:trPr>
          <w:trHeight w:val="221"/>
        </w:trPr>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advertising; catalog production and mailing; and print advertising costs</w:t>
            </w:r>
          </w:p>
        </w:tc>
      </w:tr>
      <w:tr>
        <w:trPr>
          <w:trHeight w:val="189"/>
        </w:trPr>
        <w:tc>
          <w:tcPr>
            <w:tcW w:w="120" w:type="dxa"/>
            <w:vAlign w:val="bottom"/>
            <w:shd w:val="clear" w:color="auto" w:fill="CCEEFF"/>
          </w:tcPr>
          <w:p>
            <w:pPr>
              <w:spacing w:after="0"/>
              <w:rPr>
                <w:sz w:val="16"/>
                <w:szCs w:val="16"/>
                <w:color w:val="auto"/>
              </w:rPr>
            </w:pPr>
          </w:p>
        </w:tc>
        <w:tc>
          <w:tcPr>
            <w:tcW w:w="5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538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Freight associated with shipping product to customers</w:t>
            </w:r>
          </w:p>
        </w:tc>
      </w:tr>
      <w:tr>
        <w:trPr>
          <w:trHeight w:val="189"/>
        </w:trPr>
        <w:tc>
          <w:tcPr>
            <w:tcW w:w="1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53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Consulting and professional fees</w:t>
            </w:r>
          </w:p>
        </w:tc>
      </w:tr>
      <w:tr>
        <w:trPr>
          <w:trHeight w:val="189"/>
        </w:trPr>
        <w:tc>
          <w:tcPr>
            <w:tcW w:w="120" w:type="dxa"/>
            <w:vAlign w:val="bottom"/>
            <w:shd w:val="clear" w:color="auto" w:fill="CCEEFF"/>
          </w:tcPr>
          <w:p>
            <w:pPr>
              <w:spacing w:after="0"/>
              <w:rPr>
                <w:sz w:val="16"/>
                <w:szCs w:val="16"/>
                <w:color w:val="auto"/>
              </w:rPr>
            </w:pPr>
          </w:p>
        </w:tc>
        <w:tc>
          <w:tcPr>
            <w:tcW w:w="5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380" w:type="dxa"/>
            <w:vAlign w:val="bottom"/>
            <w:shd w:val="clear" w:color="auto" w:fill="CCEEFF"/>
          </w:tcPr>
          <w:p>
            <w:pPr>
              <w:spacing w:after="0"/>
              <w:rPr>
                <w:sz w:val="16"/>
                <w:szCs w:val="16"/>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Catalog Expenses</w:t>
      </w:r>
    </w:p>
    <w:p>
      <w:pPr>
        <w:spacing w:after="0" w:line="162" w:lineRule="exact"/>
        <w:rPr>
          <w:sz w:val="20"/>
          <w:szCs w:val="20"/>
          <w:color w:val="auto"/>
        </w:rPr>
      </w:pPr>
    </w:p>
    <w:p>
      <w:pPr>
        <w:ind w:right="40" w:firstLine="440"/>
        <w:spacing w:after="0" w:line="242" w:lineRule="auto"/>
        <w:rPr>
          <w:sz w:val="20"/>
          <w:szCs w:val="20"/>
          <w:color w:val="auto"/>
        </w:rPr>
      </w:pPr>
      <w:r>
        <w:rPr>
          <w:rFonts w:ascii="Times New Roman" w:cs="Times New Roman" w:eastAsia="Times New Roman" w:hAnsi="Times New Roman"/>
          <w:sz w:val="18"/>
          <w:szCs w:val="18"/>
          <w:color w:val="auto"/>
        </w:rPr>
        <w:t>The Company’s non-direct response advertising primarily consists of web marketing programs, social media and radio and television advertisements, which are expensed as they are incurred. The Company’s direct-response advertising consists of producing, printing and mailing catalogs, which are expensed upon receipt by customers.</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Advertising and Catalog expenses were $76.3 million and $75.2 million for fiscal 2022 and fiscal 2021, respectively.</w:t>
      </w:r>
    </w:p>
    <w:p>
      <w:pPr>
        <w:spacing w:after="0" w:line="18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ind w:right="-59"/>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Processing</w:t>
      </w:r>
    </w:p>
    <w:p>
      <w:pPr>
        <w:spacing w:after="0" w:line="175" w:lineRule="exact"/>
        <w:rPr>
          <w:sz w:val="20"/>
          <w:szCs w:val="20"/>
          <w:color w:val="auto"/>
        </w:rPr>
      </w:pPr>
    </w:p>
    <w:p>
      <w:pPr>
        <w:ind w:right="80" w:firstLine="440"/>
        <w:spacing w:after="0" w:line="236" w:lineRule="auto"/>
        <w:rPr>
          <w:sz w:val="20"/>
          <w:szCs w:val="20"/>
          <w:color w:val="auto"/>
        </w:rPr>
      </w:pPr>
      <w:r>
        <w:rPr>
          <w:rFonts w:ascii="Times New Roman" w:cs="Times New Roman" w:eastAsia="Times New Roman" w:hAnsi="Times New Roman"/>
          <w:sz w:val="18"/>
          <w:szCs w:val="18"/>
          <w:color w:val="auto"/>
        </w:rPr>
        <w:t>Shipping and processing revenue generated from customer orders has been classified as a component of net sales. Shipping and processing expense, including handling expense, has been classified as a component of selling, general and administrative expenses. The Company incurred shipping and processing expenses of $44.0 million and $44.3 million for fiscal 2022 and fiscal 2021,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3" w:lineRule="exact"/>
        <w:rPr>
          <w:sz w:val="20"/>
          <w:szCs w:val="20"/>
          <w:color w:val="auto"/>
        </w:rPr>
      </w:pPr>
    </w:p>
    <w:p>
      <w:pPr>
        <w:ind w:right="80" w:firstLine="440"/>
        <w:spacing w:after="0" w:line="233" w:lineRule="auto"/>
        <w:rPr>
          <w:sz w:val="20"/>
          <w:szCs w:val="20"/>
          <w:color w:val="auto"/>
        </w:rPr>
      </w:pPr>
      <w:r>
        <w:rPr>
          <w:rFonts w:ascii="Times New Roman" w:cs="Times New Roman" w:eastAsia="Times New Roman" w:hAnsi="Times New Roman"/>
          <w:sz w:val="18"/>
          <w:szCs w:val="18"/>
          <w:color w:val="auto"/>
        </w:rPr>
        <w:t xml:space="preserve">The Company accounts for income taxes and related accounts using the asset/liability method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ASC 740, the Company accrues income taxes payable or refundable and recognizes deferred tax assets and liabilities based on differences between U.S. GAAP and tax bases of assets and liabilities. The Company measures deferred tax assets and liabilities using enacted tax rates in effect for the years in which the differences are expected to reverse, and recognizes the effect of a change in enacted rates in the period of enactment. A valuation allowance is established if it is more likely than not that some portion or all of the deferred income tax asset will not be realized.</w:t>
      </w:r>
    </w:p>
    <w:p>
      <w:pPr>
        <w:spacing w:after="0" w:line="158" w:lineRule="exact"/>
        <w:rPr>
          <w:sz w:val="20"/>
          <w:szCs w:val="20"/>
          <w:color w:val="auto"/>
        </w:rPr>
      </w:pPr>
    </w:p>
    <w:p>
      <w:pPr>
        <w:ind w:right="220" w:firstLine="440"/>
        <w:spacing w:after="0" w:line="274" w:lineRule="auto"/>
        <w:rPr>
          <w:sz w:val="20"/>
          <w:szCs w:val="20"/>
          <w:color w:val="auto"/>
        </w:rPr>
      </w:pPr>
      <w:r>
        <w:rPr>
          <w:rFonts w:ascii="Times New Roman" w:cs="Times New Roman" w:eastAsia="Times New Roman" w:hAnsi="Times New Roman"/>
          <w:sz w:val="18"/>
          <w:szCs w:val="18"/>
          <w:color w:val="auto"/>
        </w:rPr>
        <w:t>The Company establishes assets and liabilities for uncertain tax positions taken or expected to be taken in income tax returns, using a more-likely-than-not recognition threshold. The Company recognizes penalties and interest related to uncertain tax positions as income tax expense. See Note 9 “Income Taxes,” of these Notes to Consolidated Financial Statements for further discussion.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75" w:lineRule="exact"/>
        <w:rPr>
          <w:sz w:val="20"/>
          <w:szCs w:val="20"/>
          <w:color w:val="auto"/>
        </w:rPr>
      </w:pPr>
    </w:p>
    <w:p>
      <w:pPr>
        <w:jc w:val="both"/>
        <w:ind w:right="420" w:firstLine="440"/>
        <w:spacing w:after="0" w:line="23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deposits. At various times during the year, the Company has certain cash balances deposited in financial institutions in excess of federally insured limits. The Company has not experienced any losses in such accounts and management believes it is not exposed to any significant credit risk.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considers short-term investments with original maturities of three months or less when purchased to be cash equivalents. As of</w:t>
      </w:r>
    </w:p>
    <w:p>
      <w:pPr>
        <w:spacing w:after="0" w:line="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January 29, 2023, Cash and cash equivalents consisted of cash, amounts receivable from credit card issuers and money market funds. Amounts receivable from credit card issuers are typically converted to cash within 2 to 4 days of the original sales transaction and are considered to be cash equivalents.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Suppliers</w:t>
      </w:r>
    </w:p>
    <w:p>
      <w:pPr>
        <w:spacing w:after="0" w:line="175" w:lineRule="exact"/>
        <w:rPr>
          <w:sz w:val="20"/>
          <w:szCs w:val="20"/>
          <w:color w:val="auto"/>
        </w:rPr>
      </w:pPr>
    </w:p>
    <w:p>
      <w:pPr>
        <w:ind w:right="520" w:firstLine="440"/>
        <w:spacing w:after="0" w:line="236" w:lineRule="auto"/>
        <w:rPr>
          <w:sz w:val="20"/>
          <w:szCs w:val="20"/>
          <w:color w:val="auto"/>
        </w:rPr>
      </w:pPr>
      <w:r>
        <w:rPr>
          <w:rFonts w:ascii="Times New Roman" w:cs="Times New Roman" w:eastAsia="Times New Roman" w:hAnsi="Times New Roman"/>
          <w:sz w:val="18"/>
          <w:szCs w:val="18"/>
          <w:color w:val="auto"/>
        </w:rPr>
        <w:t>The Company’s principal supplier of inventory accounted for 56% and 53% of total inventory expenditures in fiscal 2022 and fiscal 2021, respectively. The Company also had a second supplier that accounted for 11% and 8% of total inventory expenditures in fiscal 2022 and fiscal 2021,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75"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Inventory consists of finished goods stated at the lower of cost or net realizable value, with cost determined using the first-in, first-out valuation method. The Company records an inventory reserve for the anticipated loss associated with selling inventories below cost. Inventory reserve for excess, obsolete items and shrinkage was $1.8 million and $2.4 million as of January 29, 2023 and January 30, 2022, respectively with the majority of the decrease coming from the retail inventory shrinkage reserve.</w:t>
      </w: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380" w:type="dxa"/>
            <w:vAlign w:val="bottom"/>
          </w:tcPr>
          <w:p>
            <w:pPr>
              <w:spacing w:after="0"/>
              <w:rPr>
                <w:sz w:val="16"/>
                <w:szCs w:val="16"/>
                <w:color w:val="auto"/>
              </w:rPr>
            </w:pPr>
          </w:p>
        </w:tc>
        <w:tc>
          <w:tcPr>
            <w:tcW w:w="202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6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r>
      <w:tr>
        <w:trPr>
          <w:trHeight w:val="203"/>
        </w:trPr>
        <w:tc>
          <w:tcPr>
            <w:tcW w:w="6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Land and land improvements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4,486</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4,486</w:t>
            </w:r>
          </w:p>
        </w:tc>
      </w:tr>
      <w:tr>
        <w:trPr>
          <w:trHeight w:val="203"/>
        </w:trPr>
        <w:tc>
          <w:tcPr>
            <w:tcW w:w="6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tcPr>
          <w:p>
            <w:pPr>
              <w:spacing w:after="0"/>
              <w:rPr>
                <w:sz w:val="17"/>
                <w:szCs w:val="17"/>
                <w:color w:val="auto"/>
              </w:rPr>
            </w:pPr>
          </w:p>
        </w:tc>
        <w:tc>
          <w:tcPr>
            <w:tcW w:w="2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49,450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48,093</w:t>
            </w:r>
          </w:p>
        </w:tc>
      </w:tr>
      <w:tr>
        <w:trPr>
          <w:trHeight w:val="203"/>
        </w:trPr>
        <w:tc>
          <w:tcPr>
            <w:tcW w:w="6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Buildings</w:t>
            </w:r>
          </w:p>
        </w:tc>
        <w:tc>
          <w:tcPr>
            <w:tcW w:w="38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36,183</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35,359</w:t>
            </w:r>
          </w:p>
        </w:tc>
      </w:tr>
      <w:tr>
        <w:trPr>
          <w:trHeight w:val="203"/>
        </w:trPr>
        <w:tc>
          <w:tcPr>
            <w:tcW w:w="6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Vehicles</w:t>
            </w:r>
          </w:p>
        </w:tc>
        <w:tc>
          <w:tcPr>
            <w:tcW w:w="380" w:type="dxa"/>
            <w:vAlign w:val="bottom"/>
          </w:tcPr>
          <w:p>
            <w:pPr>
              <w:spacing w:after="0"/>
              <w:rPr>
                <w:sz w:val="17"/>
                <w:szCs w:val="17"/>
                <w:color w:val="auto"/>
              </w:rPr>
            </w:pPr>
          </w:p>
        </w:tc>
        <w:tc>
          <w:tcPr>
            <w:tcW w:w="2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161</w:t>
            </w:r>
          </w:p>
        </w:tc>
      </w:tr>
      <w:tr>
        <w:trPr>
          <w:trHeight w:val="203"/>
        </w:trPr>
        <w:tc>
          <w:tcPr>
            <w:tcW w:w="6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Warehouse equipment</w:t>
            </w:r>
          </w:p>
        </w:tc>
        <w:tc>
          <w:tcPr>
            <w:tcW w:w="38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25,951</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17,735</w:t>
            </w:r>
          </w:p>
        </w:tc>
      </w:tr>
      <w:tr>
        <w:trPr>
          <w:trHeight w:val="203"/>
        </w:trPr>
        <w:tc>
          <w:tcPr>
            <w:tcW w:w="6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Office equipment and furniture</w:t>
            </w:r>
          </w:p>
        </w:tc>
        <w:tc>
          <w:tcPr>
            <w:tcW w:w="380" w:type="dxa"/>
            <w:vAlign w:val="bottom"/>
          </w:tcPr>
          <w:p>
            <w:pPr>
              <w:spacing w:after="0"/>
              <w:rPr>
                <w:sz w:val="17"/>
                <w:szCs w:val="17"/>
                <w:color w:val="auto"/>
              </w:rPr>
            </w:pPr>
          </w:p>
        </w:tc>
        <w:tc>
          <w:tcPr>
            <w:tcW w:w="2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53,713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53,607</w:t>
            </w:r>
          </w:p>
        </w:tc>
      </w:tr>
      <w:tr>
        <w:trPr>
          <w:trHeight w:val="203"/>
        </w:trPr>
        <w:tc>
          <w:tcPr>
            <w:tcW w:w="6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Computer equipment</w:t>
            </w:r>
          </w:p>
        </w:tc>
        <w:tc>
          <w:tcPr>
            <w:tcW w:w="38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9,185</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8,325</w:t>
            </w:r>
          </w:p>
        </w:tc>
      </w:tr>
      <w:tr>
        <w:trPr>
          <w:trHeight w:val="203"/>
        </w:trPr>
        <w:tc>
          <w:tcPr>
            <w:tcW w:w="614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Software</w:t>
            </w:r>
          </w:p>
        </w:tc>
        <w:tc>
          <w:tcPr>
            <w:tcW w:w="3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36,260</w:t>
            </w:r>
          </w:p>
        </w:tc>
        <w:tc>
          <w:tcPr>
            <w:tcW w:w="2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34,207</w:t>
            </w:r>
          </w:p>
        </w:tc>
      </w:tr>
      <w:tr>
        <w:trPr>
          <w:trHeight w:val="183"/>
        </w:trPr>
        <w:tc>
          <w:tcPr>
            <w:tcW w:w="6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215,389</w:t>
            </w: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201,973</w:t>
            </w:r>
          </w:p>
        </w:tc>
      </w:tr>
      <w:tr>
        <w:trPr>
          <w:trHeight w:val="203"/>
        </w:trPr>
        <w:tc>
          <w:tcPr>
            <w:tcW w:w="6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Accumulated depreciation and amortization</w:t>
            </w:r>
          </w:p>
        </w:tc>
        <w:tc>
          <w:tcPr>
            <w:tcW w:w="380" w:type="dxa"/>
            <w:vAlign w:val="bottom"/>
          </w:tcPr>
          <w:p>
            <w:pPr>
              <w:spacing w:after="0"/>
              <w:rPr>
                <w:sz w:val="17"/>
                <w:szCs w:val="17"/>
                <w:color w:val="auto"/>
              </w:rPr>
            </w:pPr>
          </w:p>
        </w:tc>
        <w:tc>
          <w:tcPr>
            <w:tcW w:w="2320" w:type="dxa"/>
            <w:vAlign w:val="bottom"/>
            <w:gridSpan w:val="2"/>
          </w:tcPr>
          <w:p>
            <w:pPr>
              <w:jc w:val="right"/>
              <w:ind w:right="280"/>
              <w:spacing w:after="0" w:line="202" w:lineRule="exact"/>
              <w:rPr>
                <w:sz w:val="20"/>
                <w:szCs w:val="20"/>
                <w:color w:val="auto"/>
              </w:rPr>
            </w:pPr>
            <w:r>
              <w:rPr>
                <w:rFonts w:ascii="Times New Roman" w:cs="Times New Roman" w:eastAsia="Times New Roman" w:hAnsi="Times New Roman"/>
                <w:sz w:val="18"/>
                <w:szCs w:val="18"/>
                <w:color w:val="auto"/>
              </w:rPr>
              <w:t>(118,989)</w:t>
            </w:r>
          </w:p>
        </w:tc>
        <w:tc>
          <w:tcPr>
            <w:tcW w:w="38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(97,473)</w:t>
            </w:r>
          </w:p>
        </w:tc>
      </w:tr>
      <w:tr>
        <w:trPr>
          <w:trHeight w:val="183"/>
        </w:trPr>
        <w:tc>
          <w:tcPr>
            <w:tcW w:w="6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96,400</w:t>
            </w:r>
          </w:p>
        </w:tc>
        <w:tc>
          <w:tcPr>
            <w:tcW w:w="2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104,500</w:t>
            </w:r>
          </w:p>
        </w:tc>
      </w:tr>
      <w:tr>
        <w:trPr>
          <w:trHeight w:val="203"/>
        </w:trPr>
        <w:tc>
          <w:tcPr>
            <w:tcW w:w="614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Construction in progress</w:t>
            </w:r>
          </w:p>
        </w:tc>
        <w:tc>
          <w:tcPr>
            <w:tcW w:w="3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11,932</w:t>
            </w:r>
          </w:p>
        </w:tc>
        <w:tc>
          <w:tcPr>
            <w:tcW w:w="2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5,578</w:t>
            </w:r>
          </w:p>
        </w:tc>
      </w:tr>
      <w:tr>
        <w:trPr>
          <w:trHeight w:val="183"/>
        </w:trPr>
        <w:tc>
          <w:tcPr>
            <w:tcW w:w="614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bottom w:val="single" w:sz="8" w:color="auto"/>
            </w:tcBorders>
            <w:shd w:val="clear" w:color="auto" w:fill="CCEEFF"/>
          </w:tcPr>
          <w:p>
            <w:pPr>
              <w:jc w:val="right"/>
              <w:ind w:right="2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108,332</w:t>
            </w:r>
          </w:p>
        </w:tc>
        <w:tc>
          <w:tcPr>
            <w:tcW w:w="2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110,078</w:t>
            </w:r>
          </w:p>
        </w:tc>
      </w:tr>
      <w:tr>
        <w:trPr>
          <w:trHeight w:val="20"/>
        </w:trPr>
        <w:tc>
          <w:tcPr>
            <w:tcW w:w="6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recorded depreciation expense of $26.7 million and $25.1 million for fiscal 2022 and fiscal 2021, respectively. The Company expenses as incurred all routine repair and maintenance costs that do not extend the estimated useful life of the asset.</w:t>
      </w:r>
    </w:p>
    <w:p>
      <w:pPr>
        <w:spacing w:after="0" w:line="108" w:lineRule="exact"/>
        <w:rPr>
          <w:sz w:val="20"/>
          <w:szCs w:val="20"/>
          <w:color w:val="auto"/>
        </w:rPr>
      </w:pPr>
    </w:p>
    <w:p>
      <w:pPr>
        <w:ind w:right="120" w:firstLine="440"/>
        <w:spacing w:after="0" w:line="296" w:lineRule="auto"/>
        <w:rPr>
          <w:sz w:val="20"/>
          <w:szCs w:val="20"/>
          <w:color w:val="auto"/>
        </w:rPr>
      </w:pPr>
      <w:r>
        <w:rPr>
          <w:rFonts w:ascii="Times New Roman" w:cs="Times New Roman" w:eastAsia="Times New Roman" w:hAnsi="Times New Roman"/>
          <w:sz w:val="17"/>
          <w:szCs w:val="17"/>
          <w:color w:val="auto"/>
        </w:rPr>
        <w:t>Property and equipment are carried at cost and are generally depreciated using the straight-line method over the estimated useful lives. Leasehold improvements are depreciated over the shorter of the lease term or estimated useful life. Depreciable lives by major classification generally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6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182"/>
        </w:trPr>
        <w:tc>
          <w:tcPr>
            <w:tcW w:w="96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Land improvements</w:t>
            </w: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15</w:t>
            </w:r>
          </w:p>
        </w:tc>
      </w:tr>
      <w:tr>
        <w:trPr>
          <w:trHeight w:val="203"/>
        </w:trPr>
        <w:tc>
          <w:tcPr>
            <w:tcW w:w="9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Leasehold improvements</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jc w:val="right"/>
              <w:ind w:right="450"/>
              <w:spacing w:after="0" w:line="202" w:lineRule="exact"/>
              <w:rPr>
                <w:sz w:val="20"/>
                <w:szCs w:val="20"/>
                <w:color w:val="auto"/>
              </w:rPr>
            </w:pPr>
            <w:r>
              <w:rPr>
                <w:rFonts w:ascii="Times New Roman" w:cs="Times New Roman" w:eastAsia="Times New Roman" w:hAnsi="Times New Roman"/>
                <w:sz w:val="18"/>
                <w:szCs w:val="18"/>
                <w:color w:val="auto"/>
              </w:rPr>
              <w:t>- 15</w:t>
            </w:r>
          </w:p>
        </w:tc>
      </w:tr>
      <w:tr>
        <w:trPr>
          <w:trHeight w:val="203"/>
        </w:trPr>
        <w:tc>
          <w:tcPr>
            <w:tcW w:w="96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Buildings</w:t>
            </w: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50"/>
              <w:spacing w:after="0" w:line="202" w:lineRule="exact"/>
              <w:rPr>
                <w:sz w:val="20"/>
                <w:szCs w:val="20"/>
                <w:color w:val="auto"/>
              </w:rPr>
            </w:pPr>
            <w:r>
              <w:rPr>
                <w:rFonts w:ascii="Times New Roman" w:cs="Times New Roman" w:eastAsia="Times New Roman" w:hAnsi="Times New Roman"/>
                <w:sz w:val="18"/>
                <w:szCs w:val="18"/>
                <w:color w:val="auto"/>
              </w:rPr>
              <w:t>39</w:t>
            </w:r>
          </w:p>
        </w:tc>
      </w:tr>
      <w:tr>
        <w:trPr>
          <w:trHeight w:val="203"/>
        </w:trPr>
        <w:tc>
          <w:tcPr>
            <w:tcW w:w="9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Vehicles</w:t>
            </w:r>
          </w:p>
        </w:tc>
        <w:tc>
          <w:tcPr>
            <w:tcW w:w="720" w:type="dxa"/>
            <w:vAlign w:val="bottom"/>
          </w:tcPr>
          <w:p>
            <w:pPr>
              <w:spacing w:after="0"/>
              <w:rPr>
                <w:sz w:val="17"/>
                <w:szCs w:val="17"/>
                <w:color w:val="auto"/>
              </w:rPr>
            </w:pPr>
          </w:p>
        </w:tc>
        <w:tc>
          <w:tcPr>
            <w:tcW w:w="920" w:type="dxa"/>
            <w:vAlign w:val="bottom"/>
          </w:tcPr>
          <w:p>
            <w:pPr>
              <w:jc w:val="right"/>
              <w:ind w:right="550"/>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203"/>
        </w:trPr>
        <w:tc>
          <w:tcPr>
            <w:tcW w:w="96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Warehouse equipment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c>
          <w:tcPr>
            <w:tcW w:w="920" w:type="dxa"/>
            <w:vAlign w:val="bottom"/>
            <w:shd w:val="clear" w:color="auto" w:fill="CCEEFF"/>
          </w:tcPr>
          <w:p>
            <w:pPr>
              <w:jc w:val="right"/>
              <w:ind w:right="450"/>
              <w:spacing w:after="0" w:line="202" w:lineRule="exact"/>
              <w:rPr>
                <w:sz w:val="20"/>
                <w:szCs w:val="20"/>
                <w:color w:val="auto"/>
              </w:rPr>
            </w:pPr>
            <w:r>
              <w:rPr>
                <w:rFonts w:ascii="Times New Roman" w:cs="Times New Roman" w:eastAsia="Times New Roman" w:hAnsi="Times New Roman"/>
                <w:sz w:val="18"/>
                <w:szCs w:val="18"/>
                <w:color w:val="auto"/>
              </w:rPr>
              <w:t>- 10</w:t>
            </w:r>
          </w:p>
        </w:tc>
      </w:tr>
      <w:tr>
        <w:trPr>
          <w:trHeight w:val="203"/>
        </w:trPr>
        <w:tc>
          <w:tcPr>
            <w:tcW w:w="9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Office equipment and furniture</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c>
          <w:tcPr>
            <w:tcW w:w="920" w:type="dxa"/>
            <w:vAlign w:val="bottom"/>
          </w:tcPr>
          <w:p>
            <w:pPr>
              <w:jc w:val="right"/>
              <w:ind w:right="450"/>
              <w:spacing w:after="0" w:line="202" w:lineRule="exact"/>
              <w:rPr>
                <w:sz w:val="20"/>
                <w:szCs w:val="20"/>
                <w:color w:val="auto"/>
              </w:rPr>
            </w:pPr>
            <w:r>
              <w:rPr>
                <w:rFonts w:ascii="Times New Roman" w:cs="Times New Roman" w:eastAsia="Times New Roman" w:hAnsi="Times New Roman"/>
                <w:sz w:val="18"/>
                <w:szCs w:val="18"/>
                <w:color w:val="auto"/>
              </w:rPr>
              <w:t>- 10</w:t>
            </w:r>
          </w:p>
        </w:tc>
      </w:tr>
      <w:tr>
        <w:trPr>
          <w:trHeight w:val="203"/>
        </w:trPr>
        <w:tc>
          <w:tcPr>
            <w:tcW w:w="96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Computer equipment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920" w:type="dxa"/>
            <w:vAlign w:val="bottom"/>
            <w:shd w:val="clear" w:color="auto" w:fill="CCEEFF"/>
          </w:tcPr>
          <w:p>
            <w:pPr>
              <w:jc w:val="right"/>
              <w:ind w:right="550"/>
              <w:spacing w:after="0" w:line="202" w:lineRule="exact"/>
              <w:rPr>
                <w:sz w:val="20"/>
                <w:szCs w:val="20"/>
                <w:color w:val="auto"/>
              </w:rPr>
            </w:pPr>
            <w:r>
              <w:rPr>
                <w:rFonts w:ascii="Times New Roman" w:cs="Times New Roman" w:eastAsia="Times New Roman" w:hAnsi="Times New Roman"/>
                <w:sz w:val="18"/>
                <w:szCs w:val="18"/>
                <w:color w:val="auto"/>
              </w:rPr>
              <w:t>- 5</w:t>
            </w:r>
          </w:p>
        </w:tc>
      </w:t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- 5</w:t>
            </w: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5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5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Prepaid expenses &amp; other current assets</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Pending returns inventory, net</w:t>
            </w:r>
          </w:p>
        </w:tc>
        <w:tc>
          <w:tcPr>
            <w:tcW w:w="3020" w:type="dxa"/>
            <w:vAlign w:val="bottom"/>
            <w:gridSpan w:val="2"/>
          </w:tcPr>
          <w:p>
            <w:pPr>
              <w:jc w:val="right"/>
              <w:ind w:right="14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2,373</w:t>
            </w:r>
          </w:p>
        </w:tc>
        <w:tc>
          <w:tcPr>
            <w:tcW w:w="260" w:type="dxa"/>
            <w:vAlign w:val="bottom"/>
          </w:tcPr>
          <w:p>
            <w:pPr>
              <w:spacing w:after="0"/>
              <w:rPr>
                <w:sz w:val="17"/>
                <w:szCs w:val="17"/>
                <w:color w:val="auto"/>
              </w:rPr>
            </w:pPr>
          </w:p>
        </w:tc>
        <w:tc>
          <w:tcPr>
            <w:tcW w:w="340" w:type="dxa"/>
            <w:vAlign w:val="bottom"/>
            <w:gridSpan w:val="2"/>
          </w:tcPr>
          <w:p>
            <w:pPr>
              <w:jc w:val="right"/>
              <w:ind w:right="15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2,235</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Current software hosting implementation costs, net</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3,074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1,475</w:t>
            </w:r>
          </w:p>
        </w:tc>
      </w:tr>
      <w:tr>
        <w:trPr>
          <w:trHeight w:val="203"/>
        </w:trPr>
        <w:tc>
          <w:tcPr>
            <w:tcW w:w="522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Other prepaid expenses</w:t>
            </w:r>
          </w:p>
        </w:tc>
        <w:tc>
          <w:tcPr>
            <w:tcW w:w="14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rPr>
              <w:t>13,939</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13,623</w:t>
            </w:r>
          </w:p>
        </w:tc>
      </w:tr>
      <w:tr>
        <w:trPr>
          <w:trHeight w:val="183"/>
        </w:trPr>
        <w:tc>
          <w:tcPr>
            <w:tcW w:w="5220" w:type="dxa"/>
            <w:vAlign w:val="bottom"/>
            <w:tcBorders>
              <w:bottom w:val="single" w:sz="8" w:color="CCEEFF"/>
            </w:tcBorders>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Prepaid expenses &amp; other current assets</w:t>
            </w:r>
          </w:p>
        </w:tc>
        <w:tc>
          <w:tcPr>
            <w:tcW w:w="142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144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6"/>
              </w:rPr>
              <w:t>19,386</w:t>
            </w: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17,333</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69"/>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Other assets, net</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Goodwill</w:t>
            </w:r>
          </w:p>
        </w:tc>
        <w:tc>
          <w:tcPr>
            <w:tcW w:w="3020" w:type="dxa"/>
            <w:vAlign w:val="bottom"/>
            <w:gridSpan w:val="2"/>
          </w:tcPr>
          <w:p>
            <w:pPr>
              <w:jc w:val="right"/>
              <w:ind w:right="14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402</w:t>
            </w:r>
          </w:p>
        </w:tc>
        <w:tc>
          <w:tcPr>
            <w:tcW w:w="260" w:type="dxa"/>
            <w:vAlign w:val="bottom"/>
          </w:tcPr>
          <w:p>
            <w:pPr>
              <w:spacing w:after="0"/>
              <w:rPr>
                <w:sz w:val="17"/>
                <w:szCs w:val="17"/>
                <w:color w:val="auto"/>
              </w:rPr>
            </w:pPr>
          </w:p>
        </w:tc>
        <w:tc>
          <w:tcPr>
            <w:tcW w:w="340" w:type="dxa"/>
            <w:vAlign w:val="bottom"/>
            <w:gridSpan w:val="2"/>
          </w:tcPr>
          <w:p>
            <w:pPr>
              <w:jc w:val="right"/>
              <w:ind w:right="15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402</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Intangible assets, net</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450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246</w:t>
            </w: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Non-current software hosting implementation costs</w:t>
            </w: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6,148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2,949</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1,727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1,756</w:t>
            </w:r>
          </w:p>
        </w:tc>
      </w:tr>
      <w:tr>
        <w:trPr>
          <w:trHeight w:val="183"/>
        </w:trPr>
        <w:tc>
          <w:tcPr>
            <w:tcW w:w="522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tcPr>
          <w:p>
            <w:pPr>
              <w:spacing w:after="0"/>
              <w:rPr>
                <w:sz w:val="15"/>
                <w:szCs w:val="15"/>
                <w:color w:val="auto"/>
              </w:rPr>
            </w:pPr>
          </w:p>
        </w:tc>
        <w:tc>
          <w:tcPr>
            <w:tcW w:w="1600" w:type="dxa"/>
            <w:vAlign w:val="bottom"/>
            <w:tcBorders>
              <w:bottom w:val="single" w:sz="8" w:color="auto"/>
            </w:tcBorders>
          </w:tcPr>
          <w:p>
            <w:pPr>
              <w:jc w:val="right"/>
              <w:ind w:right="144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8,727</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5,353</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Hosting Implementation Costs</w:t>
      </w:r>
    </w:p>
    <w:p>
      <w:pPr>
        <w:spacing w:after="0" w:line="173" w:lineRule="exact"/>
        <w:rPr>
          <w:sz w:val="20"/>
          <w:szCs w:val="20"/>
          <w:color w:val="auto"/>
        </w:rPr>
      </w:pPr>
    </w:p>
    <w:p>
      <w:pPr>
        <w:ind w:right="100" w:firstLine="440"/>
        <w:spacing w:after="0" w:line="236" w:lineRule="auto"/>
        <w:rPr>
          <w:sz w:val="20"/>
          <w:szCs w:val="20"/>
          <w:color w:val="auto"/>
        </w:rPr>
      </w:pPr>
      <w:r>
        <w:rPr>
          <w:rFonts w:ascii="Times New Roman" w:cs="Times New Roman" w:eastAsia="Times New Roman" w:hAnsi="Times New Roman"/>
          <w:sz w:val="18"/>
          <w:szCs w:val="18"/>
          <w:color w:val="auto"/>
        </w:rPr>
        <w:t xml:space="preserve">Software hosting implementation costs includes costs of implementation activities of certain cloud computing arrangements in accordance with Accounting Standards Update No. 2018-15, </w:t>
      </w:r>
      <w:r>
        <w:rPr>
          <w:rFonts w:ascii="Times New Roman" w:cs="Times New Roman" w:eastAsia="Times New Roman" w:hAnsi="Times New Roman"/>
          <w:sz w:val="18"/>
          <w:szCs w:val="18"/>
          <w:i w:val="1"/>
          <w:iCs w:val="1"/>
          <w:color w:val="auto"/>
        </w:rPr>
        <w:t>Intangibles – Goodwill and Other – Internal-Use Software (Subtopic 350-40)</w:t>
      </w:r>
      <w:r>
        <w:rPr>
          <w:rFonts w:ascii="Times New Roman" w:cs="Times New Roman" w:eastAsia="Times New Roman" w:hAnsi="Times New Roman"/>
          <w:sz w:val="18"/>
          <w:szCs w:val="18"/>
          <w:color w:val="auto"/>
        </w:rPr>
        <w:t>. Amortization expense was $3.6 million and $1.8 million for fiscal 2022 and fiscal 2021, respectively. Accumulated amortization was $5.4 million and $2.0 million for fiscal 2022 and fiscal 2021, respectively. See Note 13 “Recent Accounting Pronouncements” for more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58" w:lineRule="exact"/>
        <w:rPr>
          <w:sz w:val="20"/>
          <w:szCs w:val="20"/>
          <w:color w:val="auto"/>
        </w:rPr>
      </w:pPr>
    </w:p>
    <w:p>
      <w:pPr>
        <w:ind w:right="40" w:firstLine="440"/>
        <w:spacing w:after="0" w:line="236" w:lineRule="auto"/>
        <w:rPr>
          <w:sz w:val="20"/>
          <w:szCs w:val="20"/>
          <w:color w:val="auto"/>
        </w:rPr>
      </w:pPr>
      <w:r>
        <w:rPr>
          <w:rFonts w:ascii="Times New Roman" w:cs="Times New Roman" w:eastAsia="Times New Roman" w:hAnsi="Times New Roman"/>
          <w:sz w:val="18"/>
          <w:szCs w:val="18"/>
          <w:color w:val="auto"/>
        </w:rPr>
        <w:t xml:space="preserve">Goodwill represents the excess of purchase price over the fair value of net assets acquired.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requires that goodwill be tested for impairment annually, or more often if an event or circumstance indicates that an impairment loss may have been incurred. The Company’s management uses its judgment in assessing whether goodwill may have become impaired between annual impairment tests. Indicators such as unexpected adverse business conditions, economic factors, competitive activities, loss of key personnel and acts by governments may signal that an asset has become impaired.</w:t>
      </w:r>
    </w:p>
    <w:p>
      <w:pPr>
        <w:spacing w:after="0" w:line="145" w:lineRule="exact"/>
        <w:rPr>
          <w:sz w:val="20"/>
          <w:szCs w:val="20"/>
          <w:color w:val="auto"/>
        </w:rPr>
      </w:pPr>
    </w:p>
    <w:p>
      <w:pPr>
        <w:ind w:right="60" w:firstLine="440"/>
        <w:spacing w:after="0" w:line="236" w:lineRule="auto"/>
        <w:rPr>
          <w:sz w:val="20"/>
          <w:szCs w:val="20"/>
          <w:color w:val="auto"/>
        </w:rPr>
      </w:pPr>
      <w:r>
        <w:rPr>
          <w:rFonts w:ascii="Times New Roman" w:cs="Times New Roman" w:eastAsia="Times New Roman" w:hAnsi="Times New Roman"/>
          <w:sz w:val="18"/>
          <w:szCs w:val="18"/>
          <w:color w:val="auto"/>
        </w:rPr>
        <w:t>Management performed its annual qualitative assessment of goodwill as of December 31, 2022 and 2021 and determined that it was more likely than not that the fair value of the Company was greater than its carrying amount; as such, no further evaluation of goodwill was deemed necessary. No impairment was recognized for the years ended January 29, 2023 or January 30,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and Other Assets</w:t>
      </w:r>
    </w:p>
    <w:p>
      <w:pPr>
        <w:spacing w:after="0" w:line="173" w:lineRule="exact"/>
        <w:rPr>
          <w:sz w:val="20"/>
          <w:szCs w:val="20"/>
          <w:color w:val="auto"/>
        </w:rPr>
      </w:pPr>
    </w:p>
    <w:p>
      <w:pPr>
        <w:ind w:firstLine="440"/>
        <w:spacing w:after="0" w:line="230" w:lineRule="auto"/>
        <w:rPr>
          <w:sz w:val="20"/>
          <w:szCs w:val="20"/>
          <w:color w:val="auto"/>
        </w:rPr>
      </w:pPr>
      <w:r>
        <w:rPr>
          <w:rFonts w:ascii="Times New Roman" w:cs="Times New Roman" w:eastAsia="Times New Roman" w:hAnsi="Times New Roman"/>
          <w:sz w:val="18"/>
          <w:szCs w:val="18"/>
          <w:color w:val="auto"/>
        </w:rPr>
        <w:t>Intangible assets and other assets include loan origination fees and trade names which are amortized over their estimated useful lives ranging from three years to fifteen years. Other assets also include security deposits required by certain of the Company’s lease agreements and prepaid expenses. Amortization expense was $0.2 million for fiscal 2022 and fiscal 2021. Accumulated amortization was $0.8 million and $0.6 million as of January 29, 2023 and January 30, 2022, respectively.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0000FF"/>
        </w:rPr>
        <w:t>Table of Contents</w:t>
      </w:r>
    </w:p>
    <w:tbl>
      <w:tblPr>
        <w:tblLayout w:type="fixed"/>
        <w:tblInd w:w="0" w:type="dxa"/>
        <w:tblCellMar>
          <w:top w:w="0" w:type="dxa"/>
          <w:left w:w="0" w:type="dxa"/>
          <w:bottom w:w="0" w:type="dxa"/>
          <w:right w:w="0" w:type="dxa"/>
        </w:tblCellMar>
      </w:tblPr>
      <w:tr>
        <w:trPr>
          <w:trHeight w:val="174"/>
        </w:trPr>
        <w:tc>
          <w:tcPr>
            <w:tcW w:w="1280" w:type="dxa"/>
            <w:vAlign w:val="bottom"/>
            <w:tcBorders>
              <w:top w:val="single" w:sz="8" w:color="0000FF"/>
            </w:tcBorders>
          </w:tcPr>
          <w:p>
            <w:pPr>
              <w:spacing w:after="0"/>
              <w:rPr>
                <w:sz w:val="15"/>
                <w:szCs w:val="15"/>
                <w:color w:val="auto"/>
              </w:rPr>
            </w:pPr>
          </w:p>
        </w:tc>
        <w:tc>
          <w:tcPr>
            <w:tcW w:w="8260" w:type="dxa"/>
            <w:vAlign w:val="bottom"/>
            <w:gridSpan w:val="2"/>
          </w:tcPr>
          <w:p>
            <w:pPr>
              <w:jc w:val="center"/>
              <w:ind w:left="330"/>
              <w:spacing w:after="0" w:line="174" w:lineRule="exact"/>
              <w:rPr>
                <w:sz w:val="20"/>
                <w:szCs w:val="20"/>
                <w:color w:val="auto"/>
              </w:rPr>
            </w:pPr>
            <w:r>
              <w:rPr>
                <w:rFonts w:ascii="Times New Roman" w:cs="Times New Roman" w:eastAsia="Times New Roman" w:hAnsi="Times New Roman"/>
                <w:sz w:val="18"/>
                <w:szCs w:val="18"/>
                <w:b w:val="1"/>
                <w:bCs w:val="1"/>
                <w:color w:val="auto"/>
                <w:w w:val="99"/>
              </w:rPr>
              <w:t>DULUTH HOLDINGS INC.</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8"/>
        </w:trPr>
        <w:tc>
          <w:tcPr>
            <w:tcW w:w="1280" w:type="dxa"/>
            <w:vAlign w:val="bottom"/>
          </w:tcPr>
          <w:p>
            <w:pPr>
              <w:spacing w:after="0"/>
              <w:rPr>
                <w:sz w:val="20"/>
                <w:szCs w:val="20"/>
                <w:color w:val="auto"/>
              </w:rPr>
            </w:pPr>
          </w:p>
        </w:tc>
        <w:tc>
          <w:tcPr>
            <w:tcW w:w="826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756"/>
        </w:trPr>
        <w:tc>
          <w:tcPr>
            <w:tcW w:w="95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Scheduled future amortization of amortizable other assets is as follows as of January 29, 2023:</w:t>
            </w: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9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3"/>
        </w:trPr>
        <w:tc>
          <w:tcPr>
            <w:tcW w:w="95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1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8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207</w:t>
            </w:r>
          </w:p>
        </w:tc>
      </w:tr>
      <w:tr>
        <w:trPr>
          <w:trHeight w:val="203"/>
        </w:trPr>
        <w:tc>
          <w:tcPr>
            <w:tcW w:w="12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2024</w:t>
            </w:r>
          </w:p>
        </w:tc>
        <w:tc>
          <w:tcPr>
            <w:tcW w:w="8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191</w:t>
            </w:r>
          </w:p>
        </w:tc>
      </w:tr>
      <w:tr>
        <w:trPr>
          <w:trHeight w:val="203"/>
        </w:trPr>
        <w:tc>
          <w:tcPr>
            <w:tcW w:w="1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8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157</w:t>
            </w:r>
          </w:p>
        </w:tc>
      </w:tr>
      <w:tr>
        <w:trPr>
          <w:trHeight w:val="203"/>
        </w:trPr>
        <w:tc>
          <w:tcPr>
            <w:tcW w:w="12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2026</w:t>
            </w:r>
          </w:p>
        </w:tc>
        <w:tc>
          <w:tcPr>
            <w:tcW w:w="8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92</w:t>
            </w:r>
          </w:p>
        </w:tc>
      </w:tr>
      <w:tr>
        <w:trPr>
          <w:trHeight w:val="203"/>
        </w:trPr>
        <w:tc>
          <w:tcPr>
            <w:tcW w:w="1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2027</w:t>
            </w:r>
          </w:p>
        </w:tc>
        <w:tc>
          <w:tcPr>
            <w:tcW w:w="8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w:t>
            </w:r>
          </w:p>
        </w:tc>
      </w:tr>
      <w:tr>
        <w:trPr>
          <w:trHeight w:val="203"/>
        </w:trPr>
        <w:tc>
          <w:tcPr>
            <w:tcW w:w="9540" w:type="dxa"/>
            <w:vAlign w:val="bottom"/>
            <w:tcBorders>
              <w:bottom w:val="single" w:sz="8" w:color="CCEEFF"/>
            </w:tcBorders>
            <w:gridSpan w:val="3"/>
          </w:tcPr>
          <w:p>
            <w:pPr>
              <w:spacing w:after="0" w:line="202" w:lineRule="exact"/>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r>
      <w:tr>
        <w:trPr>
          <w:trHeight w:val="183"/>
        </w:trPr>
        <w:tc>
          <w:tcPr>
            <w:tcW w:w="1280" w:type="dxa"/>
            <w:vAlign w:val="bottom"/>
            <w:tcBorders>
              <w:bottom w:val="single" w:sz="8" w:color="CCEEFF"/>
            </w:tcBorders>
            <w:shd w:val="clear" w:color="auto" w:fill="CCEEFF"/>
          </w:tcPr>
          <w:p>
            <w:pPr>
              <w:spacing w:after="0"/>
              <w:rPr>
                <w:sz w:val="15"/>
                <w:szCs w:val="15"/>
                <w:color w:val="auto"/>
              </w:rPr>
            </w:pPr>
          </w:p>
        </w:tc>
        <w:tc>
          <w:tcPr>
            <w:tcW w:w="80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5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678</w:t>
            </w:r>
          </w:p>
        </w:tc>
      </w:tr>
      <w:tr>
        <w:trPr>
          <w:trHeight w:val="20"/>
        </w:trPr>
        <w:tc>
          <w:tcPr>
            <w:tcW w:w="12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The Company’s long-lived assets are reviewed for impairment during the fourth quarter, or whenever events or changes in circumstances indicate that the carrying amount may not be recoverable. If the sum of the expected undiscounted cash flows is less than the carrying value of the related asset or group of assets, a loss is recognized for the difference between the fair value and the carrying value of the asset or group of assets. Such analyses necessarily involve judgment.</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fiscal 2022, management did not identify any events or changes in circumstances that indicated the potential impairment of long-lived assets.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Pre-opening Costs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Store pre-opening costs are expensed as incurred and are included in selling, general and administrative expenses.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ind w:right="160" w:firstLine="440"/>
        <w:spacing w:after="0" w:line="242" w:lineRule="auto"/>
        <w:rPr>
          <w:sz w:val="20"/>
          <w:szCs w:val="20"/>
          <w:color w:val="auto"/>
        </w:rPr>
      </w:pPr>
      <w:r>
        <w:rPr>
          <w:rFonts w:ascii="Times New Roman" w:cs="Times New Roman" w:eastAsia="Times New Roman" w:hAnsi="Times New Roman"/>
          <w:sz w:val="18"/>
          <w:szCs w:val="18"/>
          <w:color w:val="auto"/>
        </w:rPr>
        <w:t>In connection with the IPO, the Company adopted the 2015 Equity Incentive Plan of Duluth Holdings Inc. (“2015 Plan”), which provides compensation alternatives such as stock options, shares, restricted stock, restricted stock units, deferred stock and performance share units, using or based on the Company’s Class B common stock.</w:t>
      </w:r>
    </w:p>
    <w:p>
      <w:pPr>
        <w:spacing w:after="0" w:line="141" w:lineRule="exact"/>
        <w:rPr>
          <w:sz w:val="20"/>
          <w:szCs w:val="20"/>
          <w:color w:val="auto"/>
        </w:rPr>
      </w:pPr>
    </w:p>
    <w:p>
      <w:pPr>
        <w:ind w:right="40" w:firstLine="440"/>
        <w:spacing w:after="0" w:line="233"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plan in accordance with ASC Topic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Company to measure all share-based payments at grant date fair value and recognize the cost over the requisite service period of the award. Restricted stock issued to board members generally vests over a period of one year. Restricted stock issued to key employees and executives typically vests over a period of three years to five years based on the terms for each individual award. The fair value of the restricted stock is determined based on the market value of the Company’s Class B common stock on the grant date. Restricted stock forfeitures are recognized as incurred.</w:t>
      </w:r>
    </w:p>
    <w:p>
      <w:pPr>
        <w:spacing w:after="0" w:line="145" w:lineRule="exact"/>
        <w:rPr>
          <w:sz w:val="20"/>
          <w:szCs w:val="20"/>
          <w:color w:val="auto"/>
        </w:rPr>
      </w:pPr>
    </w:p>
    <w:p>
      <w:pPr>
        <w:ind w:right="100" w:firstLine="440"/>
        <w:spacing w:after="0" w:line="241" w:lineRule="auto"/>
        <w:rPr>
          <w:sz w:val="20"/>
          <w:szCs w:val="20"/>
          <w:color w:val="auto"/>
        </w:rPr>
      </w:pPr>
      <w:r>
        <w:rPr>
          <w:rFonts w:ascii="Times New Roman" w:cs="Times New Roman" w:eastAsia="Times New Roman" w:hAnsi="Times New Roman"/>
          <w:sz w:val="18"/>
          <w:szCs w:val="18"/>
          <w:color w:val="auto"/>
        </w:rPr>
        <w:t>Total stock compensation expense associated with restricted stock recognized by the Company was $2.7 million and $2.0 million for fiscal 2022 and fiscal 2021, respectively, and is included in selling, general and administrative expenses on the Consolidated Statements of Operations.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is a summary of the activity in the Company’s unvested restricted stock during the years ended January 29, 2023 and January 30,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03"/>
        </w:trPr>
        <w:tc>
          <w:tcPr>
            <w:tcW w:w="7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03"/>
        </w:trPr>
        <w:tc>
          <w:tcPr>
            <w:tcW w:w="7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9"/>
        </w:trPr>
        <w:tc>
          <w:tcPr>
            <w:tcW w:w="7780" w:type="dxa"/>
            <w:vAlign w:val="bottom"/>
          </w:tcPr>
          <w:p>
            <w:pPr>
              <w:spacing w:after="0"/>
              <w:rPr>
                <w:sz w:val="17"/>
                <w:szCs w:val="17"/>
                <w:color w:val="auto"/>
              </w:rPr>
            </w:pPr>
          </w:p>
        </w:tc>
        <w:tc>
          <w:tcPr>
            <w:tcW w:w="16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7"/>
                <w:szCs w:val="17"/>
                <w:color w:val="auto"/>
              </w:rPr>
            </w:pPr>
          </w:p>
        </w:tc>
        <w:tc>
          <w:tcPr>
            <w:tcW w:w="15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183"/>
        </w:trPr>
        <w:tc>
          <w:tcPr>
            <w:tcW w:w="77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Outstanding at January 31, 2021</w:t>
            </w:r>
          </w:p>
        </w:tc>
        <w:tc>
          <w:tcPr>
            <w:tcW w:w="14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338,239</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9.74</w:t>
            </w:r>
          </w:p>
        </w:tc>
      </w:tr>
      <w:tr>
        <w:trPr>
          <w:trHeight w:val="203"/>
        </w:trPr>
        <w:tc>
          <w:tcPr>
            <w:tcW w:w="77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227,740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15.35</w:t>
            </w:r>
          </w:p>
        </w:tc>
      </w:tr>
      <w:tr>
        <w:trPr>
          <w:trHeight w:val="203"/>
        </w:trPr>
        <w:tc>
          <w:tcPr>
            <w:tcW w:w="778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Vested</w:t>
            </w:r>
          </w:p>
        </w:tc>
        <w:tc>
          <w:tcPr>
            <w:tcW w:w="168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(151,408)</w:t>
            </w: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8.21</w:t>
            </w:r>
          </w:p>
        </w:tc>
      </w:tr>
      <w:tr>
        <w:trPr>
          <w:trHeight w:val="203"/>
        </w:trPr>
        <w:tc>
          <w:tcPr>
            <w:tcW w:w="77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(9,237)</w:t>
            </w:r>
          </w:p>
        </w:tc>
        <w:tc>
          <w:tcPr>
            <w:tcW w:w="2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13.06</w:t>
            </w:r>
          </w:p>
        </w:tc>
      </w:tr>
      <w:tr>
        <w:trPr>
          <w:trHeight w:val="183"/>
        </w:trPr>
        <w:tc>
          <w:tcPr>
            <w:tcW w:w="77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Outstanding at January 30, 2022</w:t>
            </w:r>
          </w:p>
        </w:tc>
        <w:tc>
          <w:tcPr>
            <w:tcW w:w="14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405,334</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13.54</w:t>
            </w:r>
          </w:p>
        </w:tc>
      </w:tr>
      <w:tr>
        <w:trPr>
          <w:trHeight w:val="203"/>
        </w:trPr>
        <w:tc>
          <w:tcPr>
            <w:tcW w:w="77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392,497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10.99</w:t>
            </w:r>
          </w:p>
        </w:tc>
      </w:tr>
      <w:tr>
        <w:trPr>
          <w:trHeight w:val="203"/>
        </w:trPr>
        <w:tc>
          <w:tcPr>
            <w:tcW w:w="778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Vested</w:t>
            </w:r>
          </w:p>
        </w:tc>
        <w:tc>
          <w:tcPr>
            <w:tcW w:w="168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(124,773)</w:t>
            </w: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13.44</w:t>
            </w:r>
          </w:p>
        </w:tc>
      </w:tr>
      <w:tr>
        <w:trPr>
          <w:trHeight w:val="203"/>
        </w:trPr>
        <w:tc>
          <w:tcPr>
            <w:tcW w:w="77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(54,286)</w:t>
            </w:r>
          </w:p>
        </w:tc>
        <w:tc>
          <w:tcPr>
            <w:tcW w:w="2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12.20</w:t>
            </w:r>
          </w:p>
        </w:tc>
      </w:tr>
      <w:tr>
        <w:trPr>
          <w:trHeight w:val="183"/>
        </w:trPr>
        <w:tc>
          <w:tcPr>
            <w:tcW w:w="77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Outstanding at January 29, 2023</w:t>
            </w:r>
          </w:p>
        </w:tc>
        <w:tc>
          <w:tcPr>
            <w:tcW w:w="14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618,772</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12.05</w:t>
            </w:r>
          </w:p>
        </w:tc>
      </w:tr>
      <w:tr>
        <w:trPr>
          <w:trHeight w:val="20"/>
        </w:trPr>
        <w:tc>
          <w:tcPr>
            <w:tcW w:w="77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At January 29, 2023, the Company had unrecognized compensation expense of $4.9 million related to the restricted stock awards, which is expected to be recognized over a weighted average period of 2.4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7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Treasury stock consists of shares withheld in lieu of tax payments when restricted stock vests using the treasury cost method and is classified in the Consolidated Balance Sheets as a reduction to shareholders’ equity.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Collected from Customers</w:t>
      </w:r>
    </w:p>
    <w:p>
      <w:pPr>
        <w:spacing w:after="0" w:line="175" w:lineRule="exact"/>
        <w:rPr>
          <w:sz w:val="20"/>
          <w:szCs w:val="20"/>
          <w:color w:val="auto"/>
        </w:rPr>
      </w:pPr>
    </w:p>
    <w:p>
      <w:pPr>
        <w:ind w:right="320" w:firstLine="440"/>
        <w:spacing w:after="0" w:line="250" w:lineRule="auto"/>
        <w:rPr>
          <w:sz w:val="20"/>
          <w:szCs w:val="20"/>
          <w:color w:val="auto"/>
        </w:rPr>
      </w:pPr>
      <w:r>
        <w:rPr>
          <w:rFonts w:ascii="Times New Roman" w:cs="Times New Roman" w:eastAsia="Times New Roman" w:hAnsi="Times New Roman"/>
          <w:sz w:val="18"/>
          <w:szCs w:val="18"/>
          <w:color w:val="auto"/>
        </w:rPr>
        <w:t>The Company presents all non-income government-assessed taxes (sales, use and value-added taxes) collected from its customers and remitted to governmental agencies on a net basis (excluded from revenue) in its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w:t>
      </w:r>
    </w:p>
    <w:p>
      <w:pPr>
        <w:spacing w:after="0" w:line="175" w:lineRule="exact"/>
        <w:rPr>
          <w:sz w:val="20"/>
          <w:szCs w:val="20"/>
          <w:color w:val="auto"/>
        </w:rPr>
      </w:pPr>
    </w:p>
    <w:p>
      <w:pPr>
        <w:ind w:right="120" w:firstLine="440"/>
        <w:spacing w:after="0" w:line="242" w:lineRule="auto"/>
        <w:rPr>
          <w:sz w:val="20"/>
          <w:szCs w:val="20"/>
          <w:color w:val="auto"/>
        </w:rPr>
      </w:pPr>
      <w:r>
        <w:rPr>
          <w:rFonts w:ascii="Times New Roman" w:cs="Times New Roman" w:eastAsia="Times New Roman" w:hAnsi="Times New Roman"/>
          <w:sz w:val="18"/>
          <w:szCs w:val="18"/>
          <w:color w:val="auto"/>
        </w:rPr>
        <w:t>Other comprehensive income or loss represents the change in equity from non-shareholder or non-member transactions, which is not included in the statements of earnings but is reported as a separate component of shareholders’ equity. For fiscal 2022 and fiscal 2021, other comprehensive income consists of changes in unrealized gains and losses on the Company’s available-for-sale securities, net of taxes.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3"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ASC Topic 820, Fair Value Measurements and Disclosures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71" w:lineRule="exact"/>
        <w:rPr>
          <w:sz w:val="20"/>
          <w:szCs w:val="20"/>
          <w:color w:val="auto"/>
        </w:rPr>
      </w:pPr>
    </w:p>
    <w:p>
      <w:pPr>
        <w:ind w:right="180" w:firstLine="440"/>
        <w:spacing w:after="0" w:line="242"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0" w:lineRule="exact"/>
        <w:rPr>
          <w:sz w:val="20"/>
          <w:szCs w:val="20"/>
          <w:color w:val="auto"/>
        </w:rPr>
      </w:pPr>
    </w:p>
    <w:p>
      <w:pPr>
        <w:jc w:val="center"/>
        <w:ind w:left="400" w:right="360"/>
        <w:spacing w:after="0" w:line="358"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 ‎</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ind w:right="60" w:firstLine="440"/>
        <w:spacing w:after="0" w:line="233"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are categorized as Level 1 or Level 3 instruments. The fair value of the Company’s money market account is obtained from real-time quotes for transactions in active exchange markets involving identical assets (Level 1). The fair value of the Company’s available-for-sale security was valued based on a discounted cash flow method (Level 3), which incorporates the U.S. Treasury yield curve, credit information and an estimate of future cash flows. During fiscal 2022, certain changes in the inputs did impact the fair value of the available-for-sale security. The calculated fair value is based on estimates that are subjective in nature and involve uncertainties and matters of significant judgement and, therefore, cannot be determined with precision. Changes in assumptions could significantly affect the estimates.</w:t>
      </w:r>
    </w:p>
    <w:p>
      <w:pPr>
        <w:spacing w:after="0" w:line="144" w:lineRule="exact"/>
        <w:rPr>
          <w:sz w:val="20"/>
          <w:szCs w:val="20"/>
          <w:color w:val="auto"/>
        </w:rPr>
      </w:pPr>
    </w:p>
    <w:p>
      <w:pPr>
        <w:ind w:right="220" w:firstLine="440"/>
        <w:spacing w:after="0" w:line="250" w:lineRule="auto"/>
        <w:rPr>
          <w:sz w:val="20"/>
          <w:szCs w:val="20"/>
          <w:color w:val="auto"/>
        </w:rPr>
      </w:pPr>
      <w:r>
        <w:rPr>
          <w:rFonts w:ascii="Times New Roman" w:cs="Times New Roman" w:eastAsia="Times New Roman" w:hAnsi="Times New Roman"/>
          <w:sz w:val="18"/>
          <w:szCs w:val="18"/>
          <w:color w:val="auto"/>
        </w:rPr>
        <w:t>The amortized cost and fair value of the Company’s money market account and available-for-sale security along with the corresponding amount of gross unrealized gains and losses recognized in accumulated other comprehensive income are as follows.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00"/>
        </w:trPr>
        <w:tc>
          <w:tcPr>
            <w:tcW w:w="3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220" w:type="dxa"/>
            <w:vAlign w:val="bottom"/>
          </w:tcPr>
          <w:p>
            <w:pPr>
              <w:spacing w:after="0"/>
              <w:rPr>
                <w:sz w:val="17"/>
                <w:szCs w:val="17"/>
                <w:color w:val="auto"/>
              </w:rPr>
            </w:pPr>
          </w:p>
        </w:tc>
        <w:tc>
          <w:tcPr>
            <w:tcW w:w="112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3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8"/>
                <w:szCs w:val="18"/>
                <w:color w:val="auto"/>
              </w:rPr>
            </w:pPr>
          </w:p>
        </w:tc>
        <w:tc>
          <w:tcPr>
            <w:tcW w:w="112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3"/>
        </w:trPr>
        <w:tc>
          <w:tcPr>
            <w:tcW w:w="3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8"/>
                <w:szCs w:val="18"/>
                <w:color w:val="auto"/>
              </w:rPr>
            </w:pPr>
          </w:p>
        </w:tc>
        <w:tc>
          <w:tcPr>
            <w:tcW w:w="112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3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Level 1 security:</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25,031</w:t>
            </w:r>
          </w:p>
        </w:tc>
        <w:tc>
          <w:tcPr>
            <w:tcW w:w="20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25,031</w:t>
            </w:r>
          </w:p>
        </w:tc>
      </w:tr>
      <w:tr>
        <w:trPr>
          <w:trHeight w:val="41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r>
      <w:tr>
        <w:trPr>
          <w:trHeight w:val="445"/>
        </w:trPr>
        <w:tc>
          <w:tcPr>
            <w:tcW w:w="3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00"/>
        </w:trPr>
        <w:tc>
          <w:tcPr>
            <w:tcW w:w="3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220" w:type="dxa"/>
            <w:vAlign w:val="bottom"/>
          </w:tcPr>
          <w:p>
            <w:pPr>
              <w:spacing w:after="0"/>
              <w:rPr>
                <w:sz w:val="17"/>
                <w:szCs w:val="17"/>
                <w:color w:val="auto"/>
              </w:rPr>
            </w:pPr>
          </w:p>
        </w:tc>
        <w:tc>
          <w:tcPr>
            <w:tcW w:w="112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3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8"/>
                <w:szCs w:val="18"/>
                <w:color w:val="auto"/>
              </w:rPr>
            </w:pPr>
          </w:p>
        </w:tc>
        <w:tc>
          <w:tcPr>
            <w:tcW w:w="112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3"/>
        </w:trPr>
        <w:tc>
          <w:tcPr>
            <w:tcW w:w="3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8"/>
                <w:szCs w:val="18"/>
                <w:color w:val="auto"/>
              </w:rPr>
            </w:pPr>
          </w:p>
        </w:tc>
        <w:tc>
          <w:tcPr>
            <w:tcW w:w="112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3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21"/>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w:t>
            </w:r>
          </w:p>
        </w:tc>
      </w:tr>
    </w:tbl>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intend to sell the available-for-sale-security in the near term and does not believe that it will be required to sell the security.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reviews its security on a quarterly basis to monitor its exposure to other-than-temporary impairment.</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other-than-temporary impairment was recorded in the Consolidated Statements of Operations in fiscal 2022 or fiscal 2021.</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future receipts related to the Company’s available-for-sale security by contractual maturity as of January 29,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9"/>
        </w:trPr>
        <w:tc>
          <w:tcPr>
            <w:tcW w:w="6400" w:type="dxa"/>
            <w:vAlign w:val="bottom"/>
          </w:tcPr>
          <w:p>
            <w:pPr>
              <w:spacing w:after="0"/>
              <w:rPr>
                <w:sz w:val="17"/>
                <w:szCs w:val="17"/>
                <w:color w:val="auto"/>
              </w:rPr>
            </w:pPr>
          </w:p>
        </w:tc>
        <w:tc>
          <w:tcPr>
            <w:tcW w:w="15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6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1520" w:type="dxa"/>
            <w:vAlign w:val="bottom"/>
            <w:shd w:val="clear" w:color="auto" w:fill="CCEEFF"/>
          </w:tcPr>
          <w:p>
            <w:pPr>
              <w:jc w:val="right"/>
              <w:ind w:right="13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16"/>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3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196"/>
        </w:trPr>
        <w:tc>
          <w:tcPr>
            <w:tcW w:w="64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shd w:val="clear" w:color="auto" w:fill="CCEEFF"/>
          </w:tcPr>
          <w:p>
            <w:pPr>
              <w:jc w:val="right"/>
              <w:ind w:right="133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5,737</w:t>
            </w:r>
          </w:p>
        </w:tc>
        <w:tc>
          <w:tcPr>
            <w:tcW w:w="3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5,539</w:t>
            </w:r>
          </w:p>
        </w:tc>
      </w:tr>
      <w:tr>
        <w:trPr>
          <w:trHeight w:val="20"/>
        </w:trPr>
        <w:tc>
          <w:tcPr>
            <w:tcW w:w="64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carrying values and fair values of other financial instruments in the Consolidated Balance Sheets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880" w:type="dxa"/>
            <w:vAlign w:val="bottom"/>
            <w:tcBorders>
              <w:bottom w:val="single" w:sz="8" w:color="auto"/>
            </w:tcBorders>
          </w:tcPr>
          <w:p>
            <w:pPr>
              <w:spacing w:after="0"/>
              <w:rPr>
                <w:sz w:val="16"/>
                <w:szCs w:val="16"/>
                <w:color w:val="auto"/>
              </w:rPr>
            </w:pPr>
          </w:p>
        </w:tc>
      </w:tr>
      <w:tr>
        <w:trPr>
          <w:trHeight w:val="385"/>
        </w:trPr>
        <w:tc>
          <w:tcPr>
            <w:tcW w:w="5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420" w:type="dxa"/>
            <w:vAlign w:val="bottom"/>
          </w:tcPr>
          <w:p>
            <w:pPr>
              <w:spacing w:after="0"/>
              <w:rPr>
                <w:sz w:val="24"/>
                <w:szCs w:val="24"/>
                <w:color w:val="auto"/>
              </w:rPr>
            </w:pP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96"/>
        </w:trPr>
        <w:tc>
          <w:tcPr>
            <w:tcW w:w="5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TRI Long-term debt, including short-term portion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26,681</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26,172</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27,301</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27,804</w:t>
            </w:r>
          </w:p>
        </w:tc>
      </w:tr>
      <w:tr>
        <w:trPr>
          <w:trHeight w:val="182"/>
        </w:trPr>
        <w:tc>
          <w:tcPr>
            <w:tcW w:w="5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864"/>
              <w:spacing w:after="0"/>
              <w:rPr>
                <w:sz w:val="20"/>
                <w:szCs w:val="20"/>
                <w:color w:val="auto"/>
              </w:rPr>
            </w:pPr>
            <w:r>
              <w:rPr>
                <w:rFonts w:ascii="Times New Roman" w:cs="Times New Roman" w:eastAsia="Times New Roman" w:hAnsi="Times New Roman"/>
                <w:sz w:val="14"/>
                <w:szCs w:val="14"/>
                <w:color w:val="auto"/>
              </w:rPr>
              <w:t>53</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453"/>
        </w:trPr>
        <w:tc>
          <w:tcPr>
            <w:tcW w:w="5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ind w:right="80" w:firstLine="402"/>
        <w:spacing w:after="0" w:line="296" w:lineRule="auto"/>
        <w:rPr>
          <w:sz w:val="20"/>
          <w:szCs w:val="20"/>
          <w:color w:val="auto"/>
        </w:rPr>
      </w:pPr>
      <w:r>
        <w:rPr>
          <w:rFonts w:ascii="Times New Roman" w:cs="Times New Roman" w:eastAsia="Times New Roman" w:hAnsi="Times New Roman"/>
          <w:sz w:val="17"/>
          <w:szCs w:val="17"/>
          <w:color w:val="auto"/>
        </w:rPr>
        <w:t xml:space="preserve">The above long-term debt, including the short-term portion is attributable to the consolidation of TRI in accordance with ASC Topic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 The fair value was also based on a discounted cash flow method (Level 3) based on credit information and an estimate of future cash flows.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173" w:lineRule="exact"/>
        <w:rPr>
          <w:sz w:val="20"/>
          <w:szCs w:val="20"/>
          <w:color w:val="auto"/>
        </w:rPr>
      </w:pPr>
    </w:p>
    <w:p>
      <w:pPr>
        <w:ind w:right="100" w:firstLine="492"/>
        <w:spacing w:after="0" w:line="233" w:lineRule="auto"/>
        <w:rPr>
          <w:sz w:val="20"/>
          <w:szCs w:val="20"/>
          <w:color w:val="auto"/>
        </w:rPr>
      </w:pPr>
      <w:r>
        <w:rPr>
          <w:rFonts w:ascii="Times New Roman" w:cs="Times New Roman" w:eastAsia="Times New Roman" w:hAnsi="Times New Roman"/>
          <w:sz w:val="18"/>
          <w:szCs w:val="18"/>
          <w:color w:val="auto"/>
        </w:rPr>
        <w:t xml:space="preserve">Based on the criteria set forth 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recognizes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46" w:lineRule="exact"/>
        <w:rPr>
          <w:sz w:val="20"/>
          <w:szCs w:val="20"/>
          <w:color w:val="auto"/>
        </w:rPr>
      </w:pPr>
    </w:p>
    <w:p>
      <w:pPr>
        <w:ind w:right="180" w:firstLine="492"/>
        <w:spacing w:after="0" w:line="236" w:lineRule="auto"/>
        <w:rPr>
          <w:sz w:val="20"/>
          <w:szCs w:val="20"/>
          <w:color w:val="auto"/>
        </w:rPr>
      </w:pPr>
      <w:r>
        <w:rPr>
          <w:rFonts w:ascii="Times New Roman" w:cs="Times New Roman" w:eastAsia="Times New Roman" w:hAnsi="Times New Roman"/>
          <w:sz w:val="18"/>
          <w:szCs w:val="18"/>
          <w:color w:val="auto"/>
        </w:rPr>
        <w:t>The Company leases retail space under non-cancelable lease agreements, which expire on various dates through 2041. Substantially all of these arrangements are store leases. Store leases generally have initial lease terms ranging from five years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44" w:lineRule="exact"/>
        <w:rPr>
          <w:sz w:val="20"/>
          <w:szCs w:val="20"/>
          <w:color w:val="auto"/>
        </w:rPr>
      </w:pPr>
    </w:p>
    <w:p>
      <w:pPr>
        <w:ind w:right="40" w:firstLine="492"/>
        <w:spacing w:after="0" w:line="250" w:lineRule="auto"/>
        <w:rPr>
          <w:sz w:val="20"/>
          <w:szCs w:val="20"/>
          <w:color w:val="auto"/>
        </w:rPr>
      </w:pPr>
      <w:r>
        <w:rPr>
          <w:rFonts w:ascii="Times New Roman" w:cs="Times New Roman" w:eastAsia="Times New Roman" w:hAnsi="Times New Roman"/>
          <w:sz w:val="18"/>
          <w:szCs w:val="18"/>
          <w:color w:val="auto"/>
        </w:rPr>
        <w:t>When calculating the lease liability on a discounted basis, the Company applies its estimated discount rate. The Company bases this discount rate on a collateralized interest rate as well as publicly available data for instruments with similar characteristics.</w:t>
      </w:r>
    </w:p>
    <w:p>
      <w:pPr>
        <w:spacing w:after="0" w:line="136" w:lineRule="exact"/>
        <w:rPr>
          <w:sz w:val="20"/>
          <w:szCs w:val="20"/>
          <w:color w:val="auto"/>
        </w:rPr>
      </w:pPr>
    </w:p>
    <w:p>
      <w:pPr>
        <w:ind w:right="200" w:firstLine="492"/>
        <w:spacing w:after="0" w:line="250" w:lineRule="auto"/>
        <w:rPr>
          <w:sz w:val="20"/>
          <w:szCs w:val="20"/>
          <w:color w:val="auto"/>
        </w:rPr>
      </w:pPr>
      <w:r>
        <w:rPr>
          <w:rFonts w:ascii="Times New Roman" w:cs="Times New Roman" w:eastAsia="Times New Roman" w:hAnsi="Times New Roman"/>
          <w:sz w:val="18"/>
          <w:szCs w:val="18"/>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expense components of the Company’s leases reflected on the Company’s Consolidated Statement of Operations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3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180" w:type="dxa"/>
            <w:vAlign w:val="bottom"/>
          </w:tcPr>
          <w:p>
            <w:pPr>
              <w:spacing w:after="0"/>
              <w:rPr>
                <w:sz w:val="19"/>
                <w:szCs w:val="19"/>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0" w:type="dxa"/>
            <w:vAlign w:val="bottom"/>
          </w:tcPr>
          <w:p>
            <w:pPr>
              <w:spacing w:after="0"/>
              <w:rPr>
                <w:sz w:val="1"/>
                <w:szCs w:val="1"/>
                <w:color w:val="auto"/>
              </w:rPr>
            </w:pPr>
          </w:p>
        </w:tc>
      </w:tr>
      <w:tr>
        <w:trPr>
          <w:trHeight w:val="209"/>
        </w:trPr>
        <w:tc>
          <w:tcPr>
            <w:tcW w:w="3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460" w:type="dxa"/>
            <w:vAlign w:val="bottom"/>
            <w:shd w:val="clear" w:color="auto" w:fill="CCEEFF"/>
          </w:tcPr>
          <w:p>
            <w:pPr>
              <w:spacing w:after="0"/>
              <w:rPr>
                <w:sz w:val="19"/>
                <w:szCs w:val="19"/>
                <w:color w:val="auto"/>
              </w:rPr>
            </w:pPr>
          </w:p>
        </w:tc>
        <w:tc>
          <w:tcPr>
            <w:tcW w:w="4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040" w:type="dxa"/>
            <w:vAlign w:val="bottom"/>
          </w:tcPr>
          <w:p>
            <w:pPr>
              <w:ind w:left="140"/>
              <w:spacing w:after="0" w:line="157" w:lineRule="exact"/>
              <w:rPr>
                <w:sz w:val="20"/>
                <w:szCs w:val="20"/>
                <w:color w:val="auto"/>
              </w:rPr>
            </w:pPr>
            <w:r>
              <w:rPr>
                <w:rFonts w:ascii="Times New Roman" w:cs="Times New Roman" w:eastAsia="Times New Roman" w:hAnsi="Times New Roman"/>
                <w:sz w:val="18"/>
                <w:szCs w:val="18"/>
                <w:color w:val="auto"/>
              </w:rPr>
              <w:t>Amortization of right-of-use</w:t>
            </w:r>
          </w:p>
        </w:tc>
        <w:tc>
          <w:tcPr>
            <w:tcW w:w="4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assets</w:t>
            </w:r>
          </w:p>
        </w:tc>
        <w:tc>
          <w:tcPr>
            <w:tcW w:w="47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80" w:type="dxa"/>
            <w:vAlign w:val="bottom"/>
          </w:tcPr>
          <w:p>
            <w:pPr>
              <w:spacing w:after="0"/>
              <w:rPr>
                <w:sz w:val="20"/>
                <w:szCs w:val="20"/>
                <w:color w:val="auto"/>
              </w:rPr>
            </w:pPr>
          </w:p>
        </w:tc>
        <w:tc>
          <w:tcPr>
            <w:tcW w:w="20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68"/>
        </w:trPr>
        <w:tc>
          <w:tcPr>
            <w:tcW w:w="3040" w:type="dxa"/>
            <w:vAlign w:val="bottom"/>
          </w:tcPr>
          <w:p>
            <w:pPr>
              <w:spacing w:after="0"/>
              <w:rPr>
                <w:sz w:val="5"/>
                <w:szCs w:val="5"/>
                <w:color w:val="auto"/>
              </w:rPr>
            </w:pPr>
          </w:p>
        </w:tc>
        <w:tc>
          <w:tcPr>
            <w:tcW w:w="4780" w:type="dxa"/>
            <w:vAlign w:val="bottom"/>
            <w:gridSpan w:val="3"/>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7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0" w:type="dxa"/>
            <w:vAlign w:val="bottom"/>
          </w:tcPr>
          <w:p>
            <w:pPr>
              <w:spacing w:after="0"/>
              <w:rPr>
                <w:sz w:val="1"/>
                <w:szCs w:val="1"/>
                <w:color w:val="auto"/>
              </w:rPr>
            </w:pPr>
          </w:p>
        </w:tc>
      </w:tr>
      <w:tr>
        <w:trPr>
          <w:trHeight w:val="21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4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47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18,725</w:t>
            </w:r>
          </w:p>
        </w:tc>
        <w:tc>
          <w:tcPr>
            <w:tcW w:w="1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16,326</w:t>
            </w:r>
          </w:p>
        </w:tc>
        <w:tc>
          <w:tcPr>
            <w:tcW w:w="0" w:type="dxa"/>
            <w:vAlign w:val="bottom"/>
          </w:tcPr>
          <w:p>
            <w:pPr>
              <w:spacing w:after="0"/>
              <w:rPr>
                <w:sz w:val="1"/>
                <w:szCs w:val="1"/>
                <w:color w:val="auto"/>
              </w:rPr>
            </w:pPr>
          </w:p>
        </w:tc>
      </w:tr>
      <w:tr>
        <w:trPr>
          <w:trHeight w:val="157"/>
        </w:trPr>
        <w:tc>
          <w:tcPr>
            <w:tcW w:w="304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Amortization of build-to-suit leases</w:t>
            </w:r>
          </w:p>
        </w:tc>
        <w:tc>
          <w:tcPr>
            <w:tcW w:w="4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contribution</w:t>
            </w:r>
          </w:p>
        </w:tc>
        <w:tc>
          <w:tcPr>
            <w:tcW w:w="47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20"/>
                <w:szCs w:val="20"/>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68"/>
        </w:trPr>
        <w:tc>
          <w:tcPr>
            <w:tcW w:w="3040" w:type="dxa"/>
            <w:vAlign w:val="bottom"/>
          </w:tcPr>
          <w:p>
            <w:pPr>
              <w:spacing w:after="0"/>
              <w:rPr>
                <w:sz w:val="5"/>
                <w:szCs w:val="5"/>
                <w:color w:val="auto"/>
              </w:rPr>
            </w:pPr>
          </w:p>
        </w:tc>
        <w:tc>
          <w:tcPr>
            <w:tcW w:w="478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47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w:t>
            </w:r>
          </w:p>
        </w:tc>
        <w:tc>
          <w:tcPr>
            <w:tcW w:w="0" w:type="dxa"/>
            <w:vAlign w:val="bottom"/>
          </w:tcPr>
          <w:p>
            <w:pPr>
              <w:spacing w:after="0"/>
              <w:rPr>
                <w:sz w:val="1"/>
                <w:szCs w:val="1"/>
                <w:color w:val="auto"/>
              </w:rPr>
            </w:pPr>
          </w:p>
        </w:tc>
      </w:tr>
      <w:tr>
        <w:trPr>
          <w:trHeight w:val="196"/>
        </w:trPr>
        <w:tc>
          <w:tcPr>
            <w:tcW w:w="3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lease expense</w:t>
            </w:r>
          </w:p>
        </w:tc>
        <w:tc>
          <w:tcPr>
            <w:tcW w:w="4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35,572</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31,413</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information related to leases were as follows: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220" w:type="dxa"/>
            <w:vAlign w:val="bottom"/>
          </w:tcPr>
          <w:p>
            <w:pPr>
              <w:spacing w:after="0"/>
              <w:rPr>
                <w:sz w:val="16"/>
                <w:szCs w:val="16"/>
                <w:color w:val="auto"/>
              </w:rPr>
            </w:pPr>
          </w:p>
        </w:tc>
        <w:tc>
          <w:tcPr>
            <w:tcW w:w="15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2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r>
      <w:tr>
        <w:trPr>
          <w:trHeight w:val="22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18,477</w:t>
            </w:r>
          </w:p>
        </w:tc>
        <w:tc>
          <w:tcPr>
            <w:tcW w:w="2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15,792</w:t>
            </w:r>
          </w:p>
        </w:tc>
      </w:tr>
      <w:tr>
        <w:trPr>
          <w:trHeight w:val="229"/>
        </w:trPr>
        <w:tc>
          <w:tcPr>
            <w:tcW w:w="7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liabilities: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15,230</w:t>
            </w:r>
          </w:p>
        </w:tc>
      </w:tr>
      <w:tr>
        <w:trPr>
          <w:trHeight w:val="229"/>
        </w:trPr>
        <w:tc>
          <w:tcPr>
            <w:tcW w:w="7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Future minimum lease payments under the non-cancellable leases are as follows as of January 29, 2023:</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32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9"/>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183"/>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3"/>
        </w:trPr>
        <w:tc>
          <w:tcPr>
            <w:tcW w:w="7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4,551</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20,553</w:t>
            </w:r>
          </w:p>
        </w:tc>
      </w:tr>
      <w:tr>
        <w:trPr>
          <w:trHeight w:val="203"/>
        </w:trPr>
        <w:tc>
          <w:tcPr>
            <w:tcW w:w="72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4,736</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20,176</w:t>
            </w:r>
          </w:p>
        </w:tc>
      </w:tr>
      <w:tr>
        <w:trPr>
          <w:trHeight w:val="203"/>
        </w:trPr>
        <w:tc>
          <w:tcPr>
            <w:tcW w:w="7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5,099</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19,509</w:t>
            </w:r>
          </w:p>
        </w:tc>
      </w:tr>
      <w:tr>
        <w:trPr>
          <w:trHeight w:val="203"/>
        </w:trPr>
        <w:tc>
          <w:tcPr>
            <w:tcW w:w="72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3,993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18,653</w:t>
            </w:r>
          </w:p>
        </w:tc>
      </w:tr>
      <w:tr>
        <w:trPr>
          <w:trHeight w:val="203"/>
        </w:trPr>
        <w:tc>
          <w:tcPr>
            <w:tcW w:w="7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3,993</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17,400</w:t>
            </w:r>
          </w:p>
        </w:tc>
      </w:tr>
      <w:tr>
        <w:trPr>
          <w:trHeight w:val="202"/>
        </w:trPr>
        <w:tc>
          <w:tcPr>
            <w:tcW w:w="7440" w:type="dxa"/>
            <w:vAlign w:val="bottom"/>
            <w:tcBorders>
              <w:bottom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29,231</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60,905</w:t>
            </w:r>
          </w:p>
        </w:tc>
      </w:tr>
      <w:tr>
        <w:trPr>
          <w:trHeight w:val="183"/>
        </w:trPr>
        <w:tc>
          <w:tcPr>
            <w:tcW w:w="74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420" w:type="dxa"/>
            <w:vAlign w:val="bottom"/>
            <w:shd w:val="clear" w:color="auto" w:fill="CCEEFF"/>
          </w:tcPr>
          <w:p>
            <w:pPr>
              <w:jc w:val="right"/>
              <w:ind w:right="2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51,603</w:t>
            </w: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157,196</w:t>
            </w:r>
          </w:p>
        </w:tc>
      </w:tr>
      <w:tr>
        <w:trPr>
          <w:trHeight w:val="203"/>
        </w:trPr>
        <w:tc>
          <w:tcPr>
            <w:tcW w:w="7440" w:type="dxa"/>
            <w:vAlign w:val="bottom"/>
            <w:tcBorders>
              <w:bottom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Less - Discount</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11,336</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24,259</w:t>
            </w:r>
          </w:p>
        </w:tc>
      </w:tr>
      <w:tr>
        <w:trPr>
          <w:trHeight w:val="183"/>
        </w:trPr>
        <w:tc>
          <w:tcPr>
            <w:tcW w:w="7440" w:type="dxa"/>
            <w:vAlign w:val="bottom"/>
            <w:tcBorders>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Lease liability</w:t>
            </w:r>
          </w:p>
        </w:tc>
        <w:tc>
          <w:tcPr>
            <w:tcW w:w="420" w:type="dxa"/>
            <w:vAlign w:val="bottom"/>
            <w:tcBorders>
              <w:bottom w:val="single" w:sz="8" w:color="auto"/>
            </w:tcBorders>
            <w:shd w:val="clear" w:color="auto" w:fill="CCEEFF"/>
          </w:tcPr>
          <w:p>
            <w:pPr>
              <w:jc w:val="right"/>
              <w:ind w:right="2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40,267</w:t>
            </w:r>
          </w:p>
        </w:tc>
        <w:tc>
          <w:tcPr>
            <w:tcW w:w="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132,937</w:t>
            </w:r>
          </w:p>
        </w:tc>
      </w:tr>
      <w:tr>
        <w:trPr>
          <w:trHeight w:val="20"/>
        </w:trPr>
        <w:tc>
          <w:tcPr>
            <w:tcW w:w="7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560" w:right="1480" w:hanging="5103"/>
        <w:spacing w:after="0" w:line="231" w:lineRule="auto"/>
        <w:rPr>
          <w:sz w:val="20"/>
          <w:szCs w:val="20"/>
          <w:color w:val="auto"/>
        </w:rPr>
      </w:pPr>
      <w:r>
        <w:rPr>
          <w:rFonts w:ascii="Times New Roman" w:cs="Times New Roman" w:eastAsia="Times New Roman" w:hAnsi="Times New Roman"/>
          <w:sz w:val="18"/>
          <w:szCs w:val="18"/>
          <w:color w:val="auto"/>
        </w:rPr>
        <w:t xml:space="preserve">Total rent expense under non-cancellable leases was $20.0 million and $17.6 million for fiscal 2022 and fiscal 2021, respectively. </w:t>
      </w: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1" w:lineRule="exact"/>
        <w:rPr>
          <w:sz w:val="20"/>
          <w:szCs w:val="20"/>
          <w:color w:val="auto"/>
        </w:rPr>
      </w:pPr>
    </w:p>
    <w:p>
      <w:pPr>
        <w:jc w:val="center"/>
        <w:ind w:right="8100"/>
        <w:spacing w:after="0"/>
        <w:rPr>
          <w:sz w:val="20"/>
          <w:szCs w:val="20"/>
          <w:color w:val="auto"/>
        </w:rPr>
      </w:pPr>
      <w:r>
        <w:rPr>
          <w:rFonts w:ascii="Times New Roman" w:cs="Times New Roman" w:eastAsia="Times New Roman" w:hAnsi="Times New Roman"/>
          <w:sz w:val="18"/>
          <w:szCs w:val="18"/>
          <w:b w:val="1"/>
          <w:bCs w:val="1"/>
          <w:color w:val="auto"/>
        </w:rPr>
        <w:t>4. DEBT AND CREDIT AGREEMENT</w:t>
      </w:r>
    </w:p>
    <w:p>
      <w:pPr>
        <w:spacing w:after="0" w:line="162" w:lineRule="exact"/>
        <w:rPr>
          <w:sz w:val="20"/>
          <w:szCs w:val="20"/>
          <w:color w:val="auto"/>
        </w:rPr>
      </w:pPr>
    </w:p>
    <w:p>
      <w:pPr>
        <w:jc w:val="center"/>
        <w:ind w:right="8120"/>
        <w:spacing w:after="0"/>
        <w:rPr>
          <w:sz w:val="20"/>
          <w:szCs w:val="20"/>
          <w:color w:val="auto"/>
        </w:rPr>
      </w:pPr>
      <w:r>
        <w:rPr>
          <w:rFonts w:ascii="Times New Roman" w:cs="Times New Roman" w:eastAsia="Times New Roman" w:hAnsi="Times New Roman"/>
          <w:sz w:val="18"/>
          <w:szCs w:val="18"/>
          <w:color w:val="auto"/>
        </w:rPr>
        <w:t>Debt consists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7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Senior Secured Note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23,181</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23,801</w:t>
            </w:r>
          </w:p>
        </w:tc>
      </w:tr>
      <w:tr>
        <w:trPr>
          <w:trHeight w:val="216"/>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TRI Note</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196"/>
        </w:trPr>
        <w:tc>
          <w:tcPr>
            <w:tcW w:w="77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26,681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27,301</w:t>
            </w:r>
          </w:p>
        </w:tc>
      </w:tr>
      <w:tr>
        <w:trPr>
          <w:trHeight w:val="216"/>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183"/>
        </w:trPr>
        <w:tc>
          <w:tcPr>
            <w:tcW w:w="77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TRI Long-term debt</w:t>
            </w: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25,913</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26,608</w:t>
            </w: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 Holdings, LLC</w:t>
      </w:r>
    </w:p>
    <w:p>
      <w:pPr>
        <w:spacing w:after="0" w:line="175" w:lineRule="exact"/>
        <w:rPr>
          <w:sz w:val="20"/>
          <w:szCs w:val="20"/>
          <w:color w:val="auto"/>
        </w:rPr>
      </w:pPr>
    </w:p>
    <w:p>
      <w:pPr>
        <w:jc w:val="both"/>
        <w:ind w:right="460" w:firstLine="492"/>
        <w:spacing w:after="0" w:line="236" w:lineRule="auto"/>
        <w:rPr>
          <w:sz w:val="20"/>
          <w:szCs w:val="20"/>
          <w:color w:val="auto"/>
        </w:rPr>
      </w:pPr>
      <w:r>
        <w:rPr>
          <w:rFonts w:ascii="Times New Roman" w:cs="Times New Roman" w:eastAsia="Times New Roman" w:hAnsi="Times New Roman"/>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45" w:lineRule="exact"/>
        <w:rPr>
          <w:sz w:val="20"/>
          <w:szCs w:val="20"/>
          <w:color w:val="auto"/>
        </w:rPr>
      </w:pPr>
    </w:p>
    <w:p>
      <w:pPr>
        <w:ind w:right="160" w:firstLine="492"/>
        <w:spacing w:after="0" w:line="250" w:lineRule="auto"/>
        <w:rPr>
          <w:sz w:val="20"/>
          <w:szCs w:val="20"/>
          <w:color w:val="auto"/>
        </w:rPr>
      </w:pPr>
      <w:r>
        <w:rPr>
          <w:rFonts w:ascii="Times New Roman" w:cs="Times New Roman" w:eastAsia="Times New Roman" w:hAnsi="Times New Roman"/>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47"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color w:val="auto"/>
        </w:rPr>
        <w:t xml:space="preserve">While the above notes are consolidated 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is not the guarantor nor the obligor of these notes.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right="80" w:firstLine="440"/>
        <w:spacing w:after="0" w:line="230" w:lineRule="auto"/>
        <w:rPr>
          <w:sz w:val="20"/>
          <w:szCs w:val="20"/>
          <w:color w:val="auto"/>
        </w:rPr>
      </w:pPr>
      <w:r>
        <w:rPr>
          <w:rFonts w:ascii="Times New Roman" w:cs="Times New Roman" w:eastAsia="Times New Roman" w:hAnsi="Times New Roman"/>
          <w:sz w:val="18"/>
          <w:szCs w:val="18"/>
          <w:color w:val="auto"/>
        </w:rPr>
        <w:t>On May 17, 2018, the Company entered into a credit agreement (the “Credit Agreement”) which provided for borrowing availability of up to $80.0 million in revolving credit and associated swing line (the “Revolver”) and borrowing availability of up to $50.0 million in a delayed draw term loan (“DDTL”), for a total credit facility of $130.0 million. On April 30, 2020, the Credit Agreement was amended to include an incremental DDTL of $20.5 million (the “Incremental DDTL”) that was available to draw upon before March 31, 2021, and matured on April 29, 2021, for a total credit facility of $150.5 million. The loan covenants were also amended to allow for greater flexibility during the Company’s peak borrowing periods in fiscal 2020. The interest rate applicable to the Revolver or DDTL was a fixed rate for a one-, two-, three- or six-month interest period equal to LIBOR (with a 1% floor) for such interest period plus a margin of 225 to 300 basis points, based upon the Company’s rent adjusted leverage ratio. The interest rate applicable to the Incremental DDTL was also a fixed rate over the aforementioned interest periods equal to LIBOR (with a 1% floor) for such interest period plus a margin of 275 to 350 basis points.</w:t>
      </w:r>
    </w:p>
    <w:p>
      <w:pPr>
        <w:spacing w:after="0" w:line="145" w:lineRule="exact"/>
        <w:rPr>
          <w:sz w:val="20"/>
          <w:szCs w:val="20"/>
          <w:color w:val="auto"/>
        </w:rPr>
      </w:pPr>
    </w:p>
    <w:p>
      <w:pPr>
        <w:ind w:right="60" w:firstLine="440"/>
        <w:spacing w:after="0" w:line="245" w:lineRule="auto"/>
        <w:rPr>
          <w:sz w:val="20"/>
          <w:szCs w:val="20"/>
          <w:color w:val="auto"/>
        </w:rPr>
      </w:pPr>
      <w:r>
        <w:rPr>
          <w:rFonts w:ascii="Times New Roman" w:cs="Times New Roman" w:eastAsia="Times New Roman" w:hAnsi="Times New Roman"/>
          <w:sz w:val="17"/>
          <w:szCs w:val="17"/>
          <w:color w:val="auto"/>
        </w:rPr>
        <w:t>On May 14, 2021, the Company terminated the Credit Agreement, and entered into a new credit agreement (the “New Credit Agreement”), which was treated as a modification for accounting purposes. The New Credit Agreement originally matured on May 14, 2026 and provided for borrowings of up to $150.0 million that were available under a revolving senior credit facility, with a $5.0 million sublimit for issuance of standby letters of credit, as well as a $10.0 million sublimit for swing line loans. At the Company’s option, the interest rate applicable to the revolving senior credit facility was a floating rate equal to: (i) the Bloomberg Short-Term Bank Yield Index rate (“BSBY”) plus the applicable rate of 1.25% to 2.00% determined based on the Company’s rent adjusted leverage ratio, or (ii) the base rate plus the applicable rate of 0.25% to 1.00% based on the Company’s rent adjusted leverage ratio. The New Credit Agreement is secured by essentially all Company assets and requires the Company to maintain compliance with certain financial and non-financial covenants, including a maximum rent adjusted leverage ratio and a minimum fixed charge coverage ratio as defined in the New Credit Agreement.</w:t>
      </w:r>
    </w:p>
    <w:p>
      <w:pPr>
        <w:spacing w:after="0" w:line="132" w:lineRule="exact"/>
        <w:rPr>
          <w:sz w:val="20"/>
          <w:szCs w:val="20"/>
          <w:color w:val="auto"/>
        </w:rPr>
      </w:pPr>
    </w:p>
    <w:p>
      <w:pPr>
        <w:ind w:right="180" w:firstLine="440"/>
        <w:spacing w:after="0"/>
        <w:rPr>
          <w:sz w:val="20"/>
          <w:szCs w:val="20"/>
          <w:color w:val="auto"/>
        </w:rPr>
      </w:pPr>
      <w:r>
        <w:rPr>
          <w:rFonts w:ascii="Times New Roman" w:cs="Times New Roman" w:eastAsia="Times New Roman" w:hAnsi="Times New Roman"/>
          <w:sz w:val="18"/>
          <w:szCs w:val="18"/>
          <w:color w:val="auto"/>
        </w:rPr>
        <w:t>On July 8, 2022, the Company entered into the First Amendment to the New Credit Agreement (the “First Amendment”), which was treated as a modification for accounting purposes. The First Amendment amends the New Credit Agreement in order to (i) increase the revolving commitment from $150.0 million to $200.0 million; (ii) extend the maturity date from May 14, 2026 to July 8, 2027; (iii) amend the pricing index to replace BSBY with the Term Secured Overnight Financing Rate; and (iv) to reduce the commitment fee in some instances.</w:t>
      </w:r>
    </w:p>
    <w:p>
      <w:pPr>
        <w:spacing w:after="0" w:line="131" w:lineRule="exact"/>
        <w:rPr>
          <w:sz w:val="20"/>
          <w:szCs w:val="20"/>
          <w:color w:val="auto"/>
        </w:rPr>
      </w:pPr>
    </w:p>
    <w:p>
      <w:pPr>
        <w:ind w:right="20" w:firstLine="440"/>
        <w:spacing w:after="0" w:line="241" w:lineRule="auto"/>
        <w:rPr>
          <w:sz w:val="20"/>
          <w:szCs w:val="20"/>
          <w:color w:val="auto"/>
        </w:rPr>
      </w:pPr>
      <w:r>
        <w:rPr>
          <w:rFonts w:ascii="Times New Roman" w:cs="Times New Roman" w:eastAsia="Times New Roman" w:hAnsi="Times New Roman"/>
          <w:sz w:val="18"/>
          <w:szCs w:val="18"/>
          <w:color w:val="auto"/>
        </w:rPr>
        <w:t>As of January 29, 2023, and for the fiscal year then ended, the Company was in compliance with all financial and non-financial covenants in the New Credit Agreement.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Future principal maturities of all TRI debt, excluding unamortized financing fees of $1.2 million associated with the TRI debt are as follows as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2023:</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3"/>
        </w:trPr>
        <w:tc>
          <w:tcPr>
            <w:tcW w:w="95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3"/>
        </w:trPr>
        <w:tc>
          <w:tcPr>
            <w:tcW w:w="9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768</w:t>
            </w:r>
          </w:p>
        </w:tc>
      </w:tr>
      <w:tr>
        <w:trPr>
          <w:trHeight w:val="203"/>
        </w:trPr>
        <w:tc>
          <w:tcPr>
            <w:tcW w:w="9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847</w:t>
            </w:r>
          </w:p>
        </w:tc>
      </w:tr>
      <w:tr>
        <w:trPr>
          <w:trHeight w:val="203"/>
        </w:trPr>
        <w:tc>
          <w:tcPr>
            <w:tcW w:w="9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931</w:t>
            </w:r>
          </w:p>
        </w:tc>
      </w:tr>
      <w:tr>
        <w:trPr>
          <w:trHeight w:val="202"/>
        </w:trPr>
        <w:tc>
          <w:tcPr>
            <w:tcW w:w="9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1,020</w:t>
            </w:r>
          </w:p>
        </w:tc>
      </w:tr>
      <w:tr>
        <w:trPr>
          <w:trHeight w:val="203"/>
        </w:trPr>
        <w:tc>
          <w:tcPr>
            <w:tcW w:w="9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1,114</w:t>
            </w:r>
          </w:p>
        </w:tc>
      </w:tr>
      <w:tr>
        <w:trPr>
          <w:trHeight w:val="203"/>
        </w:trPr>
        <w:tc>
          <w:tcPr>
            <w:tcW w:w="9540" w:type="dxa"/>
            <w:vAlign w:val="bottom"/>
            <w:tcBorders>
              <w:bottom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23,158</w:t>
            </w:r>
          </w:p>
        </w:tc>
      </w:tr>
      <w:tr>
        <w:trPr>
          <w:trHeight w:val="183"/>
        </w:trPr>
        <w:tc>
          <w:tcPr>
            <w:tcW w:w="93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27,838</w:t>
            </w:r>
          </w:p>
        </w:tc>
      </w:tr>
      <w:tr>
        <w:trPr>
          <w:trHeight w:val="20"/>
        </w:trPr>
        <w:tc>
          <w:tcPr>
            <w:tcW w:w="9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220" w:hanging="212"/>
        <w:spacing w:after="0"/>
        <w:tabs>
          <w:tab w:leader="none" w:pos="2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75"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7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10,791</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Product returns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purchases of property &amp; equipment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w:t>
            </w:r>
          </w:p>
        </w:tc>
      </w:tr>
      <w:tr>
        <w:trPr>
          <w:trHeight w:val="183"/>
        </w:trPr>
        <w:tc>
          <w:tcPr>
            <w:tcW w:w="77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40,815</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47,504</w:t>
            </w: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VARIABLE INTEREST ENTITIES</w:t>
      </w:r>
    </w:p>
    <w:p>
      <w:pPr>
        <w:spacing w:after="0" w:line="173" w:lineRule="exact"/>
        <w:rPr>
          <w:sz w:val="20"/>
          <w:szCs w:val="20"/>
          <w:color w:val="auto"/>
        </w:rPr>
      </w:pPr>
    </w:p>
    <w:p>
      <w:pPr>
        <w:ind w:right="300" w:firstLine="440"/>
        <w:spacing w:after="0" w:line="233" w:lineRule="auto"/>
        <w:rPr>
          <w:sz w:val="20"/>
          <w:szCs w:val="20"/>
          <w:color w:val="auto"/>
        </w:rPr>
      </w:pPr>
      <w:r>
        <w:rPr>
          <w:rFonts w:ascii="Times New Roman" w:cs="Times New Roman" w:eastAsia="Times New Roman" w:hAnsi="Times New Roman"/>
          <w:sz w:val="18"/>
          <w:szCs w:val="18"/>
          <w:color w:val="auto"/>
        </w:rPr>
        <w:t xml:space="preserve">Based upon the criteria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VIE as of January 29, 2023 and January 30, 2022.</w:t>
      </w:r>
    </w:p>
    <w:p>
      <w:pPr>
        <w:spacing w:after="0" w:line="145" w:lineRule="exact"/>
        <w:rPr>
          <w:sz w:val="20"/>
          <w:szCs w:val="20"/>
          <w:color w:val="auto"/>
        </w:rPr>
      </w:pPr>
    </w:p>
    <w:p>
      <w:pPr>
        <w:ind w:right="20" w:firstLine="440"/>
        <w:spacing w:after="0" w:line="233" w:lineRule="auto"/>
        <w:rPr>
          <w:sz w:val="20"/>
          <w:szCs w:val="20"/>
          <w:color w:val="auto"/>
        </w:rPr>
      </w:pPr>
      <w:r>
        <w:rPr>
          <w:rFonts w:ascii="Times New Roman" w:cs="Times New Roman" w:eastAsia="Times New Roman" w:hAnsi="Times New Roman"/>
          <w:sz w:val="18"/>
          <w:szCs w:val="18"/>
          <w:color w:val="auto"/>
        </w:rPr>
        <w:t>The Company leases the Company’s headquarters in Mt. Horeb, Wisconsin from TRI. In conjunction with the lease, the Company originally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Consolidated Balance Sheets include the following amounts as a result of the consolidation of TRI as of January 29, 2023 and January 30, 2022.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80" w:type="dxa"/>
            <w:vAlign w:val="bottom"/>
          </w:tcPr>
          <w:p>
            <w:pPr>
              <w:spacing w:after="0"/>
              <w:rPr>
                <w:sz w:val="16"/>
                <w:szCs w:val="16"/>
                <w:color w:val="auto"/>
              </w:rPr>
            </w:pPr>
          </w:p>
        </w:tc>
        <w:tc>
          <w:tcPr>
            <w:tcW w:w="14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76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24,180</w:t>
            </w:r>
          </w:p>
        </w:tc>
      </w:tr>
      <w:tr>
        <w:trPr>
          <w:trHeight w:val="183"/>
        </w:trPr>
        <w:tc>
          <w:tcPr>
            <w:tcW w:w="764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23,632</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24,201</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69"/>
        </w:trPr>
        <w:tc>
          <w:tcPr>
            <w:tcW w:w="7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TRI long-term debt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26,608</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in VIE</w:t>
            </w:r>
          </w:p>
        </w:tc>
        <w:tc>
          <w:tcPr>
            <w:tcW w:w="24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(3,210)</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r>
      <w:tr>
        <w:trPr>
          <w:trHeight w:val="183"/>
        </w:trPr>
        <w:tc>
          <w:tcPr>
            <w:tcW w:w="764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23,632</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24,201</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173" w:lineRule="exact"/>
        <w:rPr>
          <w:sz w:val="20"/>
          <w:szCs w:val="20"/>
          <w:color w:val="auto"/>
        </w:rPr>
      </w:pPr>
    </w:p>
    <w:p>
      <w:pPr>
        <w:ind w:right="200" w:firstLine="440"/>
        <w:spacing w:after="0" w:line="233" w:lineRule="auto"/>
        <w:rPr>
          <w:sz w:val="20"/>
          <w:szCs w:val="20"/>
          <w:color w:val="auto"/>
        </w:rPr>
      </w:pPr>
      <w:r>
        <w:rPr>
          <w:rFonts w:ascii="Times New Roman" w:cs="Times New Roman" w:eastAsia="Times New Roman" w:hAnsi="Times New Roman"/>
          <w:sz w:val="18"/>
          <w:szCs w:val="18"/>
          <w:color w:val="auto"/>
        </w:rPr>
        <w:t>Earnings per share is computed under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per share. The reconciliation of the numerator and denominator of the basic and diluted earnings per share calculation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440" w:type="dxa"/>
            <w:vAlign w:val="bottom"/>
          </w:tcPr>
          <w:p>
            <w:pPr>
              <w:spacing w:after="0"/>
              <w:rPr>
                <w:sz w:val="15"/>
                <w:szCs w:val="15"/>
                <w:color w:val="auto"/>
              </w:rPr>
            </w:pPr>
          </w:p>
        </w:tc>
        <w:tc>
          <w:tcPr>
            <w:tcW w:w="15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0" w:type="dxa"/>
            <w:vAlign w:val="bottom"/>
          </w:tcPr>
          <w:p>
            <w:pPr>
              <w:spacing w:after="0"/>
              <w:rPr>
                <w:sz w:val="1"/>
                <w:szCs w:val="1"/>
                <w:color w:val="auto"/>
              </w:rPr>
            </w:pPr>
          </w:p>
        </w:tc>
      </w:tr>
      <w:tr>
        <w:trPr>
          <w:trHeight w:val="183"/>
        </w:trPr>
        <w:tc>
          <w:tcPr>
            <w:tcW w:w="5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3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Numerator - net income attributable to controlling interest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2,304</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29,702</w:t>
            </w:r>
          </w:p>
        </w:tc>
        <w:tc>
          <w:tcPr>
            <w:tcW w:w="0" w:type="dxa"/>
            <w:vAlign w:val="bottom"/>
          </w:tcPr>
          <w:p>
            <w:pPr>
              <w:spacing w:after="0"/>
              <w:rPr>
                <w:sz w:val="1"/>
                <w:szCs w:val="1"/>
                <w:color w:val="auto"/>
              </w:rPr>
            </w:pPr>
          </w:p>
        </w:tc>
      </w:tr>
      <w:tr>
        <w:trPr>
          <w:trHeight w:val="203"/>
        </w:trPr>
        <w:tc>
          <w:tcPr>
            <w:tcW w:w="58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Denominator - weighted average shares (Class A and Class B)</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32,772</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32,618</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Dilutive shares</w:t>
            </w:r>
          </w:p>
        </w:tc>
        <w:tc>
          <w:tcPr>
            <w:tcW w:w="13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219</w:t>
            </w:r>
          </w:p>
        </w:tc>
        <w:tc>
          <w:tcPr>
            <w:tcW w:w="2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183"/>
        </w:trPr>
        <w:tc>
          <w:tcPr>
            <w:tcW w:w="582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Diluted</w:t>
            </w:r>
          </w:p>
        </w:tc>
        <w:tc>
          <w:tcPr>
            <w:tcW w:w="13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32,991</w:t>
            </w:r>
          </w:p>
        </w:tc>
        <w:tc>
          <w:tcPr>
            <w:tcW w:w="2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32,851</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 (Class A and Class B)</w:t>
            </w: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2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0.07</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34"/>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spacing w:after="0"/>
              <w:rPr>
                <w:sz w:val="20"/>
                <w:szCs w:val="20"/>
                <w:color w:val="auto"/>
              </w:rPr>
            </w:pP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REVENUE</w:t>
      </w:r>
    </w:p>
    <w:p>
      <w:pPr>
        <w:spacing w:after="0" w:line="162" w:lineRule="exact"/>
        <w:rPr>
          <w:sz w:val="20"/>
          <w:szCs w:val="20"/>
          <w:color w:val="auto"/>
        </w:rPr>
      </w:pPr>
    </w:p>
    <w:p>
      <w:pPr>
        <w:ind w:right="40" w:firstLine="570"/>
        <w:spacing w:after="0" w:line="235" w:lineRule="auto"/>
        <w:rPr>
          <w:sz w:val="20"/>
          <w:szCs w:val="20"/>
          <w:color w:val="auto"/>
        </w:rPr>
      </w:pPr>
      <w:r>
        <w:rPr>
          <w:rFonts w:ascii="Times New Roman" w:cs="Times New Roman" w:eastAsia="Times New Roman" w:hAnsi="Times New Roman"/>
          <w:sz w:val="18"/>
          <w:szCs w:val="18"/>
          <w:color w:val="auto"/>
        </w:rPr>
        <w:t>The Company’s revenue primarily consists of the sale of apparel, footwear and hard goods. Revenue for merchandise that is shipped to our customers from our fulfillment centers and stores is recognized upon shipment. Store revenue is recognized at the point of sale, net of returns, and excludes taxes.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1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Sales disaggregated based upon sales channel is presented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Direct-to-consumer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412,123</w:t>
            </w:r>
          </w:p>
        </w:tc>
        <w:tc>
          <w:tcPr>
            <w:tcW w:w="6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438,464</w:t>
            </w:r>
          </w:p>
        </w:tc>
      </w:tr>
      <w:tr>
        <w:trPr>
          <w:trHeight w:val="229"/>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Stores</w:t>
            </w: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241,184</w:t>
            </w:r>
          </w:p>
        </w:tc>
        <w:tc>
          <w:tcPr>
            <w:tcW w:w="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260,120</w:t>
            </w:r>
          </w:p>
        </w:tc>
      </w:tr>
      <w:tr>
        <w:trPr>
          <w:trHeight w:val="196"/>
        </w:trPr>
        <w:tc>
          <w:tcPr>
            <w:tcW w:w="64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653,307</w:t>
            </w: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698,584</w:t>
            </w:r>
          </w:p>
        </w:tc>
      </w:tr>
      <w:tr>
        <w:trPr>
          <w:trHeight w:val="20"/>
        </w:trPr>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75" w:lineRule="exact"/>
        <w:rPr>
          <w:sz w:val="20"/>
          <w:szCs w:val="20"/>
          <w:color w:val="auto"/>
        </w:rPr>
      </w:pPr>
    </w:p>
    <w:p>
      <w:pPr>
        <w:ind w:right="60" w:firstLine="402"/>
        <w:spacing w:after="0" w:line="235" w:lineRule="auto"/>
        <w:rPr>
          <w:sz w:val="20"/>
          <w:szCs w:val="20"/>
          <w:color w:val="auto"/>
        </w:rPr>
      </w:pPr>
      <w:r>
        <w:rPr>
          <w:rFonts w:ascii="Times New Roman" w:cs="Times New Roman" w:eastAsia="Times New Roman" w:hAnsi="Times New Roman"/>
          <w:sz w:val="18"/>
          <w:szCs w:val="18"/>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upon issuance in Accrued expenses and other current liabilities under deferred revenue (see Note 5 “Accrued Expenses and Other Current Liabilities”) on the Company’s Consolidated Balance Sheets. Upon issuance of a gift card, a liability is established for its cash value. The gift card liability is relieved and revenues on gift cards are recorded at the time of redemption by the customer.</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Contract assets and liabilities on the Company’s Consolidated Balance Sheets are presented in the following table: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r>
      <w:tr>
        <w:trPr>
          <w:trHeight w:val="24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10,791</w:t>
            </w:r>
          </w:p>
        </w:tc>
      </w:tr>
    </w:tbl>
    <w:p>
      <w:pPr>
        <w:spacing w:after="0" w:line="130" w:lineRule="exact"/>
        <w:rPr>
          <w:sz w:val="20"/>
          <w:szCs w:val="20"/>
          <w:color w:val="auto"/>
        </w:rPr>
      </w:pPr>
    </w:p>
    <w:p>
      <w:pPr>
        <w:ind w:right="260" w:firstLine="402"/>
        <w:spacing w:after="0" w:line="236" w:lineRule="auto"/>
        <w:rPr>
          <w:sz w:val="20"/>
          <w:szCs w:val="20"/>
          <w:color w:val="auto"/>
        </w:rPr>
      </w:pPr>
      <w:r>
        <w:rPr>
          <w:rFonts w:ascii="Times New Roman" w:cs="Times New Roman" w:eastAsia="Times New Roman" w:hAnsi="Times New Roman"/>
          <w:sz w:val="18"/>
          <w:szCs w:val="18"/>
          <w:color w:val="auto"/>
        </w:rPr>
        <w:t>Revenue from gift cards is recognized when the gift card is redeemed by the customer for merchandise, or as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4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Gift cards sold</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Gift cards redeemed</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(16,265)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(16,047)</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196"/>
        </w:trPr>
        <w:tc>
          <w:tcPr>
            <w:tcW w:w="64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as of End of Period</w:t>
            </w:r>
          </w:p>
        </w:tc>
        <w:tc>
          <w:tcPr>
            <w:tcW w:w="400" w:type="dxa"/>
            <w:vAlign w:val="bottom"/>
            <w:tcBorders>
              <w:top w:val="single" w:sz="8" w:color="auto"/>
              <w:bottom w:val="single" w:sz="8" w:color="auto"/>
            </w:tcBorders>
            <w:gridSpan w:val="2"/>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10,249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10,791</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INCOME TAXES</w:t>
            </w: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components of income tax expense were as follows: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0" w:type="dxa"/>
            <w:vAlign w:val="bottom"/>
          </w:tcPr>
          <w:p>
            <w:pPr>
              <w:spacing w:after="0"/>
              <w:rPr>
                <w:sz w:val="1"/>
                <w:szCs w:val="1"/>
                <w:color w:val="auto"/>
              </w:rPr>
            </w:pPr>
          </w:p>
        </w:tc>
      </w:tr>
      <w:tr>
        <w:trPr>
          <w:trHeight w:val="183"/>
        </w:trPr>
        <w:tc>
          <w:tcPr>
            <w:tcW w:w="6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Current: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Federal</w:t>
            </w:r>
          </w:p>
        </w:tc>
        <w:tc>
          <w:tcPr>
            <w:tcW w:w="400" w:type="dxa"/>
            <w:vAlign w:val="bottom"/>
            <w:gridSpan w:val="2"/>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1,158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12,678</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State</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953</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2,690</w:t>
            </w: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2,111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15,368</w:t>
            </w:r>
          </w:p>
        </w:tc>
        <w:tc>
          <w:tcPr>
            <w:tcW w:w="0" w:type="dxa"/>
            <w:vAlign w:val="bottom"/>
          </w:tcPr>
          <w:p>
            <w:pPr>
              <w:spacing w:after="0"/>
              <w:rPr>
                <w:sz w:val="1"/>
                <w:szCs w:val="1"/>
                <w:color w:val="auto"/>
              </w:rPr>
            </w:pPr>
          </w:p>
        </w:tc>
      </w:tr>
      <w:tr>
        <w:trPr>
          <w:trHeight w:val="202"/>
        </w:trPr>
        <w:tc>
          <w:tcPr>
            <w:tcW w:w="6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Deferred:</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Federal</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gridSpan w:val="3"/>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(884)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(4,945)</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State</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20" w:type="dxa"/>
            <w:vAlign w:val="bottom"/>
            <w:gridSpan w:val="3"/>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(519)</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88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(1,403)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(5,481)</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income tax expense</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708</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9,887</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tax effects of unrealized gains and losses on securities are components of other comprehensive income and therefore excluded from deferred tax expense.</w:t>
      </w:r>
    </w:p>
    <w:p>
      <w:pPr>
        <w:spacing w:after="0" w:line="122" w:lineRule="exact"/>
        <w:rPr>
          <w:sz w:val="20"/>
          <w:szCs w:val="20"/>
          <w:color w:val="auto"/>
        </w:rPr>
      </w:pPr>
    </w:p>
    <w:p>
      <w:pPr>
        <w:jc w:val="both"/>
        <w:ind w:right="40" w:firstLine="440"/>
        <w:spacing w:after="0" w:line="234" w:lineRule="auto"/>
        <w:rPr>
          <w:sz w:val="20"/>
          <w:szCs w:val="20"/>
          <w:color w:val="auto"/>
        </w:rPr>
      </w:pPr>
      <w:r>
        <w:rPr>
          <w:rFonts w:ascii="Times New Roman" w:cs="Times New Roman" w:eastAsia="Times New Roman" w:hAnsi="Times New Roman"/>
          <w:sz w:val="18"/>
          <w:szCs w:val="18"/>
          <w:color w:val="auto"/>
        </w:rPr>
        <w:t>Realization of the deferred tax asset over time is dependent upon the Company generating sufficient taxable earnings in future periods. In making the determination that the realization of the deferred tax was more likely than not, the Company considered several factors including its recent earnings history, its expected earnings in the future, and appropriate tax planning strategies. The Company believes it will be able to fully utilize its established deferred tax assets and therefore no valuation allowance has been established as of January 29, 2023 and January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reconciliation of income tax expense to the amount computed at the federal statutory rate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210"/>
        </w:trPr>
        <w:tc>
          <w:tcPr>
            <w:tcW w:w="57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183"/>
        </w:trPr>
        <w:tc>
          <w:tcPr>
            <w:tcW w:w="5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Federal taxes at statutory rate</w:t>
            </w:r>
          </w:p>
        </w:tc>
        <w:tc>
          <w:tcPr>
            <w:tcW w:w="440" w:type="dxa"/>
            <w:vAlign w:val="bottom"/>
            <w:shd w:val="clear" w:color="auto" w:fill="CCEEFF"/>
          </w:tcPr>
          <w:p>
            <w:pPr>
              <w:jc w:val="right"/>
              <w:ind w:right="2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633</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8,314</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3"/>
              </w:rPr>
              <w:t>%</w:t>
            </w:r>
          </w:p>
        </w:tc>
      </w:tr>
      <w:tr>
        <w:trPr>
          <w:trHeight w:val="203"/>
        </w:trPr>
        <w:tc>
          <w:tcPr>
            <w:tcW w:w="5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1,692</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3"/>
              </w:rPr>
              <w:t>%</w:t>
            </w:r>
          </w:p>
        </w:tc>
      </w:tr>
      <w:tr>
        <w:trPr>
          <w:trHeight w:val="203"/>
        </w:trPr>
        <w:tc>
          <w:tcPr>
            <w:tcW w:w="5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Research and development tax credits</w:t>
            </w:r>
          </w:p>
        </w:tc>
        <w:tc>
          <w:tcPr>
            <w:tcW w:w="4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(296)</w:t>
            </w:r>
          </w:p>
        </w:tc>
        <w:tc>
          <w:tcPr>
            <w:tcW w:w="3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(9.8)%</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(226)</w:t>
            </w:r>
          </w:p>
        </w:tc>
        <w:tc>
          <w:tcPr>
            <w:tcW w:w="4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(0.6)%</w:t>
            </w:r>
          </w:p>
        </w:tc>
      </w:tr>
      <w:tr>
        <w:trPr>
          <w:trHeight w:val="203"/>
        </w:trPr>
        <w:tc>
          <w:tcPr>
            <w:tcW w:w="5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Nondeductible Compensation</w:t>
            </w: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6.0 %</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258</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0.7 %</w:t>
            </w:r>
          </w:p>
        </w:tc>
      </w:tr>
      <w:tr>
        <w:trPr>
          <w:trHeight w:val="203"/>
        </w:trPr>
        <w:tc>
          <w:tcPr>
            <w:tcW w:w="5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(151)</w:t>
            </w:r>
          </w:p>
        </w:tc>
        <w:tc>
          <w:tcPr>
            <w:tcW w:w="4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(0.4)%</w:t>
            </w:r>
          </w:p>
        </w:tc>
      </w:tr>
      <w:tr>
        <w:trPr>
          <w:trHeight w:val="183"/>
        </w:trPr>
        <w:tc>
          <w:tcPr>
            <w:tcW w:w="57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income tax expense</w:t>
            </w:r>
          </w:p>
        </w:tc>
        <w:tc>
          <w:tcPr>
            <w:tcW w:w="440" w:type="dxa"/>
            <w:vAlign w:val="bottom"/>
            <w:tcBorders>
              <w:top w:val="single" w:sz="8" w:color="auto"/>
              <w:bottom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708</w:t>
            </w:r>
          </w:p>
        </w:tc>
        <w:tc>
          <w:tcPr>
            <w:tcW w:w="22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23.5</w:t>
            </w:r>
          </w:p>
        </w:tc>
        <w:tc>
          <w:tcPr>
            <w:tcW w:w="2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9,887</w:t>
            </w:r>
          </w:p>
        </w:tc>
        <w:tc>
          <w:tcPr>
            <w:tcW w:w="22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U.S. GAAP and tax bases of assets and liabilities. Significant components of deferred tax assets and liabilities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5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0" w:type="dxa"/>
            <w:vAlign w:val="bottom"/>
          </w:tcPr>
          <w:p>
            <w:pPr>
              <w:spacing w:after="0"/>
              <w:rPr>
                <w:sz w:val="1"/>
                <w:szCs w:val="1"/>
                <w:color w:val="auto"/>
              </w:rPr>
            </w:pPr>
          </w:p>
        </w:tc>
      </w:tr>
      <w:tr>
        <w:trPr>
          <w:trHeight w:val="183"/>
        </w:trPr>
        <w:tc>
          <w:tcPr>
            <w:tcW w:w="6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Deferred tax assets:</w:t>
            </w:r>
          </w:p>
        </w:tc>
        <w:tc>
          <w:tcPr>
            <w:tcW w:w="1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Returns allowance</w:t>
            </w:r>
          </w:p>
        </w:tc>
        <w:tc>
          <w:tcPr>
            <w:tcW w:w="1640" w:type="dxa"/>
            <w:vAlign w:val="bottom"/>
          </w:tcPr>
          <w:p>
            <w:pPr>
              <w:jc w:val="right"/>
              <w:ind w:right="145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1,304</w:t>
            </w:r>
          </w:p>
        </w:tc>
        <w:tc>
          <w:tcPr>
            <w:tcW w:w="26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Uniform inventory capitalization</w:t>
            </w:r>
          </w:p>
        </w:tc>
        <w:tc>
          <w:tcPr>
            <w:tcW w:w="16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3,735</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3,042</w:t>
            </w:r>
          </w:p>
        </w:tc>
        <w:tc>
          <w:tcPr>
            <w:tcW w:w="0" w:type="dxa"/>
            <w:vAlign w:val="bottom"/>
          </w:tcPr>
          <w:p>
            <w:pPr>
              <w:spacing w:after="0"/>
              <w:rPr>
                <w:sz w:val="1"/>
                <w:szCs w:val="1"/>
                <w:color w:val="auto"/>
              </w:rPr>
            </w:pPr>
          </w:p>
        </w:tc>
      </w:tr>
      <w:tr>
        <w:trPr>
          <w:trHeight w:val="203"/>
        </w:trPr>
        <w:tc>
          <w:tcPr>
            <w:tcW w:w="656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Unrealized loss on investment</w:t>
            </w:r>
          </w:p>
        </w:tc>
        <w:tc>
          <w:tcPr>
            <w:tcW w:w="1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State credit</w:t>
            </w:r>
          </w:p>
        </w:tc>
        <w:tc>
          <w:tcPr>
            <w:tcW w:w="16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Lease liability</w:t>
            </w:r>
          </w:p>
        </w:tc>
        <w:tc>
          <w:tcPr>
            <w:tcW w:w="1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rPr>
              <w:t>54,648</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50,735</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Accruals</w:t>
            </w:r>
          </w:p>
        </w:tc>
        <w:tc>
          <w:tcPr>
            <w:tcW w:w="16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303</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2,361</w:t>
            </w:r>
          </w:p>
        </w:tc>
        <w:tc>
          <w:tcPr>
            <w:tcW w:w="0" w:type="dxa"/>
            <w:vAlign w:val="bottom"/>
          </w:tcPr>
          <w:p>
            <w:pPr>
              <w:spacing w:after="0"/>
              <w:rPr>
                <w:sz w:val="1"/>
                <w:szCs w:val="1"/>
                <w:color w:val="auto"/>
              </w:rPr>
            </w:pPr>
          </w:p>
        </w:tc>
      </w:tr>
      <w:tr>
        <w:trPr>
          <w:trHeight w:val="203"/>
        </w:trPr>
        <w:tc>
          <w:tcPr>
            <w:tcW w:w="656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Stock-based compensation</w:t>
            </w:r>
          </w:p>
        </w:tc>
        <w:tc>
          <w:tcPr>
            <w:tcW w:w="1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Advance payments</w:t>
            </w:r>
          </w:p>
        </w:tc>
        <w:tc>
          <w:tcPr>
            <w:tcW w:w="16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751</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03"/>
        </w:trPr>
        <w:tc>
          <w:tcPr>
            <w:tcW w:w="656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Unrecognized tax benefits</w:t>
            </w:r>
          </w:p>
        </w:tc>
        <w:tc>
          <w:tcPr>
            <w:tcW w:w="1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Charitable contributions</w:t>
            </w:r>
          </w:p>
        </w:tc>
        <w:tc>
          <w:tcPr>
            <w:tcW w:w="16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87</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Research and development</w:t>
            </w:r>
          </w:p>
        </w:tc>
        <w:tc>
          <w:tcPr>
            <w:tcW w:w="16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1,288</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State NOL</w:t>
            </w:r>
          </w:p>
        </w:tc>
        <w:tc>
          <w:tcPr>
            <w:tcW w:w="16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2"/>
        </w:trPr>
        <w:tc>
          <w:tcPr>
            <w:tcW w:w="65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deferred tax assets</w:t>
            </w:r>
          </w:p>
        </w:tc>
        <w:tc>
          <w:tcPr>
            <w:tcW w:w="164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96"/>
              </w:rPr>
              <w:t>62,556</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58,501</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Deferred tax liabilities:</w:t>
            </w:r>
          </w:p>
        </w:tc>
        <w:tc>
          <w:tcPr>
            <w:tcW w:w="1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Property and equipment</w:t>
            </w:r>
          </w:p>
        </w:tc>
        <w:tc>
          <w:tcPr>
            <w:tcW w:w="16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8,439</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8,815</w:t>
            </w:r>
          </w:p>
        </w:tc>
        <w:tc>
          <w:tcPr>
            <w:tcW w:w="0" w:type="dxa"/>
            <w:vAlign w:val="bottom"/>
          </w:tcPr>
          <w:p>
            <w:pPr>
              <w:spacing w:after="0"/>
              <w:rPr>
                <w:sz w:val="1"/>
                <w:szCs w:val="1"/>
                <w:color w:val="auto"/>
              </w:rPr>
            </w:pPr>
          </w:p>
        </w:tc>
      </w:tr>
      <w:tr>
        <w:trPr>
          <w:trHeight w:val="189"/>
        </w:trPr>
        <w:tc>
          <w:tcPr>
            <w:tcW w:w="65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Unrealized gain on investment</w:t>
            </w:r>
          </w:p>
        </w:tc>
        <w:tc>
          <w:tcPr>
            <w:tcW w:w="1640" w:type="dxa"/>
            <w:vAlign w:val="bottom"/>
          </w:tcPr>
          <w:p>
            <w:pPr>
              <w:spacing w:after="0"/>
              <w:rPr>
                <w:sz w:val="16"/>
                <w:szCs w:val="16"/>
                <w:color w:val="auto"/>
              </w:rPr>
            </w:pPr>
          </w:p>
        </w:tc>
        <w:tc>
          <w:tcPr>
            <w:tcW w:w="820" w:type="dxa"/>
            <w:vAlign w:val="bottom"/>
            <w:gridSpan w:val="2"/>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1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Prepaid expenses</w:t>
            </w:r>
          </w:p>
        </w:tc>
        <w:tc>
          <w:tcPr>
            <w:tcW w:w="16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822</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189"/>
        </w:trPr>
        <w:tc>
          <w:tcPr>
            <w:tcW w:w="65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Right-of-use asset</w:t>
            </w:r>
          </w:p>
        </w:tc>
        <w:tc>
          <w:tcPr>
            <w:tcW w:w="164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96"/>
              </w:rPr>
              <w:t>54,475</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51,395</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Goodwill and intangibles</w:t>
            </w:r>
          </w:p>
        </w:tc>
        <w:tc>
          <w:tcPr>
            <w:tcW w:w="16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69</w:t>
            </w:r>
          </w:p>
        </w:tc>
        <w:tc>
          <w:tcPr>
            <w:tcW w:w="2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83"/>
        </w:trPr>
        <w:tc>
          <w:tcPr>
            <w:tcW w:w="656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Total deferred tax liabilities</w:t>
            </w:r>
          </w:p>
        </w:tc>
        <w:tc>
          <w:tcPr>
            <w:tcW w:w="16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96"/>
              </w:rPr>
              <w:t>63,805</w:t>
            </w:r>
          </w:p>
        </w:tc>
        <w:tc>
          <w:tcPr>
            <w:tcW w:w="2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61,368</w:t>
            </w:r>
          </w:p>
        </w:tc>
        <w:tc>
          <w:tcPr>
            <w:tcW w:w="0" w:type="dxa"/>
            <w:vAlign w:val="bottom"/>
          </w:tcPr>
          <w:p>
            <w:pPr>
              <w:spacing w:after="0"/>
              <w:rPr>
                <w:sz w:val="1"/>
                <w:szCs w:val="1"/>
                <w:color w:val="auto"/>
              </w:rPr>
            </w:pPr>
          </w:p>
        </w:tc>
      </w:tr>
      <w:tr>
        <w:trPr>
          <w:trHeight w:val="183"/>
        </w:trPr>
        <w:tc>
          <w:tcPr>
            <w:tcW w:w="656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deferred tax liabilities</w:t>
            </w:r>
          </w:p>
        </w:tc>
        <w:tc>
          <w:tcPr>
            <w:tcW w:w="1640" w:type="dxa"/>
            <w:vAlign w:val="bottom"/>
            <w:tcBorders>
              <w:bottom w:val="single" w:sz="8" w:color="auto"/>
            </w:tcBorders>
            <w:shd w:val="clear" w:color="auto" w:fill="CCEEFF"/>
          </w:tcPr>
          <w:p>
            <w:pPr>
              <w:jc w:val="right"/>
              <w:ind w:right="1456"/>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1,249</w:t>
            </w:r>
          </w:p>
        </w:tc>
        <w:tc>
          <w:tcPr>
            <w:tcW w:w="2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2,867</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tc>
        <w:tc>
          <w:tcPr>
            <w:tcW w:w="1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56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56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5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0" w:type="dxa"/>
            <w:vAlign w:val="bottom"/>
          </w:tcPr>
          <w:p>
            <w:pPr>
              <w:spacing w:after="0"/>
              <w:rPr>
                <w:sz w:val="1"/>
                <w:szCs w:val="1"/>
                <w:color w:val="auto"/>
              </w:rPr>
            </w:pPr>
          </w:p>
        </w:tc>
      </w:t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640" w:type="dxa"/>
            <w:vAlign w:val="bottom"/>
            <w:shd w:val="clear" w:color="auto" w:fill="CCEEFF"/>
          </w:tcPr>
          <w:p>
            <w:pPr>
              <w:jc w:val="right"/>
              <w:ind w:right="14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2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in prior years</w:t>
            </w:r>
          </w:p>
        </w:tc>
        <w:tc>
          <w:tcPr>
            <w:tcW w:w="164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in current year</w:t>
            </w:r>
          </w:p>
        </w:tc>
        <w:tc>
          <w:tcPr>
            <w:tcW w:w="16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Statute of limitations</w:t>
            </w:r>
          </w:p>
        </w:tc>
        <w:tc>
          <w:tcPr>
            <w:tcW w:w="164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end of year</w:t>
            </w:r>
          </w:p>
        </w:tc>
        <w:tc>
          <w:tcPr>
            <w:tcW w:w="1640" w:type="dxa"/>
            <w:vAlign w:val="bottom"/>
            <w:tcBorders>
              <w:top w:val="single" w:sz="8" w:color="auto"/>
              <w:bottom w:val="single" w:sz="8" w:color="auto"/>
            </w:tcBorders>
            <w:shd w:val="clear" w:color="auto" w:fill="CCEEFF"/>
          </w:tcPr>
          <w:p>
            <w:pPr>
              <w:jc w:val="right"/>
              <w:ind w:right="145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287</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40" w:firstLine="440"/>
        <w:spacing w:after="0" w:line="241" w:lineRule="auto"/>
        <w:rPr>
          <w:sz w:val="20"/>
          <w:szCs w:val="20"/>
          <w:color w:val="auto"/>
        </w:rPr>
      </w:pPr>
      <w:r>
        <w:rPr>
          <w:rFonts w:ascii="Times New Roman" w:cs="Times New Roman" w:eastAsia="Times New Roman" w:hAnsi="Times New Roman"/>
          <w:sz w:val="18"/>
          <w:szCs w:val="18"/>
          <w:color w:val="auto"/>
        </w:rPr>
        <w:t>If recognized, $0.3 million of the Company’s unrecognized tax benefits as of January 29, 2023, would affect the Company’s effective tax rate. The Company does not anticipate that there will be a material change in the balance of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ind w:right="-39"/>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0"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unrecognized tax benefits in the next 12 months. Any interest and penalties related to uncertain tax positions are recorded in income tax expense. There were no material amounts recorded as tax expense for interest or penalties for the years ended January 29, 2032.</w:t>
      </w:r>
    </w:p>
    <w:p>
      <w:pPr>
        <w:spacing w:after="0" w:line="136" w:lineRule="exact"/>
        <w:rPr>
          <w:sz w:val="20"/>
          <w:szCs w:val="20"/>
          <w:color w:val="auto"/>
        </w:rPr>
      </w:pPr>
    </w:p>
    <w:p>
      <w:pPr>
        <w:ind w:firstLine="440"/>
        <w:spacing w:after="0" w:line="250" w:lineRule="auto"/>
        <w:rPr>
          <w:sz w:val="20"/>
          <w:szCs w:val="20"/>
          <w:color w:val="auto"/>
        </w:rPr>
      </w:pPr>
      <w:r>
        <w:rPr>
          <w:rFonts w:ascii="Times New Roman" w:cs="Times New Roman" w:eastAsia="Times New Roman" w:hAnsi="Times New Roman"/>
          <w:sz w:val="18"/>
          <w:szCs w:val="18"/>
          <w:color w:val="auto"/>
        </w:rPr>
        <w:t>The Company files income tax returns in the United States federal jurisdiction and in various state jurisdictions. Federal tax returns for tax year 2019, and state tax returns for tax year 2018, are open for examination.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RETIREMENT PLAN</w:t>
      </w:r>
    </w:p>
    <w:p>
      <w:pPr>
        <w:spacing w:after="0" w:line="175" w:lineRule="exact"/>
        <w:rPr>
          <w:sz w:val="20"/>
          <w:szCs w:val="20"/>
          <w:color w:val="auto"/>
        </w:rPr>
      </w:pPr>
    </w:p>
    <w:p>
      <w:pPr>
        <w:ind w:right="140" w:firstLine="440"/>
        <w:spacing w:after="0" w:line="236" w:lineRule="auto"/>
        <w:rPr>
          <w:sz w:val="20"/>
          <w:szCs w:val="20"/>
          <w:color w:val="auto"/>
        </w:rPr>
      </w:pPr>
      <w:r>
        <w:rPr>
          <w:rFonts w:ascii="Times New Roman" w:cs="Times New Roman" w:eastAsia="Times New Roman" w:hAnsi="Times New Roman"/>
          <w:sz w:val="18"/>
          <w:szCs w:val="18"/>
          <w:color w:val="auto"/>
        </w:rPr>
        <w:t>The Company has a contributory 401(k) profit sharing plan (the “Plan”) which covers all employees who have attained age 21 and who have met minimum service requirements. The Company makes quarterly non-discretionary “safe harbor” matching contributions to the Plan equal to 100% of the basic contribution made by each participant on the first 3% of his or her compensation plus 50% of the basic contribution made by each participant on the next 2% of his or her compensation.</w:t>
      </w:r>
    </w:p>
    <w:p>
      <w:pPr>
        <w:spacing w:after="0" w:line="144" w:lineRule="exact"/>
        <w:rPr>
          <w:sz w:val="20"/>
          <w:szCs w:val="20"/>
          <w:color w:val="auto"/>
        </w:rPr>
      </w:pPr>
    </w:p>
    <w:p>
      <w:pPr>
        <w:ind w:right="60" w:firstLine="440"/>
        <w:spacing w:after="0" w:line="250" w:lineRule="auto"/>
        <w:rPr>
          <w:sz w:val="20"/>
          <w:szCs w:val="20"/>
          <w:color w:val="auto"/>
        </w:rPr>
      </w:pPr>
      <w:r>
        <w:rPr>
          <w:rFonts w:ascii="Times New Roman" w:cs="Times New Roman" w:eastAsia="Times New Roman" w:hAnsi="Times New Roman"/>
          <w:sz w:val="18"/>
          <w:szCs w:val="18"/>
          <w:color w:val="auto"/>
        </w:rPr>
        <w:t>The Company is also permitted to make discretionary profit sharing contributions to the Plan. There were no profit sharing contributions for the plan year ended December 31, 2022.</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total expenses under the Plan were $2.3 million and $2.1 million for fiscal 2022 and fiscal 2021, respectively.</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75" w:lineRule="exact"/>
        <w:rPr>
          <w:sz w:val="20"/>
          <w:szCs w:val="20"/>
          <w:color w:val="auto"/>
        </w:rPr>
      </w:pPr>
    </w:p>
    <w:p>
      <w:pPr>
        <w:ind w:right="20" w:firstLine="440"/>
        <w:spacing w:after="0" w:line="231" w:lineRule="auto"/>
        <w:rPr>
          <w:sz w:val="20"/>
          <w:szCs w:val="20"/>
          <w:color w:val="auto"/>
        </w:rPr>
      </w:pPr>
      <w:r>
        <w:rPr>
          <w:rFonts w:ascii="Times New Roman" w:cs="Times New Roman" w:eastAsia="Times New Roman" w:hAnsi="Times New Roman"/>
          <w:sz w:val="18"/>
          <w:szCs w:val="18"/>
          <w:color w:val="auto"/>
        </w:rPr>
        <w:t>From time to time, the Company becomes involved in lawsuits and other claims arising from its ordinary course of business. Because of the uncertainties related to the incurrence, amount and range of loss on any pending litigation or claim, management is currently unable to predict the ultimate outcome of any litigation or claim, determine whether a liability has been incurred or make an estimate of the reasonably possible liability that could result from an unfavorable outcome. Management believes, after considering a number of factors and the nature of any outstanding litigation or claims, that the outcome will not have a material effect upon the Company’s results of operations, financial condition or cash flows. However, because of the unpredictable nature of these matters, the Company cannot provide any assurances regarding the outcome of any litigation or claim to which it is a party or the impact on it of an adverse ruling in such matters.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Pronouncements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Intangibles – Goodwill and Other – Internal-use Software</w:t>
      </w:r>
    </w:p>
    <w:p>
      <w:pPr>
        <w:spacing w:after="0" w:line="171" w:lineRule="exact"/>
        <w:rPr>
          <w:sz w:val="20"/>
          <w:szCs w:val="20"/>
          <w:color w:val="auto"/>
        </w:rPr>
      </w:pPr>
    </w:p>
    <w:p>
      <w:pPr>
        <w:ind w:right="20" w:firstLine="440"/>
        <w:spacing w:after="0" w:line="230" w:lineRule="auto"/>
        <w:rPr>
          <w:sz w:val="20"/>
          <w:szCs w:val="20"/>
          <w:color w:val="auto"/>
        </w:rPr>
      </w:pPr>
      <w:r>
        <w:rPr>
          <w:rFonts w:ascii="Times New Roman" w:cs="Times New Roman" w:eastAsia="Times New Roman" w:hAnsi="Times New Roman"/>
          <w:sz w:val="18"/>
          <w:szCs w:val="18"/>
          <w:color w:val="auto"/>
        </w:rPr>
        <w:t xml:space="preserve">On February 3, 2020, the Company adopted Accounting Standards Update (“ASU”) No. 2018-15, </w:t>
      </w:r>
      <w:r>
        <w:rPr>
          <w:rFonts w:ascii="Times New Roman" w:cs="Times New Roman" w:eastAsia="Times New Roman" w:hAnsi="Times New Roman"/>
          <w:sz w:val="18"/>
          <w:szCs w:val="18"/>
          <w:i w:val="1"/>
          <w:iCs w:val="1"/>
          <w:color w:val="auto"/>
        </w:rPr>
        <w:t>Intangibles – Goodwill and Other – Internal-Use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Software (Subtopic 350-40) </w:t>
      </w:r>
      <w:r>
        <w:rPr>
          <w:rFonts w:ascii="Times New Roman" w:cs="Times New Roman" w:eastAsia="Times New Roman" w:hAnsi="Times New Roman"/>
          <w:sz w:val="18"/>
          <w:szCs w:val="18"/>
          <w:color w:val="auto"/>
        </w:rPr>
        <w:t>(“ASU 2018-15”) which provides additional guidance on the accounting for costs of implementation activities performed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cloud computing arrangement that is a service contract. ASU 2018-15 requires a customer in a cloud computing arrangement that is a service contract to follow the new internal-use software guidance to determine which implementation costs to capitalize as assets or expense as incurred. The new internal-use software guidance requires that certain costs incurred during the application development stage be capitalized and other costs incurred during the preliminary project and post-implementation stages be expensed as they are incurred. The Company adopted ASU 2018-15 using the prospective method. In fiscal 2022 and 2021, $9.2 million and $4.4 million of capitalized costs associated with implementation activities, net of amortization are classified within Prepaid expenses &amp; other current assets on the Company’s Consolidated Balance Sheets, respectively, and $3.6 million and $1.8 million of related amortization costs are included in Selling, general and administrative expenses on the Company’s Consolidated Statement of Operations,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 Not Yet Adopted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Financial Instruments – Credit Losses – Measurement of Credit Losses on Financial Instruments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ind w:right="-19"/>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In June 2016, the FASB issued Accounting Standards Update No. 2016-13 </w:t>
      </w:r>
      <w:r>
        <w:rPr>
          <w:rFonts w:ascii="Times New Roman" w:cs="Times New Roman" w:eastAsia="Times New Roman" w:hAnsi="Times New Roman"/>
          <w:sz w:val="17"/>
          <w:szCs w:val="17"/>
          <w:i w:val="1"/>
          <w:iCs w:val="1"/>
          <w:color w:val="auto"/>
        </w:rPr>
        <w:t>“Financial Instruments-Credit Losses (Topic 326): Measurement of Credit</w:t>
      </w:r>
    </w:p>
    <w:p>
      <w:pPr>
        <w:spacing w:after="0" w:line="29" w:lineRule="exact"/>
        <w:rPr>
          <w:sz w:val="20"/>
          <w:szCs w:val="20"/>
          <w:color w:val="auto"/>
        </w:rPr>
      </w:pPr>
    </w:p>
    <w:p>
      <w:pPr>
        <w:jc w:val="both"/>
        <w:ind w:right="120"/>
        <w:spacing w:after="0" w:line="242" w:lineRule="auto"/>
        <w:rPr>
          <w:sz w:val="20"/>
          <w:szCs w:val="20"/>
          <w:color w:val="auto"/>
        </w:rPr>
      </w:pPr>
      <w:r>
        <w:rPr>
          <w:rFonts w:ascii="Times New Roman" w:cs="Times New Roman" w:eastAsia="Times New Roman" w:hAnsi="Times New Roman"/>
          <w:sz w:val="17"/>
          <w:szCs w:val="17"/>
          <w:i w:val="1"/>
          <w:iCs w:val="1"/>
          <w:color w:val="auto"/>
        </w:rPr>
        <w:t xml:space="preserve">Losses on Financial Instruments,” </w:t>
      </w:r>
      <w:r>
        <w:rPr>
          <w:rFonts w:ascii="Times New Roman" w:cs="Times New Roman" w:eastAsia="Times New Roman" w:hAnsi="Times New Roman"/>
          <w:sz w:val="17"/>
          <w:szCs w:val="17"/>
          <w:color w:val="auto"/>
        </w:rPr>
        <w:t>(“ASU 2016-13”), which amends the impairment model by requiring entities to use a forward-looking approach 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expected losses to estimate credit losses on certain types of financial instruments, which include trade and other receivables, loans and held-to-maturity debt securities, to record an allowance for credit risk based on expected losses rather than incurred losses, otherwise known as “CECL”. In addition, this</w:t>
      </w:r>
    </w:p>
    <w:p>
      <w:pPr>
        <w:spacing w:after="0" w:line="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 xml:space="preserve">guidance changes the recognition for credit losses on available-for-sale debt securities, which can occur as a result of market and credit risk and requires additional disclosures. On November 15, 2019, the FASB issued ASU No. 2019-10 </w:t>
      </w:r>
      <w:r>
        <w:rPr>
          <w:rFonts w:ascii="Times New Roman" w:cs="Times New Roman" w:eastAsia="Times New Roman" w:hAnsi="Times New Roman"/>
          <w:sz w:val="17"/>
          <w:szCs w:val="17"/>
          <w:i w:val="1"/>
          <w:iCs w:val="1"/>
          <w:color w:val="auto"/>
        </w:rPr>
        <w:t>“Financial Instruments-Credit Losses (Topic 326), Derivatives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Hedging (Topic 815, and Leases (Topic 842),” </w:t>
      </w:r>
      <w:r>
        <w:rPr>
          <w:rFonts w:ascii="Times New Roman" w:cs="Times New Roman" w:eastAsia="Times New Roman" w:hAnsi="Times New Roman"/>
          <w:sz w:val="17"/>
          <w:szCs w:val="17"/>
          <w:color w:val="auto"/>
        </w:rPr>
        <w:t>(ASU 2019-10”), which provides framework to stagger effective dates for future major accounting standards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amends the effective dates for certain major new accounting standards to give implementation relief to certain types of entities. ASU 2019-10 amends the effective dates for ASU 2016-13 for smaller reporting companies with fiscal years beginning after December 15, 2022, and interim periods within those years. The Company adopted ASU 2016-13 on January 30, 2023, the first day of the Company’s first quarter for the fiscal year ending January 28, 2024, the Company’s fiscal year 2023. The Company not expect this standard to have a material impact on the Company’s consolidated financial statements.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left="4520"/>
        <w:spacing w:after="0" w:line="237" w:lineRule="auto"/>
        <w:rPr>
          <w:sz w:val="20"/>
          <w:szCs w:val="20"/>
          <w:color w:val="auto"/>
        </w:rPr>
      </w:pPr>
      <w:r>
        <w:rPr>
          <w:rFonts w:ascii="Times New Roman" w:cs="Times New Roman" w:eastAsia="Times New Roman" w:hAnsi="Times New Roman"/>
          <w:sz w:val="18"/>
          <w:szCs w:val="18"/>
          <w:b w:val="1"/>
          <w:bCs w:val="1"/>
          <w:color w:val="auto"/>
        </w:rPr>
        <w:t>DULUTH HOLDINGS INC.</w:t>
      </w:r>
    </w:p>
    <w:p>
      <w:pPr>
        <w:ind w:left="5120"/>
        <w:spacing w:after="0" w:line="219" w:lineRule="auto"/>
        <w:rPr>
          <w:sz w:val="20"/>
          <w:szCs w:val="20"/>
          <w:color w:val="auto"/>
        </w:rPr>
      </w:pPr>
      <w:r>
        <w:rPr>
          <w:rFonts w:ascii="Times New Roman" w:cs="Times New Roman" w:eastAsia="Times New Roman" w:hAnsi="Times New Roman"/>
          <w:sz w:val="18"/>
          <w:szCs w:val="18"/>
          <w:b w:val="1"/>
          <w:bCs w:val="1"/>
          <w:color w:val="auto"/>
        </w:rPr>
        <w:t>SCHEDULE II</w:t>
      </w:r>
    </w:p>
    <w:p>
      <w:pPr>
        <w:ind w:left="3740"/>
        <w:spacing w:after="0" w:line="235" w:lineRule="auto"/>
        <w:rPr>
          <w:sz w:val="20"/>
          <w:szCs w:val="20"/>
          <w:color w:val="auto"/>
        </w:rPr>
      </w:pPr>
      <w:r>
        <w:rPr>
          <w:rFonts w:ascii="Times New Roman" w:cs="Times New Roman" w:eastAsia="Times New Roman" w:hAnsi="Times New Roman"/>
          <w:sz w:val="18"/>
          <w:szCs w:val="18"/>
          <w:b w:val="1"/>
          <w:bCs w:val="1"/>
          <w:color w:val="auto"/>
        </w:rPr>
        <w:t>VALUATION AND QUALIFYING ACCOUNTS</w:t>
      </w:r>
    </w:p>
    <w:p>
      <w:pPr>
        <w:ind w:left="3300"/>
        <w:spacing w:after="0" w:line="219" w:lineRule="auto"/>
        <w:rPr>
          <w:sz w:val="20"/>
          <w:szCs w:val="20"/>
          <w:color w:val="auto"/>
        </w:rPr>
      </w:pPr>
      <w:r>
        <w:rPr>
          <w:rFonts w:ascii="Times New Roman" w:cs="Times New Roman" w:eastAsia="Times New Roman" w:hAnsi="Times New Roman"/>
          <w:sz w:val="18"/>
          <w:szCs w:val="18"/>
          <w:b w:val="1"/>
          <w:bCs w:val="1"/>
          <w:color w:val="auto"/>
        </w:rPr>
        <w:t>For the Years Ended January 29, 2023 and January 30, 2022</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2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Cost and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Ending</w:t>
            </w:r>
          </w:p>
        </w:tc>
      </w:tr>
      <w:tr>
        <w:trPr>
          <w:trHeight w:val="199"/>
        </w:trPr>
        <w:tc>
          <w:tcPr>
            <w:tcW w:w="2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80" w:type="dxa"/>
            <w:vAlign w:val="bottom"/>
          </w:tcPr>
          <w:p>
            <w:pPr>
              <w:spacing w:after="0"/>
              <w:rPr>
                <w:sz w:val="17"/>
                <w:szCs w:val="17"/>
                <w:color w:val="auto"/>
              </w:rPr>
            </w:pPr>
          </w:p>
        </w:tc>
        <w:tc>
          <w:tcPr>
            <w:tcW w:w="11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83"/>
        </w:trPr>
        <w:tc>
          <w:tcPr>
            <w:tcW w:w="27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Inventory reserve</w:t>
            </w:r>
          </w:p>
        </w:tc>
        <w:tc>
          <w:tcPr>
            <w:tcW w:w="5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203"/>
        </w:trPr>
        <w:tc>
          <w:tcPr>
            <w:tcW w:w="274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Year ended January 29, 2023</w:t>
            </w:r>
          </w:p>
        </w:tc>
        <w:tc>
          <w:tcPr>
            <w:tcW w:w="78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2,372</w:t>
            </w:r>
          </w:p>
        </w:tc>
        <w:tc>
          <w:tcPr>
            <w:tcW w:w="42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(535)</w:t>
            </w:r>
          </w:p>
        </w:tc>
        <w:tc>
          <w:tcPr>
            <w:tcW w:w="28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1,837</w:t>
            </w:r>
          </w:p>
        </w:tc>
      </w:tr>
      <w:tr>
        <w:trPr>
          <w:trHeight w:val="203"/>
        </w:trPr>
        <w:tc>
          <w:tcPr>
            <w:tcW w:w="274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Year ended January 30, 2022</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1,600</w:t>
            </w:r>
          </w:p>
        </w:tc>
        <w:tc>
          <w:tcPr>
            <w:tcW w:w="42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772</w:t>
            </w:r>
          </w:p>
        </w:tc>
        <w:tc>
          <w:tcPr>
            <w:tcW w:w="4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2,372</w:t>
            </w:r>
          </w:p>
        </w:tc>
      </w:tr>
      <w:tr>
        <w:trPr>
          <w:trHeight w:val="203"/>
        </w:trPr>
        <w:tc>
          <w:tcPr>
            <w:tcW w:w="2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7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Product returns reserve</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274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Year ended January 29, 2023</w:t>
            </w:r>
          </w:p>
        </w:tc>
        <w:tc>
          <w:tcPr>
            <w:tcW w:w="78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5,439</w:t>
            </w:r>
          </w:p>
        </w:tc>
        <w:tc>
          <w:tcPr>
            <w:tcW w:w="42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(271)</w:t>
            </w:r>
          </w:p>
        </w:tc>
        <w:tc>
          <w:tcPr>
            <w:tcW w:w="28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5,168</w:t>
            </w:r>
          </w:p>
        </w:tc>
      </w:tr>
      <w:tr>
        <w:trPr>
          <w:trHeight w:val="203"/>
        </w:trPr>
        <w:tc>
          <w:tcPr>
            <w:tcW w:w="274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Year ended January 30, 2022</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5,304</w:t>
            </w:r>
          </w:p>
        </w:tc>
        <w:tc>
          <w:tcPr>
            <w:tcW w:w="42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135</w:t>
            </w:r>
          </w:p>
        </w:tc>
        <w:tc>
          <w:tcPr>
            <w:tcW w:w="4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5,439</w:t>
            </w: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2" w:lineRule="exact"/>
        <w:rPr>
          <w:sz w:val="20"/>
          <w:szCs w:val="20"/>
          <w:color w:val="auto"/>
        </w:rPr>
      </w:pPr>
    </w:p>
    <w:p>
      <w:pPr>
        <w:ind w:left="1040" w:right="1880" w:hanging="1025"/>
        <w:spacing w:after="0" w:line="266" w:lineRule="auto"/>
        <w:tabs>
          <w:tab w:leader="none" w:pos="102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CHANGES IN AND DISAGREEMENTS WITH ACCOUNTANTS ON ACCOUNTING AND FINANCIAL DISCLOSURE</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74"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9A.</w:t>
      </w:r>
      <w:r>
        <w:rPr>
          <w:sz w:val="20"/>
          <w:szCs w:val="20"/>
          <w:color w:val="auto"/>
        </w:rPr>
        <w:tab/>
      </w:r>
      <w:r>
        <w:rPr>
          <w:rFonts w:ascii="Times New Roman" w:cs="Times New Roman" w:eastAsia="Times New Roman" w:hAnsi="Times New Roman"/>
          <w:sz w:val="17"/>
          <w:szCs w:val="17"/>
          <w:color w:val="auto"/>
        </w:rPr>
        <w:t>CONTROLS AND PROCEDURES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The Company carried out an evaluation, under the supervision of and with the participation of our management, including our Chief Executive Officer and Chief Financial Officer, of the effectiveness of the design and operation of our disclosure controls and procedures at the reasonable assurance level pursuant to Rule 13a-15 of the Exchange Act. Based on this evaluation, our Chief Executive Officer and Chief Financial Officer have concluded that, as of such date, our disclosure controls and procedures were effective at the reasonable assurance level.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75" w:lineRule="exact"/>
        <w:rPr>
          <w:sz w:val="20"/>
          <w:szCs w:val="20"/>
          <w:color w:val="auto"/>
        </w:rPr>
      </w:pPr>
    </w:p>
    <w:p>
      <w:pPr>
        <w:ind w:right="80" w:firstLine="440"/>
        <w:spacing w:after="0" w:line="232"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under the Exchange Act). Management assessed the effectiveness of its internal control over financial reporting as of January 29, 2023. In making this assessment, management used the criteria set forth by the Committee of Sponsoring Organizations of the Treadway Commission (“COSO”) in the Internal Control-Integrated Framework (2013), or the COSO Report. Based on this assessment, management concluded that our internal control over financial reporting is effective as of January 29, 2023.</w:t>
      </w:r>
    </w:p>
    <w:p>
      <w:pPr>
        <w:spacing w:after="0" w:line="147" w:lineRule="exact"/>
        <w:rPr>
          <w:sz w:val="20"/>
          <w:szCs w:val="20"/>
          <w:color w:val="auto"/>
        </w:rPr>
      </w:pPr>
    </w:p>
    <w:p>
      <w:pPr>
        <w:ind w:right="40" w:firstLine="440"/>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ind w:right="180" w:firstLine="440"/>
        <w:spacing w:after="0" w:line="296" w:lineRule="auto"/>
        <w:rPr>
          <w:sz w:val="20"/>
          <w:szCs w:val="20"/>
          <w:color w:val="auto"/>
        </w:rPr>
      </w:pPr>
      <w:r>
        <w:rPr>
          <w:rFonts w:ascii="Times New Roman" w:cs="Times New Roman" w:eastAsia="Times New Roman" w:hAnsi="Times New Roman"/>
          <w:sz w:val="17"/>
          <w:szCs w:val="17"/>
          <w:color w:val="auto"/>
        </w:rPr>
        <w:t>KPMG LLP, an independent registered public accounting firm, has audited the consolidated financial statements included in this Annual Report on Form 10-K and, as part of its audit, has issued an attestation report, included herein, on the effectiveness of our internal control over financial reporting.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right="400" w:firstLine="440"/>
        <w:spacing w:after="0" w:line="24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13a-15(d) and 15d-15(d) under the Exchange Act) that occurred during our fiscal fourth quarter that has materially affected, or is reasonably likely to materially affect, our internal control over financial reporting.</w:t>
      </w:r>
    </w:p>
    <w:p>
      <w:pPr>
        <w:spacing w:after="0" w:line="34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ITEM 9B.</w:t>
      </w:r>
      <w:r>
        <w:rPr>
          <w:sz w:val="20"/>
          <w:szCs w:val="20"/>
          <w:color w:val="auto"/>
        </w:rPr>
        <w:tab/>
      </w:r>
      <w:r>
        <w:rPr>
          <w:rFonts w:ascii="Times New Roman" w:cs="Times New Roman" w:eastAsia="Times New Roman" w:hAnsi="Times New Roman"/>
          <w:sz w:val="17"/>
          <w:szCs w:val="17"/>
          <w:color w:val="auto"/>
        </w:rPr>
        <w:t>OTHER INFORMATION</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ITEM 9C.</w:t>
      </w:r>
      <w:r>
        <w:rPr>
          <w:sz w:val="20"/>
          <w:szCs w:val="20"/>
          <w:color w:val="auto"/>
        </w:rPr>
        <w:tab/>
      </w:r>
      <w:r>
        <w:rPr>
          <w:rFonts w:ascii="Times New Roman" w:cs="Times New Roman" w:eastAsia="Times New Roman" w:hAnsi="Times New Roman"/>
          <w:sz w:val="17"/>
          <w:szCs w:val="17"/>
          <w:color w:val="auto"/>
        </w:rPr>
        <w:t>DISCLOSURE REGARDING FOREIGN JURISDICTIONS THAT PREVENT INSPECTIONS</w:t>
      </w:r>
    </w:p>
    <w:p>
      <w:pPr>
        <w:spacing w:after="0" w:line="3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4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DIRECTORS, EXECUTIVE OFFICERS AND CORPORATE GOVERNANCE</w:t>
      </w:r>
    </w:p>
    <w:p>
      <w:pPr>
        <w:spacing w:after="0" w:line="239" w:lineRule="exact"/>
        <w:rPr>
          <w:sz w:val="20"/>
          <w:szCs w:val="20"/>
          <w:color w:val="auto"/>
        </w:rPr>
      </w:pPr>
    </w:p>
    <w:p>
      <w:pPr>
        <w:ind w:right="360" w:firstLine="440"/>
        <w:spacing w:after="0" w:line="241" w:lineRule="auto"/>
        <w:rPr>
          <w:sz w:val="20"/>
          <w:szCs w:val="20"/>
          <w:color w:val="auto"/>
        </w:rPr>
      </w:pPr>
      <w:r>
        <w:rPr>
          <w:rFonts w:ascii="Times New Roman" w:cs="Times New Roman" w:eastAsia="Times New Roman" w:hAnsi="Times New Roman"/>
          <w:sz w:val="18"/>
          <w:szCs w:val="18"/>
          <w:color w:val="auto"/>
        </w:rPr>
        <w:t>Information required by this Item concerning our directors, audit committee, and audit committee financial experts and compliance with Section 16(a) of the Exchange Act is incorporated by reference to information under the captions “Proposal</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1"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One: Election of Directors” and “Delinquent Section 16(a) Reports” in our definitive proxy statement for our 2023 annual meeting of shareholders to be held on May 25, 2023 (the “Proxy Statement”). It is anticipated that our Proxy Statement will be filed with the Securities and Exchange Commission on or about April 7, 2023.</w:t>
      </w:r>
    </w:p>
    <w:p>
      <w:pPr>
        <w:spacing w:after="0" w:line="130"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directors, officers and employees, including our principal executive officer, principal financial officer and principal accounting officer. We have posted the code of business conduct and ethics on our website at http://ir.duluthtrading.com under the tab “Corporate Governance—Documents &amp; Charters—Code of Business Conduct and Ethics.” We intend to satisfy our disclosure requirements under Item 5.05 of Form 8-K regarding amendments to, or waiver of, any provisions of our code of business conduct and ethics that applies to our principal executive officer, principal financial officer and principal accounting officer and our directors by posting such information to our website.</w:t>
      </w:r>
    </w:p>
    <w:p>
      <w:pPr>
        <w:spacing w:after="0" w:line="144" w:lineRule="exact"/>
        <w:rPr>
          <w:sz w:val="20"/>
          <w:szCs w:val="20"/>
          <w:color w:val="auto"/>
        </w:rPr>
      </w:pPr>
    </w:p>
    <w:p>
      <w:pPr>
        <w:jc w:val="both"/>
        <w:ind w:right="180" w:firstLine="440"/>
        <w:spacing w:after="0" w:line="242" w:lineRule="auto"/>
        <w:rPr>
          <w:sz w:val="20"/>
          <w:szCs w:val="20"/>
          <w:color w:val="auto"/>
        </w:rPr>
      </w:pPr>
      <w:r>
        <w:rPr>
          <w:rFonts w:ascii="Times New Roman" w:cs="Times New Roman" w:eastAsia="Times New Roman" w:hAnsi="Times New Roman"/>
          <w:sz w:val="18"/>
          <w:szCs w:val="18"/>
          <w:color w:val="auto"/>
        </w:rPr>
        <w:t>Our code of business conduct and ethics is available in print for any shareholder who requests it by writing to: Secretary, Duluth Holdings Inc., 201 East Front Street, Mount Horeb, Wisconsin, 53572. We are not including the information available on or through our website as part of, or incorporating such information by reference into, this Annual Report on Form 10-K.</w:t>
      </w:r>
    </w:p>
    <w:p>
      <w:pPr>
        <w:spacing w:after="0" w:line="13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Pursuant to General Instruction G(3), certain information with respect to our executive officers is set forth under the caption “Information about Our Executive Officers” as of March 17, 2023 in this Annual Report on Form 10-K.</w:t>
      </w:r>
    </w:p>
    <w:p>
      <w:pPr>
        <w:spacing w:after="0" w:line="3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11.</w:t>
      </w:r>
      <w:r>
        <w:rPr>
          <w:sz w:val="20"/>
          <w:szCs w:val="20"/>
          <w:color w:val="auto"/>
        </w:rPr>
        <w:tab/>
      </w:r>
      <w:r>
        <w:rPr>
          <w:rFonts w:ascii="Times New Roman" w:cs="Times New Roman" w:eastAsia="Times New Roman" w:hAnsi="Times New Roman"/>
          <w:sz w:val="17"/>
          <w:szCs w:val="17"/>
          <w:color w:val="auto"/>
        </w:rPr>
        <w:t>EXECUTIVE COMPENSATION</w:t>
      </w:r>
    </w:p>
    <w:p>
      <w:pPr>
        <w:spacing w:after="0" w:line="22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the sections of the Proxy Statement entitled “Executive Compensation,” “Director Compensation,” and “Compensation Committee Interlocks and Insider Participation.”</w:t>
      </w:r>
    </w:p>
    <w:p>
      <w:pPr>
        <w:spacing w:after="0" w:line="324" w:lineRule="exact"/>
        <w:rPr>
          <w:sz w:val="20"/>
          <w:szCs w:val="20"/>
          <w:color w:val="auto"/>
        </w:rPr>
      </w:pPr>
    </w:p>
    <w:p>
      <w:pPr>
        <w:ind w:left="1080" w:right="2160" w:hanging="1065"/>
        <w:spacing w:after="0" w:line="250" w:lineRule="auto"/>
        <w:tabs>
          <w:tab w:leader="none" w:pos="1060" w:val="left"/>
        </w:tabs>
        <w:rPr>
          <w:sz w:val="20"/>
          <w:szCs w:val="20"/>
          <w:color w:val="auto"/>
        </w:rPr>
      </w:pPr>
      <w:r>
        <w:rPr>
          <w:rFonts w:ascii="Times New Roman" w:cs="Times New Roman" w:eastAsia="Times New Roman" w:hAnsi="Times New Roman"/>
          <w:sz w:val="18"/>
          <w:szCs w:val="18"/>
          <w:color w:val="auto"/>
        </w:rPr>
        <w:t>ITEM 12.</w:t>
      </w:r>
      <w:r>
        <w:rPr>
          <w:sz w:val="20"/>
          <w:szCs w:val="20"/>
          <w:color w:val="auto"/>
        </w:rPr>
        <w:tab/>
      </w:r>
      <w:r>
        <w:rPr>
          <w:rFonts w:ascii="Times New Roman" w:cs="Times New Roman" w:eastAsia="Times New Roman" w:hAnsi="Times New Roman"/>
          <w:sz w:val="18"/>
          <w:szCs w:val="18"/>
          <w:color w:val="auto"/>
        </w:rPr>
        <w:t>SECURITY OWNERSHIP OF CERTAIN BENEFICIAL OWNERS AND MANAGEMENT AND RELATED SHAREHOLDER MATTERS</w:t>
      </w:r>
    </w:p>
    <w:p>
      <w:pPr>
        <w:spacing w:after="0" w:line="230" w:lineRule="exact"/>
        <w:rPr>
          <w:sz w:val="20"/>
          <w:szCs w:val="20"/>
          <w:color w:val="auto"/>
        </w:rPr>
      </w:pPr>
    </w:p>
    <w:p>
      <w:pPr>
        <w:ind w:right="640" w:firstLine="440"/>
        <w:spacing w:after="0" w:line="250"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the sections of the Proxy Statement entitled “Security Ownership of Certain Beneficial Owners.”</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217"/>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100" w:type="dxa"/>
            <w:vAlign w:val="bottom"/>
          </w:tcPr>
          <w:p>
            <w:pPr>
              <w:jc w:val="center"/>
              <w:spacing w:after="0" w:line="218" w:lineRule="exact"/>
              <w:rPr>
                <w:sz w:val="20"/>
                <w:szCs w:val="20"/>
                <w:color w:val="auto"/>
              </w:rPr>
            </w:pPr>
            <w:r>
              <w:rPr>
                <w:rFonts w:ascii="Times New Roman" w:cs="Times New Roman" w:eastAsia="Times New Roman" w:hAnsi="Times New Roman"/>
                <w:sz w:val="14"/>
                <w:szCs w:val="14"/>
                <w:b w:val="1"/>
                <w:bCs w:val="1"/>
                <w:color w:val="auto"/>
                <w:w w:val="99"/>
              </w:rPr>
              <w:t>reflected in first column)</w:t>
            </w:r>
            <w:r>
              <w:rPr>
                <w:rFonts w:ascii="Times New Roman" w:cs="Times New Roman" w:eastAsia="Times New Roman" w:hAnsi="Times New Roman"/>
                <w:sz w:val="23"/>
                <w:szCs w:val="23"/>
                <w:b w:val="1"/>
                <w:bCs w:val="1"/>
                <w:color w:val="auto"/>
                <w:w w:val="99"/>
                <w:vertAlign w:val="superscript"/>
              </w:rPr>
              <w:t>(1)</w:t>
            </w:r>
          </w:p>
        </w:tc>
        <w:tc>
          <w:tcPr>
            <w:tcW w:w="0" w:type="dxa"/>
            <w:vAlign w:val="bottom"/>
          </w:tcPr>
          <w:p>
            <w:pPr>
              <w:spacing w:after="0"/>
              <w:rPr>
                <w:sz w:val="1"/>
                <w:szCs w:val="1"/>
                <w:color w:val="auto"/>
              </w:rPr>
            </w:pPr>
          </w:p>
        </w:tc>
      </w:tr>
      <w:tr>
        <w:trPr>
          <w:trHeight w:val="205"/>
        </w:trPr>
        <w:tc>
          <w:tcPr>
            <w:tcW w:w="50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1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by security holders</w:t>
            </w:r>
          </w:p>
        </w:tc>
        <w:tc>
          <w:tcPr>
            <w:tcW w:w="19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3,311,148</w:t>
            </w:r>
          </w:p>
        </w:tc>
        <w:tc>
          <w:tcPr>
            <w:tcW w:w="0" w:type="dxa"/>
            <w:vAlign w:val="bottom"/>
          </w:tcPr>
          <w:p>
            <w:pPr>
              <w:spacing w:after="0"/>
              <w:rPr>
                <w:sz w:val="1"/>
                <w:szCs w:val="1"/>
                <w:color w:val="auto"/>
              </w:rPr>
            </w:pPr>
          </w:p>
        </w:tc>
      </w:tr>
      <w:tr>
        <w:trPr>
          <w:trHeight w:val="188"/>
        </w:trPr>
        <w:tc>
          <w:tcPr>
            <w:tcW w:w="50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Equity compensation plans not approved</w:t>
            </w: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00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by security holders</w:t>
            </w:r>
            <w:r>
              <w:rPr>
                <w:rFonts w:ascii="Times New Roman" w:cs="Times New Roman" w:eastAsia="Times New Roman" w:hAnsi="Times New Roman"/>
                <w:sz w:val="29"/>
                <w:szCs w:val="29"/>
                <w:color w:val="auto"/>
                <w:vertAlign w:val="superscript"/>
              </w:rPr>
              <w:t>(2)</w:t>
            </w: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500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top w:val="single" w:sz="8" w:color="auto"/>
              <w:bottom w:val="single" w:sz="8" w:color="auto"/>
            </w:tcBorders>
            <w:shd w:val="clear" w:color="auto" w:fill="CCEEFF"/>
          </w:tcPr>
          <w:p>
            <w:pPr>
              <w:ind w:left="16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ind w:left="15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3,311,148</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w:t>
            </w: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00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2,083,756 shares are available under the Company’s 2015 Equity Incentive Plan and 1,227,392 shares are available under the Company’s Employee Stock Purchase Plan.</w:t>
      </w:r>
    </w:p>
    <w:p>
      <w:pPr>
        <w:spacing w:after="0" w:line="9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existing equity compensation plans have been approved by shareholders.</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13.</w:t>
      </w:r>
      <w:r>
        <w:rPr>
          <w:sz w:val="20"/>
          <w:szCs w:val="20"/>
          <w:color w:val="auto"/>
        </w:rPr>
        <w:tab/>
      </w:r>
      <w:r>
        <w:rPr>
          <w:rFonts w:ascii="Times New Roman" w:cs="Times New Roman" w:eastAsia="Times New Roman" w:hAnsi="Times New Roman"/>
          <w:sz w:val="17"/>
          <w:szCs w:val="17"/>
          <w:color w:val="auto"/>
        </w:rPr>
        <w:t>CERTAIN RELATIONSHIPS AND RELATED TRANSACTIONS AND DIRECTOR INDEPENDENCE</w:t>
      </w:r>
    </w:p>
    <w:p>
      <w:pPr>
        <w:spacing w:after="0" w:line="225"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the sections of the Proxy Statement entitled “Certain Relationships and Related Party Transactions” and “Proposal One: Election of Directors.”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14.</w:t>
      </w:r>
      <w:r>
        <w:rPr>
          <w:sz w:val="20"/>
          <w:szCs w:val="20"/>
          <w:color w:val="auto"/>
        </w:rPr>
        <w:tab/>
      </w:r>
      <w:r>
        <w:rPr>
          <w:rFonts w:ascii="Times New Roman" w:cs="Times New Roman" w:eastAsia="Times New Roman" w:hAnsi="Times New Roman"/>
          <w:sz w:val="17"/>
          <w:szCs w:val="17"/>
          <w:color w:val="auto"/>
        </w:rPr>
        <w:t>PRINCIPAL ACCOUNTANT FEES AND SERVICES</w:t>
      </w:r>
    </w:p>
    <w:p>
      <w:pPr>
        <w:spacing w:after="0" w:line="2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required by this Item is incorporated by reference to the section of the Proxy Statement entitled “Audit Committee Report.”</w:t>
      </w:r>
    </w:p>
    <w:p>
      <w:pPr>
        <w:spacing w:after="0" w:line="18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108" w:right="1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7"/>
          <w:szCs w:val="17"/>
          <w:color w:val="auto"/>
        </w:rPr>
        <w:t>EXHIBITS, FINANCIAL STATEMENTS AND SCHEDULE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Financial Statement Schedule</w:t>
      </w:r>
    </w:p>
    <w:p>
      <w:pPr>
        <w:spacing w:after="0" w:line="175" w:lineRule="exact"/>
        <w:rPr>
          <w:sz w:val="20"/>
          <w:szCs w:val="20"/>
          <w:color w:val="auto"/>
        </w:rPr>
      </w:pPr>
    </w:p>
    <w:p>
      <w:pPr>
        <w:jc w:val="both"/>
        <w:ind w:right="180" w:firstLine="440"/>
        <w:spacing w:after="0" w:line="242" w:lineRule="auto"/>
        <w:rPr>
          <w:sz w:val="20"/>
          <w:szCs w:val="20"/>
          <w:color w:val="auto"/>
        </w:rPr>
      </w:pPr>
      <w:r>
        <w:rPr>
          <w:rFonts w:ascii="Times New Roman" w:cs="Times New Roman" w:eastAsia="Times New Roman" w:hAnsi="Times New Roman"/>
          <w:sz w:val="18"/>
          <w:szCs w:val="18"/>
          <w:color w:val="auto"/>
        </w:rPr>
        <w:t>See “Index to Consolidated Financial Statements” in Part II, Item 8 of this Annual Report on Form 10-K. Schedule II is included in Part II, Item 8. All other 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exhibits listed in the accompanying index to exhibits are filed or incorporated as part of this Annual Report on Form 10-K.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20" w:type="dxa"/>
            <w:vAlign w:val="bottom"/>
            <w:gridSpan w:val="22"/>
          </w:tcPr>
          <w:p>
            <w:pPr>
              <w:jc w:val="center"/>
              <w:ind w:right="4340"/>
              <w:spacing w:after="0"/>
              <w:rPr>
                <w:sz w:val="20"/>
                <w:szCs w:val="20"/>
                <w:color w:val="auto"/>
              </w:rPr>
            </w:pPr>
            <w:r>
              <w:rPr>
                <w:rFonts w:ascii="Times New Roman" w:cs="Times New Roman" w:eastAsia="Times New Roman" w:hAnsi="Times New Roman"/>
                <w:sz w:val="18"/>
                <w:szCs w:val="18"/>
                <w:color w:val="auto"/>
                <w:w w:val="99"/>
              </w:rPr>
              <w:t>E</w:t>
            </w:r>
            <w:r>
              <w:rPr>
                <w:rFonts w:ascii="Times New Roman" w:cs="Times New Roman" w:eastAsia="Times New Roman" w:hAnsi="Times New Roman"/>
                <w:sz w:val="18"/>
                <w:szCs w:val="18"/>
                <w:b w:val="1"/>
                <w:bCs w:val="1"/>
                <w:color w:val="auto"/>
                <w:w w:val="99"/>
              </w:rPr>
              <w:t>XHIBIT INDEX</w:t>
            </w:r>
          </w:p>
        </w:tc>
      </w:tr>
      <w:tr>
        <w:trPr>
          <w:trHeight w:val="418"/>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19"/>
                <w:szCs w:val="19"/>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Amended and Restated Articles of Incorporation of Duluth Holdings Inc., incorporated by reference to Exhibit 3.1 of Pre-Effective</w:t>
              </w:r>
            </w:hyperlink>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0" w:type="dxa"/>
            <w:vAlign w:val="bottom"/>
            <w:tcBorders>
              <w:top w:val="single" w:sz="8" w:color="0000FF"/>
              <w:bottom w:val="single" w:sz="8" w:color="0000FF"/>
            </w:tcBorders>
            <w:gridSpan w:val="14"/>
          </w:tcPr>
          <w:p>
            <w:pPr>
              <w:spacing w:after="0" w:line="182"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Amendment No. 2 to the Company’s Registration Statement on Form S-1 (File No. 333-207300), filed November 9, 2015.</w:t>
              </w:r>
            </w:hyperlink>
          </w:p>
        </w:tc>
        <w:tc>
          <w:tcPr>
            <w:tcW w:w="20" w:type="dxa"/>
            <w:vAlign w:val="bottom"/>
            <w:tcBorders>
              <w:top w:val="single" w:sz="8" w:color="0000FF"/>
              <w:bottom w:val="single" w:sz="8" w:color="0000EE"/>
            </w:tcBorders>
          </w:tcPr>
          <w:p>
            <w:pPr>
              <w:spacing w:after="0"/>
              <w:rPr>
                <w:sz w:val="15"/>
                <w:szCs w:val="15"/>
                <w:color w:val="auto"/>
              </w:rPr>
            </w:pPr>
          </w:p>
        </w:tc>
        <w:tc>
          <w:tcPr>
            <w:tcW w:w="640" w:type="dxa"/>
            <w:vAlign w:val="bottom"/>
            <w:tcBorders>
              <w:top w:val="single" w:sz="8" w:color="0000FF"/>
            </w:tcBorders>
            <w:gridSpan w:val="3"/>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24"/>
                <w:szCs w:val="24"/>
                <w:color w:val="auto"/>
              </w:rPr>
            </w:pPr>
          </w:p>
        </w:tc>
        <w:tc>
          <w:tcPr>
            <w:tcW w:w="9840" w:type="dxa"/>
            <w:vAlign w:val="bottom"/>
            <w:gridSpan w:val="27"/>
          </w:tcPr>
          <w:p>
            <w:pPr>
              <w:spacing w:after="0"/>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Amended and Restated Bylaws of Duluth Holdings Inc., incorporated by reference to Exhibit 3.2 of the Pre-Effective Amendment No. 2</w:t>
              </w:r>
            </w:hyperlink>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20" w:type="dxa"/>
            <w:vAlign w:val="bottom"/>
            <w:tcBorders>
              <w:top w:val="single" w:sz="8" w:color="0000FF"/>
              <w:bottom w:val="single" w:sz="8" w:color="0000FF"/>
            </w:tcBorders>
            <w:gridSpan w:val="10"/>
          </w:tcPr>
          <w:p>
            <w:pPr>
              <w:spacing w:after="0" w:line="182"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to the Company’s Registration Statement on Form S-1 (File No. 333-207300), filed November 9, 2015.</w:t>
              </w:r>
            </w:hyperlink>
          </w:p>
        </w:tc>
        <w:tc>
          <w:tcPr>
            <w:tcW w:w="2420" w:type="dxa"/>
            <w:vAlign w:val="bottom"/>
            <w:tcBorders>
              <w:top w:val="single" w:sz="8" w:color="0000FF"/>
            </w:tcBorders>
            <w:gridSpan w:val="17"/>
          </w:tcPr>
          <w:p>
            <w:pPr>
              <w:spacing w:after="0"/>
              <w:rPr>
                <w:sz w:val="15"/>
                <w:szCs w:val="15"/>
                <w:color w:val="auto"/>
              </w:rPr>
            </w:pPr>
          </w:p>
        </w:tc>
      </w:tr>
      <w:tr>
        <w:trPr>
          <w:trHeight w:val="46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24"/>
                <w:szCs w:val="24"/>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Description of Registrant’s Securities.</w:t>
              </w:r>
            </w:hyperlink>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580" w:type="dxa"/>
            <w:vAlign w:val="bottom"/>
          </w:tcPr>
          <w:p>
            <w:pPr>
              <w:spacing w:after="0"/>
              <w:rPr>
                <w:sz w:val="18"/>
                <w:szCs w:val="18"/>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Voting Trust Agreement, dated November 1, 2021, by and between Stephen L. Schlecht, as trustee, and Duluth Holdings Inc.,</w:t>
              </w:r>
            </w:hyperlink>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98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incorporated by reference to Exhibit 9.1 of the Company’s Annual Report on Form 10-K filed March 25, 2022.</w:t>
              </w:r>
            </w:hyperlink>
          </w:p>
        </w:tc>
        <w:tc>
          <w:tcPr>
            <w:tcW w:w="20" w:type="dxa"/>
            <w:vAlign w:val="bottom"/>
            <w:tcBorders>
              <w:top w:val="single" w:sz="8" w:color="0000FF"/>
              <w:bottom w:val="single" w:sz="8" w:color="0000EE"/>
            </w:tcBorders>
          </w:tcPr>
          <w:p>
            <w:pPr>
              <w:spacing w:after="0"/>
              <w:rPr>
                <w:sz w:val="15"/>
                <w:szCs w:val="15"/>
                <w:color w:val="auto"/>
              </w:rPr>
            </w:pPr>
          </w:p>
        </w:tc>
        <w:tc>
          <w:tcPr>
            <w:tcW w:w="1060" w:type="dxa"/>
            <w:vAlign w:val="bottom"/>
            <w:tcBorders>
              <w:top w:val="single" w:sz="8" w:color="0000FF"/>
            </w:tcBorders>
            <w:gridSpan w:val="4"/>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Summary of Outside Director Compensation Program incorporated by reference to Exhibit 10.3 of the Company’s Quarterly Report on</w:t>
              </w:r>
            </w:hyperlink>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740" w:type="dxa"/>
            <w:vAlign w:val="bottom"/>
            <w:tcBorders>
              <w:top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Form 10-Q filed June 3, 2022.</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58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2015 Equity Incentive Plan of Duluth Holdings Inc., incorporated by reference to Exhibit 10.7 of the Company’s Quarterly Report on</w:t>
              </w:r>
            </w:hyperlink>
          </w:p>
        </w:tc>
      </w:tr>
      <w:tr>
        <w:trPr>
          <w:trHeight w:val="182"/>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4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Form 10-Q, filed December 18, 2015.</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80" w:type="dxa"/>
            <w:vAlign w:val="bottom"/>
          </w:tcPr>
          <w:p>
            <w:pPr>
              <w:spacing w:after="0"/>
              <w:rPr>
                <w:sz w:val="20"/>
                <w:szCs w:val="20"/>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Form of Restricted Stock Agreement for non-employee directors under the 2015 Equity Incentive Plan, incorporated by reference to</w:t>
              </w:r>
            </w:hyperlink>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56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Exhibit 10.17 of the Company’s Registration Statement on Form S-1 (File No. 333-207300), filed October 6, 2015.</w:t>
              </w:r>
            </w:hyperlink>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0" w:type="dxa"/>
            <w:vAlign w:val="bottom"/>
            <w:tcBorders>
              <w:right w:val="single" w:sz="8" w:color="0000EE"/>
            </w:tcBorders>
            <w:gridSpan w:val="4"/>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Commercial Lease between Schlecht Retail Ventures LLC and Duluth Holdings Inc., dated February 14, 2010 (100 West Main Street,</w:t>
              </w:r>
            </w:hyperlink>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80" w:type="dxa"/>
            <w:vAlign w:val="bottom"/>
            <w:gridSpan w:val="8"/>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20" w:type="dxa"/>
            <w:vAlign w:val="bottom"/>
            <w:tcBorders>
              <w:bottom w:val="single" w:sz="8" w:color="0000FF"/>
            </w:tcBorders>
            <w:gridSpan w:val="26"/>
          </w:tcPr>
          <w:p>
            <w:pPr>
              <w:spacing w:after="0" w:line="182"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Mt. Horeb, Wisconsin), incorporated by reference to Exhibit 10.19 of the Company’s Registration Statement on Form S-1 (File No. 333-</w:t>
              </w:r>
            </w:hyperlink>
          </w:p>
        </w:tc>
        <w:tc>
          <w:tcPr>
            <w:tcW w:w="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20" w:type="dxa"/>
            <w:vAlign w:val="bottom"/>
            <w:gridSpan w:val="26"/>
          </w:tcPr>
          <w:p>
            <w:pPr>
              <w:spacing w:after="0" w:line="182"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207300)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October 6, 2015.</w:t>
              </w:r>
            </w:hyperlink>
          </w:p>
        </w:tc>
        <w:tc>
          <w:tcPr>
            <w:tcW w:w="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7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80" w:type="dxa"/>
            <w:vAlign w:val="bottom"/>
          </w:tcPr>
          <w:p>
            <w:pPr>
              <w:spacing w:after="0"/>
              <w:rPr>
                <w:sz w:val="24"/>
                <w:szCs w:val="24"/>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Retail Space Lease between LDC-728 Milwaukee, LLC and Duluth Holdings Inc., dated January 23, 2012 (108 North Franklin Street,</w:t>
              </w:r>
            </w:hyperlink>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70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Port Washington, Wisconsin), incorporated by reference to Exhibit 10.20 of the Company’s Registration Statement on Form S-1 (File</w:t>
              </w:r>
            </w:hyperlink>
          </w:p>
        </w:tc>
        <w:tc>
          <w:tcPr>
            <w:tcW w:w="140" w:type="dxa"/>
            <w:vAlign w:val="bottom"/>
            <w:gridSpan w:val="3"/>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900" w:type="dxa"/>
            <w:vAlign w:val="bottom"/>
            <w:tcBorders>
              <w:top w:val="single" w:sz="8" w:color="0000FF"/>
              <w:bottom w:val="single" w:sz="8" w:color="0000FF"/>
            </w:tcBorders>
            <w:gridSpan w:val="4"/>
          </w:tcPr>
          <w:p>
            <w:pPr>
              <w:spacing w:after="0" w:line="182" w:lineRule="exact"/>
              <w:rPr>
                <w:rFonts w:ascii="Times New Roman" w:cs="Times New Roman" w:eastAsia="Times New Roman" w:hAnsi="Times New Roman"/>
                <w:sz w:val="18"/>
                <w:szCs w:val="18"/>
                <w:color w:val="0000FF"/>
                <w:w w:val="98"/>
              </w:rPr>
            </w:pPr>
            <w:hyperlink r:id="rId88">
              <w:r>
                <w:rPr>
                  <w:rFonts w:ascii="Times New Roman" w:cs="Times New Roman" w:eastAsia="Times New Roman" w:hAnsi="Times New Roman"/>
                  <w:sz w:val="18"/>
                  <w:szCs w:val="18"/>
                  <w:color w:val="0000FF"/>
                  <w:w w:val="98"/>
                </w:rPr>
                <w:t>No. 333-207300), filed October 6, 2015.</w:t>
              </w:r>
            </w:hyperlink>
          </w:p>
        </w:tc>
        <w:tc>
          <w:tcPr>
            <w:tcW w:w="20" w:type="dxa"/>
            <w:vAlign w:val="bottom"/>
            <w:tcBorders>
              <w:top w:val="single" w:sz="8" w:color="0000FF"/>
              <w:bottom w:val="single" w:sz="8" w:color="0000EE"/>
            </w:tcBorders>
          </w:tcPr>
          <w:p>
            <w:pPr>
              <w:spacing w:after="0"/>
              <w:rPr>
                <w:sz w:val="15"/>
                <w:szCs w:val="15"/>
                <w:color w:val="auto"/>
              </w:rPr>
            </w:pPr>
          </w:p>
        </w:tc>
        <w:tc>
          <w:tcPr>
            <w:tcW w:w="6700" w:type="dxa"/>
            <w:vAlign w:val="bottom"/>
            <w:tcBorders>
              <w:top w:val="single" w:sz="8" w:color="0000FF"/>
            </w:tcBorders>
            <w:gridSpan w:val="16"/>
          </w:tcPr>
          <w:p>
            <w:pPr>
              <w:spacing w:after="0"/>
              <w:rPr>
                <w:sz w:val="15"/>
                <w:szCs w:val="15"/>
                <w:color w:val="auto"/>
              </w:rPr>
            </w:pPr>
          </w:p>
        </w:tc>
        <w:tc>
          <w:tcPr>
            <w:tcW w:w="60" w:type="dxa"/>
            <w:vAlign w:val="bottom"/>
            <w:gridSpan w:val="2"/>
          </w:tcPr>
          <w:p>
            <w:pPr>
              <w:spacing w:after="0"/>
              <w:rPr>
                <w:sz w:val="15"/>
                <w:szCs w:val="15"/>
                <w:color w:val="auto"/>
              </w:rPr>
            </w:pPr>
          </w:p>
        </w:tc>
        <w:tc>
          <w:tcPr>
            <w:tcW w:w="160" w:type="dxa"/>
            <w:vAlign w:val="bottom"/>
            <w:gridSpan w:val="4"/>
          </w:tcPr>
          <w:p>
            <w:pPr>
              <w:spacing w:after="0"/>
              <w:rPr>
                <w:sz w:val="15"/>
                <w:szCs w:val="15"/>
                <w:color w:val="auto"/>
              </w:rPr>
            </w:pPr>
          </w:p>
        </w:tc>
      </w:tr>
      <w:tr>
        <w:trPr>
          <w:trHeight w:val="21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80" w:type="dxa"/>
            <w:vAlign w:val="bottom"/>
          </w:tcPr>
          <w:p>
            <w:pPr>
              <w:spacing w:after="0"/>
              <w:rPr>
                <w:sz w:val="18"/>
                <w:szCs w:val="18"/>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First Amendment to Retail Lease between LDC-728 Milwaukee, LLC and Duluth Holdings Inc., dated January 23, 2012 (108 North</w:t>
              </w:r>
            </w:hyperlink>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20" w:type="dxa"/>
            <w:vAlign w:val="bottom"/>
            <w:tcBorders>
              <w:righ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80" w:type="dxa"/>
            <w:vAlign w:val="bottom"/>
            <w:gridSpan w:val="8"/>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40" w:type="dxa"/>
            <w:vAlign w:val="bottom"/>
            <w:gridSpan w:val="27"/>
          </w:tcPr>
          <w:p>
            <w:pPr>
              <w:spacing w:after="0" w:line="182"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Franklin Street, Port Washington, Wisconsin), incorporated by reference to Exhibit 10.21 of the Company’s Registration Statement on</w:t>
              </w:r>
            </w:hyperlink>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8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Form S-1 (File No. 333-207300), filed October 6, 2015.</w:t>
              </w:r>
            </w:hyperlink>
          </w:p>
        </w:tc>
        <w:tc>
          <w:tcPr>
            <w:tcW w:w="160" w:type="dxa"/>
            <w:vAlign w:val="bottom"/>
            <w:gridSpan w:val="4"/>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4020" w:type="dxa"/>
            <w:vAlign w:val="bottom"/>
            <w:tcBorders>
              <w:right w:val="single" w:sz="8" w:color="0000EE"/>
            </w:tcBorders>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49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80" w:type="dxa"/>
            <w:vAlign w:val="bottom"/>
          </w:tcPr>
          <w:p>
            <w:pPr>
              <w:spacing w:after="0"/>
              <w:rPr>
                <w:sz w:val="24"/>
                <w:szCs w:val="24"/>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Second Amendment to Retail Lease between Schlecht Port Washington LLC and Duluth Holdings Inc., dated January 23, 2012 (108</w:t>
              </w:r>
            </w:hyperlink>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56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North Franklin Street, Port Washington, Wisconsin), incorporated by reference to Exhibit 10.22 of the Company’s Registration</w:t>
              </w:r>
            </w:hyperlink>
          </w:p>
        </w:tc>
        <w:tc>
          <w:tcPr>
            <w:tcW w:w="120" w:type="dxa"/>
            <w:vAlign w:val="bottom"/>
            <w:gridSpan w:val="3"/>
          </w:tcPr>
          <w:p>
            <w:pPr>
              <w:spacing w:after="0"/>
              <w:rPr>
                <w:sz w:val="15"/>
                <w:szCs w:val="15"/>
                <w:color w:val="auto"/>
              </w:rPr>
            </w:pPr>
          </w:p>
        </w:tc>
        <w:tc>
          <w:tcPr>
            <w:tcW w:w="160" w:type="dxa"/>
            <w:vAlign w:val="bottom"/>
            <w:gridSpan w:val="4"/>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Statement on Form S-1 (File No. 333-207300), filed October 6, 2015.</w:t>
              </w:r>
            </w:hyperlink>
          </w:p>
        </w:tc>
        <w:tc>
          <w:tcPr>
            <w:tcW w:w="4160" w:type="dxa"/>
            <w:vAlign w:val="bottom"/>
            <w:tcBorders>
              <w:top w:val="single" w:sz="8" w:color="0000FF"/>
            </w:tcBorders>
            <w:gridSpan w:val="9"/>
          </w:tcPr>
          <w:p>
            <w:pPr>
              <w:spacing w:after="0"/>
              <w:rPr>
                <w:sz w:val="15"/>
                <w:szCs w:val="15"/>
                <w:color w:val="auto"/>
              </w:rPr>
            </w:pPr>
          </w:p>
        </w:tc>
        <w:tc>
          <w:tcPr>
            <w:tcW w:w="340" w:type="dxa"/>
            <w:vAlign w:val="bottom"/>
            <w:gridSpan w:val="2"/>
          </w:tcPr>
          <w:p>
            <w:pPr>
              <w:spacing w:after="0"/>
              <w:rPr>
                <w:sz w:val="15"/>
                <w:szCs w:val="15"/>
                <w:color w:val="auto"/>
              </w:rPr>
            </w:pPr>
          </w:p>
        </w:tc>
        <w:tc>
          <w:tcPr>
            <w:tcW w:w="180" w:type="dxa"/>
            <w:vAlign w:val="bottom"/>
            <w:gridSpan w:val="4"/>
          </w:tcPr>
          <w:p>
            <w:pPr>
              <w:spacing w:after="0"/>
              <w:rPr>
                <w:sz w:val="15"/>
                <w:szCs w:val="15"/>
                <w:color w:val="auto"/>
              </w:rPr>
            </w:pPr>
          </w:p>
        </w:tc>
        <w:tc>
          <w:tcPr>
            <w:tcW w:w="160" w:type="dxa"/>
            <w:vAlign w:val="bottom"/>
            <w:gridSpan w:val="4"/>
          </w:tcPr>
          <w:p>
            <w:pPr>
              <w:spacing w:after="0"/>
              <w:rPr>
                <w:sz w:val="15"/>
                <w:szCs w:val="15"/>
                <w:color w:val="auto"/>
              </w:rPr>
            </w:pPr>
          </w:p>
        </w:tc>
      </w:tr>
      <w:tr>
        <w:trPr>
          <w:trHeight w:val="50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80" w:type="dxa"/>
            <w:vAlign w:val="bottom"/>
          </w:tcPr>
          <w:p>
            <w:pPr>
              <w:spacing w:after="0"/>
              <w:rPr>
                <w:sz w:val="24"/>
                <w:szCs w:val="24"/>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Form of S Corporation Termination, Tax Allocation and Indemnification Agreement among Duluth Holdings Inc. and shareholders of</w:t>
              </w:r>
            </w:hyperlink>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8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Duluth Holdings Inc., incorporated by reference to Exhibit 10.23 of Pre-Effective Amendment No. 1 to the Company’s Registration</w:t>
              </w:r>
            </w:hyperlink>
          </w:p>
        </w:tc>
        <w:tc>
          <w:tcPr>
            <w:tcW w:w="160" w:type="dxa"/>
            <w:vAlign w:val="bottom"/>
            <w:gridSpan w:val="4"/>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50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Statement on Form S-1 (File No. 333-207300), filed October 13, 2015.</w:t>
              </w:r>
            </w:hyperlink>
          </w:p>
        </w:tc>
        <w:tc>
          <w:tcPr>
            <w:tcW w:w="340" w:type="dxa"/>
            <w:vAlign w:val="bottom"/>
            <w:gridSpan w:val="8"/>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760" w:type="dxa"/>
            <w:vAlign w:val="bottom"/>
            <w:gridSpan w:val="18"/>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580" w:type="dxa"/>
            <w:vAlign w:val="bottom"/>
          </w:tcPr>
          <w:p>
            <w:pPr>
              <w:spacing w:after="0"/>
              <w:rPr>
                <w:sz w:val="17"/>
                <w:szCs w:val="17"/>
                <w:color w:val="auto"/>
              </w:rPr>
            </w:pPr>
          </w:p>
        </w:tc>
        <w:tc>
          <w:tcPr>
            <w:tcW w:w="9840" w:type="dxa"/>
            <w:vAlign w:val="bottom"/>
            <w:gridSpan w:val="27"/>
          </w:tcPr>
          <w:p>
            <w:pPr>
              <w:spacing w:after="0" w:line="19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Annual Incentive Plan, As Amended February 21, 2018.</w:t>
              </w:r>
            </w:hyperlink>
          </w:p>
        </w:tc>
      </w:tr>
      <w:tr>
        <w:trPr>
          <w:trHeight w:val="200"/>
        </w:trPr>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40" w:type="dxa"/>
            <w:vAlign w:val="bottom"/>
            <w:tcBorders>
              <w:top w:val="single" w:sz="8" w:color="0000FF"/>
            </w:tcBorders>
            <w:gridSpan w:val="7"/>
          </w:tcPr>
          <w:p>
            <w:pPr>
              <w:spacing w:after="0"/>
              <w:rPr>
                <w:sz w:val="17"/>
                <w:szCs w:val="17"/>
                <w:color w:val="auto"/>
              </w:rPr>
            </w:pPr>
          </w:p>
        </w:tc>
        <w:tc>
          <w:tcPr>
            <w:tcW w:w="96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76"/>
        </w:trPr>
        <w:tc>
          <w:tcPr>
            <w:tcW w:w="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820" w:type="dxa"/>
            <w:vAlign w:val="bottom"/>
            <w:gridSpan w:val="29"/>
            <w:vMerge w:val="restart"/>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Form of Restricted Stock Agreement for executives under the 2015 Equity Incentive Plan, incorporated by reference to Exhibit 10.1 of</w:t>
              </w:r>
            </w:hyperlink>
          </w:p>
        </w:tc>
        <w:tc>
          <w:tcPr>
            <w:tcW w:w="0" w:type="dxa"/>
            <w:vAlign w:val="bottom"/>
          </w:tcPr>
          <w:p>
            <w:pPr>
              <w:spacing w:after="0"/>
              <w:rPr>
                <w:sz w:val="1"/>
                <w:szCs w:val="1"/>
                <w:color w:val="auto"/>
              </w:rPr>
            </w:pPr>
          </w:p>
        </w:tc>
      </w:tr>
      <w:tr>
        <w:trPr>
          <w:trHeight w:val="183"/>
        </w:trPr>
        <w:tc>
          <w:tcPr>
            <w:tcW w:w="1280" w:type="dxa"/>
            <w:vAlign w:val="bottom"/>
            <w:tcBorders>
              <w:top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15"/>
                <w:szCs w:val="15"/>
                <w:color w:val="auto"/>
              </w:rPr>
            </w:pPr>
          </w:p>
        </w:tc>
        <w:tc>
          <w:tcPr>
            <w:tcW w:w="9820" w:type="dxa"/>
            <w:vAlign w:val="bottom"/>
            <w:gridSpan w:val="2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29"/>
          </w:tcPr>
          <w:p>
            <w:pPr>
              <w:spacing w:after="0" w:line="19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the Company’s Quarterly Report on Form 10-Q dated May 1, 2016.+</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21"/>
                <w:szCs w:val="21"/>
                <w:color w:val="auto"/>
              </w:rPr>
            </w:pPr>
          </w:p>
        </w:tc>
        <w:tc>
          <w:tcPr>
            <w:tcW w:w="9820" w:type="dxa"/>
            <w:vAlign w:val="bottom"/>
            <w:gridSpan w:val="29"/>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Offer Letter Dated July 14, 2017 by and between Dave Loretta and Duluth Holdings Inc., incorporated by reference to Exhibit 10.1 of</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29"/>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the Company’s Current Report on Form 8-K dated July 24, 2017.+</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21"/>
                <w:szCs w:val="21"/>
                <w:color w:val="auto"/>
              </w:rPr>
            </w:pPr>
          </w:p>
        </w:tc>
        <w:tc>
          <w:tcPr>
            <w:tcW w:w="9820" w:type="dxa"/>
            <w:vAlign w:val="bottom"/>
            <w:gridSpan w:val="29"/>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Form of Restrictive Covenant Agreement, incorporated by reference to Exhibit 10.2 of the Company’s Current Report on Form 8-K</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29"/>
          </w:tcPr>
          <w:p>
            <w:pPr>
              <w:spacing w:after="0" w:line="19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dated July 24, 2017.+</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21"/>
                <w:szCs w:val="21"/>
                <w:color w:val="auto"/>
              </w:rPr>
            </w:pPr>
          </w:p>
        </w:tc>
        <w:tc>
          <w:tcPr>
            <w:tcW w:w="9820" w:type="dxa"/>
            <w:vAlign w:val="bottom"/>
            <w:gridSpan w:val="29"/>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First Amended and Restate Employment Agreement, dated as of May 27, 2021, between Stephen L. Schlecht and the Company,</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29"/>
          </w:tcPr>
          <w:p>
            <w:pPr>
              <w:spacing w:after="0" w:line="19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incorporated by reference to Exhibit 10.1 of the Company’s Quarterly Report on Form 10-Q dated September 3, 2021.+</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22"/>
                <w:szCs w:val="22"/>
                <w:color w:val="auto"/>
              </w:rPr>
            </w:pPr>
          </w:p>
        </w:tc>
        <w:tc>
          <w:tcPr>
            <w:tcW w:w="9820" w:type="dxa"/>
            <w:vAlign w:val="bottom"/>
            <w:gridSpan w:val="29"/>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Employment Agreement between Duluth Holdings Inc. and Samuel M. Sato dated May 3, 2021, incorporated by reference to Exhibit</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17"/>
                <w:szCs w:val="17"/>
                <w:color w:val="auto"/>
              </w:rPr>
            </w:pPr>
          </w:p>
        </w:tc>
        <w:tc>
          <w:tcPr>
            <w:tcW w:w="9820" w:type="dxa"/>
            <w:vAlign w:val="bottom"/>
            <w:gridSpan w:val="29"/>
          </w:tcPr>
          <w:p>
            <w:pPr>
              <w:spacing w:after="0" w:line="19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of the Company’s Quarterly Report on 10-Q dated June 4, 2021.</w:t>
              </w:r>
            </w:hyperlink>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EE"/>
            </w:tcBorders>
            <w:gridSpan w:val="3"/>
            <w:shd w:val="clear" w:color="auto" w:fill="0000FF"/>
          </w:tcPr>
          <w:p>
            <w:pPr>
              <w:spacing w:after="0" w:line="20" w:lineRule="exact"/>
              <w:rPr>
                <w:sz w:val="1"/>
                <w:szCs w:val="1"/>
                <w:color w:val="auto"/>
              </w:rPr>
            </w:pPr>
          </w:p>
        </w:tc>
        <w:tc>
          <w:tcPr>
            <w:tcW w:w="4840" w:type="dxa"/>
            <w:vAlign w:val="bottom"/>
            <w:gridSpan w:val="17"/>
            <w:vMerge w:val="restart"/>
          </w:tcPr>
          <w:p>
            <w:pPr>
              <w:ind w:left="180"/>
              <w:spacing w:after="0" w:line="202"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and Duluth Holdings Inc., incorporated by reference to Exhibit</w:t>
              </w:r>
            </w:hyperlink>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980" w:type="dxa"/>
            <w:vAlign w:val="bottom"/>
            <w:gridSpan w:val="12"/>
          </w:tcPr>
          <w:p>
            <w:pPr>
              <w:spacing w:after="0" w:line="182" w:lineRule="exact"/>
              <w:rPr>
                <w:rFonts w:ascii="Times New Roman" w:cs="Times New Roman" w:eastAsia="Times New Roman" w:hAnsi="Times New Roman"/>
                <w:sz w:val="18"/>
                <w:szCs w:val="18"/>
                <w:color w:val="0000FF"/>
                <w:w w:val="96"/>
              </w:rPr>
            </w:pPr>
            <w:hyperlink r:id="rId100">
              <w:r>
                <w:rPr>
                  <w:rFonts w:ascii="Times New Roman" w:cs="Times New Roman" w:eastAsia="Times New Roman" w:hAnsi="Times New Roman"/>
                  <w:sz w:val="18"/>
                  <w:szCs w:val="18"/>
                  <w:color w:val="0000FF"/>
                  <w:w w:val="96"/>
                </w:rPr>
                <w:t>Offer Letter dated January 24, 2020 by and between David S. Homolka</w:t>
              </w:r>
            </w:hyperlink>
          </w:p>
        </w:tc>
        <w:tc>
          <w:tcPr>
            <w:tcW w:w="4840" w:type="dxa"/>
            <w:vAlign w:val="bottom"/>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17"/>
                <w:szCs w:val="17"/>
                <w:color w:val="auto"/>
              </w:rPr>
            </w:pPr>
          </w:p>
        </w:tc>
        <w:tc>
          <w:tcPr>
            <w:tcW w:w="9820" w:type="dxa"/>
            <w:vAlign w:val="bottom"/>
            <w:gridSpan w:val="29"/>
          </w:tcPr>
          <w:p>
            <w:pPr>
              <w:spacing w:after="0" w:line="19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r>
                <w:rPr>
                  <w:rFonts w:ascii="Times New Roman" w:cs="Times New Roman" w:eastAsia="Times New Roman" w:hAnsi="Times New Roman"/>
                  <w:sz w:val="18"/>
                  <w:szCs w:val="18"/>
                  <w:color w:val="0000FF"/>
                </w:rPr>
                <w:t xml:space="preserve"> of the Company’s Annual Report on Form 10-K, filed March 25, 2022.+</w:t>
              </w:r>
            </w:hyperlink>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180" w:type="dxa"/>
            <w:vAlign w:val="bottom"/>
            <w:gridSpan w:val="15"/>
            <w:vMerge w:val="restart"/>
          </w:tcPr>
          <w:p>
            <w:pPr>
              <w:jc w:val="right"/>
              <w:ind w:right="580"/>
              <w:spacing w:after="0" w:line="202" w:lineRule="exact"/>
              <w:rPr>
                <w:rFonts w:ascii="Times New Roman" w:cs="Times New Roman" w:eastAsia="Times New Roman" w:hAnsi="Times New Roman"/>
                <w:sz w:val="18"/>
                <w:szCs w:val="18"/>
                <w:color w:val="0000FF"/>
                <w:w w:val="98"/>
              </w:rPr>
            </w:pPr>
            <w:hyperlink r:id="rId101">
              <w:r>
                <w:rPr>
                  <w:rFonts w:ascii="Times New Roman" w:cs="Times New Roman" w:eastAsia="Times New Roman" w:hAnsi="Times New Roman"/>
                  <w:sz w:val="18"/>
                  <w:szCs w:val="18"/>
                  <w:color w:val="0000FF"/>
                  <w:w w:val="98"/>
                </w:rPr>
                <w:t>Duluth Holdings Inc., incorporated by reference to</w:t>
              </w:r>
            </w:hyperlink>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640" w:type="dxa"/>
            <w:vAlign w:val="bottom"/>
            <w:gridSpan w:val="14"/>
          </w:tcPr>
          <w:p>
            <w:pPr>
              <w:spacing w:after="0" w:line="182"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Offer Letter dated January 24, 2020 by and between Richard W. Schlecht and</w:t>
              </w:r>
            </w:hyperlink>
          </w:p>
        </w:tc>
        <w:tc>
          <w:tcPr>
            <w:tcW w:w="4180" w:type="dxa"/>
            <w:vAlign w:val="bottom"/>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17"/>
                <w:szCs w:val="17"/>
                <w:color w:val="auto"/>
              </w:rPr>
            </w:pPr>
          </w:p>
        </w:tc>
        <w:tc>
          <w:tcPr>
            <w:tcW w:w="9820" w:type="dxa"/>
            <w:vAlign w:val="bottom"/>
            <w:gridSpan w:val="29"/>
          </w:tcPr>
          <w:p>
            <w:pPr>
              <w:spacing w:after="0" w:line="19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Exhibit 10.19 of the Company’s Annual Report on Form 10-K, filed March 25, 2022.+</w:t>
              </w:r>
            </w:hyperlink>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600" w:type="dxa"/>
            <w:vAlign w:val="bottom"/>
            <w:gridSpan w:val="14"/>
            <w:vMerge w:val="restart"/>
          </w:tcPr>
          <w:p>
            <w:pPr>
              <w:jc w:val="right"/>
              <w:ind w:right="580"/>
              <w:spacing w:after="0" w:line="20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party thereto, Bank of America, N.A., as</w:t>
              </w:r>
            </w:hyperlink>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20" w:type="dxa"/>
            <w:vAlign w:val="bottom"/>
            <w:gridSpan w:val="15"/>
          </w:tcPr>
          <w:p>
            <w:pPr>
              <w:spacing w:after="0" w:line="182" w:lineRule="exact"/>
              <w:rPr>
                <w:rFonts w:ascii="Times New Roman" w:cs="Times New Roman" w:eastAsia="Times New Roman" w:hAnsi="Times New Roman"/>
                <w:sz w:val="18"/>
                <w:szCs w:val="18"/>
                <w:color w:val="0000FF"/>
                <w:w w:val="98"/>
              </w:rPr>
            </w:pPr>
            <w:hyperlink r:id="rId102">
              <w:r>
                <w:rPr>
                  <w:rFonts w:ascii="Times New Roman" w:cs="Times New Roman" w:eastAsia="Times New Roman" w:hAnsi="Times New Roman"/>
                  <w:sz w:val="18"/>
                  <w:szCs w:val="18"/>
                  <w:color w:val="0000FF"/>
                  <w:w w:val="98"/>
                </w:rPr>
                <w:t>Credit Agreement, dated as of May 14, 2021, among Duluth Holdings Inc., the Lenders</w:t>
              </w:r>
            </w:hyperlink>
          </w:p>
        </w:tc>
        <w:tc>
          <w:tcPr>
            <w:tcW w:w="3600" w:type="dxa"/>
            <w:vAlign w:val="bottom"/>
            <w:gridSpan w:val="1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29"/>
          </w:tcPr>
          <w:p>
            <w:pPr>
              <w:spacing w:after="0" w:line="19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Administrative Agent, Swingline Lender and L/C Issuer, BofA Securities, Inc., as a Joint Lead Arranger and Sole Bookrunner, and</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50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Keybanc Capital Markets Inc., as a Joint Lead Arranger, incorporated by reference to Exhibit 10.1 of the Company’s Current Report</w:t>
              </w:r>
            </w:hyperlink>
          </w:p>
        </w:tc>
        <w:tc>
          <w:tcPr>
            <w:tcW w:w="320" w:type="dxa"/>
            <w:vAlign w:val="bottom"/>
            <w:gridSpan w:val="6"/>
          </w:tcPr>
          <w:p>
            <w:pPr>
              <w:jc w:val="right"/>
              <w:ind w:right="100"/>
              <w:spacing w:after="0" w:line="18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on</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15"/>
                <w:szCs w:val="15"/>
                <w:color w:val="auto"/>
              </w:rPr>
            </w:pPr>
          </w:p>
        </w:tc>
        <w:tc>
          <w:tcPr>
            <w:tcW w:w="9700" w:type="dxa"/>
            <w:vAlign w:val="bottom"/>
            <w:tcBorders>
              <w:top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Form 8-K dated May 14, 2021.</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gridSpan w:val="29"/>
          </w:tcPr>
          <w:p>
            <w:pPr>
              <w:spacing w:after="0" w:line="18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Security Agreement, dated as of May 14, 2021, by and between Duluth Holdings Inc. and Bank of America, N.A., incorporated by</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tcPr>
          <w:p>
            <w:pPr>
              <w:spacing w:after="0"/>
              <w:rPr>
                <w:sz w:val="17"/>
                <w:szCs w:val="17"/>
                <w:color w:val="auto"/>
              </w:rPr>
            </w:pPr>
          </w:p>
        </w:tc>
        <w:tc>
          <w:tcPr>
            <w:tcW w:w="9820" w:type="dxa"/>
            <w:vAlign w:val="bottom"/>
            <w:gridSpan w:val="29"/>
          </w:tcPr>
          <w:p>
            <w:pPr>
              <w:spacing w:after="0" w:line="19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reference to Exhibit 10.2 of the Company’s Current Report on Form 8-K dated May 14, 2021.</w:t>
              </w:r>
            </w:hyperlink>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3080" w:type="dxa"/>
            <w:vAlign w:val="bottom"/>
            <w:gridSpan w:val="13"/>
            <w:vMerge w:val="restart"/>
          </w:tcPr>
          <w:p>
            <w:pPr>
              <w:jc w:val="right"/>
              <w:ind w:right="100"/>
              <w:spacing w:after="0" w:line="202" w:lineRule="exact"/>
              <w:rPr>
                <w:rFonts w:ascii="Times New Roman" w:cs="Times New Roman" w:eastAsia="Times New Roman" w:hAnsi="Times New Roman"/>
                <w:sz w:val="18"/>
                <w:szCs w:val="18"/>
                <w:color w:val="0000FF"/>
                <w:w w:val="98"/>
              </w:rPr>
            </w:pPr>
            <w:hyperlink r:id="rId103">
              <w:r>
                <w:rPr>
                  <w:rFonts w:ascii="Times New Roman" w:cs="Times New Roman" w:eastAsia="Times New Roman" w:hAnsi="Times New Roman"/>
                  <w:sz w:val="18"/>
                  <w:szCs w:val="18"/>
                  <w:color w:val="0000FF"/>
                  <w:w w:val="98"/>
                </w:rPr>
                <w:t>to Exhibit 10.1 of the Company’s Current</w:t>
              </w:r>
            </w:hyperlink>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740" w:type="dxa"/>
            <w:vAlign w:val="bottom"/>
            <w:gridSpan w:val="16"/>
          </w:tcPr>
          <w:p>
            <w:pPr>
              <w:spacing w:after="0" w:line="182"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Duluth Holdings Inc. Executive Change in Control Severance Plan incorporated by reference</w:t>
              </w:r>
            </w:hyperlink>
          </w:p>
        </w:tc>
        <w:tc>
          <w:tcPr>
            <w:tcW w:w="3080" w:type="dxa"/>
            <w:vAlign w:val="bottom"/>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tcPr>
          <w:p>
            <w:pPr>
              <w:spacing w:after="0"/>
              <w:rPr>
                <w:sz w:val="17"/>
                <w:szCs w:val="17"/>
                <w:color w:val="auto"/>
              </w:rPr>
            </w:pPr>
          </w:p>
        </w:tc>
        <w:tc>
          <w:tcPr>
            <w:tcW w:w="9820" w:type="dxa"/>
            <w:vAlign w:val="bottom"/>
            <w:gridSpan w:val="29"/>
          </w:tcPr>
          <w:p>
            <w:pPr>
              <w:spacing w:after="0" w:line="19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Report on Form 8-K dated April 14, 2022.+</w:t>
              </w:r>
            </w:hyperlink>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gridSpan w:val="29"/>
          </w:tcPr>
          <w:p>
            <w:pPr>
              <w:spacing w:after="0" w:line="182"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Duluth Holdings Inc. Executive General Severance Plan Incorporated by reference to Exhibit 10.2 of the Company’s Current Report on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tcPr>
          <w:p>
            <w:pPr>
              <w:spacing w:after="0"/>
              <w:rPr>
                <w:sz w:val="17"/>
                <w:szCs w:val="17"/>
                <w:color w:val="auto"/>
              </w:rPr>
            </w:pPr>
          </w:p>
        </w:tc>
        <w:tc>
          <w:tcPr>
            <w:tcW w:w="9820" w:type="dxa"/>
            <w:vAlign w:val="bottom"/>
            <w:gridSpan w:val="29"/>
          </w:tcPr>
          <w:p>
            <w:pPr>
              <w:spacing w:after="0" w:line="19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8-K dated April 14, 2022.+</w:t>
              </w:r>
            </w:hyperlink>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gridSpan w:val="29"/>
          </w:tcPr>
          <w:p>
            <w:pPr>
              <w:spacing w:after="0" w:line="182"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First Amendment, dated as of July 8, 2022, among Duluth Holdings Inc., the Lenders party thereto, Bank of America, N.A., as</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80" w:type="dxa"/>
            <w:vAlign w:val="bottom"/>
            <w:gridSpan w:val="7"/>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29"/>
          </w:tcPr>
          <w:p>
            <w:pPr>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Administrative Agent, Swingline Lender and L/C Issuer, BofA Securities, Inc., as a Joint Lead Arranger and Sole Bookrunner, and</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50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Keybanc Capital Markets Inc., as a Joint Lead Arranger, incorporated by reference to Exhibit 10.1 of the Company’s Current Report</w:t>
              </w:r>
            </w:hyperlink>
          </w:p>
        </w:tc>
        <w:tc>
          <w:tcPr>
            <w:tcW w:w="320" w:type="dxa"/>
            <w:vAlign w:val="bottom"/>
            <w:gridSpan w:val="6"/>
          </w:tcPr>
          <w:p>
            <w:pPr>
              <w:jc w:val="right"/>
              <w:ind w:right="100"/>
              <w:spacing w:after="0" w:line="182"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on</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10.22+</w:t>
            </w:r>
          </w:p>
        </w:tc>
        <w:tc>
          <w:tcPr>
            <w:tcW w:w="140" w:type="dxa"/>
            <w:vAlign w:val="bottom"/>
          </w:tcPr>
          <w:p>
            <w:pPr>
              <w:spacing w:after="0"/>
              <w:rPr>
                <w:sz w:val="15"/>
                <w:szCs w:val="15"/>
                <w:color w:val="auto"/>
              </w:rPr>
            </w:pPr>
          </w:p>
        </w:tc>
        <w:tc>
          <w:tcPr>
            <w:tcW w:w="9700" w:type="dxa"/>
            <w:vAlign w:val="bottom"/>
            <w:tcBorders>
              <w:top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8-K dated July 8, 2022.</w:t>
              </w:r>
            </w:hyperlink>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720" w:type="dxa"/>
            <w:vAlign w:val="bottom"/>
            <w:gridSpan w:val="23"/>
            <w:vMerge w:val="restart"/>
          </w:tcPr>
          <w:p>
            <w:pPr>
              <w:spacing w:after="0" w:line="202" w:lineRule="exact"/>
              <w:rPr>
                <w:sz w:val="20"/>
                <w:szCs w:val="20"/>
                <w:color w:val="auto"/>
              </w:rPr>
            </w:pPr>
            <w:r>
              <w:rPr>
                <w:rFonts w:ascii="Times New Roman" w:cs="Times New Roman" w:eastAsia="Times New Roman" w:hAnsi="Times New Roman"/>
                <w:sz w:val="18"/>
                <w:szCs w:val="18"/>
                <w:color w:val="0000FF"/>
              </w:rPr>
              <w:t>2022 by and between Neala Shepherd and Duluth Holdings Inc.*+</w:t>
            </w:r>
          </w:p>
        </w:tc>
        <w:tc>
          <w:tcPr>
            <w:tcW w:w="0" w:type="dxa"/>
            <w:vAlign w:val="bottom"/>
          </w:tcPr>
          <w:p>
            <w:pPr>
              <w:spacing w:after="0" w:line="20" w:lineRule="exact"/>
              <w:rPr>
                <w:sz w:val="1"/>
                <w:szCs w:val="1"/>
                <w:color w:val="auto"/>
              </w:rPr>
            </w:pPr>
          </w:p>
        </w:tc>
      </w:tr>
      <w:tr>
        <w:trPr>
          <w:trHeight w:val="182"/>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Offer Letter dated March 14,</w:t>
            </w:r>
          </w:p>
        </w:tc>
        <w:tc>
          <w:tcPr>
            <w:tcW w:w="7720" w:type="dxa"/>
            <w:vAlign w:val="bottom"/>
            <w:gridSpan w:val="2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580" w:type="dxa"/>
            <w:vAlign w:val="bottom"/>
            <w:gridSpan w:val="8"/>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tcPr>
          <w:p>
            <w:pPr>
              <w:spacing w:after="0"/>
              <w:rPr>
                <w:sz w:val="18"/>
                <w:szCs w:val="18"/>
                <w:color w:val="auto"/>
              </w:rPr>
            </w:pPr>
          </w:p>
        </w:tc>
        <w:tc>
          <w:tcPr>
            <w:tcW w:w="9820" w:type="dxa"/>
            <w:vAlign w:val="bottom"/>
            <w:gridSpan w:val="29"/>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Offer Letter dated July 27, 2022 by and between Albert J. Sutera and Duluth Holdings Inc., incorporated by reference to Exhibit 10.1 of</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580" w:type="dxa"/>
            <w:vAlign w:val="bottom"/>
            <w:gridSpan w:val="8"/>
            <w:shd w:val="clear" w:color="auto" w:fill="0000FF"/>
          </w:tcPr>
          <w:p>
            <w:pPr>
              <w:spacing w:after="0" w:line="20" w:lineRule="exact"/>
              <w:rPr>
                <w:sz w:val="1"/>
                <w:szCs w:val="1"/>
                <w:color w:val="auto"/>
              </w:rPr>
            </w:pPr>
          </w:p>
        </w:tc>
        <w:tc>
          <w:tcPr>
            <w:tcW w:w="3760" w:type="dxa"/>
            <w:vAlign w:val="bottom"/>
            <w:gridSpan w:val="6"/>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7"/>
                <w:szCs w:val="17"/>
                <w:color w:val="auto"/>
              </w:rPr>
            </w:pPr>
          </w:p>
        </w:tc>
        <w:tc>
          <w:tcPr>
            <w:tcW w:w="9820" w:type="dxa"/>
            <w:vAlign w:val="bottom"/>
            <w:gridSpan w:val="29"/>
          </w:tcPr>
          <w:p>
            <w:pPr>
              <w:spacing w:after="0" w:line="19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the Company’s Quarterly Report on Form 10-Q dated September 2, 2022.+</w:t>
              </w:r>
            </w:hyperlink>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580" w:type="dxa"/>
            <w:vAlign w:val="bottom"/>
            <w:gridSpan w:val="8"/>
            <w:shd w:val="clear" w:color="auto" w:fill="0000FF"/>
          </w:tcPr>
          <w:p>
            <w:pPr>
              <w:spacing w:after="0" w:line="20" w:lineRule="exact"/>
              <w:rPr>
                <w:sz w:val="1"/>
                <w:szCs w:val="1"/>
                <w:color w:val="auto"/>
              </w:rPr>
            </w:pPr>
          </w:p>
        </w:tc>
        <w:tc>
          <w:tcPr>
            <w:tcW w:w="3760" w:type="dxa"/>
            <w:vAlign w:val="bottom"/>
            <w:gridSpan w:val="6"/>
            <w:vMerge w:val="restart"/>
          </w:tcPr>
          <w:p>
            <w:pPr>
              <w:spacing w:after="0" w:line="20" w:lineRule="exact"/>
              <w:rPr>
                <w:sz w:val="1"/>
                <w:szCs w:val="1"/>
                <w:color w:val="auto"/>
              </w:rPr>
            </w:pPr>
          </w:p>
        </w:tc>
        <w:tc>
          <w:tcPr>
            <w:tcW w:w="54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38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Consent of KPMG LLP.*</w:t>
            </w:r>
          </w:p>
        </w:tc>
        <w:tc>
          <w:tcPr>
            <w:tcW w:w="3760" w:type="dxa"/>
            <w:vAlign w:val="bottom"/>
            <w:gridSpan w:val="6"/>
            <w:vMerge w:val="continue"/>
          </w:tcPr>
          <w:p>
            <w:pPr>
              <w:spacing w:after="0"/>
              <w:rPr>
                <w:sz w:val="15"/>
                <w:szCs w:val="15"/>
                <w:color w:val="auto"/>
              </w:rPr>
            </w:pPr>
          </w:p>
        </w:tc>
        <w:tc>
          <w:tcPr>
            <w:tcW w:w="540" w:type="dxa"/>
            <w:vAlign w:val="bottom"/>
            <w:gridSpan w:val="6"/>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24.1</w:t>
            </w: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340" w:type="dxa"/>
            <w:vAlign w:val="bottom"/>
            <w:gridSpan w:val="14"/>
            <w:vMerge w:val="restart"/>
          </w:tcPr>
          <w:p>
            <w:pPr>
              <w:spacing w:after="0" w:line="20" w:lineRule="exact"/>
              <w:rPr>
                <w:sz w:val="1"/>
                <w:szCs w:val="1"/>
                <w:color w:val="auto"/>
              </w:rPr>
            </w:pPr>
          </w:p>
        </w:tc>
        <w:tc>
          <w:tcPr>
            <w:tcW w:w="54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Power of Attorney.*</w:t>
            </w:r>
          </w:p>
        </w:tc>
        <w:tc>
          <w:tcPr>
            <w:tcW w:w="7340" w:type="dxa"/>
            <w:vAlign w:val="bottom"/>
            <w:gridSpan w:val="14"/>
            <w:vMerge w:val="continue"/>
          </w:tcPr>
          <w:p>
            <w:pPr>
              <w:spacing w:after="0"/>
              <w:rPr>
                <w:sz w:val="15"/>
                <w:szCs w:val="15"/>
                <w:color w:val="auto"/>
              </w:rPr>
            </w:pPr>
          </w:p>
        </w:tc>
        <w:tc>
          <w:tcPr>
            <w:tcW w:w="540" w:type="dxa"/>
            <w:vAlign w:val="bottom"/>
            <w:gridSpan w:val="6"/>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8360" w:type="dxa"/>
            <w:vAlign w:val="bottom"/>
            <w:gridSpan w:val="26"/>
            <w:vMerge w:val="restart"/>
          </w:tcPr>
          <w:p>
            <w:pPr>
              <w:ind w:left="120"/>
              <w:spacing w:after="0" w:line="202" w:lineRule="exact"/>
              <w:rPr>
                <w:sz w:val="20"/>
                <w:szCs w:val="20"/>
                <w:color w:val="auto"/>
              </w:rPr>
            </w:pPr>
            <w:r>
              <w:rPr>
                <w:rFonts w:ascii="Times New Roman" w:cs="Times New Roman" w:eastAsia="Times New Roman" w:hAnsi="Times New Roman"/>
                <w:sz w:val="18"/>
                <w:szCs w:val="18"/>
                <w:color w:val="0000FF"/>
              </w:rPr>
              <w:t>Executive Officer pursuant to Rule 13a-14(a) and Rule 15d-14(a) of the Securities and Exchange Act, as</w:t>
            </w: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1"/>
              </w:rPr>
              <w:t>Certification of Chief</w:t>
            </w:r>
          </w:p>
        </w:tc>
        <w:tc>
          <w:tcPr>
            <w:tcW w:w="8360" w:type="dxa"/>
            <w:vAlign w:val="bottom"/>
            <w:gridSpan w:val="2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140" w:type="dxa"/>
            <w:vAlign w:val="bottom"/>
            <w:gridSpan w:val="17"/>
            <w:shd w:val="clear" w:color="auto" w:fill="0000FF"/>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98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9040" w:type="dxa"/>
            <w:vAlign w:val="bottom"/>
            <w:gridSpan w:val="28"/>
            <w:vMerge w:val="restart"/>
          </w:tcPr>
          <w:p>
            <w:pPr>
              <w:ind w:left="160"/>
              <w:spacing w:after="0" w:line="202" w:lineRule="exact"/>
              <w:rPr>
                <w:sz w:val="20"/>
                <w:szCs w:val="20"/>
                <w:color w:val="auto"/>
              </w:rPr>
            </w:pPr>
            <w:r>
              <w:rPr>
                <w:rFonts w:ascii="Times New Roman" w:cs="Times New Roman" w:eastAsia="Times New Roman" w:hAnsi="Times New Roman"/>
                <w:sz w:val="18"/>
                <w:szCs w:val="18"/>
                <w:color w:val="0000FF"/>
              </w:rPr>
              <w:t>of Chief Financial Officer pursuant to Rule 13a-14(a) and Rule 15d-14(a) of the Securities and Exchange Act of 1934, as</w:t>
            </w: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0000FF"/>
                <w:w w:val="81"/>
              </w:rPr>
              <w:t>Certification</w:t>
            </w:r>
          </w:p>
        </w:tc>
        <w:tc>
          <w:tcPr>
            <w:tcW w:w="9040" w:type="dxa"/>
            <w:vAlign w:val="bottom"/>
            <w:gridSpan w:val="2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8680" w:type="dxa"/>
            <w:vAlign w:val="bottom"/>
            <w:gridSpan w:val="2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98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9040" w:type="dxa"/>
            <w:vAlign w:val="bottom"/>
            <w:gridSpan w:val="28"/>
            <w:vMerge w:val="restart"/>
          </w:tcPr>
          <w:p>
            <w:pPr>
              <w:ind w:left="160"/>
              <w:spacing w:after="0" w:line="202" w:lineRule="exact"/>
              <w:rPr>
                <w:sz w:val="20"/>
                <w:szCs w:val="20"/>
                <w:color w:val="auto"/>
              </w:rPr>
            </w:pPr>
            <w:r>
              <w:rPr>
                <w:rFonts w:ascii="Times New Roman" w:cs="Times New Roman" w:eastAsia="Times New Roman" w:hAnsi="Times New Roman"/>
                <w:sz w:val="18"/>
                <w:szCs w:val="18"/>
                <w:color w:val="0000FF"/>
              </w:rPr>
              <w:t>of Chief Executive Officer pursuant to 18 U.S.C. Section 1350, as adopted pursuant to Section 906 of the Sarbanes-Oxley</w:t>
            </w: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0000FF"/>
                <w:w w:val="81"/>
              </w:rPr>
              <w:t>Certification</w:t>
            </w:r>
          </w:p>
        </w:tc>
        <w:tc>
          <w:tcPr>
            <w:tcW w:w="9040" w:type="dxa"/>
            <w:vAlign w:val="bottom"/>
            <w:gridSpan w:val="2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8700" w:type="dxa"/>
            <w:vAlign w:val="bottom"/>
            <w:gridSpan w:val="24"/>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7"/>
                <w:szCs w:val="17"/>
                <w:color w:val="auto"/>
              </w:rPr>
            </w:pPr>
          </w:p>
        </w:tc>
        <w:tc>
          <w:tcPr>
            <w:tcW w:w="98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8700" w:type="dxa"/>
            <w:vAlign w:val="bottom"/>
            <w:gridSpan w:val="2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gridSpan w:val="29"/>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700" w:type="dxa"/>
            <w:vAlign w:val="bottom"/>
            <w:gridSpan w:val="26"/>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420" w:type="dxa"/>
            <w:vAlign w:val="bottom"/>
            <w:tcBorders>
              <w:right w:val="single" w:sz="8" w:color="0000EE"/>
            </w:tcBorders>
            <w:gridSpan w:val="2"/>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882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459"/>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8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50"/>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XBRL Taxonomy Extension Definition Document**</w:t>
            </w:r>
          </w:p>
        </w:tc>
        <w:tc>
          <w:tcPr>
            <w:tcW w:w="0" w:type="dxa"/>
            <w:vAlign w:val="bottom"/>
          </w:tcPr>
          <w:p>
            <w:pPr>
              <w:spacing w:after="0"/>
              <w:rPr>
                <w:sz w:val="1"/>
                <w:szCs w:val="1"/>
                <w:color w:val="auto"/>
              </w:rPr>
            </w:pPr>
          </w:p>
        </w:tc>
      </w:tr>
      <w:tr>
        <w:trPr>
          <w:trHeight w:val="188"/>
        </w:trPr>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80" w:type="dxa"/>
            <w:vAlign w:val="bottom"/>
            <w:gridSpan w:val="10"/>
          </w:tcPr>
          <w:p>
            <w:pPr>
              <w:jc w:val="right"/>
              <w:ind w:right="500"/>
              <w:spacing w:after="0"/>
              <w:rPr>
                <w:sz w:val="20"/>
                <w:szCs w:val="20"/>
                <w:color w:val="auto"/>
              </w:rPr>
            </w:pPr>
            <w:r>
              <w:rPr>
                <w:rFonts w:ascii="Times New Roman" w:cs="Times New Roman" w:eastAsia="Times New Roman" w:hAnsi="Times New Roman"/>
                <w:sz w:val="14"/>
                <w:szCs w:val="14"/>
                <w:color w:val="auto"/>
              </w:rPr>
              <w:t>68</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6"/>
        </w:trPr>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4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18"/>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101.LAB</w:t>
            </w:r>
          </w:p>
        </w:tc>
        <w:tc>
          <w:tcPr>
            <w:tcW w:w="60" w:type="dxa"/>
            <w:vAlign w:val="bottom"/>
          </w:tcPr>
          <w:p>
            <w:pPr>
              <w:spacing w:after="0"/>
              <w:rPr>
                <w:sz w:val="18"/>
                <w:szCs w:val="18"/>
                <w:color w:val="auto"/>
              </w:rPr>
            </w:pPr>
          </w:p>
        </w:tc>
        <w:tc>
          <w:tcPr>
            <w:tcW w:w="6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0"/>
                <w:szCs w:val="20"/>
                <w:color w:val="auto"/>
              </w:rPr>
            </w:pPr>
          </w:p>
        </w:tc>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400" w:right="5180" w:hanging="2"/>
        <w:spacing w:after="0" w:line="253" w:lineRule="auto"/>
        <w:tabs>
          <w:tab w:leader="none" w:pos="1661"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compensation plan or arrangement * Filed herewith</w:t>
      </w:r>
    </w:p>
    <w:p>
      <w:pPr>
        <w:ind w:left="14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 accordance with Regulation S-T, the XBRL-related information in Exhibit 101 to this Annual Report on Form 10-K shall be deemed to be “furnished” and not</w:t>
      </w:r>
    </w:p>
    <w:p>
      <w:pPr>
        <w:spacing w:after="0" w:line="3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“filed.”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ITEM 16.</w:t>
      </w:r>
      <w:r>
        <w:rPr>
          <w:sz w:val="20"/>
          <w:szCs w:val="20"/>
          <w:color w:val="auto"/>
        </w:rPr>
        <w:tab/>
      </w:r>
      <w:r>
        <w:rPr>
          <w:rFonts w:ascii="Times New Roman" w:cs="Times New Roman" w:eastAsia="Times New Roman" w:hAnsi="Times New Roman"/>
          <w:sz w:val="17"/>
          <w:szCs w:val="17"/>
          <w:color w:val="auto"/>
        </w:rPr>
        <w:t>FORM 10-K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95" w:right="6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5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DULUTH HOLDINGS INC.</w:t>
      </w:r>
    </w:p>
    <w:p>
      <w:pPr>
        <w:spacing w:after="0" w:line="200" w:lineRule="exact"/>
        <w:rPr>
          <w:sz w:val="20"/>
          <w:szCs w:val="20"/>
          <w:color w:val="auto"/>
        </w:rPr>
      </w:pPr>
    </w:p>
    <w:p>
      <w:pPr>
        <w:spacing w:after="0" w:line="25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Samuel 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2575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Samuel M. Sato</w:t>
      </w: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2023</w:t>
      </w:r>
    </w:p>
    <w:p>
      <w:pPr>
        <w:spacing w:after="0" w:line="171" w:lineRule="exact"/>
        <w:rPr>
          <w:sz w:val="20"/>
          <w:szCs w:val="20"/>
          <w:color w:val="auto"/>
        </w:rPr>
      </w:pPr>
    </w:p>
    <w:p>
      <w:pPr>
        <w:ind w:right="360" w:firstLine="44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620" w:type="dxa"/>
            <w:vAlign w:val="bottom"/>
            <w:gridSpan w:val="4"/>
          </w:tcPr>
          <w:p>
            <w:pPr>
              <w:spacing w:after="0"/>
              <w:rPr>
                <w:sz w:val="17"/>
                <w:szCs w:val="17"/>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4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308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/s/ Samuel M. Sato</w:t>
            </w: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March 17, 2023</w:t>
            </w:r>
          </w:p>
        </w:tc>
      </w:tr>
      <w:tr>
        <w:trPr>
          <w:trHeight w:val="164"/>
        </w:trPr>
        <w:tc>
          <w:tcPr>
            <w:tcW w:w="2080" w:type="dxa"/>
            <w:vAlign w:val="bottom"/>
            <w:tcBorders>
              <w:top w:val="single" w:sz="8" w:color="auto"/>
            </w:tcBorders>
            <w:gridSpan w:val="3"/>
          </w:tcPr>
          <w:p>
            <w:pPr>
              <w:spacing w:after="0" w:line="164" w:lineRule="exact"/>
              <w:rPr>
                <w:sz w:val="20"/>
                <w:szCs w:val="20"/>
                <w:color w:val="auto"/>
              </w:rPr>
            </w:pPr>
            <w:r>
              <w:rPr>
                <w:rFonts w:ascii="Times New Roman" w:cs="Times New Roman" w:eastAsia="Times New Roman" w:hAnsi="Times New Roman"/>
                <w:sz w:val="18"/>
                <w:szCs w:val="18"/>
                <w:color w:val="auto"/>
              </w:rPr>
              <w:t>Samuel M. Sato</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80" w:type="dxa"/>
            <w:vAlign w:val="bottom"/>
            <w:gridSpan w:val="2"/>
          </w:tcPr>
          <w:p>
            <w:pPr>
              <w:spacing w:after="0" w:line="164" w:lineRule="exact"/>
              <w:rPr>
                <w:sz w:val="20"/>
                <w:szCs w:val="20"/>
                <w:color w:val="auto"/>
              </w:rPr>
            </w:pPr>
            <w:r>
              <w:rPr>
                <w:rFonts w:ascii="Times New Roman" w:cs="Times New Roman" w:eastAsia="Times New Roman" w:hAnsi="Times New Roman"/>
                <w:sz w:val="18"/>
                <w:szCs w:val="18"/>
                <w:color w:val="auto"/>
              </w:rPr>
              <w:t>Chief Executive Officer</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4"/>
        </w:trPr>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64"/>
        </w:trPr>
        <w:tc>
          <w:tcPr>
            <w:tcW w:w="308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/s/ David Loretta</w:t>
            </w: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March 17, 2023</w:t>
            </w:r>
          </w:p>
        </w:tc>
      </w:tr>
      <w:tr>
        <w:trPr>
          <w:trHeight w:val="164"/>
        </w:trPr>
        <w:tc>
          <w:tcPr>
            <w:tcW w:w="2040" w:type="dxa"/>
            <w:vAlign w:val="bottom"/>
            <w:tcBorders>
              <w:top w:val="single" w:sz="8" w:color="auto"/>
            </w:tcBorders>
            <w:gridSpan w:val="2"/>
          </w:tcPr>
          <w:p>
            <w:pPr>
              <w:spacing w:after="0" w:line="164" w:lineRule="exact"/>
              <w:rPr>
                <w:sz w:val="20"/>
                <w:szCs w:val="20"/>
                <w:color w:val="auto"/>
              </w:rPr>
            </w:pPr>
            <w:r>
              <w:rPr>
                <w:rFonts w:ascii="Times New Roman" w:cs="Times New Roman" w:eastAsia="Times New Roman" w:hAnsi="Times New Roman"/>
                <w:sz w:val="18"/>
                <w:szCs w:val="18"/>
                <w:color w:val="auto"/>
              </w:rPr>
              <w:t>David Loretta</w:t>
            </w:r>
          </w:p>
        </w:tc>
        <w:tc>
          <w:tcPr>
            <w:tcW w:w="6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3080" w:type="dxa"/>
            <w:vAlign w:val="bottom"/>
            <w:gridSpan w:val="2"/>
          </w:tcPr>
          <w:p>
            <w:pPr>
              <w:spacing w:after="0" w:line="164" w:lineRule="exact"/>
              <w:rPr>
                <w:sz w:val="20"/>
                <w:szCs w:val="20"/>
                <w:color w:val="auto"/>
              </w:rPr>
            </w:pPr>
            <w:r>
              <w:rPr>
                <w:rFonts w:ascii="Times New Roman" w:cs="Times New Roman" w:eastAsia="Times New Roman" w:hAnsi="Times New Roman"/>
                <w:sz w:val="18"/>
                <w:szCs w:val="18"/>
                <w:color w:val="auto"/>
              </w:rPr>
              <w:t>Chief Financial Officer</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4"/>
        </w:trPr>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64"/>
        </w:trPr>
        <w:tc>
          <w:tcPr>
            <w:tcW w:w="308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/s/ Michael Murphy</w:t>
            </w: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and</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March 17, 2023</w:t>
            </w:r>
          </w:p>
        </w:tc>
      </w:tr>
      <w:tr>
        <w:trPr>
          <w:trHeight w:val="164"/>
        </w:trPr>
        <w:tc>
          <w:tcPr>
            <w:tcW w:w="2100" w:type="dxa"/>
            <w:vAlign w:val="bottom"/>
            <w:tcBorders>
              <w:top w:val="single" w:sz="8" w:color="auto"/>
            </w:tcBorders>
            <w:gridSpan w:val="4"/>
          </w:tcPr>
          <w:p>
            <w:pPr>
              <w:spacing w:after="0" w:line="164" w:lineRule="exact"/>
              <w:rPr>
                <w:sz w:val="20"/>
                <w:szCs w:val="20"/>
                <w:color w:val="auto"/>
              </w:rPr>
            </w:pPr>
            <w:r>
              <w:rPr>
                <w:rFonts w:ascii="Times New Roman" w:cs="Times New Roman" w:eastAsia="Times New Roman" w:hAnsi="Times New Roman"/>
                <w:sz w:val="18"/>
                <w:szCs w:val="18"/>
                <w:color w:val="auto"/>
              </w:rPr>
              <w:t>Michael Murphy</w:t>
            </w:r>
          </w:p>
        </w:tc>
        <w:tc>
          <w:tcPr>
            <w:tcW w:w="980" w:type="dxa"/>
            <w:vAlign w:val="bottom"/>
          </w:tcPr>
          <w:p>
            <w:pPr>
              <w:spacing w:after="0"/>
              <w:rPr>
                <w:sz w:val="14"/>
                <w:szCs w:val="14"/>
                <w:color w:val="auto"/>
              </w:rPr>
            </w:pPr>
          </w:p>
        </w:tc>
        <w:tc>
          <w:tcPr>
            <w:tcW w:w="3080" w:type="dxa"/>
            <w:vAlign w:val="bottom"/>
            <w:gridSpan w:val="2"/>
          </w:tcPr>
          <w:p>
            <w:pPr>
              <w:spacing w:after="0" w:line="164" w:lineRule="exact"/>
              <w:rPr>
                <w:sz w:val="20"/>
                <w:szCs w:val="20"/>
                <w:color w:val="auto"/>
              </w:rPr>
            </w:pPr>
            <w:r>
              <w:rPr>
                <w:rFonts w:ascii="Times New Roman" w:cs="Times New Roman" w:eastAsia="Times New Roman" w:hAnsi="Times New Roman"/>
                <w:sz w:val="18"/>
                <w:szCs w:val="18"/>
                <w:color w:val="auto"/>
              </w:rPr>
              <w:t>Chief Accounting Officer</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4"/>
        </w:trPr>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3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Directors: </w:t>
      </w:r>
      <w:r>
        <w:rPr>
          <w:rFonts w:ascii="Times New Roman" w:cs="Times New Roman" w:eastAsia="Times New Roman" w:hAnsi="Times New Roman"/>
          <w:sz w:val="18"/>
          <w:szCs w:val="18"/>
          <w:color w:val="auto"/>
        </w:rPr>
        <w:t>Samuel M. Sato, Brett L. Paschke, Francesca M. Edwardson, Thomas G. Folliard, David C. Finch, Susan J. Riley, Stephen L. Schlecht and Scott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 Williams.</w:t>
      </w:r>
    </w:p>
    <w:p>
      <w:pPr>
        <w:spacing w:after="0" w:line="156" w:lineRule="exact"/>
        <w:rPr>
          <w:sz w:val="20"/>
          <w:szCs w:val="20"/>
          <w:color w:val="auto"/>
        </w:rPr>
      </w:pPr>
    </w:p>
    <w:p>
      <w:pPr>
        <w:ind w:left="1200"/>
        <w:spacing w:after="0"/>
        <w:tabs>
          <w:tab w:leader="none" w:pos="1920" w:val="left"/>
          <w:tab w:leader="none" w:pos="8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Loretta</w:t>
      </w:r>
      <w:r>
        <w:rPr>
          <w:sz w:val="20"/>
          <w:szCs w:val="20"/>
          <w:color w:val="auto"/>
        </w:rPr>
        <w:tab/>
      </w:r>
      <w:r>
        <w:rPr>
          <w:rFonts w:ascii="Times New Roman" w:cs="Times New Roman" w:eastAsia="Times New Roman" w:hAnsi="Times New Roman"/>
          <w:sz w:val="17"/>
          <w:szCs w:val="17"/>
          <w:color w:val="auto"/>
        </w:rPr>
        <w:t>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10160</wp:posOffset>
            </wp:positionV>
            <wp:extent cx="27089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ind w:left="1940"/>
        <w:spacing w:after="0"/>
        <w:rPr>
          <w:sz w:val="20"/>
          <w:szCs w:val="20"/>
          <w:color w:val="auto"/>
        </w:rPr>
      </w:pPr>
      <w:r>
        <w:rPr>
          <w:rFonts w:ascii="Times New Roman" w:cs="Times New Roman" w:eastAsia="Times New Roman" w:hAnsi="Times New Roman"/>
          <w:sz w:val="18"/>
          <w:szCs w:val="18"/>
          <w:color w:val="auto"/>
        </w:rPr>
        <w:t>David Loretta</w:t>
      </w:r>
    </w:p>
    <w:p>
      <w:pPr>
        <w:ind w:left="194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0" w:lineRule="exact"/>
        <w:rPr>
          <w:sz w:val="20"/>
          <w:szCs w:val="20"/>
          <w:color w:val="auto"/>
        </w:rPr>
      </w:pPr>
    </w:p>
    <w:p>
      <w:pPr>
        <w:spacing w:after="0" w:line="32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*Pursuant to authority granted by powers of attorney, copies of which are filed herewith.</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1240"/>
          </w:cols>
          <w:pgMar w:left="320" w:top="108" w:right="339" w:bottom="1440" w:gutter="0" w:footer="0" w:header="0"/>
        </w:sectPr>
      </w:pPr>
    </w:p>
    <w:bookmarkStart w:id="72" w:name="page73"/>
    <w:bookmarkEnd w:id="72"/>
    <w:p>
      <w:pPr>
        <w:jc w:val="right"/>
        <w:spacing w:after="0"/>
        <w:rPr>
          <w:sz w:val="20"/>
          <w:szCs w:val="20"/>
          <w:color w:val="auto"/>
        </w:rPr>
      </w:pPr>
      <w:r>
        <w:rPr>
          <w:rFonts w:ascii="Calibri" w:cs="Calibri" w:eastAsia="Calibri" w:hAnsi="Calibri"/>
          <w:sz w:val="23"/>
          <w:szCs w:val="23"/>
          <w:b w:val="1"/>
          <w:bCs w:val="1"/>
          <w:color w:val="auto"/>
        </w:rPr>
        <w:t>Exhibit 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1628775</wp:posOffset>
            </wp:positionH>
            <wp:positionV relativeFrom="paragraph">
              <wp:posOffset>374650</wp:posOffset>
            </wp:positionV>
            <wp:extent cx="2571750" cy="8743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257175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
        <w:spacing w:after="0"/>
        <w:rPr>
          <w:sz w:val="20"/>
          <w:szCs w:val="20"/>
          <w:color w:val="auto"/>
        </w:rPr>
      </w:pPr>
      <w:r>
        <w:rPr>
          <w:rFonts w:ascii="Calibri" w:cs="Calibri" w:eastAsia="Calibri" w:hAnsi="Calibri"/>
          <w:sz w:val="20"/>
          <w:szCs w:val="20"/>
          <w:color w:val="auto"/>
        </w:rPr>
        <w:t>March 14, 2022</w:t>
      </w:r>
    </w:p>
    <w:p>
      <w:pPr>
        <w:spacing w:after="0" w:line="174" w:lineRule="exact"/>
        <w:rPr>
          <w:sz w:val="20"/>
          <w:szCs w:val="20"/>
          <w:color w:val="auto"/>
        </w:rPr>
      </w:pPr>
    </w:p>
    <w:p>
      <w:pPr>
        <w:ind w:left="6"/>
        <w:spacing w:after="0"/>
        <w:rPr>
          <w:sz w:val="20"/>
          <w:szCs w:val="20"/>
          <w:color w:val="auto"/>
        </w:rPr>
      </w:pPr>
      <w:r>
        <w:rPr>
          <w:rFonts w:ascii="Calibri" w:cs="Calibri" w:eastAsia="Calibri" w:hAnsi="Calibri"/>
          <w:sz w:val="20"/>
          <w:szCs w:val="20"/>
          <w:color w:val="auto"/>
        </w:rPr>
        <w:t>Dear Neala:</w:t>
      </w:r>
    </w:p>
    <w:p>
      <w:pPr>
        <w:spacing w:after="0" w:line="184" w:lineRule="exact"/>
        <w:rPr>
          <w:sz w:val="20"/>
          <w:szCs w:val="20"/>
          <w:color w:val="auto"/>
        </w:rPr>
      </w:pPr>
    </w:p>
    <w:p>
      <w:pPr>
        <w:ind w:left="6" w:right="520"/>
        <w:spacing w:after="0" w:line="210" w:lineRule="auto"/>
        <w:rPr>
          <w:sz w:val="20"/>
          <w:szCs w:val="20"/>
          <w:color w:val="auto"/>
        </w:rPr>
      </w:pPr>
      <w:r>
        <w:rPr>
          <w:rFonts w:ascii="Calibri" w:cs="Calibri" w:eastAsia="Calibri" w:hAnsi="Calibri"/>
          <w:sz w:val="20"/>
          <w:szCs w:val="20"/>
          <w:color w:val="auto"/>
        </w:rPr>
        <w:t>I am very pleased to extend the following promoton to Senior Vice President, Chief Customer Experience Ofcer. In this positon, you will serve as the caretaker of the caretaker of the brand and the voice of the customer experience across all touchpoints. You will contnue to report to me, and your direct reports will include:</w:t>
      </w:r>
    </w:p>
    <w:p>
      <w:pPr>
        <w:spacing w:after="0" w:line="175" w:lineRule="exact"/>
        <w:rPr>
          <w:sz w:val="20"/>
          <w:szCs w:val="20"/>
          <w:color w:val="auto"/>
        </w:rPr>
      </w:pPr>
    </w:p>
    <w:p>
      <w:pPr>
        <w:ind w:left="326" w:hanging="326"/>
        <w:spacing w:after="0"/>
        <w:tabs>
          <w:tab w:leader="none" w:pos="326" w:val="left"/>
        </w:tabs>
        <w:numPr>
          <w:ilvl w:val="0"/>
          <w:numId w:val="19"/>
        </w:numPr>
        <w:rPr>
          <w:rFonts w:ascii="Times New Roman" w:cs="Times New Roman" w:eastAsia="Times New Roman" w:hAnsi="Times New Roman"/>
          <w:sz w:val="20"/>
          <w:szCs w:val="20"/>
          <w:color w:val="auto"/>
        </w:rPr>
      </w:pPr>
      <w:r>
        <w:rPr>
          <w:rFonts w:ascii="Calibri" w:cs="Calibri" w:eastAsia="Calibri" w:hAnsi="Calibri"/>
          <w:sz w:val="20"/>
          <w:szCs w:val="20"/>
          <w:color w:val="auto"/>
        </w:rPr>
        <w:t>Senior Director of Visual Merchandising</w:t>
      </w:r>
    </w:p>
    <w:p>
      <w:pPr>
        <w:spacing w:after="0" w:line="6" w:lineRule="exact"/>
        <w:rPr>
          <w:rFonts w:ascii="Times New Roman" w:cs="Times New Roman" w:eastAsia="Times New Roman" w:hAnsi="Times New Roman"/>
          <w:sz w:val="20"/>
          <w:szCs w:val="20"/>
          <w:color w:val="auto"/>
        </w:rPr>
      </w:pPr>
    </w:p>
    <w:p>
      <w:pPr>
        <w:ind w:left="326" w:hanging="326"/>
        <w:spacing w:after="0" w:line="193" w:lineRule="auto"/>
        <w:tabs>
          <w:tab w:leader="none" w:pos="326" w:val="left"/>
        </w:tabs>
        <w:numPr>
          <w:ilvl w:val="0"/>
          <w:numId w:val="19"/>
        </w:numPr>
        <w:rPr>
          <w:rFonts w:ascii="Times New Roman" w:cs="Times New Roman" w:eastAsia="Times New Roman" w:hAnsi="Times New Roman"/>
          <w:sz w:val="20"/>
          <w:szCs w:val="20"/>
          <w:color w:val="auto"/>
        </w:rPr>
      </w:pPr>
      <w:r>
        <w:rPr>
          <w:rFonts w:ascii="Calibri" w:cs="Calibri" w:eastAsia="Calibri" w:hAnsi="Calibri"/>
          <w:sz w:val="20"/>
          <w:szCs w:val="20"/>
          <w:color w:val="auto"/>
        </w:rPr>
        <w:t>Creatve Director</w:t>
      </w:r>
    </w:p>
    <w:p>
      <w:pPr>
        <w:spacing w:after="0" w:line="6" w:lineRule="exact"/>
        <w:rPr>
          <w:rFonts w:ascii="Times New Roman" w:cs="Times New Roman" w:eastAsia="Times New Roman" w:hAnsi="Times New Roman"/>
          <w:sz w:val="20"/>
          <w:szCs w:val="20"/>
          <w:color w:val="auto"/>
        </w:rPr>
      </w:pPr>
    </w:p>
    <w:p>
      <w:pPr>
        <w:ind w:left="326" w:hanging="326"/>
        <w:spacing w:after="0" w:line="193" w:lineRule="auto"/>
        <w:tabs>
          <w:tab w:leader="none" w:pos="326" w:val="left"/>
        </w:tabs>
        <w:numPr>
          <w:ilvl w:val="0"/>
          <w:numId w:val="19"/>
        </w:numPr>
        <w:rPr>
          <w:rFonts w:ascii="Times New Roman" w:cs="Times New Roman" w:eastAsia="Times New Roman" w:hAnsi="Times New Roman"/>
          <w:sz w:val="20"/>
          <w:szCs w:val="20"/>
          <w:color w:val="auto"/>
        </w:rPr>
      </w:pPr>
      <w:r>
        <w:rPr>
          <w:rFonts w:ascii="Calibri" w:cs="Calibri" w:eastAsia="Calibri" w:hAnsi="Calibri"/>
          <w:sz w:val="20"/>
          <w:szCs w:val="20"/>
          <w:color w:val="auto"/>
        </w:rPr>
        <w:t>Director of eCommerce</w:t>
      </w:r>
    </w:p>
    <w:p>
      <w:pPr>
        <w:spacing w:after="0" w:line="6" w:lineRule="exact"/>
        <w:rPr>
          <w:rFonts w:ascii="Times New Roman" w:cs="Times New Roman" w:eastAsia="Times New Roman" w:hAnsi="Times New Roman"/>
          <w:sz w:val="20"/>
          <w:szCs w:val="20"/>
          <w:color w:val="auto"/>
        </w:rPr>
      </w:pPr>
    </w:p>
    <w:p>
      <w:pPr>
        <w:ind w:left="326" w:hanging="326"/>
        <w:spacing w:after="0" w:line="193" w:lineRule="auto"/>
        <w:tabs>
          <w:tab w:leader="none" w:pos="326" w:val="left"/>
        </w:tabs>
        <w:numPr>
          <w:ilvl w:val="0"/>
          <w:numId w:val="19"/>
        </w:numPr>
        <w:rPr>
          <w:rFonts w:ascii="Times New Roman" w:cs="Times New Roman" w:eastAsia="Times New Roman" w:hAnsi="Times New Roman"/>
          <w:sz w:val="20"/>
          <w:szCs w:val="20"/>
          <w:color w:val="auto"/>
        </w:rPr>
      </w:pPr>
      <w:r>
        <w:rPr>
          <w:rFonts w:ascii="Calibri" w:cs="Calibri" w:eastAsia="Calibri" w:hAnsi="Calibri"/>
          <w:sz w:val="20"/>
          <w:szCs w:val="20"/>
          <w:color w:val="auto"/>
        </w:rPr>
        <w:t>Director of Marketng</w:t>
      </w:r>
    </w:p>
    <w:p>
      <w:pPr>
        <w:spacing w:after="0" w:line="6" w:lineRule="exact"/>
        <w:rPr>
          <w:rFonts w:ascii="Times New Roman" w:cs="Times New Roman" w:eastAsia="Times New Roman" w:hAnsi="Times New Roman"/>
          <w:sz w:val="20"/>
          <w:szCs w:val="20"/>
          <w:color w:val="auto"/>
        </w:rPr>
      </w:pPr>
    </w:p>
    <w:p>
      <w:pPr>
        <w:ind w:left="326" w:hanging="326"/>
        <w:spacing w:after="0" w:line="193" w:lineRule="auto"/>
        <w:tabs>
          <w:tab w:leader="none" w:pos="326" w:val="left"/>
        </w:tabs>
        <w:numPr>
          <w:ilvl w:val="0"/>
          <w:numId w:val="19"/>
        </w:numPr>
        <w:rPr>
          <w:rFonts w:ascii="Times New Roman" w:cs="Times New Roman" w:eastAsia="Times New Roman" w:hAnsi="Times New Roman"/>
          <w:sz w:val="20"/>
          <w:szCs w:val="20"/>
          <w:color w:val="auto"/>
        </w:rPr>
      </w:pPr>
      <w:r>
        <w:rPr>
          <w:rFonts w:ascii="Calibri" w:cs="Calibri" w:eastAsia="Calibri" w:hAnsi="Calibri"/>
          <w:sz w:val="20"/>
          <w:szCs w:val="20"/>
          <w:color w:val="auto"/>
        </w:rPr>
        <w:t>Director of Marketng Technology</w:t>
      </w:r>
    </w:p>
    <w:p>
      <w:pPr>
        <w:spacing w:after="0" w:line="6" w:lineRule="exact"/>
        <w:rPr>
          <w:rFonts w:ascii="Times New Roman" w:cs="Times New Roman" w:eastAsia="Times New Roman" w:hAnsi="Times New Roman"/>
          <w:sz w:val="20"/>
          <w:szCs w:val="20"/>
          <w:color w:val="auto"/>
        </w:rPr>
      </w:pPr>
    </w:p>
    <w:p>
      <w:pPr>
        <w:ind w:left="326" w:hanging="326"/>
        <w:spacing w:after="0" w:line="193" w:lineRule="auto"/>
        <w:tabs>
          <w:tab w:leader="none" w:pos="326" w:val="left"/>
        </w:tabs>
        <w:numPr>
          <w:ilvl w:val="0"/>
          <w:numId w:val="19"/>
        </w:numPr>
        <w:rPr>
          <w:rFonts w:ascii="Times New Roman" w:cs="Times New Roman" w:eastAsia="Times New Roman" w:hAnsi="Times New Roman"/>
          <w:sz w:val="20"/>
          <w:szCs w:val="20"/>
          <w:color w:val="auto"/>
        </w:rPr>
      </w:pPr>
      <w:r>
        <w:rPr>
          <w:rFonts w:ascii="Calibri" w:cs="Calibri" w:eastAsia="Calibri" w:hAnsi="Calibri"/>
          <w:sz w:val="20"/>
          <w:szCs w:val="20"/>
          <w:color w:val="auto"/>
        </w:rPr>
        <w:t>Director of Customer Analytcs</w:t>
      </w:r>
    </w:p>
    <w:p>
      <w:pPr>
        <w:spacing w:after="0" w:line="161" w:lineRule="exact"/>
        <w:rPr>
          <w:sz w:val="20"/>
          <w:szCs w:val="20"/>
          <w:color w:val="auto"/>
        </w:rPr>
      </w:pPr>
    </w:p>
    <w:p>
      <w:pPr>
        <w:ind w:left="6"/>
        <w:spacing w:after="0"/>
        <w:rPr>
          <w:sz w:val="20"/>
          <w:szCs w:val="20"/>
          <w:color w:val="auto"/>
        </w:rPr>
      </w:pPr>
      <w:r>
        <w:rPr>
          <w:rFonts w:ascii="Calibri" w:cs="Calibri" w:eastAsia="Calibri" w:hAnsi="Calibri"/>
          <w:sz w:val="20"/>
          <w:szCs w:val="20"/>
          <w:color w:val="auto"/>
        </w:rPr>
        <w:t>The specifcs of the promoton are:</w:t>
      </w:r>
    </w:p>
    <w:p>
      <w:pPr>
        <w:spacing w:after="0" w:line="174" w:lineRule="exact"/>
        <w:rPr>
          <w:sz w:val="20"/>
          <w:szCs w:val="20"/>
          <w:color w:val="auto"/>
        </w:rPr>
      </w:pPr>
    </w:p>
    <w:p>
      <w:pPr>
        <w:ind w:left="6"/>
        <w:spacing w:after="0"/>
        <w:rPr>
          <w:sz w:val="20"/>
          <w:szCs w:val="20"/>
          <w:color w:val="auto"/>
        </w:rPr>
      </w:pPr>
      <w:r>
        <w:rPr>
          <w:rFonts w:ascii="Calibri" w:cs="Calibri" w:eastAsia="Calibri" w:hAnsi="Calibri"/>
          <w:sz w:val="20"/>
          <w:szCs w:val="20"/>
          <w:b w:val="1"/>
          <w:bCs w:val="1"/>
          <w:color w:val="auto"/>
        </w:rPr>
        <w:t xml:space="preserve">Efectve Date: </w:t>
      </w:r>
      <w:r>
        <w:rPr>
          <w:rFonts w:ascii="Calibri" w:cs="Calibri" w:eastAsia="Calibri" w:hAnsi="Calibri"/>
          <w:sz w:val="20"/>
          <w:szCs w:val="20"/>
          <w:color w:val="auto"/>
        </w:rPr>
        <w:t>03/21/2022</w:t>
      </w:r>
    </w:p>
    <w:p>
      <w:pPr>
        <w:spacing w:after="0" w:line="171" w:lineRule="exact"/>
        <w:rPr>
          <w:sz w:val="20"/>
          <w:szCs w:val="20"/>
          <w:color w:val="auto"/>
        </w:rPr>
      </w:pPr>
    </w:p>
    <w:p>
      <w:pPr>
        <w:ind w:left="6" w:right="440"/>
        <w:spacing w:after="0" w:line="213" w:lineRule="auto"/>
        <w:rPr>
          <w:sz w:val="20"/>
          <w:szCs w:val="20"/>
          <w:color w:val="auto"/>
        </w:rPr>
      </w:pPr>
      <w:r>
        <w:rPr>
          <w:rFonts w:ascii="Calibri" w:cs="Calibri" w:eastAsia="Calibri" w:hAnsi="Calibri"/>
          <w:sz w:val="20"/>
          <w:szCs w:val="20"/>
          <w:b w:val="1"/>
          <w:bCs w:val="1"/>
          <w:color w:val="auto"/>
        </w:rPr>
        <w:t xml:space="preserve">Base Salary: </w:t>
      </w:r>
      <w:r>
        <w:rPr>
          <w:rFonts w:ascii="Calibri" w:cs="Calibri" w:eastAsia="Calibri" w:hAnsi="Calibri"/>
          <w:sz w:val="20"/>
          <w:szCs w:val="20"/>
          <w:color w:val="auto"/>
        </w:rPr>
        <w:t>Your annual base salary will be $325,000 annual, which is paid bi-weekly and is subject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deductons for taxes and other withholdings that are required by law. Your salary will be reviewed annually startng April 2023.</w:t>
      </w:r>
    </w:p>
    <w:p>
      <w:pPr>
        <w:spacing w:after="0" w:line="187" w:lineRule="exact"/>
        <w:rPr>
          <w:sz w:val="20"/>
          <w:szCs w:val="20"/>
          <w:color w:val="auto"/>
        </w:rPr>
      </w:pPr>
    </w:p>
    <w:p>
      <w:pPr>
        <w:ind w:left="6" w:right="20"/>
        <w:spacing w:after="0"/>
        <w:rPr>
          <w:sz w:val="20"/>
          <w:szCs w:val="20"/>
          <w:color w:val="auto"/>
        </w:rPr>
      </w:pPr>
      <w:r>
        <w:rPr>
          <w:rFonts w:ascii="Calibri" w:cs="Calibri" w:eastAsia="Calibri" w:hAnsi="Calibri"/>
          <w:sz w:val="20"/>
          <w:szCs w:val="20"/>
          <w:b w:val="1"/>
          <w:bCs w:val="1"/>
          <w:color w:val="auto"/>
        </w:rPr>
        <w:t xml:space="preserve">Bonus Potental: </w:t>
      </w:r>
      <w:r>
        <w:rPr>
          <w:rFonts w:ascii="Calibri" w:cs="Calibri" w:eastAsia="Calibri" w:hAnsi="Calibri"/>
          <w:sz w:val="20"/>
          <w:szCs w:val="20"/>
          <w:color w:val="auto"/>
        </w:rPr>
        <w:t>In Fiscal 2022, your bonus target is 65% of your base salary and is contngent upon us meetng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certain fnancial thresholds that are established annually. Your maximum bonus will be 200% of your base salary.</w:t>
      </w:r>
    </w:p>
    <w:p>
      <w:pPr>
        <w:spacing w:after="0" w:line="349" w:lineRule="exact"/>
        <w:rPr>
          <w:sz w:val="20"/>
          <w:szCs w:val="20"/>
          <w:color w:val="auto"/>
        </w:rPr>
      </w:pPr>
    </w:p>
    <w:p>
      <w:pPr>
        <w:ind w:left="6" w:right="200"/>
        <w:spacing w:after="0" w:line="210" w:lineRule="auto"/>
        <w:rPr>
          <w:sz w:val="20"/>
          <w:szCs w:val="20"/>
          <w:color w:val="auto"/>
        </w:rPr>
      </w:pPr>
      <w:r>
        <w:rPr>
          <w:rFonts w:ascii="Calibri" w:cs="Calibri" w:eastAsia="Calibri" w:hAnsi="Calibri"/>
          <w:sz w:val="20"/>
          <w:szCs w:val="20"/>
          <w:b w:val="1"/>
          <w:bCs w:val="1"/>
          <w:color w:val="auto"/>
        </w:rPr>
        <w:t xml:space="preserve">Equity Partcipaton: </w:t>
      </w:r>
      <w:r>
        <w:rPr>
          <w:rFonts w:ascii="Calibri" w:cs="Calibri" w:eastAsia="Calibri" w:hAnsi="Calibri"/>
          <w:sz w:val="20"/>
          <w:szCs w:val="20"/>
          <w:color w:val="auto"/>
        </w:rPr>
        <w:t>You will receive a restricted stock grant of $162,500 with the number of shares to be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determined based on the closing market price on March 14, 2022. The grant will vest 25% each year over four years. Additonal details will be provided to you in a separate restricted stock agreement. Beginning in fscal 2023 your annual equity award will be calculated at 50% of your annual base salary.</w:t>
      </w:r>
    </w:p>
    <w:p>
      <w:pPr>
        <w:spacing w:after="0" w:line="175" w:lineRule="exact"/>
        <w:rPr>
          <w:sz w:val="20"/>
          <w:szCs w:val="20"/>
          <w:color w:val="auto"/>
        </w:rPr>
      </w:pPr>
    </w:p>
    <w:p>
      <w:pPr>
        <w:ind w:left="6"/>
        <w:spacing w:after="0"/>
        <w:rPr>
          <w:sz w:val="20"/>
          <w:szCs w:val="20"/>
          <w:color w:val="auto"/>
        </w:rPr>
      </w:pPr>
      <w:r>
        <w:rPr>
          <w:rFonts w:ascii="Calibri" w:cs="Calibri" w:eastAsia="Calibri" w:hAnsi="Calibri"/>
          <w:sz w:val="20"/>
          <w:szCs w:val="20"/>
          <w:color w:val="auto"/>
        </w:rPr>
        <w:t>Neala, I look forward to your contnued contributons at Duluth Trading Company.</w:t>
      </w:r>
    </w:p>
    <w:p>
      <w:pPr>
        <w:spacing w:after="0" w:line="161" w:lineRule="exact"/>
        <w:rPr>
          <w:sz w:val="20"/>
          <w:szCs w:val="20"/>
          <w:color w:val="auto"/>
        </w:rPr>
      </w:pPr>
    </w:p>
    <w:p>
      <w:pPr>
        <w:ind w:left="6"/>
        <w:spacing w:after="0"/>
        <w:rPr>
          <w:sz w:val="20"/>
          <w:szCs w:val="20"/>
          <w:color w:val="auto"/>
        </w:rPr>
      </w:pPr>
      <w:r>
        <w:rPr>
          <w:rFonts w:ascii="Calibri" w:cs="Calibri" w:eastAsia="Calibri" w:hAnsi="Calibri"/>
          <w:sz w:val="20"/>
          <w:szCs w:val="20"/>
          <w:color w:val="auto"/>
        </w:rPr>
        <w:t>Sincerely,</w:t>
      </w:r>
    </w:p>
    <w:p>
      <w:pPr>
        <w:spacing w:after="0" w:line="174" w:lineRule="exact"/>
        <w:rPr>
          <w:sz w:val="20"/>
          <w:szCs w:val="20"/>
          <w:color w:val="auto"/>
        </w:rPr>
      </w:pPr>
    </w:p>
    <w:p>
      <w:pPr>
        <w:ind w:left="6"/>
        <w:spacing w:after="0"/>
        <w:rPr>
          <w:sz w:val="20"/>
          <w:szCs w:val="20"/>
          <w:color w:val="auto"/>
        </w:rPr>
      </w:pPr>
      <w:r>
        <w:rPr>
          <w:rFonts w:ascii="Calibri" w:cs="Calibri" w:eastAsia="Calibri" w:hAnsi="Calibri"/>
          <w:sz w:val="20"/>
          <w:szCs w:val="20"/>
          <w:color w:val="auto"/>
        </w:rPr>
        <w:t>Sam Sato</w:t>
      </w:r>
    </w:p>
    <w:p>
      <w:pPr>
        <w:ind w:left="6"/>
        <w:spacing w:after="0" w:line="199" w:lineRule="auto"/>
        <w:rPr>
          <w:sz w:val="20"/>
          <w:szCs w:val="20"/>
          <w:color w:val="auto"/>
        </w:rPr>
      </w:pPr>
      <w:r>
        <w:rPr>
          <w:rFonts w:ascii="Calibri" w:cs="Calibri" w:eastAsia="Calibri" w:hAnsi="Calibri"/>
          <w:sz w:val="20"/>
          <w:szCs w:val="20"/>
          <w:color w:val="auto"/>
        </w:rPr>
        <w:t>President &amp; Chief Executve Ofcer</w:t>
      </w:r>
    </w:p>
    <w:p>
      <w:pPr>
        <w:spacing w:after="0" w:line="226" w:lineRule="exact"/>
        <w:rPr>
          <w:sz w:val="20"/>
          <w:szCs w:val="20"/>
          <w:color w:val="auto"/>
        </w:rPr>
      </w:pPr>
    </w:p>
    <w:p>
      <w:pPr>
        <w:jc w:val="center"/>
        <w:ind w:right="-5"/>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216535</wp:posOffset>
            </wp:positionV>
            <wp:extent cx="5871845"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86"/>
          </w:cols>
          <w:pgMar w:left="1354" w:top="403" w:right="13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44"/>
        </w:trPr>
        <w:tc>
          <w:tcPr>
            <w:tcW w:w="3280" w:type="dxa"/>
            <w:vAlign w:val="bottom"/>
          </w:tcPr>
          <w:p>
            <w:pPr>
              <w:spacing w:after="0"/>
              <w:rPr>
                <w:sz w:val="20"/>
                <w:szCs w:val="20"/>
                <w:color w:val="auto"/>
              </w:rPr>
            </w:pPr>
            <w:r>
              <w:rPr>
                <w:rFonts w:ascii="Calibri" w:cs="Calibri" w:eastAsia="Calibri" w:hAnsi="Calibri"/>
                <w:sz w:val="20"/>
                <w:szCs w:val="20"/>
                <w:color w:val="auto"/>
              </w:rPr>
              <w:t>Duluth Trading Company</w:t>
            </w:r>
          </w:p>
        </w:tc>
        <w:tc>
          <w:tcPr>
            <w:tcW w:w="544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621"/>
        </w:trPr>
        <w:tc>
          <w:tcPr>
            <w:tcW w:w="3280" w:type="dxa"/>
            <w:vAlign w:val="bottom"/>
          </w:tcPr>
          <w:p>
            <w:pPr>
              <w:spacing w:after="0"/>
              <w:rPr>
                <w:sz w:val="20"/>
                <w:szCs w:val="20"/>
                <w:color w:val="auto"/>
              </w:rPr>
            </w:pPr>
            <w:r>
              <w:rPr>
                <w:rFonts w:ascii="Calibri" w:cs="Calibri" w:eastAsia="Calibri" w:hAnsi="Calibri"/>
                <w:sz w:val="20"/>
                <w:szCs w:val="20"/>
                <w:color w:val="auto"/>
              </w:rPr>
              <w:t>ACCEPTED:</w:t>
            </w:r>
          </w:p>
        </w:tc>
        <w:tc>
          <w:tcPr>
            <w:tcW w:w="54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84"/>
        </w:trPr>
        <w:tc>
          <w:tcPr>
            <w:tcW w:w="3280" w:type="dxa"/>
            <w:vAlign w:val="bottom"/>
            <w:tcBorders>
              <w:bottom w:val="single" w:sz="8" w:color="auto"/>
            </w:tcBorders>
          </w:tcPr>
          <w:p>
            <w:pPr>
              <w:spacing w:after="0"/>
              <w:rPr>
                <w:sz w:val="20"/>
                <w:szCs w:val="20"/>
                <w:color w:val="auto"/>
              </w:rPr>
            </w:pPr>
            <w:r>
              <w:rPr>
                <w:rFonts w:ascii="Calibri" w:cs="Calibri" w:eastAsia="Calibri" w:hAnsi="Calibri"/>
                <w:sz w:val="20"/>
                <w:szCs w:val="20"/>
                <w:color w:val="auto"/>
              </w:rPr>
              <w:t xml:space="preserve">/s/ </w:t>
            </w:r>
            <w:r>
              <w:rPr>
                <w:rFonts w:ascii="Calibri" w:cs="Calibri" w:eastAsia="Calibri" w:hAnsi="Calibri"/>
                <w:sz w:val="20"/>
                <w:szCs w:val="20"/>
                <w:i w:val="1"/>
                <w:iCs w:val="1"/>
                <w:color w:val="auto"/>
              </w:rPr>
              <w:t>Neala Shepherd</w:t>
            </w:r>
          </w:p>
        </w:tc>
        <w:tc>
          <w:tcPr>
            <w:tcW w:w="5440" w:type="dxa"/>
            <w:vAlign w:val="bottom"/>
            <w:tcBorders>
              <w:bottom w:val="single" w:sz="8" w:color="auto"/>
            </w:tcBorders>
          </w:tcPr>
          <w:p>
            <w:pPr>
              <w:jc w:val="right"/>
              <w:ind w:right="150"/>
              <w:spacing w:after="0"/>
              <w:rPr>
                <w:sz w:val="20"/>
                <w:szCs w:val="20"/>
                <w:color w:val="auto"/>
              </w:rPr>
            </w:pPr>
            <w:r>
              <w:rPr>
                <w:rFonts w:ascii="Calibri" w:cs="Calibri" w:eastAsia="Calibri" w:hAnsi="Calibri"/>
                <w:sz w:val="20"/>
                <w:szCs w:val="20"/>
                <w:i w:val="1"/>
                <w:iCs w:val="1"/>
                <w:color w:val="auto"/>
              </w:rPr>
              <w:t>3/14/2022</w:t>
            </w:r>
          </w:p>
        </w:tc>
        <w:tc>
          <w:tcPr>
            <w:tcW w:w="480" w:type="dxa"/>
            <w:vAlign w:val="bottom"/>
          </w:tcPr>
          <w:p>
            <w:pPr>
              <w:spacing w:after="0"/>
              <w:rPr>
                <w:sz w:val="24"/>
                <w:szCs w:val="24"/>
                <w:color w:val="auto"/>
              </w:rPr>
            </w:pPr>
          </w:p>
        </w:tc>
      </w:tr>
      <w:tr>
        <w:trPr>
          <w:trHeight w:val="228"/>
        </w:trPr>
        <w:tc>
          <w:tcPr>
            <w:tcW w:w="3280" w:type="dxa"/>
            <w:vAlign w:val="bottom"/>
          </w:tcPr>
          <w:p>
            <w:pPr>
              <w:spacing w:after="0" w:line="228" w:lineRule="exact"/>
              <w:rPr>
                <w:sz w:val="20"/>
                <w:szCs w:val="20"/>
                <w:color w:val="auto"/>
              </w:rPr>
            </w:pPr>
            <w:r>
              <w:rPr>
                <w:rFonts w:ascii="Calibri" w:cs="Calibri" w:eastAsia="Calibri" w:hAnsi="Calibri"/>
                <w:sz w:val="20"/>
                <w:szCs w:val="20"/>
                <w:color w:val="auto"/>
              </w:rPr>
              <w:t>Neala Shepherd</w:t>
            </w:r>
          </w:p>
        </w:tc>
        <w:tc>
          <w:tcPr>
            <w:tcW w:w="5440" w:type="dxa"/>
            <w:vAlign w:val="bottom"/>
          </w:tcPr>
          <w:p>
            <w:pPr>
              <w:jc w:val="right"/>
              <w:ind w:right="310"/>
              <w:spacing w:after="0" w:line="228" w:lineRule="exact"/>
              <w:rPr>
                <w:sz w:val="20"/>
                <w:szCs w:val="20"/>
                <w:color w:val="auto"/>
              </w:rPr>
            </w:pPr>
            <w:r>
              <w:rPr>
                <w:rFonts w:ascii="Calibri" w:cs="Calibri" w:eastAsia="Calibri" w:hAnsi="Calibri"/>
                <w:sz w:val="20"/>
                <w:szCs w:val="20"/>
                <w:color w:val="auto"/>
              </w:rPr>
              <w:t>Date</w:t>
            </w:r>
          </w:p>
        </w:tc>
        <w:tc>
          <w:tcPr>
            <w:tcW w:w="480" w:type="dxa"/>
            <w:vAlign w:val="bottom"/>
          </w:tcPr>
          <w:p>
            <w:pPr>
              <w:spacing w:after="0"/>
              <w:rPr>
                <w:sz w:val="19"/>
                <w:szCs w:val="19"/>
                <w:color w:val="auto"/>
              </w:rPr>
            </w:pPr>
          </w:p>
        </w:tc>
      </w:tr>
      <w:tr>
        <w:trPr>
          <w:trHeight w:val="568"/>
        </w:trPr>
        <w:tc>
          <w:tcPr>
            <w:tcW w:w="3280" w:type="dxa"/>
            <w:vAlign w:val="bottom"/>
          </w:tcPr>
          <w:p>
            <w:pPr>
              <w:spacing w:after="0"/>
              <w:rPr>
                <w:sz w:val="24"/>
                <w:szCs w:val="24"/>
                <w:color w:val="auto"/>
              </w:rPr>
            </w:pPr>
          </w:p>
        </w:tc>
        <w:tc>
          <w:tcPr>
            <w:tcW w:w="5440" w:type="dxa"/>
            <w:vAlign w:val="bottom"/>
          </w:tcPr>
          <w:p>
            <w:pPr>
              <w:jc w:val="right"/>
              <w:ind w:right="4010"/>
              <w:spacing w:after="0"/>
              <w:rPr>
                <w:sz w:val="20"/>
                <w:szCs w:val="20"/>
                <w:color w:val="auto"/>
              </w:rPr>
            </w:pPr>
            <w:r>
              <w:rPr>
                <w:rFonts w:ascii="Arial" w:cs="Arial" w:eastAsia="Arial" w:hAnsi="Arial"/>
                <w:sz w:val="14"/>
                <w:szCs w:val="14"/>
                <w:color w:val="auto"/>
              </w:rPr>
              <w:t>2</w:t>
            </w:r>
          </w:p>
        </w:tc>
        <w:tc>
          <w:tcPr>
            <w:tcW w:w="480" w:type="dxa"/>
            <w:vAlign w:val="bottom"/>
          </w:tcPr>
          <w:p>
            <w:pPr>
              <w:spacing w:after="0"/>
              <w:rPr>
                <w:sz w:val="24"/>
                <w:szCs w:val="24"/>
                <w:color w:val="auto"/>
              </w:rPr>
            </w:pPr>
          </w:p>
        </w:tc>
      </w:tr>
      <w:tr>
        <w:trPr>
          <w:trHeight w:val="332"/>
        </w:trPr>
        <w:tc>
          <w:tcPr>
            <w:tcW w:w="328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r>
        <w:trPr>
          <w:trHeight w:val="20"/>
        </w:trPr>
        <w:tc>
          <w:tcPr>
            <w:tcW w:w="3280" w:type="dxa"/>
            <w:vAlign w:val="bottom"/>
            <w:tcBorders>
              <w:bottom w:val="single" w:sz="8" w:color="EEEEEE"/>
            </w:tcBorders>
          </w:tcPr>
          <w:p>
            <w:pPr>
              <w:spacing w:after="0" w:line="20" w:lineRule="exact"/>
              <w:rPr>
                <w:sz w:val="1"/>
                <w:szCs w:val="1"/>
                <w:color w:val="auto"/>
              </w:rPr>
            </w:pPr>
          </w:p>
        </w:tc>
        <w:tc>
          <w:tcPr>
            <w:tcW w:w="54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5821045</wp:posOffset>
            </wp:positionH>
            <wp:positionV relativeFrom="paragraph">
              <wp:posOffset>-37465</wp:posOffset>
            </wp:positionV>
            <wp:extent cx="33655"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-37465</wp:posOffset>
            </wp:positionV>
            <wp:extent cx="34290"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200"/>
          </w:cols>
          <w:pgMar w:left="1360" w:top="92" w:right="13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10" w:lineRule="exact"/>
        <w:rPr>
          <w:sz w:val="20"/>
          <w:szCs w:val="20"/>
          <w:color w:val="auto"/>
        </w:rPr>
      </w:pPr>
    </w:p>
    <w:p>
      <w:pPr>
        <w:ind w:left="180" w:right="239"/>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(Nos. 333-230064, 333-225364, 333-223217, 333-209540, 333-208185, and 333-216128) on Form S-8 of our reports dated March 17, 2023, with respect to the consolidated financial statements and financial statement schedule II of Duluth Holdings Inc. and the effectiveness of internal control over financial reporting.</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Milwaukee, WI</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364490</wp:posOffset>
            </wp:positionV>
            <wp:extent cx="5528945"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75" w:name="page76"/>
    <w:bookmarkEnd w:id="75"/>
    <w:p>
      <w:pPr>
        <w:ind w:left="7700"/>
        <w:spacing w:after="0"/>
        <w:rPr>
          <w:sz w:val="20"/>
          <w:szCs w:val="20"/>
          <w:color w:val="auto"/>
        </w:rPr>
      </w:pPr>
      <w:r>
        <w:rPr>
          <w:rFonts w:ascii="Times New Roman" w:cs="Times New Roman" w:eastAsia="Times New Roman" w:hAnsi="Times New Roman"/>
          <w:sz w:val="22"/>
          <w:szCs w:val="22"/>
          <w:b w:val="1"/>
          <w:bCs w:val="1"/>
          <w:color w:val="auto"/>
        </w:rPr>
        <w:t>Exhibit 24.1</w:t>
      </w:r>
    </w:p>
    <w:p>
      <w:pPr>
        <w:spacing w:after="0" w:line="1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b w:val="1"/>
          <w:bCs w:val="1"/>
          <w:color w:val="auto"/>
        </w:rPr>
        <w:t>POWER OF ATTORNEY FOR ANNUAL REPORT ON FORM 10-K</w:t>
      </w:r>
    </w:p>
    <w:p>
      <w:pPr>
        <w:spacing w:after="0" w:line="399" w:lineRule="exact"/>
        <w:rPr>
          <w:sz w:val="20"/>
          <w:szCs w:val="20"/>
          <w:color w:val="auto"/>
        </w:rPr>
      </w:pPr>
    </w:p>
    <w:p>
      <w:pPr>
        <w:ind w:left="180" w:right="219" w:firstLine="648"/>
        <w:spacing w:after="0" w:line="209" w:lineRule="auto"/>
        <w:rPr>
          <w:sz w:val="20"/>
          <w:szCs w:val="20"/>
          <w:color w:val="auto"/>
        </w:rPr>
      </w:pPr>
      <w:r>
        <w:rPr>
          <w:rFonts w:ascii="Times New Roman" w:cs="Times New Roman" w:eastAsia="Times New Roman" w:hAnsi="Times New Roman"/>
          <w:sz w:val="22"/>
          <w:szCs w:val="22"/>
          <w:color w:val="auto"/>
        </w:rPr>
        <w:t>Each of the undersigned directors of Duluth Holdings Inc. (the “Corporation”) hereby designates and appoints Sam Sato and David Loretta,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Corporation the Corporation’s Annual Report on Form 10-K for the year ended January 29, 2023,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60" w:lineRule="exact"/>
        <w:rPr>
          <w:sz w:val="20"/>
          <w:szCs w:val="20"/>
          <w:color w:val="auto"/>
        </w:rPr>
      </w:pPr>
    </w:p>
    <w:p>
      <w:pPr>
        <w:ind w:left="180" w:right="339" w:firstLine="648"/>
        <w:spacing w:after="0" w:line="255" w:lineRule="auto"/>
        <w:rPr>
          <w:sz w:val="20"/>
          <w:szCs w:val="20"/>
          <w:color w:val="auto"/>
        </w:rPr>
      </w:pPr>
      <w:r>
        <w:rPr>
          <w:rFonts w:ascii="Times New Roman" w:cs="Times New Roman" w:eastAsia="Times New Roman" w:hAnsi="Times New Roman"/>
          <w:sz w:val="21"/>
          <w:szCs w:val="21"/>
          <w:color w:val="auto"/>
        </w:rPr>
        <w:t>IN WITNESS WHEREOF, the undersigned have each executed this Power of Attorney for Annual Report on Form 10-K, on one or more counterparts, as of the 17th day of March, 2023.</w:t>
      </w:r>
    </w:p>
    <w:p>
      <w:pPr>
        <w:spacing w:after="0" w:line="200" w:lineRule="exact"/>
        <w:rPr>
          <w:sz w:val="20"/>
          <w:szCs w:val="20"/>
          <w:color w:val="auto"/>
        </w:rPr>
      </w:pPr>
    </w:p>
    <w:p>
      <w:pPr>
        <w:spacing w:after="0" w:line="353"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3440" w:type="dxa"/>
            <w:vAlign w:val="bottom"/>
            <w:gridSpan w:val="5"/>
          </w:tcPr>
          <w:p>
            <w:pPr>
              <w:spacing w:after="0"/>
              <w:rPr>
                <w:sz w:val="20"/>
                <w:szCs w:val="20"/>
                <w:color w:val="auto"/>
              </w:rPr>
            </w:pPr>
            <w:r>
              <w:rPr>
                <w:rFonts w:ascii="Times New Roman" w:cs="Times New Roman" w:eastAsia="Times New Roman" w:hAnsi="Times New Roman"/>
                <w:sz w:val="20"/>
                <w:szCs w:val="20"/>
                <w:i w:val="1"/>
                <w:iCs w:val="1"/>
                <w:color w:val="auto"/>
              </w:rPr>
              <w:t>/s/ Francesca M. Edwardson</w:t>
            </w: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80" w:type="dxa"/>
            <w:vAlign w:val="bottom"/>
            <w:gridSpan w:val="6"/>
          </w:tcPr>
          <w:p>
            <w:pPr>
              <w:spacing w:after="0"/>
              <w:rPr>
                <w:sz w:val="20"/>
                <w:szCs w:val="20"/>
                <w:color w:val="auto"/>
              </w:rPr>
            </w:pPr>
            <w:r>
              <w:rPr>
                <w:rFonts w:ascii="Times New Roman" w:cs="Times New Roman" w:eastAsia="Times New Roman" w:hAnsi="Times New Roman"/>
                <w:sz w:val="20"/>
                <w:szCs w:val="20"/>
                <w:i w:val="1"/>
                <w:iCs w:val="1"/>
                <w:color w:val="auto"/>
              </w:rPr>
              <w:t>/s/ Brett L. Paschke</w:t>
            </w:r>
          </w:p>
        </w:tc>
      </w:tr>
      <w:tr>
        <w:trPr>
          <w:trHeight w:val="20"/>
        </w:trPr>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91"/>
        </w:trPr>
        <w:tc>
          <w:tcPr>
            <w:tcW w:w="2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Francesca M. Edwardson</w:t>
            </w: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8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Brett L. Paschke</w:t>
            </w:r>
          </w:p>
        </w:tc>
      </w:tr>
      <w:tr>
        <w:trPr>
          <w:trHeight w:val="683"/>
        </w:trPr>
        <w:tc>
          <w:tcPr>
            <w:tcW w:w="3440" w:type="dxa"/>
            <w:vAlign w:val="bottom"/>
            <w:gridSpan w:val="5"/>
          </w:tcPr>
          <w:p>
            <w:pPr>
              <w:spacing w:after="0"/>
              <w:rPr>
                <w:sz w:val="20"/>
                <w:szCs w:val="20"/>
                <w:color w:val="auto"/>
              </w:rPr>
            </w:pPr>
            <w:r>
              <w:rPr>
                <w:rFonts w:ascii="Times New Roman" w:cs="Times New Roman" w:eastAsia="Times New Roman" w:hAnsi="Times New Roman"/>
                <w:sz w:val="20"/>
                <w:szCs w:val="20"/>
                <w:i w:val="1"/>
                <w:iCs w:val="1"/>
                <w:color w:val="auto"/>
              </w:rPr>
              <w:t>/s/ David C. Finch</w:t>
            </w:r>
          </w:p>
        </w:tc>
        <w:tc>
          <w:tcPr>
            <w:tcW w:w="5240" w:type="dxa"/>
            <w:vAlign w:val="bottom"/>
            <w:gridSpan w:val="9"/>
          </w:tcPr>
          <w:p>
            <w:pPr>
              <w:ind w:left="1220"/>
              <w:spacing w:after="0"/>
              <w:rPr>
                <w:sz w:val="20"/>
                <w:szCs w:val="20"/>
                <w:color w:val="auto"/>
              </w:rPr>
            </w:pPr>
            <w:r>
              <w:rPr>
                <w:rFonts w:ascii="Times New Roman" w:cs="Times New Roman" w:eastAsia="Times New Roman" w:hAnsi="Times New Roman"/>
                <w:sz w:val="20"/>
                <w:szCs w:val="20"/>
                <w:i w:val="1"/>
                <w:iCs w:val="1"/>
                <w:color w:val="auto"/>
              </w:rPr>
              <w:t>/s/ Samuel M. Sato</w:t>
            </w:r>
          </w:p>
        </w:tc>
      </w:tr>
      <w:tr>
        <w:trPr>
          <w:trHeight w:val="391"/>
        </w:trPr>
        <w:tc>
          <w:tcPr>
            <w:tcW w:w="1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David C. Finch</w:t>
            </w:r>
          </w:p>
        </w:tc>
        <w:tc>
          <w:tcPr>
            <w:tcW w:w="1980" w:type="dxa"/>
            <w:vAlign w:val="bottom"/>
            <w:gridSpan w:val="3"/>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20"/>
                <w:szCs w:val="20"/>
                <w:color w:val="auto"/>
              </w:rPr>
              <w:t>Samuel M. Sato</w:t>
            </w:r>
          </w:p>
        </w:tc>
        <w:tc>
          <w:tcPr>
            <w:tcW w:w="2540" w:type="dxa"/>
            <w:vAlign w:val="bottom"/>
            <w:gridSpan w:val="4"/>
          </w:tcPr>
          <w:p>
            <w:pPr>
              <w:spacing w:after="0"/>
              <w:rPr>
                <w:sz w:val="24"/>
                <w:szCs w:val="24"/>
                <w:color w:val="auto"/>
              </w:rPr>
            </w:pPr>
          </w:p>
        </w:tc>
      </w:tr>
      <w:tr>
        <w:trPr>
          <w:trHeight w:val="683"/>
        </w:trPr>
        <w:tc>
          <w:tcPr>
            <w:tcW w:w="1820" w:type="dxa"/>
            <w:vAlign w:val="bottom"/>
            <w:gridSpan w:val="3"/>
          </w:tcPr>
          <w:p>
            <w:pPr>
              <w:spacing w:after="0"/>
              <w:rPr>
                <w:sz w:val="20"/>
                <w:szCs w:val="20"/>
                <w:color w:val="auto"/>
              </w:rPr>
            </w:pPr>
            <w:r>
              <w:rPr>
                <w:rFonts w:ascii="Times New Roman" w:cs="Times New Roman" w:eastAsia="Times New Roman" w:hAnsi="Times New Roman"/>
                <w:sz w:val="20"/>
                <w:szCs w:val="20"/>
                <w:i w:val="1"/>
                <w:iCs w:val="1"/>
                <w:color w:val="auto"/>
                <w:w w:val="98"/>
              </w:rPr>
              <w:t>/s/ Thomas G. Folliard</w:t>
            </w:r>
          </w:p>
        </w:tc>
        <w:tc>
          <w:tcPr>
            <w:tcW w:w="1620" w:type="dxa"/>
            <w:vAlign w:val="bottom"/>
            <w:gridSpan w:val="2"/>
          </w:tcPr>
          <w:p>
            <w:pPr>
              <w:spacing w:after="0"/>
              <w:rPr>
                <w:sz w:val="24"/>
                <w:szCs w:val="24"/>
                <w:color w:val="auto"/>
              </w:rPr>
            </w:pPr>
          </w:p>
        </w:tc>
        <w:tc>
          <w:tcPr>
            <w:tcW w:w="1220" w:type="dxa"/>
            <w:vAlign w:val="bottom"/>
          </w:tcPr>
          <w:p>
            <w:pPr>
              <w:spacing w:after="0"/>
              <w:rPr>
                <w:sz w:val="24"/>
                <w:szCs w:val="24"/>
                <w:color w:val="auto"/>
              </w:rPr>
            </w:pPr>
          </w:p>
        </w:tc>
        <w:tc>
          <w:tcPr>
            <w:tcW w:w="4020" w:type="dxa"/>
            <w:vAlign w:val="bottom"/>
            <w:gridSpan w:val="8"/>
          </w:tcPr>
          <w:p>
            <w:pPr>
              <w:ind w:left="40"/>
              <w:spacing w:after="0"/>
              <w:rPr>
                <w:sz w:val="20"/>
                <w:szCs w:val="20"/>
                <w:color w:val="auto"/>
              </w:rPr>
            </w:pPr>
            <w:r>
              <w:rPr>
                <w:rFonts w:ascii="Times New Roman" w:cs="Times New Roman" w:eastAsia="Times New Roman" w:hAnsi="Times New Roman"/>
                <w:sz w:val="20"/>
                <w:szCs w:val="20"/>
                <w:i w:val="1"/>
                <w:iCs w:val="1"/>
                <w:color w:val="auto"/>
              </w:rPr>
              <w:t>/s/ Stephen L. Schlecht</w:t>
            </w:r>
          </w:p>
        </w:tc>
      </w:tr>
      <w:tr>
        <w:trPr>
          <w:trHeight w:val="391"/>
        </w:trPr>
        <w:tc>
          <w:tcPr>
            <w:tcW w:w="18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Thomas G. Folliard</w:t>
            </w:r>
          </w:p>
        </w:tc>
        <w:tc>
          <w:tcPr>
            <w:tcW w:w="1620" w:type="dxa"/>
            <w:vAlign w:val="bottom"/>
            <w:gridSpan w:val="2"/>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20"/>
                <w:szCs w:val="20"/>
                <w:color w:val="auto"/>
              </w:rPr>
              <w:t>Stephen L. Schlecht</w:t>
            </w:r>
          </w:p>
        </w:tc>
        <w:tc>
          <w:tcPr>
            <w:tcW w:w="2180" w:type="dxa"/>
            <w:vAlign w:val="bottom"/>
            <w:gridSpan w:val="2"/>
          </w:tcPr>
          <w:p>
            <w:pPr>
              <w:spacing w:after="0"/>
              <w:rPr>
                <w:sz w:val="24"/>
                <w:szCs w:val="24"/>
                <w:color w:val="auto"/>
              </w:rPr>
            </w:pPr>
          </w:p>
        </w:tc>
      </w:tr>
      <w:tr>
        <w:trPr>
          <w:trHeight w:val="683"/>
        </w:trPr>
        <w:tc>
          <w:tcPr>
            <w:tcW w:w="13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w w:val="98"/>
              </w:rPr>
              <w:t>/s/ Susan J. Riley</w:t>
            </w:r>
          </w:p>
        </w:tc>
        <w:tc>
          <w:tcPr>
            <w:tcW w:w="2080" w:type="dxa"/>
            <w:vAlign w:val="bottom"/>
            <w:gridSpan w:val="4"/>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gridSpan w:val="6"/>
          </w:tcPr>
          <w:p>
            <w:pPr>
              <w:ind w:left="800"/>
              <w:spacing w:after="0"/>
              <w:rPr>
                <w:sz w:val="20"/>
                <w:szCs w:val="20"/>
                <w:color w:val="auto"/>
              </w:rPr>
            </w:pPr>
            <w:r>
              <w:rPr>
                <w:rFonts w:ascii="Times New Roman" w:cs="Times New Roman" w:eastAsia="Times New Roman" w:hAnsi="Times New Roman"/>
                <w:sz w:val="20"/>
                <w:szCs w:val="20"/>
                <w:i w:val="1"/>
                <w:iCs w:val="1"/>
                <w:color w:val="auto"/>
              </w:rPr>
              <w:t>/s/ Scott K. Williams</w:t>
            </w:r>
          </w:p>
        </w:tc>
      </w:tr>
      <w:tr>
        <w:trPr>
          <w:trHeight w:val="20"/>
        </w:trPr>
        <w:tc>
          <w:tcPr>
            <w:tcW w:w="1360" w:type="dxa"/>
            <w:vAlign w:val="bottom"/>
            <w:shd w:val="clear" w:color="auto" w:fill="000000"/>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600" w:type="dxa"/>
            <w:vAlign w:val="bottom"/>
            <w:gridSpan w:val="4"/>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91"/>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Susan J. Riley</w:t>
            </w:r>
          </w:p>
        </w:tc>
        <w:tc>
          <w:tcPr>
            <w:tcW w:w="2080" w:type="dxa"/>
            <w:vAlign w:val="bottom"/>
            <w:gridSpan w:val="4"/>
          </w:tcPr>
          <w:p>
            <w:pPr>
              <w:spacing w:after="0"/>
              <w:rPr>
                <w:sz w:val="24"/>
                <w:szCs w:val="24"/>
                <w:color w:val="auto"/>
              </w:rPr>
            </w:pPr>
          </w:p>
        </w:tc>
        <w:tc>
          <w:tcPr>
            <w:tcW w:w="5240" w:type="dxa"/>
            <w:vAlign w:val="bottom"/>
            <w:gridSpan w:val="9"/>
          </w:tcPr>
          <w:p>
            <w:pPr>
              <w:ind w:left="1160"/>
              <w:spacing w:after="0"/>
              <w:rPr>
                <w:sz w:val="20"/>
                <w:szCs w:val="20"/>
                <w:color w:val="auto"/>
              </w:rPr>
            </w:pPr>
            <w:r>
              <w:rPr>
                <w:rFonts w:ascii="Times New Roman" w:cs="Times New Roman" w:eastAsia="Times New Roman" w:hAnsi="Times New Roman"/>
                <w:sz w:val="20"/>
                <w:szCs w:val="20"/>
                <w:color w:val="auto"/>
              </w:rPr>
              <w:t>Scott K. Williams</w:t>
            </w:r>
          </w:p>
        </w:tc>
      </w:tr>
      <w:tr>
        <w:trPr>
          <w:trHeight w:val="223"/>
        </w:trPr>
        <w:tc>
          <w:tcPr>
            <w:tcW w:w="13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1480" w:type="dxa"/>
            <w:vAlign w:val="bottom"/>
            <w:tcBorders>
              <w:bottom w:val="single" w:sz="8" w:color="9A9A9A"/>
            </w:tcBorders>
          </w:tcPr>
          <w:p>
            <w:pPr>
              <w:spacing w:after="0"/>
              <w:rPr>
                <w:sz w:val="19"/>
                <w:szCs w:val="19"/>
                <w:color w:val="auto"/>
              </w:rPr>
            </w:pPr>
          </w:p>
        </w:tc>
      </w:tr>
      <w:tr>
        <w:trPr>
          <w:trHeight w:val="20"/>
        </w:trPr>
        <w:tc>
          <w:tcPr>
            <w:tcW w:w="13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4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769620</wp:posOffset>
            </wp:positionH>
            <wp:positionV relativeFrom="page">
              <wp:posOffset>7397115</wp:posOffset>
            </wp:positionV>
            <wp:extent cx="6026150"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6026150" cy="51435"/>
                    </a:xfrm>
                    <a:prstGeom prst="rect">
                      <a:avLst/>
                    </a:prstGeom>
                    <a:noFill/>
                  </pic:spPr>
                </pic:pic>
              </a:graphicData>
            </a:graphic>
          </wp:anchor>
        </w:drawing>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 Sato, Chief Executive Officer, certify that:</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ind w:left="980" w:right="80" w:hanging="324"/>
        <w:spacing w:after="0" w:line="261"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sz w:val="20"/>
          <w:szCs w:val="20"/>
          <w:color w:val="auto"/>
        </w:rPr>
      </w:pPr>
    </w:p>
    <w:p>
      <w:pPr>
        <w:ind w:left="660" w:right="160" w:hanging="31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w:t>
        <w:tab/>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980" w:right="28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2023</w:t>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18"/>
          <w:szCs w:val="18"/>
          <w:i w:val="1"/>
          <w:iCs w:val="1"/>
          <w:color w:val="auto"/>
        </w:rPr>
        <w:t>Sam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14605</wp:posOffset>
            </wp:positionV>
            <wp:extent cx="21685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Sam Sato</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ectPr>
          <w:pgSz w:w="11900" w:h="16838" w:orient="portrait"/>
          <w:cols w:equalWidth="0" w:num="1">
            <w:col w:w="9440"/>
          </w:cols>
          <w:pgMar w:left="1220" w:top="117" w:right="1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769620</wp:posOffset>
            </wp:positionH>
            <wp:positionV relativeFrom="page">
              <wp:posOffset>7397115</wp:posOffset>
            </wp:positionV>
            <wp:extent cx="6026150"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6026150" cy="51435"/>
                    </a:xfrm>
                    <a:prstGeom prst="rect">
                      <a:avLst/>
                    </a:prstGeom>
                    <a:noFill/>
                  </pic:spPr>
                </pic:pic>
              </a:graphicData>
            </a:graphic>
          </wp:anchor>
        </w:drawing>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Loretta, Chief Financial Officer, certify that:</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ind w:left="980" w:right="80" w:hanging="324"/>
        <w:spacing w:after="0" w:line="261"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sz w:val="20"/>
          <w:szCs w:val="20"/>
          <w:color w:val="auto"/>
        </w:rPr>
      </w:pPr>
    </w:p>
    <w:p>
      <w:pPr>
        <w:ind w:left="660" w:right="160" w:hanging="31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w:t>
        <w:tab/>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980" w:right="280" w:hanging="324"/>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2023</w:t>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18"/>
          <w:szCs w:val="18"/>
          <w:i w:val="1"/>
          <w:i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14605</wp:posOffset>
            </wp:positionV>
            <wp:extent cx="21685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David Loretta</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ectPr>
          <w:pgSz w:w="11900" w:h="16838" w:orient="portrait"/>
          <w:cols w:equalWidth="0" w:num="1">
            <w:col w:w="9440"/>
          </w:cols>
          <w:pgMar w:left="1220" w:top="117" w:right="12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Duluth Holdings Inc. (the “Company”) for the fiscal year ended January 29, 2023 as filed with the Securities and Exchange Commission on the date hereof (the “Report”), I, Sam Sato, as Chief Executive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660" w:right="3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120" w:right="7720" w:firstLine="715"/>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/s/ </w:t>
      </w:r>
      <w:r>
        <w:rPr>
          <w:rFonts w:ascii="Times New Roman" w:cs="Times New Roman" w:eastAsia="Times New Roman" w:hAnsi="Times New Roman"/>
          <w:sz w:val="17"/>
          <w:szCs w:val="17"/>
          <w:i w:val="1"/>
          <w:iCs w:val="1"/>
          <w:color w:val="auto"/>
        </w:rPr>
        <w:t>Sam Sato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Name: </w:t>
      </w:r>
      <w:r>
        <w:rPr>
          <w:rFonts w:ascii="Times New Roman" w:cs="Times New Roman" w:eastAsia="Times New Roman" w:hAnsi="Times New Roman"/>
          <w:sz w:val="17"/>
          <w:szCs w:val="17"/>
          <w:b w:val="1"/>
          <w:bCs w:val="1"/>
          <w:color w:val="auto"/>
        </w:rPr>
        <w:t>Sam Sato</w:t>
      </w:r>
    </w:p>
    <w:p>
      <w:pPr>
        <w:ind w:left="120"/>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17"/>
          <w:szCs w:val="17"/>
          <w:b w:val="1"/>
          <w:bCs w:val="1"/>
          <w:color w:val="auto"/>
        </w:rPr>
        <w:t>Chief Executive Officer</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-422275</wp:posOffset>
            </wp:positionV>
            <wp:extent cx="30429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62"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0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p>
      <w:pPr>
        <w:sectPr>
          <w:pgSz w:w="11900" w:h="16838" w:orient="portrait"/>
          <w:cols w:equalWidth="0" w:num="1">
            <w:col w:w="9440"/>
          </w:cols>
          <w:pgMar w:left="1220" w:top="117" w:right="12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Duluth Holdings Inc. (the “Company”) for the fiscal year ended January 29, 2023 as filed with the Securities and Exchange Commission on the date hereof (the “Report”), I, David Loretta, as Chief Financial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980" w:right="20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p>
      <w:pPr>
        <w:ind w:left="120" w:right="7340" w:firstLine="760"/>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/s/ </w:t>
      </w:r>
      <w:r>
        <w:rPr>
          <w:rFonts w:ascii="Times New Roman" w:cs="Times New Roman" w:eastAsia="Times New Roman" w:hAnsi="Times New Roman"/>
          <w:sz w:val="17"/>
          <w:szCs w:val="17"/>
          <w:i w:val="1"/>
          <w:iCs w:val="1"/>
          <w:color w:val="auto"/>
        </w:rPr>
        <w:t>David Loretta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Name: </w:t>
      </w:r>
      <w:r>
        <w:rPr>
          <w:rFonts w:ascii="Times New Roman" w:cs="Times New Roman" w:eastAsia="Times New Roman" w:hAnsi="Times New Roman"/>
          <w:sz w:val="17"/>
          <w:szCs w:val="17"/>
          <w:b w:val="1"/>
          <w:bCs w:val="1"/>
          <w:color w:val="auto"/>
        </w:rPr>
        <w:t>David Loretta</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17"/>
          <w:szCs w:val="17"/>
          <w:b w:val="1"/>
          <w:bCs w:val="1"/>
          <w:color w:val="auto"/>
        </w:rPr>
        <w:t>Chief Financial Officer</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-422275</wp:posOffset>
            </wp:positionV>
            <wp:extent cx="30429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62"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sectPr>
      <w:pgSz w:w="11900" w:h="16838" w:orient="portrait"/>
      <w:cols w:equalWidth="0" w:num="1">
        <w:col w:w="9440"/>
      </w:cols>
      <w:pgMar w:left="1220" w:top="11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
      <w:numFmt w:val="bullet"/>
      <w:start w:val="1"/>
    </w:lvl>
  </w:abstractNum>
  <w:abstractNum w:abstractNumId="3">
    <w:nsid w:val="41A7C4C9"/>
    <w:multiLevelType w:val="hybridMultilevel"/>
    <w:lvl w:ilvl="0">
      <w:lvlJc w:val="left"/>
      <w:lvlText w:val=" "/>
      <w:numFmt w:val="bullet"/>
      <w:start w:val="1"/>
    </w:lvl>
  </w:abstractNum>
  <w:abstractNum w:abstractNumId="4">
    <w:nsid w:val="6B68079A"/>
    <w:multiLevelType w:val="hybridMultilevel"/>
    <w:lvl w:ilvl="0">
      <w:lvlJc w:val="left"/>
      <w:lvlText w:val=" "/>
      <w:numFmt w:val="bullet"/>
      <w:start w:val="1"/>
    </w:lvl>
  </w:abstractNum>
  <w:abstractNum w:abstractNumId="5">
    <w:nsid w:val="4E6AFB66"/>
    <w:multiLevelType w:val="hybridMultilevel"/>
    <w:lvl w:ilvl="0">
      <w:lvlJc w:val="left"/>
      <w:lvlText w:val=" "/>
      <w:numFmt w:val="bullet"/>
      <w:start w:val="1"/>
    </w:lvl>
  </w:abstractNum>
  <w:abstractNum w:abstractNumId="6">
    <w:nsid w:val="25E45D32"/>
    <w:multiLevelType w:val="hybridMultilevel"/>
    <w:lvl w:ilvl="0">
      <w:lvlJc w:val="left"/>
      <w:lvlText w:val=" "/>
      <w:numFmt w:val="bullet"/>
      <w:start w:val="1"/>
    </w:lvl>
  </w:abstractNum>
  <w:abstractNum w:abstractNumId="7">
    <w:nsid w:val="519B500D"/>
    <w:multiLevelType w:val="hybridMultilevel"/>
    <w:lvl w:ilvl="0">
      <w:lvlJc w:val="left"/>
      <w:lvlText w:val=" "/>
      <w:numFmt w:val="bullet"/>
      <w:start w:val="1"/>
    </w:lvl>
  </w:abstractNum>
  <w:abstractNum w:abstractNumId="8">
    <w:nsid w:val="431BD7B7"/>
    <w:multiLevelType w:val="hybridMultilevel"/>
    <w:lvl w:ilvl="0">
      <w:lvlJc w:val="left"/>
      <w:lvlText w:val=" "/>
      <w:numFmt w:val="bullet"/>
      <w:start w:val="1"/>
    </w:lvl>
  </w:abstractNum>
  <w:abstractNum w:abstractNumId="9">
    <w:nsid w:val="3F2DBA31"/>
    <w:multiLevelType w:val="hybridMultilevel"/>
    <w:lvl w:ilvl="0">
      <w:lvlJc w:val="left"/>
      <w:lvlText w:val=" "/>
      <w:numFmt w:val="bullet"/>
      <w:start w:val="1"/>
    </w:lvl>
  </w:abstractNum>
  <w:abstractNum w:abstractNumId="10">
    <w:nsid w:val="7C83E458"/>
    <w:multiLevelType w:val="hybridMultilevel"/>
    <w:lvl w:ilvl="0">
      <w:lvlJc w:val="left"/>
      <w:lvlText w:val=" "/>
      <w:numFmt w:val="bullet"/>
      <w:start w:val="1"/>
    </w:lvl>
  </w:abstractNum>
  <w:abstractNum w:abstractNumId="11">
    <w:nsid w:val="257130A3"/>
    <w:multiLevelType w:val="hybridMultilevel"/>
    <w:lvl w:ilvl="0">
      <w:lvlJc w:val="left"/>
      <w:lvlText w:val=" "/>
      <w:numFmt w:val="bullet"/>
      <w:start w:val="1"/>
    </w:lvl>
  </w:abstractNum>
  <w:abstractNum w:abstractNumId="12">
    <w:nsid w:val="62BBD95A"/>
    <w:multiLevelType w:val="hybridMultilevel"/>
    <w:lvl w:ilvl="0">
      <w:lvlJc w:val="left"/>
      <w:lvlText w:val=" "/>
      <w:numFmt w:val="bullet"/>
      <w:start w:val="1"/>
    </w:lvl>
  </w:abstractNum>
  <w:abstractNum w:abstractNumId="13">
    <w:nsid w:val="436C6125"/>
    <w:multiLevelType w:val="hybridMultilevel"/>
    <w:lvl w:ilvl="0">
      <w:lvlJc w:val="left"/>
      <w:lvlText w:val=" "/>
      <w:numFmt w:val="bullet"/>
      <w:start w:val="1"/>
    </w:lvl>
  </w:abstractNum>
  <w:abstractNum w:abstractNumId="14">
    <w:nsid w:val="628C895D"/>
    <w:multiLevelType w:val="hybridMultilevel"/>
    <w:lvl w:ilvl="0">
      <w:lvlJc w:val="left"/>
      <w:lvlText w:val=" "/>
      <w:numFmt w:val="bullet"/>
      <w:start w:val="1"/>
    </w:lvl>
  </w:abstractNum>
  <w:abstractNum w:abstractNumId="15">
    <w:nsid w:val="333AB105"/>
    <w:multiLevelType w:val="hybridMultilevel"/>
    <w:lvl w:ilvl="0">
      <w:lvlJc w:val="left"/>
      <w:lvlText w:val="%1."/>
      <w:numFmt w:val="decimal"/>
      <w:start w:val="5"/>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lvl w:ilvl="1">
      <w:lvlJc w:val="left"/>
      <w:lvlText w:val="%2)"/>
      <w:numFmt w:val="lowerLetter"/>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lvl w:ilvl="1">
      <w:lvlJc w:val="left"/>
      <w:lvlText w:val="%2)"/>
      <w:numFmt w:val="lowerLetter"/>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 "/>
      <w:numFmt w:val="bullet"/>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jpe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37" Type="http://schemas.openxmlformats.org/officeDocument/2006/relationships/hyperlink" Target="https://www.sec.gov/Archives/edgar/data/1649744/000164974420000008/dlth-20200202x10k.htm" TargetMode="External"/><Relationship Id="rId80" Type="http://schemas.openxmlformats.org/officeDocument/2006/relationships/hyperlink" Target="http://www.sec.gov/Archives/edgar/data/1649744/000119312515371181/d70652dex31.htm" TargetMode="External"/><Relationship Id="rId81" Type="http://schemas.openxmlformats.org/officeDocument/2006/relationships/hyperlink" Target="http://www.sec.gov/Archives/edgar/data/1649744/000119312515371181/d70652dex32.htm" TargetMode="External"/><Relationship Id="rId82" Type="http://schemas.openxmlformats.org/officeDocument/2006/relationships/hyperlink" Target="https://www.sec.gov/Archives/edgar/data/1649744/000164974420000008/dlth-20200202xex4_1.htm" TargetMode="External"/><Relationship Id="rId83" Type="http://schemas.openxmlformats.org/officeDocument/2006/relationships/hyperlink" Target="https://www.sec.gov/Archives/edgar/data/1649744/000164974422000008/dlth-20220130xex9_1.htm" TargetMode="External"/><Relationship Id="rId84" Type="http://schemas.openxmlformats.org/officeDocument/2006/relationships/hyperlink" Target="http://www.sec.gov/Archives/edgar/data/1649744/000164974419000010/dlth-20190203xex10_10.htm" TargetMode="External"/><Relationship Id="rId85" Type="http://schemas.openxmlformats.org/officeDocument/2006/relationships/hyperlink" Target="http://www.sec.gov/Archives/edgar/data/1649744/000164974415000014/dlth-20151101ex107695db3.htm" TargetMode="External"/><Relationship Id="rId86" Type="http://schemas.openxmlformats.org/officeDocument/2006/relationships/hyperlink" Target="http://www.sec.gov/Archives/edgar/data/1649744/000119312515338287/d70652dex1017.htm" TargetMode="External"/><Relationship Id="rId87" Type="http://schemas.openxmlformats.org/officeDocument/2006/relationships/hyperlink" Target="http://www.sec.gov/Archives/edgar/data/1649744/000119312515338287/d70652dex1019.htm" TargetMode="External"/><Relationship Id="rId88" Type="http://schemas.openxmlformats.org/officeDocument/2006/relationships/hyperlink" Target="http://www.sec.gov/Archives/edgar/data/1649744/000119312515338287/d70652dex1020.htm" TargetMode="External"/><Relationship Id="rId89" Type="http://schemas.openxmlformats.org/officeDocument/2006/relationships/hyperlink" Target="http://www.sec.gov/Archives/edgar/data/1649744/000119312515338287/d70652dex1021.htm" TargetMode="External"/><Relationship Id="rId90" Type="http://schemas.openxmlformats.org/officeDocument/2006/relationships/hyperlink" Target="http://www.sec.gov/Archives/edgar/data/1649744/000119312515338287/d70652dex1022.htm" TargetMode="External"/><Relationship Id="rId91" Type="http://schemas.openxmlformats.org/officeDocument/2006/relationships/hyperlink" Target="http://www.sec.gov/Archives/edgar/data/1649744/000119312515342675/d70652dex1023.htm" TargetMode="External"/><Relationship Id="rId92" Type="http://schemas.openxmlformats.org/officeDocument/2006/relationships/hyperlink" Target="http://www.sec.gov/Archives/edgar/data/1649744/000164974419000010/dlth-20190203xex10_19.htm" TargetMode="External"/><Relationship Id="rId95" Type="http://schemas.openxmlformats.org/officeDocument/2006/relationships/hyperlink" Target="http://www.sec.gov/Archives/edgar/data/1649744/000164974416000030/dlth-20160501xex10_1.htm" TargetMode="External"/><Relationship Id="rId96" Type="http://schemas.openxmlformats.org/officeDocument/2006/relationships/hyperlink" Target="http://www.sec.gov/Archives/edgar/data/1649744/000089271217000564/exhibit101.htm" TargetMode="External"/><Relationship Id="rId97" Type="http://schemas.openxmlformats.org/officeDocument/2006/relationships/hyperlink" Target="http://www.sec.gov/Archives/edgar/data/1649744/000089271217000564/exhibit102.htm" TargetMode="External"/><Relationship Id="rId98" Type="http://schemas.openxmlformats.org/officeDocument/2006/relationships/hyperlink" Target="https://www.sec.gov/Archives/edgar/data/1649744/000164974421000028/dlth-20210801xex10_1.htm" TargetMode="External"/><Relationship Id="rId99" Type="http://schemas.openxmlformats.org/officeDocument/2006/relationships/hyperlink" Target="https://www.sec.gov/Archives/edgar/data/1649744/000164974421000017/dlth-20210502xex10_3.htm" TargetMode="External"/><Relationship Id="rId100" Type="http://schemas.openxmlformats.org/officeDocument/2006/relationships/hyperlink" Target="https://www.sec.gov/Archives/edgar/data/1649744/000164974422000008/dlth-20220130xex10_18.htm" TargetMode="External"/><Relationship Id="rId101" Type="http://schemas.openxmlformats.org/officeDocument/2006/relationships/hyperlink" Target="https://www.sec.gov/Archives/edgar/data/1649744/000164974422000008/dlth-20220130xex10_19.htm" TargetMode="External"/><Relationship Id="rId102" Type="http://schemas.openxmlformats.org/officeDocument/2006/relationships/hyperlink" Target="https://www.sec.gov/Archives/edgar/data/0001649744/000119312521166645/d157092dex101.htm" TargetMode="External"/><Relationship Id="rId103" Type="http://schemas.openxmlformats.org/officeDocument/2006/relationships/hyperlink" Target="https://www.sec.gov/Archives/edgar/data/1649744/000089271222000097/exhibit101.htm" TargetMode="External"/><Relationship Id="rId104" Type="http://schemas.openxmlformats.org/officeDocument/2006/relationships/hyperlink" Target="https://www.sec.gov/Archives/edgar/data/1649744/000089271222000097/exhibit102.htm" TargetMode="External"/><Relationship Id="rId105" Type="http://schemas.openxmlformats.org/officeDocument/2006/relationships/hyperlink" Target="https://www.sec.gov/Archives/edgar/data/1649744/000119312522192012/d380936dex101.htm" TargetMode="External"/><Relationship Id="rId106" Type="http://schemas.openxmlformats.org/officeDocument/2006/relationships/hyperlink" Target="https://www.sec.gov/Archives/edgar/data/1649744/000164974422000025/dlth-20220731x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2023-03-17T14:07:44Z</dcterms:created>
  <dcterms:modified xsi:type="dcterms:W3CDTF">2023-03-17T14:07:44Z</dcterms:modified>
</cp:coreProperties>
</file>